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274E" w14:textId="06FF7455" w:rsidR="00EE49FB" w:rsidRDefault="00997F6C" w:rsidP="006C282B">
      <w:pPr>
        <w:sectPr w:rsidR="00EE49FB" w:rsidSect="001F20A7">
          <w:headerReference w:type="default" r:id="rId11"/>
          <w:footerReference w:type="default" r:id="rId12"/>
          <w:headerReference w:type="first" r:id="rId13"/>
          <w:footerReference w:type="first" r:id="rId14"/>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202EBB92" wp14:editId="4A57C2D7">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5"/>
                    <a:stretch>
                      <a:fillRect/>
                    </a:stretch>
                  </pic:blipFill>
                  <pic:spPr>
                    <a:xfrm>
                      <a:off x="0" y="0"/>
                      <a:ext cx="3524334" cy="765701"/>
                    </a:xfrm>
                    <a:prstGeom prst="rect">
                      <a:avLst/>
                    </a:prstGeom>
                  </pic:spPr>
                </pic:pic>
              </a:graphicData>
            </a:graphic>
          </wp:inline>
        </w:drawing>
      </w:r>
    </w:p>
    <w:p w14:paraId="4BCC52F1" w14:textId="41918747" w:rsidR="003E0B70" w:rsidRPr="00B11937" w:rsidRDefault="00B32201" w:rsidP="00B11937">
      <w:r w:rsidRPr="00B11937">
        <w:rPr>
          <w:noProof/>
        </w:rPr>
        <w:drawing>
          <wp:anchor distT="0" distB="0" distL="114300" distR="114300" simplePos="0" relativeHeight="251658240" behindDoc="1" locked="0" layoutInCell="1" allowOverlap="1" wp14:anchorId="41B9CE17" wp14:editId="5AAA55B3">
            <wp:simplePos x="0" y="0"/>
            <wp:positionH relativeFrom="page">
              <wp:align>center</wp:align>
            </wp:positionH>
            <wp:positionV relativeFrom="page">
              <wp:align>top</wp:align>
            </wp:positionV>
            <wp:extent cx="7560000" cy="10695600"/>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5CE7F50" w14:textId="7AC08B07" w:rsidR="004F2369" w:rsidRPr="00236A7E" w:rsidRDefault="00806F94" w:rsidP="00233A75">
      <w:pPr>
        <w:pStyle w:val="Title"/>
        <w:rPr>
          <w:rFonts w:ascii="Arial" w:hAnsi="Arial" w:cs="Arial"/>
        </w:rPr>
      </w:pPr>
      <w:sdt>
        <w:sdtPr>
          <w:rPr>
            <w:rFonts w:ascii="Arial" w:hAnsi="Arial" w:cs="Arial"/>
          </w:r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EndPr/>
        <w:sdtContent>
          <w:r w:rsidR="00EA5604" w:rsidRPr="00236A7E">
            <w:rPr>
              <w:rFonts w:ascii="Arial" w:hAnsi="Arial" w:cs="Arial"/>
            </w:rPr>
            <w:t>Skills Shortage Quarterly</w:t>
          </w:r>
        </w:sdtContent>
      </w:sdt>
    </w:p>
    <w:p w14:paraId="3DF70E82" w14:textId="49B4B609" w:rsidR="004F2369" w:rsidRPr="00236A7E" w:rsidRDefault="00C83032" w:rsidP="00233A75">
      <w:pPr>
        <w:pStyle w:val="Subtitle"/>
        <w:rPr>
          <w:rFonts w:ascii="Arial" w:hAnsi="Arial" w:cs="Arial"/>
        </w:rPr>
      </w:pPr>
      <w:r w:rsidRPr="00236A7E">
        <w:rPr>
          <w:rFonts w:ascii="Arial" w:hAnsi="Arial" w:cs="Arial"/>
        </w:rPr>
        <w:t>Dec</w:t>
      </w:r>
      <w:r w:rsidR="00EA5604" w:rsidRPr="00236A7E">
        <w:rPr>
          <w:rFonts w:ascii="Arial" w:hAnsi="Arial" w:cs="Arial"/>
        </w:rPr>
        <w:t xml:space="preserve">ember 2023 </w:t>
      </w:r>
    </w:p>
    <w:p w14:paraId="49F46106" w14:textId="5EE2C44C" w:rsidR="004F2369" w:rsidRPr="00233A75" w:rsidRDefault="00116D0F" w:rsidP="004F2369">
      <w:pPr>
        <w:spacing w:before="460"/>
      </w:pPr>
      <w:r>
        <w:rPr>
          <w:b/>
          <w:bCs/>
          <w:color w:val="FFFFFF" w:themeColor="background1"/>
          <w:spacing w:val="-10"/>
          <w:sz w:val="28"/>
          <w:szCs w:val="28"/>
        </w:rPr>
        <w:t>26</w:t>
      </w:r>
      <w:r w:rsidRPr="004F2369">
        <w:rPr>
          <w:b/>
          <w:bCs/>
          <w:color w:val="FFFFFF" w:themeColor="background1"/>
          <w:spacing w:val="-10"/>
          <w:sz w:val="28"/>
          <w:szCs w:val="28"/>
        </w:rPr>
        <w:t xml:space="preserve"> </w:t>
      </w:r>
      <w:r>
        <w:rPr>
          <w:b/>
          <w:bCs/>
          <w:color w:val="FFFFFF" w:themeColor="background1"/>
          <w:spacing w:val="-10"/>
          <w:sz w:val="28"/>
          <w:szCs w:val="28"/>
        </w:rPr>
        <w:t>February</w:t>
      </w:r>
      <w:r w:rsidRPr="004F2369">
        <w:rPr>
          <w:b/>
          <w:bCs/>
          <w:color w:val="FFFFFF" w:themeColor="background1"/>
          <w:spacing w:val="-10"/>
          <w:sz w:val="28"/>
          <w:szCs w:val="28"/>
        </w:rPr>
        <w:t xml:space="preserve"> 202</w:t>
      </w:r>
      <w:r>
        <w:rPr>
          <w:b/>
          <w:bCs/>
          <w:color w:val="FFFFFF" w:themeColor="background1"/>
          <w:spacing w:val="-10"/>
          <w:sz w:val="28"/>
          <w:szCs w:val="28"/>
        </w:rPr>
        <w:t>4</w:t>
      </w:r>
      <w:r w:rsidR="004F2369" w:rsidRPr="00233A75">
        <w:br w:type="page"/>
      </w:r>
    </w:p>
    <w:p w14:paraId="2C9651D4" w14:textId="77777777" w:rsidR="00B11937" w:rsidRDefault="00B11937" w:rsidP="00E47E48">
      <w:pPr>
        <w:pStyle w:val="TOCHeading"/>
      </w:pPr>
      <w:r>
        <w:lastRenderedPageBreak/>
        <w:t>Contents</w:t>
      </w:r>
    </w:p>
    <w:p w14:paraId="48CB082C" w14:textId="5BD4CC96" w:rsidR="006946C0" w:rsidRDefault="00B11937">
      <w:pPr>
        <w:pStyle w:val="TOC1"/>
        <w:tabs>
          <w:tab w:val="right" w:leader="dot" w:pos="9016"/>
        </w:tabs>
        <w:rPr>
          <w:rFonts w:asciiTheme="minorHAnsi" w:eastAsiaTheme="minorEastAsia" w:hAnsiTheme="minorHAnsi"/>
          <w:b w:val="0"/>
          <w:noProof/>
          <w:color w:val="auto"/>
          <w:kern w:val="2"/>
          <w:lang w:eastAsia="en-AU"/>
          <w14:ligatures w14:val="standardContextual"/>
        </w:rPr>
      </w:pPr>
      <w:r>
        <w:fldChar w:fldCharType="begin"/>
      </w:r>
      <w:r>
        <w:instrText xml:space="preserve"> TOC \o "1-3" \h \z \u </w:instrText>
      </w:r>
      <w:r>
        <w:fldChar w:fldCharType="separate"/>
      </w:r>
      <w:hyperlink w:anchor="_Toc159421582" w:history="1">
        <w:r w:rsidR="006946C0" w:rsidRPr="00D17D54">
          <w:rPr>
            <w:rStyle w:val="Hyperlink"/>
            <w:noProof/>
          </w:rPr>
          <w:t>December quarter 2023 results</w:t>
        </w:r>
        <w:r w:rsidR="006946C0">
          <w:rPr>
            <w:noProof/>
            <w:webHidden/>
          </w:rPr>
          <w:tab/>
        </w:r>
        <w:r w:rsidR="006946C0">
          <w:rPr>
            <w:noProof/>
            <w:webHidden/>
          </w:rPr>
          <w:fldChar w:fldCharType="begin"/>
        </w:r>
        <w:r w:rsidR="006946C0">
          <w:rPr>
            <w:noProof/>
            <w:webHidden/>
          </w:rPr>
          <w:instrText xml:space="preserve"> PAGEREF _Toc159421582 \h </w:instrText>
        </w:r>
        <w:r w:rsidR="006946C0">
          <w:rPr>
            <w:noProof/>
            <w:webHidden/>
          </w:rPr>
        </w:r>
        <w:r w:rsidR="006946C0">
          <w:rPr>
            <w:noProof/>
            <w:webHidden/>
          </w:rPr>
          <w:fldChar w:fldCharType="separate"/>
        </w:r>
        <w:r w:rsidR="00636EF1">
          <w:rPr>
            <w:noProof/>
            <w:webHidden/>
          </w:rPr>
          <w:t>2</w:t>
        </w:r>
        <w:r w:rsidR="006946C0">
          <w:rPr>
            <w:noProof/>
            <w:webHidden/>
          </w:rPr>
          <w:fldChar w:fldCharType="end"/>
        </w:r>
      </w:hyperlink>
    </w:p>
    <w:p w14:paraId="30054E49" w14:textId="0B7B1332" w:rsidR="006946C0" w:rsidRDefault="00806F94">
      <w:pPr>
        <w:pStyle w:val="TOC2"/>
        <w:tabs>
          <w:tab w:val="right" w:leader="dot" w:pos="9016"/>
        </w:tabs>
        <w:rPr>
          <w:rFonts w:asciiTheme="minorHAnsi" w:eastAsiaTheme="minorEastAsia" w:hAnsiTheme="minorHAnsi"/>
          <w:noProof/>
          <w:kern w:val="2"/>
          <w:lang w:eastAsia="en-AU"/>
          <w14:ligatures w14:val="standardContextual"/>
        </w:rPr>
      </w:pPr>
      <w:hyperlink w:anchor="_Toc159421583" w:history="1">
        <w:r w:rsidR="006946C0" w:rsidRPr="00D17D54">
          <w:rPr>
            <w:rStyle w:val="Hyperlink"/>
            <w:noProof/>
          </w:rPr>
          <w:t>Fill rates are gradually rising</w:t>
        </w:r>
        <w:r w:rsidR="006946C0">
          <w:rPr>
            <w:noProof/>
            <w:webHidden/>
          </w:rPr>
          <w:tab/>
        </w:r>
        <w:r w:rsidR="006946C0">
          <w:rPr>
            <w:noProof/>
            <w:webHidden/>
          </w:rPr>
          <w:fldChar w:fldCharType="begin"/>
        </w:r>
        <w:r w:rsidR="006946C0">
          <w:rPr>
            <w:noProof/>
            <w:webHidden/>
          </w:rPr>
          <w:instrText xml:space="preserve"> PAGEREF _Toc159421583 \h </w:instrText>
        </w:r>
        <w:r w:rsidR="006946C0">
          <w:rPr>
            <w:noProof/>
            <w:webHidden/>
          </w:rPr>
        </w:r>
        <w:r w:rsidR="006946C0">
          <w:rPr>
            <w:noProof/>
            <w:webHidden/>
          </w:rPr>
          <w:fldChar w:fldCharType="separate"/>
        </w:r>
        <w:r w:rsidR="00636EF1">
          <w:rPr>
            <w:noProof/>
            <w:webHidden/>
          </w:rPr>
          <w:t>2</w:t>
        </w:r>
        <w:r w:rsidR="006946C0">
          <w:rPr>
            <w:noProof/>
            <w:webHidden/>
          </w:rPr>
          <w:fldChar w:fldCharType="end"/>
        </w:r>
      </w:hyperlink>
    </w:p>
    <w:p w14:paraId="5699193D" w14:textId="7D396AF5" w:rsidR="006946C0" w:rsidRDefault="00806F94">
      <w:pPr>
        <w:pStyle w:val="TOC2"/>
        <w:tabs>
          <w:tab w:val="right" w:leader="dot" w:pos="9016"/>
        </w:tabs>
        <w:rPr>
          <w:rFonts w:asciiTheme="minorHAnsi" w:eastAsiaTheme="minorEastAsia" w:hAnsiTheme="minorHAnsi"/>
          <w:noProof/>
          <w:kern w:val="2"/>
          <w:lang w:eastAsia="en-AU"/>
          <w14:ligatures w14:val="standardContextual"/>
        </w:rPr>
      </w:pPr>
      <w:hyperlink w:anchor="_Toc159421584" w:history="1">
        <w:r w:rsidR="006946C0" w:rsidRPr="00D17D54">
          <w:rPr>
            <w:rStyle w:val="Hyperlink"/>
            <w:noProof/>
          </w:rPr>
          <w:t>The gap between qualified and suitable applicants</w:t>
        </w:r>
        <w:r w:rsidR="006946C0">
          <w:rPr>
            <w:noProof/>
            <w:webHidden/>
          </w:rPr>
          <w:tab/>
        </w:r>
        <w:r w:rsidR="006946C0">
          <w:rPr>
            <w:noProof/>
            <w:webHidden/>
          </w:rPr>
          <w:fldChar w:fldCharType="begin"/>
        </w:r>
        <w:r w:rsidR="006946C0">
          <w:rPr>
            <w:noProof/>
            <w:webHidden/>
          </w:rPr>
          <w:instrText xml:space="preserve"> PAGEREF _Toc159421584 \h </w:instrText>
        </w:r>
        <w:r w:rsidR="006946C0">
          <w:rPr>
            <w:noProof/>
            <w:webHidden/>
          </w:rPr>
        </w:r>
        <w:r w:rsidR="006946C0">
          <w:rPr>
            <w:noProof/>
            <w:webHidden/>
          </w:rPr>
          <w:fldChar w:fldCharType="separate"/>
        </w:r>
        <w:r w:rsidR="00636EF1">
          <w:rPr>
            <w:noProof/>
            <w:webHidden/>
          </w:rPr>
          <w:t>4</w:t>
        </w:r>
        <w:r w:rsidR="006946C0">
          <w:rPr>
            <w:noProof/>
            <w:webHidden/>
          </w:rPr>
          <w:fldChar w:fldCharType="end"/>
        </w:r>
      </w:hyperlink>
    </w:p>
    <w:p w14:paraId="4A6A2761" w14:textId="250CA163" w:rsidR="006946C0" w:rsidRDefault="00806F94">
      <w:pPr>
        <w:pStyle w:val="TOC3"/>
        <w:rPr>
          <w:rFonts w:asciiTheme="minorHAnsi" w:eastAsiaTheme="minorEastAsia" w:hAnsiTheme="minorHAnsi"/>
          <w:noProof/>
          <w:kern w:val="2"/>
          <w:lang w:eastAsia="en-AU"/>
          <w14:ligatures w14:val="standardContextual"/>
        </w:rPr>
      </w:pPr>
      <w:hyperlink w:anchor="_Toc159421585" w:history="1">
        <w:r w:rsidR="006946C0" w:rsidRPr="00D17D54">
          <w:rPr>
            <w:rStyle w:val="Hyperlink"/>
            <w:noProof/>
          </w:rPr>
          <w:t>State and territory</w:t>
        </w:r>
        <w:r w:rsidR="006946C0">
          <w:rPr>
            <w:noProof/>
            <w:webHidden/>
          </w:rPr>
          <w:tab/>
        </w:r>
        <w:r w:rsidR="006946C0">
          <w:rPr>
            <w:noProof/>
            <w:webHidden/>
          </w:rPr>
          <w:fldChar w:fldCharType="begin"/>
        </w:r>
        <w:r w:rsidR="006946C0">
          <w:rPr>
            <w:noProof/>
            <w:webHidden/>
          </w:rPr>
          <w:instrText xml:space="preserve"> PAGEREF _Toc159421585 \h </w:instrText>
        </w:r>
        <w:r w:rsidR="006946C0">
          <w:rPr>
            <w:noProof/>
            <w:webHidden/>
          </w:rPr>
        </w:r>
        <w:r w:rsidR="006946C0">
          <w:rPr>
            <w:noProof/>
            <w:webHidden/>
          </w:rPr>
          <w:fldChar w:fldCharType="separate"/>
        </w:r>
        <w:r w:rsidR="00636EF1">
          <w:rPr>
            <w:noProof/>
            <w:webHidden/>
          </w:rPr>
          <w:t>4</w:t>
        </w:r>
        <w:r w:rsidR="006946C0">
          <w:rPr>
            <w:noProof/>
            <w:webHidden/>
          </w:rPr>
          <w:fldChar w:fldCharType="end"/>
        </w:r>
      </w:hyperlink>
    </w:p>
    <w:p w14:paraId="6575957E" w14:textId="165DEAA5" w:rsidR="006946C0" w:rsidRDefault="00806F94">
      <w:pPr>
        <w:pStyle w:val="TOC3"/>
        <w:rPr>
          <w:rFonts w:asciiTheme="minorHAnsi" w:eastAsiaTheme="minorEastAsia" w:hAnsiTheme="minorHAnsi"/>
          <w:noProof/>
          <w:kern w:val="2"/>
          <w:lang w:eastAsia="en-AU"/>
          <w14:ligatures w14:val="standardContextual"/>
        </w:rPr>
      </w:pPr>
      <w:hyperlink w:anchor="_Toc159421586" w:history="1">
        <w:r w:rsidR="006946C0" w:rsidRPr="00D17D54">
          <w:rPr>
            <w:rStyle w:val="Hyperlink"/>
            <w:noProof/>
          </w:rPr>
          <w:t>Skill Level</w:t>
        </w:r>
        <w:r w:rsidR="006946C0">
          <w:rPr>
            <w:noProof/>
            <w:webHidden/>
          </w:rPr>
          <w:tab/>
        </w:r>
        <w:r w:rsidR="006946C0">
          <w:rPr>
            <w:noProof/>
            <w:webHidden/>
          </w:rPr>
          <w:fldChar w:fldCharType="begin"/>
        </w:r>
        <w:r w:rsidR="006946C0">
          <w:rPr>
            <w:noProof/>
            <w:webHidden/>
          </w:rPr>
          <w:instrText xml:space="preserve"> PAGEREF _Toc159421586 \h </w:instrText>
        </w:r>
        <w:r w:rsidR="006946C0">
          <w:rPr>
            <w:noProof/>
            <w:webHidden/>
          </w:rPr>
        </w:r>
        <w:r w:rsidR="006946C0">
          <w:rPr>
            <w:noProof/>
            <w:webHidden/>
          </w:rPr>
          <w:fldChar w:fldCharType="separate"/>
        </w:r>
        <w:r w:rsidR="00636EF1">
          <w:rPr>
            <w:noProof/>
            <w:webHidden/>
          </w:rPr>
          <w:t>4</w:t>
        </w:r>
        <w:r w:rsidR="006946C0">
          <w:rPr>
            <w:noProof/>
            <w:webHidden/>
          </w:rPr>
          <w:fldChar w:fldCharType="end"/>
        </w:r>
      </w:hyperlink>
    </w:p>
    <w:p w14:paraId="6AF4FA22" w14:textId="017EEC41" w:rsidR="006946C0" w:rsidRDefault="00806F94">
      <w:pPr>
        <w:pStyle w:val="TOC3"/>
        <w:rPr>
          <w:rFonts w:asciiTheme="minorHAnsi" w:eastAsiaTheme="minorEastAsia" w:hAnsiTheme="minorHAnsi"/>
          <w:noProof/>
          <w:kern w:val="2"/>
          <w:lang w:eastAsia="en-AU"/>
          <w14:ligatures w14:val="standardContextual"/>
        </w:rPr>
      </w:pPr>
      <w:hyperlink w:anchor="_Toc159421587" w:history="1">
        <w:r w:rsidR="006946C0" w:rsidRPr="00D17D54">
          <w:rPr>
            <w:rStyle w:val="Hyperlink"/>
            <w:noProof/>
          </w:rPr>
          <w:t>Regions</w:t>
        </w:r>
        <w:r w:rsidR="006946C0">
          <w:rPr>
            <w:noProof/>
            <w:webHidden/>
          </w:rPr>
          <w:tab/>
        </w:r>
        <w:r w:rsidR="006946C0">
          <w:rPr>
            <w:noProof/>
            <w:webHidden/>
          </w:rPr>
          <w:fldChar w:fldCharType="begin"/>
        </w:r>
        <w:r w:rsidR="006946C0">
          <w:rPr>
            <w:noProof/>
            <w:webHidden/>
          </w:rPr>
          <w:instrText xml:space="preserve"> PAGEREF _Toc159421587 \h </w:instrText>
        </w:r>
        <w:r w:rsidR="006946C0">
          <w:rPr>
            <w:noProof/>
            <w:webHidden/>
          </w:rPr>
        </w:r>
        <w:r w:rsidR="006946C0">
          <w:rPr>
            <w:noProof/>
            <w:webHidden/>
          </w:rPr>
          <w:fldChar w:fldCharType="separate"/>
        </w:r>
        <w:r w:rsidR="00636EF1">
          <w:rPr>
            <w:noProof/>
            <w:webHidden/>
          </w:rPr>
          <w:t>4</w:t>
        </w:r>
        <w:r w:rsidR="006946C0">
          <w:rPr>
            <w:noProof/>
            <w:webHidden/>
          </w:rPr>
          <w:fldChar w:fldCharType="end"/>
        </w:r>
      </w:hyperlink>
    </w:p>
    <w:p w14:paraId="532CD1C0" w14:textId="3B6222B8" w:rsidR="006946C0" w:rsidRDefault="00806F94">
      <w:pPr>
        <w:pStyle w:val="TOC2"/>
        <w:tabs>
          <w:tab w:val="right" w:leader="dot" w:pos="9016"/>
        </w:tabs>
        <w:rPr>
          <w:rFonts w:asciiTheme="minorHAnsi" w:eastAsiaTheme="minorEastAsia" w:hAnsiTheme="minorHAnsi"/>
          <w:noProof/>
          <w:kern w:val="2"/>
          <w:lang w:eastAsia="en-AU"/>
          <w14:ligatures w14:val="standardContextual"/>
        </w:rPr>
      </w:pPr>
      <w:hyperlink w:anchor="_Toc159421588" w:history="1">
        <w:r w:rsidR="006946C0" w:rsidRPr="00D17D54">
          <w:rPr>
            <w:rStyle w:val="Hyperlink"/>
            <w:noProof/>
          </w:rPr>
          <w:t>Professionals snapshot</w:t>
        </w:r>
        <w:r w:rsidR="006946C0">
          <w:rPr>
            <w:noProof/>
            <w:webHidden/>
          </w:rPr>
          <w:tab/>
        </w:r>
        <w:r w:rsidR="006946C0">
          <w:rPr>
            <w:noProof/>
            <w:webHidden/>
          </w:rPr>
          <w:fldChar w:fldCharType="begin"/>
        </w:r>
        <w:r w:rsidR="006946C0">
          <w:rPr>
            <w:noProof/>
            <w:webHidden/>
          </w:rPr>
          <w:instrText xml:space="preserve"> PAGEREF _Toc159421588 \h </w:instrText>
        </w:r>
        <w:r w:rsidR="006946C0">
          <w:rPr>
            <w:noProof/>
            <w:webHidden/>
          </w:rPr>
        </w:r>
        <w:r w:rsidR="006946C0">
          <w:rPr>
            <w:noProof/>
            <w:webHidden/>
          </w:rPr>
          <w:fldChar w:fldCharType="separate"/>
        </w:r>
        <w:r w:rsidR="00636EF1">
          <w:rPr>
            <w:noProof/>
            <w:webHidden/>
          </w:rPr>
          <w:t>5</w:t>
        </w:r>
        <w:r w:rsidR="006946C0">
          <w:rPr>
            <w:noProof/>
            <w:webHidden/>
          </w:rPr>
          <w:fldChar w:fldCharType="end"/>
        </w:r>
      </w:hyperlink>
    </w:p>
    <w:p w14:paraId="7977A610" w14:textId="6A1BF836" w:rsidR="006946C0" w:rsidRDefault="00806F94">
      <w:pPr>
        <w:pStyle w:val="TOC3"/>
        <w:rPr>
          <w:rFonts w:asciiTheme="minorHAnsi" w:eastAsiaTheme="minorEastAsia" w:hAnsiTheme="minorHAnsi"/>
          <w:noProof/>
          <w:kern w:val="2"/>
          <w:lang w:eastAsia="en-AU"/>
          <w14:ligatures w14:val="standardContextual"/>
        </w:rPr>
      </w:pPr>
      <w:hyperlink w:anchor="_Toc159421589" w:history="1">
        <w:r w:rsidR="006946C0" w:rsidRPr="00D17D54">
          <w:rPr>
            <w:rStyle w:val="Hyperlink"/>
            <w:noProof/>
          </w:rPr>
          <w:t>Regions</w:t>
        </w:r>
        <w:r w:rsidR="006946C0">
          <w:rPr>
            <w:noProof/>
            <w:webHidden/>
          </w:rPr>
          <w:tab/>
        </w:r>
        <w:r w:rsidR="006946C0">
          <w:rPr>
            <w:noProof/>
            <w:webHidden/>
          </w:rPr>
          <w:fldChar w:fldCharType="begin"/>
        </w:r>
        <w:r w:rsidR="006946C0">
          <w:rPr>
            <w:noProof/>
            <w:webHidden/>
          </w:rPr>
          <w:instrText xml:space="preserve"> PAGEREF _Toc159421589 \h </w:instrText>
        </w:r>
        <w:r w:rsidR="006946C0">
          <w:rPr>
            <w:noProof/>
            <w:webHidden/>
          </w:rPr>
        </w:r>
        <w:r w:rsidR="006946C0">
          <w:rPr>
            <w:noProof/>
            <w:webHidden/>
          </w:rPr>
          <w:fldChar w:fldCharType="separate"/>
        </w:r>
        <w:r w:rsidR="00636EF1">
          <w:rPr>
            <w:noProof/>
            <w:webHidden/>
          </w:rPr>
          <w:t>5</w:t>
        </w:r>
        <w:r w:rsidR="006946C0">
          <w:rPr>
            <w:noProof/>
            <w:webHidden/>
          </w:rPr>
          <w:fldChar w:fldCharType="end"/>
        </w:r>
      </w:hyperlink>
    </w:p>
    <w:p w14:paraId="7E2AA28E" w14:textId="0C4B56A5" w:rsidR="006946C0" w:rsidRDefault="00806F94">
      <w:pPr>
        <w:pStyle w:val="TOC3"/>
        <w:rPr>
          <w:rFonts w:asciiTheme="minorHAnsi" w:eastAsiaTheme="minorEastAsia" w:hAnsiTheme="minorHAnsi"/>
          <w:noProof/>
          <w:kern w:val="2"/>
          <w:lang w:eastAsia="en-AU"/>
          <w14:ligatures w14:val="standardContextual"/>
        </w:rPr>
      </w:pPr>
      <w:hyperlink w:anchor="_Toc159421590" w:history="1">
        <w:r w:rsidR="006946C0" w:rsidRPr="00D17D54">
          <w:rPr>
            <w:rStyle w:val="Hyperlink"/>
            <w:noProof/>
          </w:rPr>
          <w:t>Sub–major occupation groups</w:t>
        </w:r>
        <w:r w:rsidR="006946C0">
          <w:rPr>
            <w:noProof/>
            <w:webHidden/>
          </w:rPr>
          <w:tab/>
        </w:r>
        <w:r w:rsidR="006946C0">
          <w:rPr>
            <w:noProof/>
            <w:webHidden/>
          </w:rPr>
          <w:fldChar w:fldCharType="begin"/>
        </w:r>
        <w:r w:rsidR="006946C0">
          <w:rPr>
            <w:noProof/>
            <w:webHidden/>
          </w:rPr>
          <w:instrText xml:space="preserve"> PAGEREF _Toc159421590 \h </w:instrText>
        </w:r>
        <w:r w:rsidR="006946C0">
          <w:rPr>
            <w:noProof/>
            <w:webHidden/>
          </w:rPr>
        </w:r>
        <w:r w:rsidR="006946C0">
          <w:rPr>
            <w:noProof/>
            <w:webHidden/>
          </w:rPr>
          <w:fldChar w:fldCharType="separate"/>
        </w:r>
        <w:r w:rsidR="00636EF1">
          <w:rPr>
            <w:noProof/>
            <w:webHidden/>
          </w:rPr>
          <w:t>5</w:t>
        </w:r>
        <w:r w:rsidR="006946C0">
          <w:rPr>
            <w:noProof/>
            <w:webHidden/>
          </w:rPr>
          <w:fldChar w:fldCharType="end"/>
        </w:r>
      </w:hyperlink>
    </w:p>
    <w:p w14:paraId="44AB0D68" w14:textId="74F28044" w:rsidR="006946C0" w:rsidRDefault="00806F94">
      <w:pPr>
        <w:pStyle w:val="TOC2"/>
        <w:tabs>
          <w:tab w:val="right" w:leader="dot" w:pos="9016"/>
        </w:tabs>
        <w:rPr>
          <w:rFonts w:asciiTheme="minorHAnsi" w:eastAsiaTheme="minorEastAsia" w:hAnsiTheme="minorHAnsi"/>
          <w:noProof/>
          <w:kern w:val="2"/>
          <w:lang w:eastAsia="en-AU"/>
          <w14:ligatures w14:val="standardContextual"/>
        </w:rPr>
      </w:pPr>
      <w:hyperlink w:anchor="_Toc159421591" w:history="1">
        <w:r w:rsidR="006946C0" w:rsidRPr="00D17D54">
          <w:rPr>
            <w:rStyle w:val="Hyperlink"/>
            <w:noProof/>
          </w:rPr>
          <w:t>Technicians and Trades Workers snapshot</w:t>
        </w:r>
        <w:r w:rsidR="006946C0">
          <w:rPr>
            <w:noProof/>
            <w:webHidden/>
          </w:rPr>
          <w:tab/>
        </w:r>
        <w:r w:rsidR="006946C0">
          <w:rPr>
            <w:noProof/>
            <w:webHidden/>
          </w:rPr>
          <w:fldChar w:fldCharType="begin"/>
        </w:r>
        <w:r w:rsidR="006946C0">
          <w:rPr>
            <w:noProof/>
            <w:webHidden/>
          </w:rPr>
          <w:instrText xml:space="preserve"> PAGEREF _Toc159421591 \h </w:instrText>
        </w:r>
        <w:r w:rsidR="006946C0">
          <w:rPr>
            <w:noProof/>
            <w:webHidden/>
          </w:rPr>
        </w:r>
        <w:r w:rsidR="006946C0">
          <w:rPr>
            <w:noProof/>
            <w:webHidden/>
          </w:rPr>
          <w:fldChar w:fldCharType="separate"/>
        </w:r>
        <w:r w:rsidR="00636EF1">
          <w:rPr>
            <w:noProof/>
            <w:webHidden/>
          </w:rPr>
          <w:t>6</w:t>
        </w:r>
        <w:r w:rsidR="006946C0">
          <w:rPr>
            <w:noProof/>
            <w:webHidden/>
          </w:rPr>
          <w:fldChar w:fldCharType="end"/>
        </w:r>
      </w:hyperlink>
    </w:p>
    <w:p w14:paraId="712E374E" w14:textId="3C2FE239" w:rsidR="006946C0" w:rsidRDefault="00806F94">
      <w:pPr>
        <w:pStyle w:val="TOC3"/>
        <w:rPr>
          <w:rFonts w:asciiTheme="minorHAnsi" w:eastAsiaTheme="minorEastAsia" w:hAnsiTheme="minorHAnsi"/>
          <w:noProof/>
          <w:kern w:val="2"/>
          <w:lang w:eastAsia="en-AU"/>
          <w14:ligatures w14:val="standardContextual"/>
        </w:rPr>
      </w:pPr>
      <w:hyperlink w:anchor="_Toc159421592" w:history="1">
        <w:r w:rsidR="006946C0" w:rsidRPr="00D17D54">
          <w:rPr>
            <w:rStyle w:val="Hyperlink"/>
            <w:noProof/>
          </w:rPr>
          <w:t>Regions</w:t>
        </w:r>
        <w:r w:rsidR="006946C0">
          <w:rPr>
            <w:noProof/>
            <w:webHidden/>
          </w:rPr>
          <w:tab/>
        </w:r>
        <w:r w:rsidR="006946C0">
          <w:rPr>
            <w:noProof/>
            <w:webHidden/>
          </w:rPr>
          <w:fldChar w:fldCharType="begin"/>
        </w:r>
        <w:r w:rsidR="006946C0">
          <w:rPr>
            <w:noProof/>
            <w:webHidden/>
          </w:rPr>
          <w:instrText xml:space="preserve"> PAGEREF _Toc159421592 \h </w:instrText>
        </w:r>
        <w:r w:rsidR="006946C0">
          <w:rPr>
            <w:noProof/>
            <w:webHidden/>
          </w:rPr>
        </w:r>
        <w:r w:rsidR="006946C0">
          <w:rPr>
            <w:noProof/>
            <w:webHidden/>
          </w:rPr>
          <w:fldChar w:fldCharType="separate"/>
        </w:r>
        <w:r w:rsidR="00636EF1">
          <w:rPr>
            <w:noProof/>
            <w:webHidden/>
          </w:rPr>
          <w:t>7</w:t>
        </w:r>
        <w:r w:rsidR="006946C0">
          <w:rPr>
            <w:noProof/>
            <w:webHidden/>
          </w:rPr>
          <w:fldChar w:fldCharType="end"/>
        </w:r>
      </w:hyperlink>
    </w:p>
    <w:p w14:paraId="150C9417" w14:textId="55D30DD1" w:rsidR="006946C0" w:rsidRDefault="00806F94">
      <w:pPr>
        <w:pStyle w:val="TOC3"/>
        <w:rPr>
          <w:rFonts w:asciiTheme="minorHAnsi" w:eastAsiaTheme="minorEastAsia" w:hAnsiTheme="minorHAnsi"/>
          <w:noProof/>
          <w:kern w:val="2"/>
          <w:lang w:eastAsia="en-AU"/>
          <w14:ligatures w14:val="standardContextual"/>
        </w:rPr>
      </w:pPr>
      <w:hyperlink w:anchor="_Toc159421593" w:history="1">
        <w:r w:rsidR="006946C0" w:rsidRPr="00D17D54">
          <w:rPr>
            <w:rStyle w:val="Hyperlink"/>
            <w:noProof/>
          </w:rPr>
          <w:t>Sub-major occupation groups</w:t>
        </w:r>
        <w:r w:rsidR="006946C0">
          <w:rPr>
            <w:noProof/>
            <w:webHidden/>
          </w:rPr>
          <w:tab/>
        </w:r>
        <w:r w:rsidR="006946C0">
          <w:rPr>
            <w:noProof/>
            <w:webHidden/>
          </w:rPr>
          <w:fldChar w:fldCharType="begin"/>
        </w:r>
        <w:r w:rsidR="006946C0">
          <w:rPr>
            <w:noProof/>
            <w:webHidden/>
          </w:rPr>
          <w:instrText xml:space="preserve"> PAGEREF _Toc159421593 \h </w:instrText>
        </w:r>
        <w:r w:rsidR="006946C0">
          <w:rPr>
            <w:noProof/>
            <w:webHidden/>
          </w:rPr>
        </w:r>
        <w:r w:rsidR="006946C0">
          <w:rPr>
            <w:noProof/>
            <w:webHidden/>
          </w:rPr>
          <w:fldChar w:fldCharType="separate"/>
        </w:r>
        <w:r w:rsidR="00636EF1">
          <w:rPr>
            <w:noProof/>
            <w:webHidden/>
          </w:rPr>
          <w:t>7</w:t>
        </w:r>
        <w:r w:rsidR="006946C0">
          <w:rPr>
            <w:noProof/>
            <w:webHidden/>
          </w:rPr>
          <w:fldChar w:fldCharType="end"/>
        </w:r>
      </w:hyperlink>
    </w:p>
    <w:p w14:paraId="1E99E770" w14:textId="72A8F98C" w:rsidR="006946C0" w:rsidRDefault="00806F94">
      <w:pPr>
        <w:pStyle w:val="TOC2"/>
        <w:tabs>
          <w:tab w:val="right" w:leader="dot" w:pos="9016"/>
        </w:tabs>
        <w:rPr>
          <w:rFonts w:asciiTheme="minorHAnsi" w:eastAsiaTheme="minorEastAsia" w:hAnsiTheme="minorHAnsi"/>
          <w:noProof/>
          <w:kern w:val="2"/>
          <w:lang w:eastAsia="en-AU"/>
          <w14:ligatures w14:val="standardContextual"/>
        </w:rPr>
      </w:pPr>
      <w:hyperlink w:anchor="_Toc159421594" w:history="1">
        <w:r w:rsidR="006946C0" w:rsidRPr="00D17D54">
          <w:rPr>
            <w:rStyle w:val="Hyperlink"/>
            <w:noProof/>
          </w:rPr>
          <w:t>Community and Personal Service Workers snapshot</w:t>
        </w:r>
        <w:r w:rsidR="006946C0">
          <w:rPr>
            <w:noProof/>
            <w:webHidden/>
          </w:rPr>
          <w:tab/>
        </w:r>
        <w:r w:rsidR="006946C0">
          <w:rPr>
            <w:noProof/>
            <w:webHidden/>
          </w:rPr>
          <w:fldChar w:fldCharType="begin"/>
        </w:r>
        <w:r w:rsidR="006946C0">
          <w:rPr>
            <w:noProof/>
            <w:webHidden/>
          </w:rPr>
          <w:instrText xml:space="preserve"> PAGEREF _Toc159421594 \h </w:instrText>
        </w:r>
        <w:r w:rsidR="006946C0">
          <w:rPr>
            <w:noProof/>
            <w:webHidden/>
          </w:rPr>
        </w:r>
        <w:r w:rsidR="006946C0">
          <w:rPr>
            <w:noProof/>
            <w:webHidden/>
          </w:rPr>
          <w:fldChar w:fldCharType="separate"/>
        </w:r>
        <w:r w:rsidR="00636EF1">
          <w:rPr>
            <w:noProof/>
            <w:webHidden/>
          </w:rPr>
          <w:t>8</w:t>
        </w:r>
        <w:r w:rsidR="006946C0">
          <w:rPr>
            <w:noProof/>
            <w:webHidden/>
          </w:rPr>
          <w:fldChar w:fldCharType="end"/>
        </w:r>
      </w:hyperlink>
    </w:p>
    <w:p w14:paraId="11506631" w14:textId="0F2CC75C" w:rsidR="006946C0" w:rsidRDefault="00806F94">
      <w:pPr>
        <w:pStyle w:val="TOC3"/>
        <w:rPr>
          <w:rFonts w:asciiTheme="minorHAnsi" w:eastAsiaTheme="minorEastAsia" w:hAnsiTheme="minorHAnsi"/>
          <w:noProof/>
          <w:kern w:val="2"/>
          <w:lang w:eastAsia="en-AU"/>
          <w14:ligatures w14:val="standardContextual"/>
        </w:rPr>
      </w:pPr>
      <w:hyperlink w:anchor="_Toc159421595" w:history="1">
        <w:r w:rsidR="006946C0" w:rsidRPr="00D17D54">
          <w:rPr>
            <w:rStyle w:val="Hyperlink"/>
            <w:noProof/>
          </w:rPr>
          <w:t>Regions</w:t>
        </w:r>
        <w:r w:rsidR="006946C0">
          <w:rPr>
            <w:noProof/>
            <w:webHidden/>
          </w:rPr>
          <w:tab/>
        </w:r>
        <w:r w:rsidR="006946C0">
          <w:rPr>
            <w:noProof/>
            <w:webHidden/>
          </w:rPr>
          <w:fldChar w:fldCharType="begin"/>
        </w:r>
        <w:r w:rsidR="006946C0">
          <w:rPr>
            <w:noProof/>
            <w:webHidden/>
          </w:rPr>
          <w:instrText xml:space="preserve"> PAGEREF _Toc159421595 \h </w:instrText>
        </w:r>
        <w:r w:rsidR="006946C0">
          <w:rPr>
            <w:noProof/>
            <w:webHidden/>
          </w:rPr>
        </w:r>
        <w:r w:rsidR="006946C0">
          <w:rPr>
            <w:noProof/>
            <w:webHidden/>
          </w:rPr>
          <w:fldChar w:fldCharType="separate"/>
        </w:r>
        <w:r w:rsidR="00636EF1">
          <w:rPr>
            <w:noProof/>
            <w:webHidden/>
          </w:rPr>
          <w:t>8</w:t>
        </w:r>
        <w:r w:rsidR="006946C0">
          <w:rPr>
            <w:noProof/>
            <w:webHidden/>
          </w:rPr>
          <w:fldChar w:fldCharType="end"/>
        </w:r>
      </w:hyperlink>
    </w:p>
    <w:p w14:paraId="546D299C" w14:textId="539A3C1D" w:rsidR="006946C0" w:rsidRDefault="00806F94">
      <w:pPr>
        <w:pStyle w:val="TOC3"/>
        <w:rPr>
          <w:rFonts w:asciiTheme="minorHAnsi" w:eastAsiaTheme="minorEastAsia" w:hAnsiTheme="minorHAnsi"/>
          <w:noProof/>
          <w:kern w:val="2"/>
          <w:lang w:eastAsia="en-AU"/>
          <w14:ligatures w14:val="standardContextual"/>
        </w:rPr>
      </w:pPr>
      <w:hyperlink w:anchor="_Toc159421596" w:history="1">
        <w:r w:rsidR="006946C0" w:rsidRPr="00D17D54">
          <w:rPr>
            <w:rStyle w:val="Hyperlink"/>
            <w:noProof/>
          </w:rPr>
          <w:t>Sub-major occupation groups</w:t>
        </w:r>
        <w:r w:rsidR="006946C0">
          <w:rPr>
            <w:noProof/>
            <w:webHidden/>
          </w:rPr>
          <w:tab/>
        </w:r>
        <w:r w:rsidR="006946C0">
          <w:rPr>
            <w:noProof/>
            <w:webHidden/>
          </w:rPr>
          <w:fldChar w:fldCharType="begin"/>
        </w:r>
        <w:r w:rsidR="006946C0">
          <w:rPr>
            <w:noProof/>
            <w:webHidden/>
          </w:rPr>
          <w:instrText xml:space="preserve"> PAGEREF _Toc159421596 \h </w:instrText>
        </w:r>
        <w:r w:rsidR="006946C0">
          <w:rPr>
            <w:noProof/>
            <w:webHidden/>
          </w:rPr>
        </w:r>
        <w:r w:rsidR="006946C0">
          <w:rPr>
            <w:noProof/>
            <w:webHidden/>
          </w:rPr>
          <w:fldChar w:fldCharType="separate"/>
        </w:r>
        <w:r w:rsidR="00636EF1">
          <w:rPr>
            <w:noProof/>
            <w:webHidden/>
          </w:rPr>
          <w:t>8</w:t>
        </w:r>
        <w:r w:rsidR="006946C0">
          <w:rPr>
            <w:noProof/>
            <w:webHidden/>
          </w:rPr>
          <w:fldChar w:fldCharType="end"/>
        </w:r>
      </w:hyperlink>
    </w:p>
    <w:p w14:paraId="7AE22E45" w14:textId="4747B6B9" w:rsidR="006946C0" w:rsidRDefault="00806F94">
      <w:pPr>
        <w:pStyle w:val="TOC1"/>
        <w:tabs>
          <w:tab w:val="right" w:leader="dot" w:pos="9016"/>
        </w:tabs>
        <w:rPr>
          <w:rFonts w:asciiTheme="minorHAnsi" w:eastAsiaTheme="minorEastAsia" w:hAnsiTheme="minorHAnsi"/>
          <w:b w:val="0"/>
          <w:noProof/>
          <w:color w:val="auto"/>
          <w:kern w:val="2"/>
          <w:lang w:eastAsia="en-AU"/>
          <w14:ligatures w14:val="standardContextual"/>
        </w:rPr>
      </w:pPr>
      <w:hyperlink w:anchor="_Toc159421597" w:history="1">
        <w:r w:rsidR="006946C0" w:rsidRPr="00D17D54">
          <w:rPr>
            <w:rStyle w:val="Hyperlink"/>
            <w:noProof/>
          </w:rPr>
          <w:t>Spotlight piece: skill shortage 101</w:t>
        </w:r>
        <w:r w:rsidR="006946C0">
          <w:rPr>
            <w:noProof/>
            <w:webHidden/>
          </w:rPr>
          <w:tab/>
        </w:r>
        <w:r w:rsidR="006946C0">
          <w:rPr>
            <w:noProof/>
            <w:webHidden/>
          </w:rPr>
          <w:fldChar w:fldCharType="begin"/>
        </w:r>
        <w:r w:rsidR="006946C0">
          <w:rPr>
            <w:noProof/>
            <w:webHidden/>
          </w:rPr>
          <w:instrText xml:space="preserve"> PAGEREF _Toc159421597 \h </w:instrText>
        </w:r>
        <w:r w:rsidR="006946C0">
          <w:rPr>
            <w:noProof/>
            <w:webHidden/>
          </w:rPr>
        </w:r>
        <w:r w:rsidR="006946C0">
          <w:rPr>
            <w:noProof/>
            <w:webHidden/>
          </w:rPr>
          <w:fldChar w:fldCharType="separate"/>
        </w:r>
        <w:r w:rsidR="00636EF1">
          <w:rPr>
            <w:noProof/>
            <w:webHidden/>
          </w:rPr>
          <w:t>10</w:t>
        </w:r>
        <w:r w:rsidR="006946C0">
          <w:rPr>
            <w:noProof/>
            <w:webHidden/>
          </w:rPr>
          <w:fldChar w:fldCharType="end"/>
        </w:r>
      </w:hyperlink>
    </w:p>
    <w:p w14:paraId="5215FCC9" w14:textId="329FFBA5" w:rsidR="006946C0" w:rsidRDefault="00806F94">
      <w:pPr>
        <w:pStyle w:val="TOC3"/>
        <w:rPr>
          <w:rFonts w:asciiTheme="minorHAnsi" w:eastAsiaTheme="minorEastAsia" w:hAnsiTheme="minorHAnsi"/>
          <w:noProof/>
          <w:kern w:val="2"/>
          <w:lang w:eastAsia="en-AU"/>
          <w14:ligatures w14:val="standardContextual"/>
        </w:rPr>
      </w:pPr>
      <w:hyperlink w:anchor="_Toc159421598" w:history="1">
        <w:r w:rsidR="006946C0" w:rsidRPr="00D17D54">
          <w:rPr>
            <w:rStyle w:val="Hyperlink"/>
            <w:noProof/>
          </w:rPr>
          <w:t>Defining skill shortages</w:t>
        </w:r>
        <w:r w:rsidR="006946C0">
          <w:rPr>
            <w:noProof/>
            <w:webHidden/>
          </w:rPr>
          <w:tab/>
        </w:r>
        <w:r w:rsidR="006946C0">
          <w:rPr>
            <w:noProof/>
            <w:webHidden/>
          </w:rPr>
          <w:fldChar w:fldCharType="begin"/>
        </w:r>
        <w:r w:rsidR="006946C0">
          <w:rPr>
            <w:noProof/>
            <w:webHidden/>
          </w:rPr>
          <w:instrText xml:space="preserve"> PAGEREF _Toc159421598 \h </w:instrText>
        </w:r>
        <w:r w:rsidR="006946C0">
          <w:rPr>
            <w:noProof/>
            <w:webHidden/>
          </w:rPr>
        </w:r>
        <w:r w:rsidR="006946C0">
          <w:rPr>
            <w:noProof/>
            <w:webHidden/>
          </w:rPr>
          <w:fldChar w:fldCharType="separate"/>
        </w:r>
        <w:r w:rsidR="00636EF1">
          <w:rPr>
            <w:noProof/>
            <w:webHidden/>
          </w:rPr>
          <w:t>10</w:t>
        </w:r>
        <w:r w:rsidR="006946C0">
          <w:rPr>
            <w:noProof/>
            <w:webHidden/>
          </w:rPr>
          <w:fldChar w:fldCharType="end"/>
        </w:r>
      </w:hyperlink>
    </w:p>
    <w:p w14:paraId="308F7E44" w14:textId="27FC58F7" w:rsidR="006946C0" w:rsidRDefault="00806F94">
      <w:pPr>
        <w:pStyle w:val="TOC3"/>
        <w:rPr>
          <w:rFonts w:asciiTheme="minorHAnsi" w:eastAsiaTheme="minorEastAsia" w:hAnsiTheme="minorHAnsi"/>
          <w:noProof/>
          <w:kern w:val="2"/>
          <w:lang w:eastAsia="en-AU"/>
          <w14:ligatures w14:val="standardContextual"/>
        </w:rPr>
      </w:pPr>
      <w:hyperlink w:anchor="_Toc159421599" w:history="1">
        <w:r w:rsidR="006946C0" w:rsidRPr="00D17D54">
          <w:rPr>
            <w:rStyle w:val="Hyperlink"/>
            <w:noProof/>
          </w:rPr>
          <w:t>Causes and consequences</w:t>
        </w:r>
        <w:r w:rsidR="006946C0">
          <w:rPr>
            <w:noProof/>
            <w:webHidden/>
          </w:rPr>
          <w:tab/>
        </w:r>
        <w:r w:rsidR="006946C0">
          <w:rPr>
            <w:noProof/>
            <w:webHidden/>
          </w:rPr>
          <w:fldChar w:fldCharType="begin"/>
        </w:r>
        <w:r w:rsidR="006946C0">
          <w:rPr>
            <w:noProof/>
            <w:webHidden/>
          </w:rPr>
          <w:instrText xml:space="preserve"> PAGEREF _Toc159421599 \h </w:instrText>
        </w:r>
        <w:r w:rsidR="006946C0">
          <w:rPr>
            <w:noProof/>
            <w:webHidden/>
          </w:rPr>
        </w:r>
        <w:r w:rsidR="006946C0">
          <w:rPr>
            <w:noProof/>
            <w:webHidden/>
          </w:rPr>
          <w:fldChar w:fldCharType="separate"/>
        </w:r>
        <w:r w:rsidR="00636EF1">
          <w:rPr>
            <w:noProof/>
            <w:webHidden/>
          </w:rPr>
          <w:t>10</w:t>
        </w:r>
        <w:r w:rsidR="006946C0">
          <w:rPr>
            <w:noProof/>
            <w:webHidden/>
          </w:rPr>
          <w:fldChar w:fldCharType="end"/>
        </w:r>
      </w:hyperlink>
    </w:p>
    <w:p w14:paraId="0BEBC8FA" w14:textId="3B7AC6FB" w:rsidR="006946C0" w:rsidRDefault="00806F94">
      <w:pPr>
        <w:pStyle w:val="TOC3"/>
        <w:rPr>
          <w:rFonts w:asciiTheme="minorHAnsi" w:eastAsiaTheme="minorEastAsia" w:hAnsiTheme="minorHAnsi"/>
          <w:noProof/>
          <w:kern w:val="2"/>
          <w:lang w:eastAsia="en-AU"/>
          <w14:ligatures w14:val="standardContextual"/>
        </w:rPr>
      </w:pPr>
      <w:hyperlink w:anchor="_Toc159421600" w:history="1">
        <w:r w:rsidR="006946C0" w:rsidRPr="00D17D54">
          <w:rPr>
            <w:rStyle w:val="Hyperlink"/>
            <w:noProof/>
          </w:rPr>
          <w:t>Some myths and misconceptions</w:t>
        </w:r>
        <w:r w:rsidR="006946C0">
          <w:rPr>
            <w:noProof/>
            <w:webHidden/>
          </w:rPr>
          <w:tab/>
        </w:r>
        <w:r w:rsidR="006946C0">
          <w:rPr>
            <w:noProof/>
            <w:webHidden/>
          </w:rPr>
          <w:fldChar w:fldCharType="begin"/>
        </w:r>
        <w:r w:rsidR="006946C0">
          <w:rPr>
            <w:noProof/>
            <w:webHidden/>
          </w:rPr>
          <w:instrText xml:space="preserve"> PAGEREF _Toc159421600 \h </w:instrText>
        </w:r>
        <w:r w:rsidR="006946C0">
          <w:rPr>
            <w:noProof/>
            <w:webHidden/>
          </w:rPr>
        </w:r>
        <w:r w:rsidR="006946C0">
          <w:rPr>
            <w:noProof/>
            <w:webHidden/>
          </w:rPr>
          <w:fldChar w:fldCharType="separate"/>
        </w:r>
        <w:r w:rsidR="00636EF1">
          <w:rPr>
            <w:noProof/>
            <w:webHidden/>
          </w:rPr>
          <w:t>11</w:t>
        </w:r>
        <w:r w:rsidR="006946C0">
          <w:rPr>
            <w:noProof/>
            <w:webHidden/>
          </w:rPr>
          <w:fldChar w:fldCharType="end"/>
        </w:r>
      </w:hyperlink>
    </w:p>
    <w:p w14:paraId="6F89E33A" w14:textId="0B97C93E" w:rsidR="006946C0" w:rsidRDefault="00806F94">
      <w:pPr>
        <w:pStyle w:val="TOC1"/>
        <w:tabs>
          <w:tab w:val="right" w:leader="dot" w:pos="9016"/>
        </w:tabs>
        <w:rPr>
          <w:rFonts w:asciiTheme="minorHAnsi" w:eastAsiaTheme="minorEastAsia" w:hAnsiTheme="minorHAnsi"/>
          <w:b w:val="0"/>
          <w:noProof/>
          <w:color w:val="auto"/>
          <w:kern w:val="2"/>
          <w:lang w:eastAsia="en-AU"/>
          <w14:ligatures w14:val="standardContextual"/>
        </w:rPr>
      </w:pPr>
      <w:hyperlink w:anchor="_Toc159421601" w:history="1">
        <w:r w:rsidR="006946C0" w:rsidRPr="00D17D54">
          <w:rPr>
            <w:rStyle w:val="Hyperlink"/>
            <w:noProof/>
          </w:rPr>
          <w:t>Appendix</w:t>
        </w:r>
        <w:r w:rsidR="006946C0">
          <w:rPr>
            <w:noProof/>
            <w:webHidden/>
          </w:rPr>
          <w:tab/>
        </w:r>
        <w:r w:rsidR="006946C0">
          <w:rPr>
            <w:noProof/>
            <w:webHidden/>
          </w:rPr>
          <w:fldChar w:fldCharType="begin"/>
        </w:r>
        <w:r w:rsidR="006946C0">
          <w:rPr>
            <w:noProof/>
            <w:webHidden/>
          </w:rPr>
          <w:instrText xml:space="preserve"> PAGEREF _Toc159421601 \h </w:instrText>
        </w:r>
        <w:r w:rsidR="006946C0">
          <w:rPr>
            <w:noProof/>
            <w:webHidden/>
          </w:rPr>
        </w:r>
        <w:r w:rsidR="006946C0">
          <w:rPr>
            <w:noProof/>
            <w:webHidden/>
          </w:rPr>
          <w:fldChar w:fldCharType="separate"/>
        </w:r>
        <w:r w:rsidR="00636EF1">
          <w:rPr>
            <w:noProof/>
            <w:webHidden/>
          </w:rPr>
          <w:t>13</w:t>
        </w:r>
        <w:r w:rsidR="006946C0">
          <w:rPr>
            <w:noProof/>
            <w:webHidden/>
          </w:rPr>
          <w:fldChar w:fldCharType="end"/>
        </w:r>
      </w:hyperlink>
    </w:p>
    <w:p w14:paraId="17DF220E" w14:textId="581BD3FB" w:rsidR="006946C0" w:rsidRDefault="00806F94">
      <w:pPr>
        <w:pStyle w:val="TOC1"/>
        <w:tabs>
          <w:tab w:val="right" w:leader="dot" w:pos="9016"/>
        </w:tabs>
        <w:rPr>
          <w:rFonts w:asciiTheme="minorHAnsi" w:eastAsiaTheme="minorEastAsia" w:hAnsiTheme="minorHAnsi"/>
          <w:b w:val="0"/>
          <w:noProof/>
          <w:color w:val="auto"/>
          <w:kern w:val="2"/>
          <w:lang w:eastAsia="en-AU"/>
          <w14:ligatures w14:val="standardContextual"/>
        </w:rPr>
      </w:pPr>
      <w:hyperlink w:anchor="_Toc159421602" w:history="1">
        <w:r w:rsidR="006946C0" w:rsidRPr="00D17D54">
          <w:rPr>
            <w:rStyle w:val="Hyperlink"/>
            <w:noProof/>
          </w:rPr>
          <w:t>Explanatory Notes</w:t>
        </w:r>
        <w:r w:rsidR="006946C0">
          <w:rPr>
            <w:noProof/>
            <w:webHidden/>
          </w:rPr>
          <w:tab/>
        </w:r>
        <w:r w:rsidR="006946C0">
          <w:rPr>
            <w:noProof/>
            <w:webHidden/>
          </w:rPr>
          <w:fldChar w:fldCharType="begin"/>
        </w:r>
        <w:r w:rsidR="006946C0">
          <w:rPr>
            <w:noProof/>
            <w:webHidden/>
          </w:rPr>
          <w:instrText xml:space="preserve"> PAGEREF _Toc159421602 \h </w:instrText>
        </w:r>
        <w:r w:rsidR="006946C0">
          <w:rPr>
            <w:noProof/>
            <w:webHidden/>
          </w:rPr>
        </w:r>
        <w:r w:rsidR="006946C0">
          <w:rPr>
            <w:noProof/>
            <w:webHidden/>
          </w:rPr>
          <w:fldChar w:fldCharType="separate"/>
        </w:r>
        <w:r w:rsidR="00636EF1">
          <w:rPr>
            <w:noProof/>
            <w:webHidden/>
          </w:rPr>
          <w:t>18</w:t>
        </w:r>
        <w:r w:rsidR="006946C0">
          <w:rPr>
            <w:noProof/>
            <w:webHidden/>
          </w:rPr>
          <w:fldChar w:fldCharType="end"/>
        </w:r>
      </w:hyperlink>
    </w:p>
    <w:p w14:paraId="662A41D5" w14:textId="1E876B0C" w:rsidR="006946C0" w:rsidRDefault="00806F94">
      <w:pPr>
        <w:pStyle w:val="TOC2"/>
        <w:tabs>
          <w:tab w:val="right" w:leader="dot" w:pos="9016"/>
        </w:tabs>
        <w:rPr>
          <w:rFonts w:asciiTheme="minorHAnsi" w:eastAsiaTheme="minorEastAsia" w:hAnsiTheme="minorHAnsi"/>
          <w:noProof/>
          <w:kern w:val="2"/>
          <w:lang w:eastAsia="en-AU"/>
          <w14:ligatures w14:val="standardContextual"/>
        </w:rPr>
      </w:pPr>
      <w:hyperlink w:anchor="_Toc159421603" w:history="1">
        <w:r w:rsidR="006946C0" w:rsidRPr="00D17D54">
          <w:rPr>
            <w:rStyle w:val="Hyperlink"/>
            <w:noProof/>
          </w:rPr>
          <w:t>Definitions of metrics</w:t>
        </w:r>
        <w:r w:rsidR="006946C0">
          <w:rPr>
            <w:noProof/>
            <w:webHidden/>
          </w:rPr>
          <w:tab/>
        </w:r>
        <w:r w:rsidR="006946C0">
          <w:rPr>
            <w:noProof/>
            <w:webHidden/>
          </w:rPr>
          <w:fldChar w:fldCharType="begin"/>
        </w:r>
        <w:r w:rsidR="006946C0">
          <w:rPr>
            <w:noProof/>
            <w:webHidden/>
          </w:rPr>
          <w:instrText xml:space="preserve"> PAGEREF _Toc159421603 \h </w:instrText>
        </w:r>
        <w:r w:rsidR="006946C0">
          <w:rPr>
            <w:noProof/>
            <w:webHidden/>
          </w:rPr>
        </w:r>
        <w:r w:rsidR="006946C0">
          <w:rPr>
            <w:noProof/>
            <w:webHidden/>
          </w:rPr>
          <w:fldChar w:fldCharType="separate"/>
        </w:r>
        <w:r w:rsidR="00636EF1">
          <w:rPr>
            <w:noProof/>
            <w:webHidden/>
          </w:rPr>
          <w:t>18</w:t>
        </w:r>
        <w:r w:rsidR="006946C0">
          <w:rPr>
            <w:noProof/>
            <w:webHidden/>
          </w:rPr>
          <w:fldChar w:fldCharType="end"/>
        </w:r>
      </w:hyperlink>
    </w:p>
    <w:p w14:paraId="4B255BEE" w14:textId="7E2C84E8" w:rsidR="00B11937" w:rsidRDefault="00B11937">
      <w:pPr>
        <w:spacing w:after="160" w:line="259" w:lineRule="auto"/>
      </w:pPr>
      <w:r>
        <w:fldChar w:fldCharType="end"/>
      </w:r>
      <w:r>
        <w:br w:type="page"/>
      </w:r>
    </w:p>
    <w:p w14:paraId="65DD9248" w14:textId="1795E95C" w:rsidR="00C10130" w:rsidRPr="001312A5" w:rsidRDefault="00C83032" w:rsidP="001312A5">
      <w:pPr>
        <w:pStyle w:val="Heading1"/>
      </w:pPr>
      <w:bookmarkStart w:id="2" w:name="_Toc159421582"/>
      <w:r>
        <w:lastRenderedPageBreak/>
        <w:t>Dece</w:t>
      </w:r>
      <w:r w:rsidR="00C10130" w:rsidRPr="001312A5">
        <w:t>mber quarter 2023 results</w:t>
      </w:r>
      <w:bookmarkEnd w:id="2"/>
    </w:p>
    <w:p w14:paraId="0F40BC39" w14:textId="67615496" w:rsidR="005636B1" w:rsidRPr="006A0FEC" w:rsidRDefault="00123867" w:rsidP="001312A5">
      <w:r w:rsidRPr="006A0FEC">
        <w:t xml:space="preserve">The Skills Shortage Quarterly report offers analysis on occupations that </w:t>
      </w:r>
      <w:r w:rsidR="00C6156A">
        <w:t xml:space="preserve">may be </w:t>
      </w:r>
      <w:r w:rsidRPr="006A0FEC">
        <w:t>in shortage or are experiencing shortage pressures</w:t>
      </w:r>
      <w:r w:rsidR="00C6156A">
        <w:t xml:space="preserve">. The insights are </w:t>
      </w:r>
      <w:r w:rsidR="00B2651A">
        <w:t xml:space="preserve">based on </w:t>
      </w:r>
      <w:r w:rsidR="00C6156A">
        <w:t xml:space="preserve">the </w:t>
      </w:r>
      <w:r w:rsidR="00B2651A" w:rsidRPr="006A0FEC">
        <w:t>percentage of advertised vacancies filled by occupation (fill rate)</w:t>
      </w:r>
      <w:r w:rsidR="00C6156A">
        <w:t xml:space="preserve">, drawn </w:t>
      </w:r>
      <w:r w:rsidR="00B2651A">
        <w:t xml:space="preserve">from </w:t>
      </w:r>
      <w:r w:rsidRPr="006A0FEC">
        <w:t xml:space="preserve">Jobs and Skills Australia’s Survey of Employers who have Recently Advertised (SERA). More background on </w:t>
      </w:r>
      <w:r w:rsidR="00B2651A">
        <w:t xml:space="preserve">the fill rate and </w:t>
      </w:r>
      <w:r w:rsidR="005636B1" w:rsidRPr="006A0FEC">
        <w:t xml:space="preserve">other metrics used in the report and their definitions are provided in </w:t>
      </w:r>
      <w:r w:rsidR="001218D9">
        <w:t xml:space="preserve">the </w:t>
      </w:r>
      <w:r w:rsidR="005636B1" w:rsidRPr="006A0FEC">
        <w:t xml:space="preserve">Explanatory Notes. </w:t>
      </w:r>
    </w:p>
    <w:p w14:paraId="1E0235F7" w14:textId="123284F0" w:rsidR="00EA5604" w:rsidRPr="001F36D6" w:rsidRDefault="00D84775" w:rsidP="007F35F8">
      <w:pPr>
        <w:pStyle w:val="Heading2"/>
      </w:pPr>
      <w:bookmarkStart w:id="3" w:name="_Toc159421583"/>
      <w:r>
        <w:t xml:space="preserve">Fill rates are </w:t>
      </w:r>
      <w:r w:rsidR="00B2651A">
        <w:t xml:space="preserve">gradually </w:t>
      </w:r>
      <w:proofErr w:type="gramStart"/>
      <w:r>
        <w:t>rising</w:t>
      </w:r>
      <w:bookmarkEnd w:id="3"/>
      <w:proofErr w:type="gramEnd"/>
      <w:r>
        <w:t xml:space="preserve"> </w:t>
      </w:r>
    </w:p>
    <w:p w14:paraId="1D5B5C63" w14:textId="29A070D8" w:rsidR="0090720C" w:rsidRPr="00825BE1" w:rsidRDefault="00D93C1A" w:rsidP="001312A5">
      <w:bookmarkStart w:id="4" w:name="_Hlk150886432"/>
      <w:r w:rsidRPr="00D93C1A">
        <w:t xml:space="preserve">The fill rate </w:t>
      </w:r>
      <w:r w:rsidR="00523309">
        <w:t>across all</w:t>
      </w:r>
      <w:r w:rsidR="00523309" w:rsidRPr="00D93C1A">
        <w:t xml:space="preserve"> </w:t>
      </w:r>
      <w:r w:rsidRPr="00D93C1A">
        <w:t>occupations increased slightly, by 1</w:t>
      </w:r>
      <w:r w:rsidR="00C83032">
        <w:t>.5</w:t>
      </w:r>
      <w:r w:rsidRPr="00D93C1A">
        <w:t xml:space="preserve"> percentage point</w:t>
      </w:r>
      <w:r w:rsidR="000251B1">
        <w:t>s</w:t>
      </w:r>
      <w:r w:rsidRPr="00D93C1A">
        <w:t>, to 6</w:t>
      </w:r>
      <w:r w:rsidR="00C83032">
        <w:t>4</w:t>
      </w:r>
      <w:r w:rsidRPr="00D93C1A">
        <w:t xml:space="preserve">% over the </w:t>
      </w:r>
      <w:r w:rsidR="00C83032">
        <w:t>Dece</w:t>
      </w:r>
      <w:r w:rsidR="00C83032" w:rsidRPr="00D93C1A">
        <w:t>mber</w:t>
      </w:r>
      <w:r w:rsidR="004701DA">
        <w:t xml:space="preserve"> quarter</w:t>
      </w:r>
      <w:r w:rsidR="00C83032" w:rsidRPr="00D93C1A">
        <w:t xml:space="preserve"> </w:t>
      </w:r>
      <w:r w:rsidRPr="00D93C1A">
        <w:t>2023 (Table 1).</w:t>
      </w:r>
      <w:r w:rsidR="00472F31">
        <w:rPr>
          <w:rStyle w:val="FootnoteReference"/>
        </w:rPr>
        <w:footnoteReference w:id="2"/>
      </w:r>
      <w:r w:rsidRPr="00D93C1A">
        <w:t xml:space="preserve"> </w:t>
      </w:r>
      <w:r w:rsidR="004701DA">
        <w:t>T</w:t>
      </w:r>
      <w:r w:rsidR="005D14CA">
        <w:t xml:space="preserve">he </w:t>
      </w:r>
      <w:r w:rsidR="00E248EE">
        <w:t xml:space="preserve">fill </w:t>
      </w:r>
      <w:r w:rsidR="005D14CA">
        <w:t xml:space="preserve">rate </w:t>
      </w:r>
      <w:r w:rsidR="00F7579F">
        <w:t xml:space="preserve">has </w:t>
      </w:r>
      <w:r w:rsidR="00B2651A">
        <w:t xml:space="preserve">gradually </w:t>
      </w:r>
      <w:r w:rsidR="00985250">
        <w:t xml:space="preserve">increased </w:t>
      </w:r>
      <w:r w:rsidR="00B2651A">
        <w:t xml:space="preserve">since </w:t>
      </w:r>
      <w:r w:rsidR="009A4706">
        <w:t>a</w:t>
      </w:r>
      <w:r w:rsidR="00B2651A">
        <w:t xml:space="preserve"> </w:t>
      </w:r>
      <w:r w:rsidR="008C3635">
        <w:t xml:space="preserve">trough </w:t>
      </w:r>
      <w:r w:rsidR="00B2651A">
        <w:t xml:space="preserve">of </w:t>
      </w:r>
      <w:r w:rsidR="00E248EE">
        <w:t xml:space="preserve">58% </w:t>
      </w:r>
      <w:r w:rsidR="008C3635">
        <w:t>in September 2022</w:t>
      </w:r>
      <w:r w:rsidR="00B2651A">
        <w:t>.</w:t>
      </w:r>
      <w:r w:rsidR="00E248EE">
        <w:t xml:space="preserve"> </w:t>
      </w:r>
      <w:bookmarkEnd w:id="4"/>
      <w:r w:rsidR="00B2651A">
        <w:t>B</w:t>
      </w:r>
      <w:r w:rsidR="0090720C">
        <w:t xml:space="preserve">ased on an average per vacancy basis, </w:t>
      </w:r>
      <w:r w:rsidR="0090720C" w:rsidRPr="00D93C1A">
        <w:t xml:space="preserve">the number of applicants, qualified applicants, and suitable applicants </w:t>
      </w:r>
      <w:r w:rsidR="000251B1">
        <w:t xml:space="preserve">have </w:t>
      </w:r>
      <w:r w:rsidR="00B2651A">
        <w:t xml:space="preserve">also </w:t>
      </w:r>
      <w:r w:rsidR="008C3635">
        <w:t xml:space="preserve">increased </w:t>
      </w:r>
      <w:r w:rsidR="000251B1">
        <w:t>over</w:t>
      </w:r>
      <w:r w:rsidR="0090720C">
        <w:t xml:space="preserve"> the </w:t>
      </w:r>
      <w:r w:rsidR="004701DA">
        <w:t xml:space="preserve">December </w:t>
      </w:r>
      <w:r w:rsidR="0090720C">
        <w:t>quarter</w:t>
      </w:r>
      <w:r w:rsidR="004701DA">
        <w:t xml:space="preserve"> 2023</w:t>
      </w:r>
      <w:r w:rsidR="0090720C">
        <w:t xml:space="preserve"> </w:t>
      </w:r>
      <w:r w:rsidR="0090720C" w:rsidRPr="00D93C1A">
        <w:t>(Figure 1 and Table 1).</w:t>
      </w:r>
    </w:p>
    <w:p w14:paraId="77B0645F" w14:textId="1208A490" w:rsidR="00D93C1A" w:rsidRPr="001312A5" w:rsidRDefault="00D93C1A" w:rsidP="001312A5">
      <w:pPr>
        <w:pStyle w:val="Caption"/>
      </w:pPr>
      <w:r w:rsidRPr="001312A5">
        <w:t xml:space="preserve">Table </w:t>
      </w:r>
      <w:fldSimple w:instr=" SEQ Table \* ARABIC ">
        <w:r w:rsidR="00636EF1">
          <w:rPr>
            <w:noProof/>
          </w:rPr>
          <w:t>1</w:t>
        </w:r>
      </w:fldSimple>
      <w:r w:rsidRPr="001312A5">
        <w:t xml:space="preserve">: National snapshot </w:t>
      </w:r>
    </w:p>
    <w:tbl>
      <w:tblPr>
        <w:tblStyle w:val="JSATable1"/>
        <w:tblW w:w="0" w:type="auto"/>
        <w:tblLayout w:type="fixed"/>
        <w:tblLook w:val="0020" w:firstRow="1" w:lastRow="0" w:firstColumn="0" w:lastColumn="0" w:noHBand="0" w:noVBand="0"/>
      </w:tblPr>
      <w:tblGrid>
        <w:gridCol w:w="1656"/>
        <w:gridCol w:w="1241"/>
        <w:gridCol w:w="1518"/>
        <w:gridCol w:w="1587"/>
        <w:gridCol w:w="1586"/>
        <w:gridCol w:w="1240"/>
      </w:tblGrid>
      <w:tr w:rsidR="00B93119" w:rsidRPr="00B26C3D" w14:paraId="75984C6F" w14:textId="5693B2C3" w:rsidTr="00141E84">
        <w:trPr>
          <w:cnfStyle w:val="100000000000" w:firstRow="1" w:lastRow="0" w:firstColumn="0" w:lastColumn="0" w:oddVBand="0" w:evenVBand="0" w:oddHBand="0" w:evenHBand="0" w:firstRowFirstColumn="0" w:firstRowLastColumn="0" w:lastRowFirstColumn="0" w:lastRowLastColumn="0"/>
          <w:trHeight w:val="574"/>
        </w:trPr>
        <w:tc>
          <w:tcPr>
            <w:tcW w:w="1656" w:type="dxa"/>
          </w:tcPr>
          <w:p w14:paraId="45079835" w14:textId="77777777" w:rsidR="00AB7764" w:rsidRPr="00B26C3D" w:rsidRDefault="00AB7764" w:rsidP="008F0C4A"/>
        </w:tc>
        <w:tc>
          <w:tcPr>
            <w:tcW w:w="1241" w:type="dxa"/>
          </w:tcPr>
          <w:p w14:paraId="4F67014B" w14:textId="77777777" w:rsidR="00AB7764" w:rsidRPr="00B26C3D" w:rsidRDefault="00AB7764" w:rsidP="008F0C4A">
            <w:r>
              <w:t>Fill rate (%)</w:t>
            </w:r>
          </w:p>
        </w:tc>
        <w:tc>
          <w:tcPr>
            <w:tcW w:w="1518" w:type="dxa"/>
          </w:tcPr>
          <w:p w14:paraId="3DA9847F" w14:textId="77777777" w:rsidR="00AB7764" w:rsidRPr="00B26C3D" w:rsidRDefault="00AB7764" w:rsidP="008F0C4A">
            <w:r w:rsidRPr="00B26C3D">
              <w:t>A</w:t>
            </w:r>
            <w:r>
              <w:t>pplicants per vacancy (no.)</w:t>
            </w:r>
          </w:p>
        </w:tc>
        <w:tc>
          <w:tcPr>
            <w:tcW w:w="1587" w:type="dxa"/>
          </w:tcPr>
          <w:p w14:paraId="2B4CC558" w14:textId="77777777" w:rsidR="00AB7764" w:rsidRPr="00B26C3D" w:rsidRDefault="00AB7764" w:rsidP="008F0C4A">
            <w:r>
              <w:t>Qualified applicants per vacancy (no.)</w:t>
            </w:r>
          </w:p>
        </w:tc>
        <w:tc>
          <w:tcPr>
            <w:tcW w:w="1586" w:type="dxa"/>
          </w:tcPr>
          <w:p w14:paraId="3B3B8634" w14:textId="77777777" w:rsidR="00AB7764" w:rsidRPr="00B26C3D" w:rsidRDefault="00AB7764" w:rsidP="008F0C4A">
            <w:r>
              <w:t>Suitable applicants per vacancy (no.)</w:t>
            </w:r>
          </w:p>
        </w:tc>
        <w:tc>
          <w:tcPr>
            <w:tcW w:w="1240" w:type="dxa"/>
          </w:tcPr>
          <w:p w14:paraId="7B3DD567" w14:textId="1AC7D045" w:rsidR="00AB7764" w:rsidRDefault="00AB7764" w:rsidP="008F0C4A">
            <w:r>
              <w:t>Suitability gap (</w:t>
            </w:r>
            <w:r w:rsidR="00DD1B06">
              <w:t>%</w:t>
            </w:r>
            <w:r>
              <w:t>)</w:t>
            </w:r>
          </w:p>
        </w:tc>
      </w:tr>
      <w:tr w:rsidR="00A94FF1" w:rsidRPr="00B26C3D" w14:paraId="17D1157B" w14:textId="0E30C635" w:rsidTr="00141E84">
        <w:trPr>
          <w:trHeight w:val="324"/>
        </w:trPr>
        <w:tc>
          <w:tcPr>
            <w:tcW w:w="1656" w:type="dxa"/>
          </w:tcPr>
          <w:p w14:paraId="6EB92C77" w14:textId="4C167D65" w:rsidR="00AB7764" w:rsidRPr="003764CC" w:rsidRDefault="00C83032" w:rsidP="008F0C4A">
            <w:pPr>
              <w:rPr>
                <w:b/>
                <w:bCs/>
              </w:rPr>
            </w:pPr>
            <w:r>
              <w:rPr>
                <w:b/>
                <w:bCs/>
              </w:rPr>
              <w:t>Dece</w:t>
            </w:r>
            <w:r w:rsidRPr="003764CC">
              <w:rPr>
                <w:b/>
                <w:bCs/>
              </w:rPr>
              <w:t xml:space="preserve">mber </w:t>
            </w:r>
            <w:r w:rsidR="00AB7764" w:rsidRPr="003764CC">
              <w:rPr>
                <w:b/>
                <w:bCs/>
              </w:rPr>
              <w:t>2023 quarter</w:t>
            </w:r>
          </w:p>
        </w:tc>
        <w:tc>
          <w:tcPr>
            <w:tcW w:w="1241" w:type="dxa"/>
            <w:vAlign w:val="center"/>
          </w:tcPr>
          <w:p w14:paraId="50EBD208" w14:textId="15D56EE6" w:rsidR="00AB7764" w:rsidRPr="00B26C3D" w:rsidRDefault="00AB7764" w:rsidP="008F0C4A">
            <w:r w:rsidRPr="00613284">
              <w:rPr>
                <w:b/>
                <w:bCs/>
                <w:sz w:val="20"/>
                <w:szCs w:val="20"/>
              </w:rPr>
              <w:t>6</w:t>
            </w:r>
            <w:r w:rsidR="00C83032">
              <w:rPr>
                <w:b/>
                <w:bCs/>
                <w:sz w:val="20"/>
                <w:szCs w:val="20"/>
              </w:rPr>
              <w:t>3.6</w:t>
            </w:r>
            <w:r w:rsidRPr="00613284">
              <w:rPr>
                <w:b/>
                <w:bCs/>
                <w:sz w:val="20"/>
                <w:szCs w:val="20"/>
              </w:rPr>
              <w:t>%</w:t>
            </w:r>
          </w:p>
        </w:tc>
        <w:tc>
          <w:tcPr>
            <w:tcW w:w="1518" w:type="dxa"/>
            <w:vAlign w:val="center"/>
          </w:tcPr>
          <w:p w14:paraId="01E5600A" w14:textId="380C33EA" w:rsidR="00AB7764" w:rsidRPr="00B26C3D" w:rsidRDefault="00AB7764" w:rsidP="008F0C4A">
            <w:r w:rsidRPr="00613284">
              <w:rPr>
                <w:b/>
                <w:bCs/>
                <w:sz w:val="20"/>
                <w:szCs w:val="20"/>
              </w:rPr>
              <w:t>1</w:t>
            </w:r>
            <w:r w:rsidR="00C83032">
              <w:rPr>
                <w:b/>
                <w:bCs/>
                <w:sz w:val="20"/>
                <w:szCs w:val="20"/>
              </w:rPr>
              <w:t>8.1</w:t>
            </w:r>
          </w:p>
        </w:tc>
        <w:tc>
          <w:tcPr>
            <w:tcW w:w="1587" w:type="dxa"/>
            <w:vAlign w:val="center"/>
          </w:tcPr>
          <w:p w14:paraId="57A21F05" w14:textId="791DA9D0" w:rsidR="00AB7764" w:rsidRPr="00B26C3D" w:rsidRDefault="00C064DB" w:rsidP="008F0C4A">
            <w:r>
              <w:rPr>
                <w:b/>
                <w:bCs/>
                <w:sz w:val="20"/>
                <w:szCs w:val="20"/>
              </w:rPr>
              <w:t>6.1</w:t>
            </w:r>
          </w:p>
        </w:tc>
        <w:tc>
          <w:tcPr>
            <w:tcW w:w="1586" w:type="dxa"/>
            <w:vAlign w:val="center"/>
          </w:tcPr>
          <w:p w14:paraId="018CF64A" w14:textId="2605A09B" w:rsidR="00AB7764" w:rsidRPr="00B26C3D" w:rsidRDefault="00AB7764" w:rsidP="008F0C4A">
            <w:r w:rsidRPr="00613284">
              <w:rPr>
                <w:b/>
                <w:bCs/>
                <w:sz w:val="20"/>
                <w:szCs w:val="20"/>
              </w:rPr>
              <w:t>2.</w:t>
            </w:r>
            <w:r w:rsidR="00C83032">
              <w:rPr>
                <w:b/>
                <w:bCs/>
                <w:sz w:val="20"/>
                <w:szCs w:val="20"/>
              </w:rPr>
              <w:t>7</w:t>
            </w:r>
          </w:p>
        </w:tc>
        <w:tc>
          <w:tcPr>
            <w:tcW w:w="1240" w:type="dxa"/>
            <w:vAlign w:val="center"/>
          </w:tcPr>
          <w:p w14:paraId="0030A76A" w14:textId="1C31B85B" w:rsidR="00AB7764" w:rsidRPr="00613284" w:rsidRDefault="00DD1B06" w:rsidP="007F35F8">
            <w:pPr>
              <w:jc w:val="center"/>
              <w:rPr>
                <w:b/>
                <w:bCs/>
                <w:sz w:val="20"/>
                <w:szCs w:val="20"/>
              </w:rPr>
            </w:pPr>
            <w:r>
              <w:rPr>
                <w:b/>
                <w:bCs/>
                <w:sz w:val="20"/>
                <w:szCs w:val="20"/>
              </w:rPr>
              <w:t>56.3%</w:t>
            </w:r>
          </w:p>
        </w:tc>
      </w:tr>
      <w:tr w:rsidR="00B93119" w:rsidRPr="00B26C3D" w14:paraId="4A80DD8C" w14:textId="65933DE9" w:rsidTr="00141E84">
        <w:trPr>
          <w:cnfStyle w:val="000000010000" w:firstRow="0" w:lastRow="0" w:firstColumn="0" w:lastColumn="0" w:oddVBand="0" w:evenVBand="0" w:oddHBand="0" w:evenHBand="1" w:firstRowFirstColumn="0" w:firstRowLastColumn="0" w:lastRowFirstColumn="0" w:lastRowLastColumn="0"/>
          <w:trHeight w:val="324"/>
        </w:trPr>
        <w:tc>
          <w:tcPr>
            <w:tcW w:w="1656" w:type="dxa"/>
          </w:tcPr>
          <w:p w14:paraId="4B31C3AF" w14:textId="2ED97F38" w:rsidR="00AB7764" w:rsidRPr="00B26C3D" w:rsidRDefault="00AB7764" w:rsidP="008F0C4A">
            <w:r>
              <w:t xml:space="preserve">Change since </w:t>
            </w:r>
            <w:r w:rsidR="00C83032">
              <w:t>September</w:t>
            </w:r>
            <w:r w:rsidR="00C83032" w:rsidRPr="00B26C3D">
              <w:t xml:space="preserve"> </w:t>
            </w:r>
            <w:r w:rsidRPr="00B26C3D">
              <w:t>202</w:t>
            </w:r>
            <w:r>
              <w:t>3 quarter</w:t>
            </w:r>
          </w:p>
        </w:tc>
        <w:tc>
          <w:tcPr>
            <w:tcW w:w="1241" w:type="dxa"/>
            <w:vAlign w:val="center"/>
          </w:tcPr>
          <w:p w14:paraId="4F2CF829" w14:textId="17FA1815" w:rsidR="00AB7764" w:rsidRPr="00B26C3D" w:rsidRDefault="00AB7764" w:rsidP="008F0C4A">
            <w:r w:rsidRPr="00437E10">
              <w:rPr>
                <w:rFonts w:cs="Arial"/>
                <w:sz w:val="20"/>
                <w:szCs w:val="20"/>
              </w:rPr>
              <w:t>↑</w:t>
            </w:r>
            <w:r w:rsidR="00C6156A">
              <w:rPr>
                <w:rFonts w:cs="Arial"/>
                <w:sz w:val="20"/>
                <w:szCs w:val="20"/>
              </w:rPr>
              <w:t xml:space="preserve"> </w:t>
            </w:r>
            <w:r w:rsidR="00C83032">
              <w:rPr>
                <w:rFonts w:cs="Arial"/>
                <w:sz w:val="20"/>
                <w:szCs w:val="20"/>
              </w:rPr>
              <w:t>1.5</w:t>
            </w:r>
            <w:r w:rsidRPr="00437E10">
              <w:rPr>
                <w:rFonts w:cs="Arial"/>
                <w:sz w:val="20"/>
                <w:szCs w:val="20"/>
              </w:rPr>
              <w:t>% pts</w:t>
            </w:r>
          </w:p>
        </w:tc>
        <w:tc>
          <w:tcPr>
            <w:tcW w:w="1518" w:type="dxa"/>
            <w:vAlign w:val="center"/>
          </w:tcPr>
          <w:p w14:paraId="0B392E7D" w14:textId="3A7A441D" w:rsidR="00AB7764" w:rsidRPr="00B26C3D" w:rsidRDefault="00C83032" w:rsidP="008F0C4A">
            <w:r w:rsidRPr="00437E10">
              <w:rPr>
                <w:rFonts w:cs="Arial"/>
                <w:sz w:val="20"/>
                <w:szCs w:val="20"/>
              </w:rPr>
              <w:t>↑</w:t>
            </w:r>
            <w:r w:rsidR="00C6156A">
              <w:rPr>
                <w:rFonts w:cs="Arial"/>
                <w:sz w:val="20"/>
                <w:szCs w:val="20"/>
              </w:rPr>
              <w:t xml:space="preserve"> </w:t>
            </w:r>
            <w:r w:rsidR="00AB7764" w:rsidRPr="00437E10">
              <w:rPr>
                <w:rFonts w:cs="Arial"/>
                <w:sz w:val="20"/>
                <w:szCs w:val="20"/>
              </w:rPr>
              <w:t>1.</w:t>
            </w:r>
            <w:r>
              <w:rPr>
                <w:rFonts w:cs="Arial"/>
                <w:sz w:val="20"/>
                <w:szCs w:val="20"/>
              </w:rPr>
              <w:t>1</w:t>
            </w:r>
          </w:p>
        </w:tc>
        <w:tc>
          <w:tcPr>
            <w:tcW w:w="1587" w:type="dxa"/>
            <w:vAlign w:val="center"/>
          </w:tcPr>
          <w:p w14:paraId="2BB932F9" w14:textId="7F93EA31" w:rsidR="00AB7764" w:rsidRPr="00B26C3D" w:rsidRDefault="00C83032" w:rsidP="008F0C4A">
            <w:r w:rsidRPr="00437E10">
              <w:rPr>
                <w:rFonts w:cs="Arial"/>
                <w:sz w:val="20"/>
                <w:szCs w:val="20"/>
              </w:rPr>
              <w:t>↑</w:t>
            </w:r>
            <w:r w:rsidR="00C6156A">
              <w:rPr>
                <w:rFonts w:cs="Arial"/>
                <w:sz w:val="20"/>
                <w:szCs w:val="20"/>
              </w:rPr>
              <w:t xml:space="preserve"> </w:t>
            </w:r>
            <w:r w:rsidR="00AB7764" w:rsidRPr="00437E10">
              <w:rPr>
                <w:rFonts w:cs="Arial"/>
                <w:sz w:val="20"/>
                <w:szCs w:val="20"/>
              </w:rPr>
              <w:t>0.</w:t>
            </w:r>
            <w:r w:rsidR="00C064DB">
              <w:rPr>
                <w:rFonts w:cs="Arial"/>
                <w:sz w:val="20"/>
                <w:szCs w:val="20"/>
              </w:rPr>
              <w:t>3</w:t>
            </w:r>
          </w:p>
        </w:tc>
        <w:tc>
          <w:tcPr>
            <w:tcW w:w="1586" w:type="dxa"/>
            <w:vAlign w:val="center"/>
          </w:tcPr>
          <w:p w14:paraId="7AE551D2" w14:textId="453ED1D6" w:rsidR="00AB7764" w:rsidRPr="00B26C3D" w:rsidRDefault="00DE3799" w:rsidP="008F0C4A">
            <w:r w:rsidRPr="00437E10">
              <w:rPr>
                <w:rFonts w:cs="Arial"/>
                <w:sz w:val="20"/>
                <w:szCs w:val="20"/>
              </w:rPr>
              <w:t>↑</w:t>
            </w:r>
            <w:r>
              <w:rPr>
                <w:rFonts w:cs="Arial"/>
                <w:sz w:val="20"/>
                <w:szCs w:val="20"/>
              </w:rPr>
              <w:t xml:space="preserve"> </w:t>
            </w:r>
            <w:r w:rsidR="00AB7764" w:rsidRPr="00437E10">
              <w:rPr>
                <w:rFonts w:cs="Arial"/>
                <w:sz w:val="20"/>
                <w:szCs w:val="20"/>
              </w:rPr>
              <w:t>0.</w:t>
            </w:r>
            <w:r w:rsidR="00C83032">
              <w:rPr>
                <w:rFonts w:cs="Arial"/>
                <w:sz w:val="20"/>
                <w:szCs w:val="20"/>
              </w:rPr>
              <w:t>0</w:t>
            </w:r>
            <w:r w:rsidR="00C04A0B">
              <w:rPr>
                <w:rFonts w:cs="Arial"/>
                <w:sz w:val="20"/>
                <w:szCs w:val="20"/>
              </w:rPr>
              <w:t>2</w:t>
            </w:r>
          </w:p>
        </w:tc>
        <w:tc>
          <w:tcPr>
            <w:tcW w:w="1240" w:type="dxa"/>
            <w:vAlign w:val="center"/>
          </w:tcPr>
          <w:p w14:paraId="5CBAFA85" w14:textId="6BB066BF" w:rsidR="00AB7764" w:rsidRPr="00437E10" w:rsidRDefault="00C83032" w:rsidP="007F35F8">
            <w:pPr>
              <w:jc w:val="center"/>
              <w:rPr>
                <w:rFonts w:cs="Arial"/>
                <w:sz w:val="20"/>
                <w:szCs w:val="20"/>
              </w:rPr>
            </w:pPr>
            <w:r w:rsidRPr="00437E10">
              <w:rPr>
                <w:rFonts w:cs="Arial"/>
                <w:sz w:val="20"/>
                <w:szCs w:val="20"/>
              </w:rPr>
              <w:t>↑</w:t>
            </w:r>
            <w:r w:rsidR="00AB7764" w:rsidRPr="00437E10">
              <w:rPr>
                <w:rFonts w:cs="Arial"/>
                <w:sz w:val="20"/>
                <w:szCs w:val="20"/>
              </w:rPr>
              <w:t xml:space="preserve"> </w:t>
            </w:r>
            <w:r w:rsidR="00DD1B06">
              <w:rPr>
                <w:rFonts w:cs="Arial"/>
                <w:sz w:val="20"/>
                <w:szCs w:val="20"/>
              </w:rPr>
              <w:t>1.6% pts</w:t>
            </w:r>
          </w:p>
        </w:tc>
      </w:tr>
    </w:tbl>
    <w:p w14:paraId="4CC0323A" w14:textId="46B64095" w:rsidR="00D93C1A" w:rsidRDefault="00D93C1A" w:rsidP="00D96023">
      <w:pPr>
        <w:pStyle w:val="Source"/>
      </w:pPr>
      <w:r w:rsidRPr="00140F01">
        <w:t>Source: Jobs and Skills Australia</w:t>
      </w:r>
      <w:r>
        <w:t xml:space="preserve">, </w:t>
      </w:r>
      <w:r w:rsidRPr="00140F01">
        <w:t>Survey of Employers who Recently Advertised (SERA)</w:t>
      </w:r>
      <w:r>
        <w:t>.</w:t>
      </w:r>
    </w:p>
    <w:p w14:paraId="0453CA45" w14:textId="67BFAB3D" w:rsidR="00D93C1A" w:rsidRDefault="00D93C1A" w:rsidP="00D93C1A">
      <w:pPr>
        <w:pStyle w:val="Caption"/>
      </w:pPr>
      <w:r>
        <w:t xml:space="preserve">Figure 1: Quarterly trends since </w:t>
      </w:r>
      <w:r w:rsidR="00226D45">
        <w:t xml:space="preserve">the </w:t>
      </w:r>
      <w:r w:rsidR="00C83032">
        <w:t xml:space="preserve">December </w:t>
      </w:r>
      <w:r>
        <w:t>quarter 2021</w:t>
      </w:r>
    </w:p>
    <w:tbl>
      <w:tblPr>
        <w:tblStyle w:val="TableGrid"/>
        <w:tblW w:w="92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4"/>
        <w:gridCol w:w="3074"/>
        <w:gridCol w:w="3078"/>
      </w:tblGrid>
      <w:tr w:rsidR="00D93C1A" w:rsidRPr="005C546B" w14:paraId="55AAC268" w14:textId="77777777" w:rsidTr="00DD1B06">
        <w:trPr>
          <w:trHeight w:val="1592"/>
          <w:jc w:val="center"/>
        </w:trPr>
        <w:tc>
          <w:tcPr>
            <w:tcW w:w="3074" w:type="dxa"/>
          </w:tcPr>
          <w:p w14:paraId="37D11EB1" w14:textId="23FFC2BC" w:rsidR="00D93C1A" w:rsidRDefault="000D1AD8" w:rsidP="008F0C4A">
            <w:pPr>
              <w:jc w:val="center"/>
            </w:pPr>
            <w:r>
              <w:rPr>
                <w:noProof/>
              </w:rPr>
              <w:drawing>
                <wp:inline distT="0" distB="0" distL="0" distR="0" wp14:anchorId="1EDA6C4B" wp14:editId="062240F7">
                  <wp:extent cx="1685239" cy="2055495"/>
                  <wp:effectExtent l="0" t="0" r="0" b="1905"/>
                  <wp:docPr id="777716084" name="Chart 1" descr="Fill rates remained relatively steady at around 60% from December 2021 to June 2022. It then declined to 58% in September 2022, and increased steadily to 64% in the December quarter 2023.">
                    <a:extLst xmlns:a="http://schemas.openxmlformats.org/drawingml/2006/main">
                      <a:ext uri="{FF2B5EF4-FFF2-40B4-BE49-F238E27FC236}">
                        <a16:creationId xmlns:a16="http://schemas.microsoft.com/office/drawing/2014/main" id="{802D6288-45A2-793C-0480-3D00C7712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3074" w:type="dxa"/>
          </w:tcPr>
          <w:p w14:paraId="6C933222" w14:textId="21EA4080" w:rsidR="00D93C1A" w:rsidRDefault="000D1AD8" w:rsidP="008F0C4A">
            <w:pPr>
              <w:jc w:val="center"/>
            </w:pPr>
            <w:r>
              <w:rPr>
                <w:noProof/>
              </w:rPr>
              <w:drawing>
                <wp:inline distT="0" distB="0" distL="0" distR="0" wp14:anchorId="67CACD21" wp14:editId="465123E6">
                  <wp:extent cx="1684800" cy="2055600"/>
                  <wp:effectExtent l="0" t="0" r="0" b="1905"/>
                  <wp:docPr id="2055277933" name="Chart 1" descr="The average number of applicants per vacancy was relatively steady around 14 before the September quarter 2022. It thereby increased steadily to 18.1 in the December quarter 2023.">
                    <a:extLst xmlns:a="http://schemas.openxmlformats.org/drawingml/2006/main">
                      <a:ext uri="{FF2B5EF4-FFF2-40B4-BE49-F238E27FC236}">
                        <a16:creationId xmlns:a16="http://schemas.microsoft.com/office/drawing/2014/main" id="{73C3565E-2C1E-53D0-4A08-3855951249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3078" w:type="dxa"/>
          </w:tcPr>
          <w:p w14:paraId="65F72747" w14:textId="62082204" w:rsidR="00D93C1A" w:rsidRPr="005C546B" w:rsidRDefault="00DD1B06" w:rsidP="008F0C4A">
            <w:pPr>
              <w:jc w:val="center"/>
              <w:rPr>
                <w:b/>
                <w:bCs/>
                <w:noProof/>
                <w:color w:val="FFFFFF" w:themeColor="background1"/>
                <w:sz w:val="32"/>
                <w:szCs w:val="32"/>
              </w:rPr>
            </w:pPr>
            <w:r>
              <w:rPr>
                <w:noProof/>
              </w:rPr>
              <w:drawing>
                <wp:inline distT="0" distB="0" distL="0" distR="0" wp14:anchorId="480635D0" wp14:editId="6C3BEA78">
                  <wp:extent cx="1684800" cy="2055600"/>
                  <wp:effectExtent l="0" t="0" r="0" b="1905"/>
                  <wp:docPr id="470675582" name="Chart 1" descr="The suitability gap increased slowly, from 52.3% in December 2021 to 56.3% in December 2023. Over the quarter to December 2023, the gap increased by 1.6 percentage points. ">
                    <a:extLst xmlns:a="http://schemas.openxmlformats.org/drawingml/2006/main">
                      <a:ext uri="{FF2B5EF4-FFF2-40B4-BE49-F238E27FC236}">
                        <a16:creationId xmlns:a16="http://schemas.microsoft.com/office/drawing/2014/main" id="{3C5E9240-1FBE-DA99-5B82-C7984483F5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22CD8FE7" w14:textId="0075C67D" w:rsidR="00D93C1A" w:rsidRPr="001312A5" w:rsidRDefault="00D93C1A" w:rsidP="00226D45">
      <w:pPr>
        <w:pStyle w:val="Source"/>
        <w:keepLines/>
      </w:pPr>
      <w:r w:rsidRPr="001312A5">
        <w:t>Source: Jobs and Skills Australia, Survey of Employers who Recently Advertised (SERA).</w:t>
      </w:r>
    </w:p>
    <w:p w14:paraId="299CDAA3" w14:textId="77777777" w:rsidR="00311521" w:rsidRDefault="00311521" w:rsidP="00825BE1">
      <w:pPr>
        <w:pStyle w:val="ListBullet"/>
        <w:numPr>
          <w:ilvl w:val="0"/>
          <w:numId w:val="0"/>
        </w:numPr>
        <w:rPr>
          <w:szCs w:val="22"/>
        </w:rPr>
      </w:pPr>
    </w:p>
    <w:p w14:paraId="12763F0F" w14:textId="53768E7B" w:rsidR="00C45BE1" w:rsidRPr="00825BE1" w:rsidRDefault="00D93C1A" w:rsidP="001312A5">
      <w:r w:rsidRPr="0004189E">
        <w:lastRenderedPageBreak/>
        <w:t>The</w:t>
      </w:r>
      <w:r w:rsidR="00B2651A">
        <w:t xml:space="preserve"> </w:t>
      </w:r>
      <w:r w:rsidR="00C6156A">
        <w:t xml:space="preserve">quarterly </w:t>
      </w:r>
      <w:r w:rsidR="00B2651A">
        <w:t xml:space="preserve">movement in the fill rates and other metrics mentioned above are consistent with </w:t>
      </w:r>
      <w:r w:rsidRPr="0004189E">
        <w:t xml:space="preserve">signs </w:t>
      </w:r>
      <w:r w:rsidR="00B2651A">
        <w:t xml:space="preserve">of </w:t>
      </w:r>
      <w:r w:rsidRPr="0004189E">
        <w:t>labour market conditions</w:t>
      </w:r>
      <w:r w:rsidR="00A25B2C">
        <w:t xml:space="preserve"> softening. T</w:t>
      </w:r>
      <w:r w:rsidRPr="0004189E">
        <w:t xml:space="preserve">he number of internet vacancies as measured by JSA’s </w:t>
      </w:r>
      <w:r w:rsidRPr="007F35F8">
        <w:rPr>
          <w:i/>
          <w:iCs/>
        </w:rPr>
        <w:t>Internet Vacancy Index</w:t>
      </w:r>
      <w:r w:rsidR="002A0C58">
        <w:rPr>
          <w:i/>
          <w:iCs/>
        </w:rPr>
        <w:t xml:space="preserve"> </w:t>
      </w:r>
      <w:r w:rsidR="002A0C58" w:rsidRPr="002A0C58">
        <w:t>(IVI)</w:t>
      </w:r>
      <w:r w:rsidRPr="0004189E">
        <w:t xml:space="preserve"> and the recruitment difficulty rate </w:t>
      </w:r>
      <w:r w:rsidR="0090720C">
        <w:t xml:space="preserve">from </w:t>
      </w:r>
      <w:r w:rsidRPr="0004189E">
        <w:t xml:space="preserve">JSA’s </w:t>
      </w:r>
      <w:r w:rsidRPr="007F35F8">
        <w:rPr>
          <w:i/>
          <w:iCs/>
        </w:rPr>
        <w:t>Recruitment Experiences and Outlook Survey</w:t>
      </w:r>
      <w:r w:rsidRPr="0004189E">
        <w:t xml:space="preserve"> </w:t>
      </w:r>
      <w:r w:rsidR="000B6C33">
        <w:t xml:space="preserve">(REOS) </w:t>
      </w:r>
      <w:r w:rsidRPr="0004189E">
        <w:t xml:space="preserve">both </w:t>
      </w:r>
      <w:r w:rsidR="00A25B2C">
        <w:t xml:space="preserve">eased </w:t>
      </w:r>
      <w:r w:rsidRPr="0004189E">
        <w:t xml:space="preserve">in </w:t>
      </w:r>
      <w:r w:rsidR="008C3635">
        <w:t>Dece</w:t>
      </w:r>
      <w:r w:rsidR="008C3635" w:rsidRPr="0004189E">
        <w:t xml:space="preserve">mber </w:t>
      </w:r>
      <w:r w:rsidRPr="0004189E">
        <w:t xml:space="preserve">2023 and </w:t>
      </w:r>
      <w:r w:rsidR="00A25B2C">
        <w:t xml:space="preserve">are </w:t>
      </w:r>
      <w:r w:rsidRPr="0004189E">
        <w:t xml:space="preserve">lower than a year ago (Figure 2). </w:t>
      </w:r>
      <w:bookmarkStart w:id="5" w:name="_Hlk150886469"/>
      <w:r w:rsidRPr="0004189E">
        <w:t xml:space="preserve">The </w:t>
      </w:r>
      <w:r w:rsidR="00C45BE1" w:rsidRPr="0004189E">
        <w:t>A</w:t>
      </w:r>
      <w:r w:rsidR="00C6156A">
        <w:t xml:space="preserve">ustralian </w:t>
      </w:r>
      <w:r w:rsidR="00C45BE1" w:rsidRPr="0004189E">
        <w:t>B</w:t>
      </w:r>
      <w:r w:rsidR="00C6156A">
        <w:t xml:space="preserve">ureau of </w:t>
      </w:r>
      <w:r w:rsidR="00C45BE1" w:rsidRPr="0004189E">
        <w:t>S</w:t>
      </w:r>
      <w:r w:rsidR="00C6156A">
        <w:t>tatistics</w:t>
      </w:r>
      <w:r w:rsidR="000C6B25" w:rsidRPr="000C6B25">
        <w:t xml:space="preserve"> </w:t>
      </w:r>
      <w:r w:rsidR="006F1DCD">
        <w:t xml:space="preserve">January </w:t>
      </w:r>
      <w:r w:rsidR="000C6B25" w:rsidRPr="00FA1957">
        <w:t>202</w:t>
      </w:r>
      <w:r w:rsidR="006F1DCD">
        <w:t>4</w:t>
      </w:r>
      <w:r w:rsidR="000C6B25">
        <w:t xml:space="preserve"> </w:t>
      </w:r>
      <w:r w:rsidR="000C6B25" w:rsidRPr="000C6B25">
        <w:t>Labour Force Survey</w:t>
      </w:r>
      <w:r w:rsidR="00C45BE1" w:rsidRPr="0004189E">
        <w:t xml:space="preserve"> </w:t>
      </w:r>
      <w:r w:rsidRPr="0004189E">
        <w:t>also showed a</w:t>
      </w:r>
      <w:r w:rsidR="006F1DCD">
        <w:t>n</w:t>
      </w:r>
      <w:r w:rsidRPr="0004189E">
        <w:t xml:space="preserve"> </w:t>
      </w:r>
      <w:r w:rsidR="005636B1">
        <w:t xml:space="preserve">uptick in the unemployment rate to </w:t>
      </w:r>
      <w:r w:rsidR="006F1DCD">
        <w:t>4</w:t>
      </w:r>
      <w:r w:rsidR="005636B1">
        <w:t>.</w:t>
      </w:r>
      <w:r w:rsidR="006F1DCD">
        <w:t>1</w:t>
      </w:r>
      <w:r w:rsidR="005636B1">
        <w:t xml:space="preserve">%. </w:t>
      </w:r>
      <w:r w:rsidR="00C6156A">
        <w:t xml:space="preserve">Even though fill rates have been trending up, employers may still face </w:t>
      </w:r>
      <w:r w:rsidR="003E7B6F">
        <w:t>difficult</w:t>
      </w:r>
      <w:r w:rsidR="00985250">
        <w:t>ies</w:t>
      </w:r>
      <w:r w:rsidR="003E7B6F">
        <w:t xml:space="preserve"> filling vacancies</w:t>
      </w:r>
      <w:r w:rsidRPr="0004189E">
        <w:t xml:space="preserve">. </w:t>
      </w:r>
      <w:bookmarkEnd w:id="5"/>
    </w:p>
    <w:p w14:paraId="65F9E337" w14:textId="4DB9724C" w:rsidR="00D93C1A" w:rsidRDefault="00D93C1A" w:rsidP="00D93C1A">
      <w:pPr>
        <w:pStyle w:val="Caption"/>
      </w:pPr>
      <w:r>
        <w:t xml:space="preserve">Figure 2: </w:t>
      </w:r>
      <w:r w:rsidRPr="00D93C1A">
        <w:t>Fill rate (%), recruitme</w:t>
      </w:r>
      <w:r w:rsidR="005045D9">
        <w:t>n</w:t>
      </w:r>
      <w:r w:rsidRPr="00D93C1A">
        <w:t>t difficulty (%) and internet vacancies (no.)</w:t>
      </w:r>
    </w:p>
    <w:p w14:paraId="08C9835D" w14:textId="0DBCA598" w:rsidR="000D0D1A" w:rsidRDefault="000D0D1A" w:rsidP="001312A5">
      <w:pPr>
        <w:pStyle w:val="Source"/>
      </w:pPr>
      <w:bookmarkStart w:id="6" w:name="_Hlk150871247"/>
      <w:r>
        <w:rPr>
          <w:noProof/>
        </w:rPr>
        <w:drawing>
          <wp:inline distT="0" distB="0" distL="0" distR="0" wp14:anchorId="192983AD" wp14:editId="74D22286">
            <wp:extent cx="5600700" cy="2519680"/>
            <wp:effectExtent l="0" t="0" r="0" b="0"/>
            <wp:docPr id="666294820" name="Chart 1" descr="Fill rates, captured by quarterly SERA  data, declined from around 60% in the December quarter 2021 to 58% in the  September quarter 2022, and then rose gradually to 64% in the December quarter 2023.&#10;Recruitment difficulty, captured by monthly REOS data, rose from 57% in December 2021, peaked at 75% in July 2022 and then declined gradually to 51% in December 2023. &#10;The number of internet vacancies, captured by monthly IVI data, rose from over 259,323 jobs in December 2021, peaked at around 303,110 jobs in June 2022, and then gradually declined to 261,151 jobs in December 2023. ">
              <a:extLst xmlns:a="http://schemas.openxmlformats.org/drawingml/2006/main">
                <a:ext uri="{FF2B5EF4-FFF2-40B4-BE49-F238E27FC236}">
                  <a16:creationId xmlns:a16="http://schemas.microsoft.com/office/drawing/2014/main" id="{D7567F5F-71E9-4286-9078-F5DB6D3968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C4FC59" w14:textId="4F86FDF5" w:rsidR="00D93C1A" w:rsidRPr="001312A5" w:rsidRDefault="00D93C1A" w:rsidP="001312A5">
      <w:pPr>
        <w:pStyle w:val="Source"/>
      </w:pPr>
      <w:r w:rsidRPr="001312A5">
        <w:t>Source: Jobs and Skills Australia</w:t>
      </w:r>
      <w:r w:rsidR="00D02964" w:rsidRPr="001312A5">
        <w:t xml:space="preserve">: </w:t>
      </w:r>
      <w:r w:rsidRPr="001312A5">
        <w:t xml:space="preserve">Survey of Employers who Recently Advertised (SERA); </w:t>
      </w:r>
      <w:bookmarkEnd w:id="6"/>
      <w:r w:rsidRPr="001312A5">
        <w:t>Recruitment Experiences and Outlook Survey (REOS)</w:t>
      </w:r>
      <w:r w:rsidR="00D02964" w:rsidRPr="001312A5">
        <w:t>;</w:t>
      </w:r>
      <w:r w:rsidRPr="001312A5">
        <w:t xml:space="preserve"> and Internet Vacancy Index (IVI) (seasonally adjusted).</w:t>
      </w:r>
    </w:p>
    <w:p w14:paraId="1D4537B8" w14:textId="3D45AC13" w:rsidR="00E64C52" w:rsidRDefault="003E7B6F" w:rsidP="001312A5">
      <w:r>
        <w:t>F</w:t>
      </w:r>
      <w:r w:rsidR="00E64C52">
        <w:t xml:space="preserve">ill rates increased in most states and territories, except </w:t>
      </w:r>
      <w:r w:rsidR="00D02964">
        <w:t xml:space="preserve">in </w:t>
      </w:r>
      <w:r w:rsidR="001E5CB7">
        <w:t xml:space="preserve">Queensland </w:t>
      </w:r>
      <w:r w:rsidR="00E64C52">
        <w:t xml:space="preserve">and </w:t>
      </w:r>
      <w:r w:rsidR="001E5CB7">
        <w:t xml:space="preserve">South </w:t>
      </w:r>
      <w:r w:rsidR="00E64C52">
        <w:t>Australia</w:t>
      </w:r>
      <w:r w:rsidR="00D02964">
        <w:t xml:space="preserve">, where </w:t>
      </w:r>
      <w:r w:rsidR="00E64C52">
        <w:t>the fill rate</w:t>
      </w:r>
      <w:r w:rsidR="00365140">
        <w:t>s</w:t>
      </w:r>
      <w:r w:rsidR="00E64C52">
        <w:t xml:space="preserve"> </w:t>
      </w:r>
      <w:r w:rsidR="001E5CB7">
        <w:t xml:space="preserve">both </w:t>
      </w:r>
      <w:r w:rsidR="00E64C52">
        <w:t xml:space="preserve">fell by </w:t>
      </w:r>
      <w:r w:rsidR="001E5CB7">
        <w:t xml:space="preserve">around 1 </w:t>
      </w:r>
      <w:r w:rsidR="00E64C52">
        <w:t xml:space="preserve">percentage point. </w:t>
      </w:r>
      <w:r w:rsidR="00D02964">
        <w:t>T</w:t>
      </w:r>
      <w:r w:rsidR="00E64C52">
        <w:t xml:space="preserve">he largest </w:t>
      </w:r>
      <w:r w:rsidR="00D02964">
        <w:t xml:space="preserve">increases were </w:t>
      </w:r>
      <w:r w:rsidR="00E64C52">
        <w:t xml:space="preserve">observed in Tasmania and </w:t>
      </w:r>
      <w:r w:rsidR="004A0E0D">
        <w:t xml:space="preserve">the </w:t>
      </w:r>
      <w:r w:rsidR="001E5CB7">
        <w:t xml:space="preserve">Australian Capital </w:t>
      </w:r>
      <w:r w:rsidR="00E64C52">
        <w:t xml:space="preserve">Territory, where the fill rates both increased </w:t>
      </w:r>
      <w:r w:rsidR="004A0E0D">
        <w:t xml:space="preserve">by more than </w:t>
      </w:r>
      <w:r w:rsidR="001E5CB7">
        <w:t>3</w:t>
      </w:r>
      <w:r w:rsidR="00E64C52">
        <w:t xml:space="preserve"> percentage points (</w:t>
      </w:r>
      <w:r w:rsidR="00D02964">
        <w:t xml:space="preserve">see </w:t>
      </w:r>
      <w:r w:rsidR="00E64C52">
        <w:t>Appendix Table 1</w:t>
      </w:r>
      <w:r w:rsidR="00985250">
        <w:t xml:space="preserve"> for more details</w:t>
      </w:r>
      <w:r w:rsidR="00E64C52">
        <w:t xml:space="preserve">). </w:t>
      </w:r>
    </w:p>
    <w:p w14:paraId="154D67B5" w14:textId="4F226E11" w:rsidR="00E64C52" w:rsidRDefault="0055660F" w:rsidP="001312A5">
      <w:r>
        <w:t>By Skill Level, f</w:t>
      </w:r>
      <w:r w:rsidR="001E5CB7">
        <w:t xml:space="preserve">ill rates increased </w:t>
      </w:r>
      <w:r>
        <w:t xml:space="preserve">across </w:t>
      </w:r>
      <w:r w:rsidR="00985250">
        <w:t xml:space="preserve">all levels from 1 to 4. </w:t>
      </w:r>
      <w:r w:rsidR="00CE3FC2">
        <w:t>T</w:t>
      </w:r>
      <w:r w:rsidR="001E5CB7">
        <w:t>he largest inc</w:t>
      </w:r>
      <w:r w:rsidR="00365140">
        <w:t>rease</w:t>
      </w:r>
      <w:r w:rsidR="00CE3FC2">
        <w:t xml:space="preserve"> was observed </w:t>
      </w:r>
      <w:r w:rsidR="00692C25">
        <w:t>for Skill Level 4 occupations</w:t>
      </w:r>
      <w:r w:rsidR="00C6156A">
        <w:t>,</w:t>
      </w:r>
      <w:r w:rsidR="00985250">
        <w:t xml:space="preserve"> </w:t>
      </w:r>
      <w:r w:rsidR="00C6156A">
        <w:t xml:space="preserve">increasing </w:t>
      </w:r>
      <w:r w:rsidR="00985250">
        <w:t>by</w:t>
      </w:r>
      <w:r w:rsidR="00C6156A">
        <w:t xml:space="preserve"> </w:t>
      </w:r>
      <w:r w:rsidR="00CE3FC2">
        <w:t xml:space="preserve">3 percentage points </w:t>
      </w:r>
      <w:r w:rsidR="003E7B6F">
        <w:t xml:space="preserve">(see </w:t>
      </w:r>
      <w:r w:rsidR="00985250">
        <w:t>Appendix Table 1 for more details</w:t>
      </w:r>
      <w:r w:rsidR="003E7B6F">
        <w:t xml:space="preserve">). </w:t>
      </w:r>
      <w:r w:rsidR="00C6156A">
        <w:t>The f</w:t>
      </w:r>
      <w:r w:rsidR="003E7B6F">
        <w:t xml:space="preserve">ill rate for Skill Level 3 occupations </w:t>
      </w:r>
      <w:r w:rsidR="00985250">
        <w:t xml:space="preserve">increased by 1 percentage point. But the rate </w:t>
      </w:r>
      <w:r w:rsidR="003E7B6F">
        <w:t>remain</w:t>
      </w:r>
      <w:r w:rsidR="004A0E0D">
        <w:t>e</w:t>
      </w:r>
      <w:r w:rsidR="00985250">
        <w:t xml:space="preserve">d </w:t>
      </w:r>
      <w:r w:rsidR="003E7B6F">
        <w:t xml:space="preserve">low at </w:t>
      </w:r>
      <w:r w:rsidR="000B6C33">
        <w:t xml:space="preserve">48%. The </w:t>
      </w:r>
      <w:r w:rsidR="00985250">
        <w:t xml:space="preserve">modest rise and the low fill rate </w:t>
      </w:r>
      <w:bookmarkStart w:id="7" w:name="_Hlk150886481"/>
      <w:r w:rsidR="00E64C52">
        <w:t xml:space="preserve">may indicate that skill shortage pressures </w:t>
      </w:r>
      <w:r w:rsidR="00C6156A">
        <w:t xml:space="preserve">for these occupations </w:t>
      </w:r>
      <w:r w:rsidR="009D7B81">
        <w:t>persist</w:t>
      </w:r>
      <w:r w:rsidR="00E64C52">
        <w:t xml:space="preserve">. </w:t>
      </w:r>
      <w:bookmarkEnd w:id="7"/>
    </w:p>
    <w:p w14:paraId="04575117" w14:textId="4A9DFF20" w:rsidR="00D02964" w:rsidRDefault="00E64C52" w:rsidP="001312A5">
      <w:bookmarkStart w:id="8" w:name="_Hlk150886497"/>
      <w:r>
        <w:t xml:space="preserve">In the </w:t>
      </w:r>
      <w:r w:rsidR="00692C25">
        <w:t xml:space="preserve">December </w:t>
      </w:r>
      <w:r>
        <w:t>quarter 2023, fill rates for both metropolitan and regional areas</w:t>
      </w:r>
      <w:r w:rsidR="00825BE1">
        <w:t xml:space="preserve"> (see definitions in the </w:t>
      </w:r>
      <w:r w:rsidR="0090720C">
        <w:t>Explanatory Notes</w:t>
      </w:r>
      <w:r w:rsidR="00825BE1">
        <w:t>)</w:t>
      </w:r>
      <w:r>
        <w:t xml:space="preserve"> increased modestly to 66% and 5</w:t>
      </w:r>
      <w:r w:rsidR="00692C25">
        <w:t>9</w:t>
      </w:r>
      <w:r>
        <w:t>%</w:t>
      </w:r>
      <w:r w:rsidR="00985250">
        <w:t>,</w:t>
      </w:r>
      <w:r>
        <w:t xml:space="preserve"> respectively</w:t>
      </w:r>
      <w:r w:rsidR="00985250">
        <w:t xml:space="preserve">. But </w:t>
      </w:r>
      <w:r w:rsidR="00DD1B06">
        <w:t xml:space="preserve">in </w:t>
      </w:r>
      <w:r>
        <w:t>metropolitan area</w:t>
      </w:r>
      <w:r w:rsidR="00A579F0">
        <w:t>s</w:t>
      </w:r>
      <w:r w:rsidR="00DD1B06">
        <w:t>,</w:t>
      </w:r>
      <w:r>
        <w:t xml:space="preserve"> fill rates remain</w:t>
      </w:r>
      <w:r w:rsidR="004A0E0D">
        <w:t>ed</w:t>
      </w:r>
      <w:r>
        <w:t xml:space="preserve"> well above the fill rates in regional areas. </w:t>
      </w:r>
    </w:p>
    <w:p w14:paraId="4F45E8B2" w14:textId="4C5E991E" w:rsidR="002F4A88" w:rsidRDefault="00E64C52" w:rsidP="00236A7E">
      <w:pPr>
        <w:pStyle w:val="ListBullet"/>
        <w:numPr>
          <w:ilvl w:val="0"/>
          <w:numId w:val="0"/>
        </w:numPr>
      </w:pPr>
      <w:r>
        <w:t xml:space="preserve">The average difference in fill rates between the two </w:t>
      </w:r>
      <w:r w:rsidR="000B6C33">
        <w:t>areas</w:t>
      </w:r>
      <w:r>
        <w:t xml:space="preserve"> has widened over time from </w:t>
      </w:r>
      <w:r w:rsidR="00D02964">
        <w:t xml:space="preserve">an </w:t>
      </w:r>
      <w:r>
        <w:t xml:space="preserve">average of 2 percentage points in 2022 to </w:t>
      </w:r>
      <w:r w:rsidR="0055660F">
        <w:t>6</w:t>
      </w:r>
      <w:r w:rsidR="00692C25">
        <w:t xml:space="preserve"> </w:t>
      </w:r>
      <w:r>
        <w:t xml:space="preserve">percentage points in 2023, indicating skill shortage pressures in regional areas </w:t>
      </w:r>
      <w:r w:rsidR="002F4A88">
        <w:t xml:space="preserve">have become </w:t>
      </w:r>
      <w:r>
        <w:t>more pronounced.</w:t>
      </w:r>
      <w:r w:rsidR="00C6156A">
        <w:t xml:space="preserve"> </w:t>
      </w:r>
      <w:r w:rsidR="002F4A88">
        <w:t xml:space="preserve">This is supported by data from </w:t>
      </w:r>
      <w:r w:rsidR="0090720C">
        <w:t xml:space="preserve">the </w:t>
      </w:r>
      <w:r w:rsidR="000B6C33">
        <w:t xml:space="preserve">REOS, </w:t>
      </w:r>
      <w:r w:rsidR="00A5382E">
        <w:t>which</w:t>
      </w:r>
      <w:r w:rsidR="00246E21">
        <w:t xml:space="preserve"> also</w:t>
      </w:r>
      <w:r w:rsidR="00A5382E">
        <w:t xml:space="preserve"> show the average difference in recruitment difficulty between Capital Cities and the Rest of State areas has </w:t>
      </w:r>
      <w:r w:rsidR="000B6C33">
        <w:t xml:space="preserve">increased </w:t>
      </w:r>
      <w:r w:rsidR="00A5382E">
        <w:t>from an average of 2 percentage points in 2022 to 6 percentage points in 2023.</w:t>
      </w:r>
    </w:p>
    <w:p w14:paraId="0800A0E4" w14:textId="618E43EB" w:rsidR="00EA5604" w:rsidRPr="001312A5" w:rsidRDefault="00D84775" w:rsidP="001312A5">
      <w:pPr>
        <w:pStyle w:val="Heading2"/>
      </w:pPr>
      <w:bookmarkStart w:id="9" w:name="_Toc159421584"/>
      <w:bookmarkEnd w:id="8"/>
      <w:r w:rsidRPr="001312A5">
        <w:lastRenderedPageBreak/>
        <w:t>The gap between qualified and suitable applicants</w:t>
      </w:r>
      <w:bookmarkEnd w:id="9"/>
      <w:r w:rsidRPr="001312A5">
        <w:t xml:space="preserve"> </w:t>
      </w:r>
    </w:p>
    <w:p w14:paraId="4318A998" w14:textId="02692679" w:rsidR="00174A13" w:rsidRDefault="008A0771" w:rsidP="001312A5">
      <w:r>
        <w:t>Over the quarter to</w:t>
      </w:r>
      <w:r w:rsidR="00E64C52">
        <w:t xml:space="preserve"> </w:t>
      </w:r>
      <w:r w:rsidR="009D5AF2">
        <w:t>Dec</w:t>
      </w:r>
      <w:r w:rsidR="00E64C52">
        <w:t xml:space="preserve">ember 2023, </w:t>
      </w:r>
      <w:r w:rsidR="001D52EF">
        <w:t xml:space="preserve">the suitability gap </w:t>
      </w:r>
      <w:r>
        <w:t>increased by 1.6 percentage points</w:t>
      </w:r>
      <w:r w:rsidR="00C6156A">
        <w:t xml:space="preserve"> </w:t>
      </w:r>
      <w:r>
        <w:t>to 56.3%</w:t>
      </w:r>
      <w:r w:rsidR="001D52EF">
        <w:t>.</w:t>
      </w:r>
      <w:r>
        <w:rPr>
          <w:rStyle w:val="FootnoteReference"/>
        </w:rPr>
        <w:footnoteReference w:id="3"/>
      </w:r>
      <w:r w:rsidR="001D52EF" w:rsidRPr="001D52EF">
        <w:t xml:space="preserve"> </w:t>
      </w:r>
      <w:r w:rsidR="00DB3BB4">
        <w:t xml:space="preserve">A </w:t>
      </w:r>
      <w:r w:rsidR="001D52EF">
        <w:t xml:space="preserve">suitability gap </w:t>
      </w:r>
      <w:r w:rsidR="00C17744">
        <w:t xml:space="preserve">captures the </w:t>
      </w:r>
      <w:r w:rsidR="00174A13">
        <w:t xml:space="preserve">percentage </w:t>
      </w:r>
      <w:r w:rsidR="00C17744" w:rsidRPr="00C17744">
        <w:t>of applicants who have the required qualifications but are deemed unsuitable for the job advertised</w:t>
      </w:r>
      <w:r w:rsidR="00C17744">
        <w:t xml:space="preserve">. </w:t>
      </w:r>
    </w:p>
    <w:p w14:paraId="06D7EF4C" w14:textId="585C6A20" w:rsidR="003A3F70" w:rsidRDefault="00174A13" w:rsidP="001312A5">
      <w:r>
        <w:t>The metric has several interpretations</w:t>
      </w:r>
      <w:r w:rsidR="003A3F70">
        <w:t>.</w:t>
      </w:r>
      <w:r>
        <w:t xml:space="preserve"> </w:t>
      </w:r>
      <w:r w:rsidR="003A3F70">
        <w:t xml:space="preserve">For example, a </w:t>
      </w:r>
      <w:r w:rsidR="003A3F70" w:rsidRPr="003A3F70">
        <w:t>wide or widening gap may indicate</w:t>
      </w:r>
      <w:r w:rsidR="003A3F70">
        <w:t>:</w:t>
      </w:r>
    </w:p>
    <w:p w14:paraId="7BE50052" w14:textId="3ABEDC47" w:rsidR="003A3F70" w:rsidRDefault="00DB1E97" w:rsidP="003A3F70">
      <w:pPr>
        <w:pStyle w:val="ListParagraph"/>
        <w:numPr>
          <w:ilvl w:val="0"/>
          <w:numId w:val="28"/>
        </w:numPr>
      </w:pPr>
      <w:r>
        <w:t>that qualifications of applicants may not be equipping them with all skills and experiences need</w:t>
      </w:r>
      <w:r w:rsidR="002C1566">
        <w:t>ed</w:t>
      </w:r>
      <w:r>
        <w:t xml:space="preserve">, including the </w:t>
      </w:r>
      <w:r w:rsidR="003A3F70" w:rsidRPr="003A3F70">
        <w:t xml:space="preserve">need for </w:t>
      </w:r>
      <w:r w:rsidR="003A3F70">
        <w:t xml:space="preserve">greater </w:t>
      </w:r>
      <w:r w:rsidR="003A3F70" w:rsidRPr="003A3F70">
        <w:t>work experience and/or other soft or hard skills.</w:t>
      </w:r>
    </w:p>
    <w:p w14:paraId="1BDA67C3" w14:textId="0A6A116D" w:rsidR="003A3F70" w:rsidRDefault="003A3F70" w:rsidP="003A3F70">
      <w:pPr>
        <w:pStyle w:val="ListParagraph"/>
        <w:numPr>
          <w:ilvl w:val="0"/>
          <w:numId w:val="28"/>
        </w:numPr>
      </w:pPr>
      <w:r>
        <w:t xml:space="preserve">slack in the labour market, allowing employers </w:t>
      </w:r>
      <w:r w:rsidR="00733217">
        <w:t>greater scrutiny</w:t>
      </w:r>
      <w:r>
        <w:t xml:space="preserve"> of candidates that apply for vacant roles. </w:t>
      </w:r>
    </w:p>
    <w:p w14:paraId="4355C0DD" w14:textId="5C24A669" w:rsidR="00EE445F" w:rsidRPr="001312A5" w:rsidRDefault="001E66BB" w:rsidP="001312A5">
      <w:pPr>
        <w:pStyle w:val="Heading3"/>
      </w:pPr>
      <w:bookmarkStart w:id="10" w:name="_Toc159421585"/>
      <w:r w:rsidRPr="001312A5">
        <w:t>S</w:t>
      </w:r>
      <w:r w:rsidR="00EE445F" w:rsidRPr="001312A5">
        <w:t>tate and territory</w:t>
      </w:r>
      <w:bookmarkEnd w:id="10"/>
    </w:p>
    <w:p w14:paraId="1FE746CE" w14:textId="1ECA86B3" w:rsidR="00C61A79" w:rsidRDefault="00B27E93" w:rsidP="00C61A79">
      <w:r>
        <w:t xml:space="preserve">In the </w:t>
      </w:r>
      <w:r w:rsidR="00472F31">
        <w:t xml:space="preserve">December </w:t>
      </w:r>
      <w:r>
        <w:t xml:space="preserve">quarter 2023, </w:t>
      </w:r>
      <w:r w:rsidR="00275B96">
        <w:t>all</w:t>
      </w:r>
      <w:r>
        <w:t xml:space="preserve"> states </w:t>
      </w:r>
      <w:r w:rsidR="00275B96">
        <w:t>have a suitability gap above 52%</w:t>
      </w:r>
      <w:r w:rsidR="00C61A79">
        <w:t>. Only</w:t>
      </w:r>
      <w:r w:rsidR="00275B96">
        <w:t xml:space="preserve"> Western Australia, the </w:t>
      </w:r>
      <w:r w:rsidR="00DC5C5E">
        <w:t xml:space="preserve">Australian Capital Territory </w:t>
      </w:r>
      <w:r w:rsidR="00F919D2">
        <w:t xml:space="preserve">and </w:t>
      </w:r>
      <w:r w:rsidR="00275B96">
        <w:t xml:space="preserve">Tasmania </w:t>
      </w:r>
      <w:r w:rsidR="00C61A79">
        <w:t xml:space="preserve">had </w:t>
      </w:r>
      <w:r w:rsidR="00275B96">
        <w:t xml:space="preserve">suitability gaps </w:t>
      </w:r>
      <w:r w:rsidR="00C61A79">
        <w:t xml:space="preserve">between </w:t>
      </w:r>
      <w:r w:rsidR="00275B96">
        <w:t xml:space="preserve">40% </w:t>
      </w:r>
      <w:r w:rsidR="00C61A79">
        <w:t xml:space="preserve">and </w:t>
      </w:r>
      <w:r w:rsidR="00275B96">
        <w:t>46%</w:t>
      </w:r>
      <w:r w:rsidR="00C61A79">
        <w:t xml:space="preserve"> (see more details in the Appendix Table 1).</w:t>
      </w:r>
      <w:r w:rsidR="00275B96">
        <w:t xml:space="preserve"> </w:t>
      </w:r>
    </w:p>
    <w:p w14:paraId="21455453" w14:textId="222B28BD" w:rsidR="00C61A79" w:rsidRDefault="00275B96" w:rsidP="00C61A79">
      <w:r>
        <w:t>Tasmania ha</w:t>
      </w:r>
      <w:r w:rsidR="00C61A79">
        <w:t>d</w:t>
      </w:r>
      <w:r>
        <w:t xml:space="preserve"> the lowest suitability gap, at 40.2%</w:t>
      </w:r>
      <w:r w:rsidR="00C61A79">
        <w:t xml:space="preserve">. The fill rate in the state also increased by 3.5 percentage points in </w:t>
      </w:r>
      <w:r w:rsidR="002230FE">
        <w:t xml:space="preserve">the </w:t>
      </w:r>
      <w:r w:rsidR="00C61A79">
        <w:t xml:space="preserve">December 2023 quarter. The two combined, may reflect Tasmanian employers needing to </w:t>
      </w:r>
      <w:r w:rsidR="00427FFE">
        <w:t>relax scrutiny of</w:t>
      </w:r>
      <w:r w:rsidR="00C61A79">
        <w:t xml:space="preserve"> applicants due to, on average, having a smaller pool of qualified applicants to select candidates from than the other jurisdictions.</w:t>
      </w:r>
    </w:p>
    <w:p w14:paraId="2AA076C3" w14:textId="10DDB6FB" w:rsidR="00EE445F" w:rsidRPr="00126AD2" w:rsidRDefault="00EE445F" w:rsidP="00126AD2">
      <w:pPr>
        <w:pStyle w:val="Heading3"/>
      </w:pPr>
      <w:bookmarkStart w:id="11" w:name="_Toc159421586"/>
      <w:r w:rsidRPr="00126AD2">
        <w:t>Skill Level</w:t>
      </w:r>
      <w:bookmarkEnd w:id="11"/>
    </w:p>
    <w:p w14:paraId="0A55DA63" w14:textId="6CC69F97" w:rsidR="00C03CDB" w:rsidRDefault="00C96B0F" w:rsidP="00E64C52">
      <w:r>
        <w:t>In</w:t>
      </w:r>
      <w:r w:rsidR="006E753E">
        <w:t xml:space="preserve"> the </w:t>
      </w:r>
      <w:r w:rsidR="00E64C52">
        <w:t>current quarter</w:t>
      </w:r>
      <w:r w:rsidR="00D568E1">
        <w:t>,</w:t>
      </w:r>
      <w:r w:rsidR="00E64C52">
        <w:t xml:space="preserve"> Skill Level 1</w:t>
      </w:r>
      <w:r w:rsidR="001A30E4">
        <w:t xml:space="preserve"> </w:t>
      </w:r>
      <w:r w:rsidR="00E64C52">
        <w:t xml:space="preserve">occupations had the widest suitability gap of </w:t>
      </w:r>
      <w:r w:rsidR="00D47C05">
        <w:t>65.7%</w:t>
      </w:r>
      <w:r w:rsidR="00E144B2">
        <w:t>,</w:t>
      </w:r>
      <w:r w:rsidR="00FE62AF">
        <w:t xml:space="preserve"> while </w:t>
      </w:r>
      <w:r w:rsidR="00E64C52">
        <w:t xml:space="preserve">Skill Level </w:t>
      </w:r>
      <w:r w:rsidR="00E144B2">
        <w:t>3</w:t>
      </w:r>
      <w:r w:rsidR="00E64C52">
        <w:t xml:space="preserve"> occupations had the lowest suitability gap</w:t>
      </w:r>
      <w:r w:rsidR="001A30E4">
        <w:t xml:space="preserve"> of</w:t>
      </w:r>
      <w:r w:rsidR="00E64C52">
        <w:t xml:space="preserve"> </w:t>
      </w:r>
      <w:r w:rsidR="00D47C05">
        <w:t>44.8%</w:t>
      </w:r>
      <w:r w:rsidR="00151A52">
        <w:t xml:space="preserve"> (see more details in the Appendix Table 1)</w:t>
      </w:r>
      <w:r w:rsidR="00E64C52">
        <w:t>.</w:t>
      </w:r>
      <w:r w:rsidR="00DB1E97">
        <w:rPr>
          <w:rStyle w:val="FootnoteReference"/>
        </w:rPr>
        <w:footnoteReference w:id="4"/>
      </w:r>
      <w:r w:rsidR="00E64C52">
        <w:t xml:space="preserve"> </w:t>
      </w:r>
    </w:p>
    <w:p w14:paraId="24C81893" w14:textId="606A3966" w:rsidR="00E64C52" w:rsidRDefault="00151A52" w:rsidP="00E64C52">
      <w:r>
        <w:t xml:space="preserve">The low </w:t>
      </w:r>
      <w:r w:rsidR="00E144B2">
        <w:t xml:space="preserve">suitability gap for Skill Level 3 </w:t>
      </w:r>
      <w:r>
        <w:t xml:space="preserve">occupations, </w:t>
      </w:r>
      <w:r w:rsidR="00796320">
        <w:t>and</w:t>
      </w:r>
      <w:r>
        <w:t xml:space="preserve"> low fill rate of </w:t>
      </w:r>
      <w:r w:rsidR="00E144B2">
        <w:t>48%</w:t>
      </w:r>
      <w:r w:rsidR="00C03CDB">
        <w:t xml:space="preserve">, </w:t>
      </w:r>
      <w:r>
        <w:t xml:space="preserve">may suggest </w:t>
      </w:r>
      <w:r w:rsidR="00E64C52">
        <w:t>ongoing challenges that employers are facing with filling vacant positions.</w:t>
      </w:r>
      <w:r>
        <w:t xml:space="preserve"> </w:t>
      </w:r>
    </w:p>
    <w:p w14:paraId="4839EC35" w14:textId="4C732BD2" w:rsidR="00944861" w:rsidRPr="00126AD2" w:rsidRDefault="001E66BB" w:rsidP="00126AD2">
      <w:pPr>
        <w:pStyle w:val="Heading3"/>
      </w:pPr>
      <w:bookmarkStart w:id="12" w:name="_Toc159421587"/>
      <w:r>
        <w:t>R</w:t>
      </w:r>
      <w:r w:rsidR="000A4C5A">
        <w:t>egions</w:t>
      </w:r>
      <w:bookmarkEnd w:id="12"/>
    </w:p>
    <w:p w14:paraId="47B6B465" w14:textId="190938BC" w:rsidR="00264DBE" w:rsidRDefault="00E144B2" w:rsidP="00E64C52">
      <w:r>
        <w:t>T</w:t>
      </w:r>
      <w:r w:rsidR="00E64C52">
        <w:t>he suitability gap is much larger in metropolitan areas</w:t>
      </w:r>
      <w:r w:rsidR="00D568E1">
        <w:t xml:space="preserve"> </w:t>
      </w:r>
      <w:r w:rsidR="00E64C52">
        <w:t>than in regional areas</w:t>
      </w:r>
      <w:r w:rsidR="00264DBE">
        <w:t xml:space="preserve"> (</w:t>
      </w:r>
      <w:r>
        <w:t>58.5% versus 47.8%</w:t>
      </w:r>
      <w:r w:rsidR="00264DBE">
        <w:t>)</w:t>
      </w:r>
      <w:r w:rsidR="00E64C52">
        <w:t xml:space="preserve">. </w:t>
      </w:r>
      <w:r w:rsidR="00581B3A">
        <w:t>T</w:t>
      </w:r>
      <w:r w:rsidR="00E64C52">
        <w:t xml:space="preserve">he large difference is </w:t>
      </w:r>
      <w:r w:rsidR="00781D67">
        <w:t xml:space="preserve">a product of </w:t>
      </w:r>
      <w:r w:rsidR="00E64C52">
        <w:t>much larger pool</w:t>
      </w:r>
      <w:r w:rsidR="00B9780D">
        <w:t>s</w:t>
      </w:r>
      <w:r w:rsidR="00E64C52">
        <w:t xml:space="preserve"> of </w:t>
      </w:r>
      <w:r w:rsidR="00EE1839">
        <w:t xml:space="preserve">applicants </w:t>
      </w:r>
      <w:r w:rsidR="00781D67">
        <w:t xml:space="preserve">in </w:t>
      </w:r>
      <w:r w:rsidR="00DA1CDC">
        <w:t xml:space="preserve">metropolitan areas </w:t>
      </w:r>
      <w:r w:rsidR="00EE1839">
        <w:t xml:space="preserve">compared </w:t>
      </w:r>
      <w:r w:rsidR="00264DBE">
        <w:t xml:space="preserve">to regional areas (21.1 versus 11.0 applicants per vacancy) that allow metropolitan-based employers </w:t>
      </w:r>
      <w:r w:rsidR="00A5756C">
        <w:t xml:space="preserve">greater scrutiny </w:t>
      </w:r>
      <w:r w:rsidR="00264DBE">
        <w:t>of applicants</w:t>
      </w:r>
      <w:r w:rsidR="00EE1839">
        <w:t>.</w:t>
      </w:r>
      <w:r w:rsidR="00E64C52">
        <w:t xml:space="preserve"> </w:t>
      </w:r>
      <w:r w:rsidR="00264DBE">
        <w:t xml:space="preserve">Moreover, </w:t>
      </w:r>
      <w:r>
        <w:t>the gap increased more in regional areas (5.8 percentage points)</w:t>
      </w:r>
      <w:r w:rsidR="00264DBE">
        <w:t xml:space="preserve">, potentially reflecting ongoing challenges </w:t>
      </w:r>
      <w:r w:rsidR="000F5E9D">
        <w:t>for</w:t>
      </w:r>
      <w:r w:rsidR="00264DBE">
        <w:t xml:space="preserve"> regional employers</w:t>
      </w:r>
      <w:r w:rsidR="0018209C">
        <w:t xml:space="preserve"> in</w:t>
      </w:r>
      <w:r w:rsidR="00264DBE">
        <w:t xml:space="preserve"> finding suitably skilled workers to fill vacant roles</w:t>
      </w:r>
      <w:r>
        <w:t>.</w:t>
      </w:r>
    </w:p>
    <w:p w14:paraId="4EB751FC" w14:textId="77777777" w:rsidR="00264DBE" w:rsidRDefault="00264DBE">
      <w:pPr>
        <w:spacing w:after="160" w:line="259" w:lineRule="auto"/>
      </w:pPr>
      <w:r>
        <w:br w:type="page"/>
      </w:r>
    </w:p>
    <w:p w14:paraId="6C1B7805" w14:textId="6B771BE9" w:rsidR="00EA5604" w:rsidRPr="001F36D6" w:rsidRDefault="003764CC" w:rsidP="00126AD2">
      <w:pPr>
        <w:pStyle w:val="Heading2"/>
      </w:pPr>
      <w:bookmarkStart w:id="13" w:name="_Toc159421588"/>
      <w:r>
        <w:lastRenderedPageBreak/>
        <w:t>Professionals snapshot</w:t>
      </w:r>
      <w:bookmarkEnd w:id="13"/>
    </w:p>
    <w:p w14:paraId="578562E7" w14:textId="11D230A8" w:rsidR="003764CC" w:rsidRPr="008C0056" w:rsidRDefault="00E64C52" w:rsidP="003764CC">
      <w:r w:rsidRPr="00E64C52">
        <w:t xml:space="preserve">The fill rate, the number of applicants per vacancy, and the number of qualified </w:t>
      </w:r>
      <w:r w:rsidR="00C04A0B">
        <w:t xml:space="preserve">and suitable </w:t>
      </w:r>
      <w:r w:rsidRPr="00E64C52">
        <w:t xml:space="preserve">applicants per vacancy all </w:t>
      </w:r>
      <w:r w:rsidR="00C04A0B">
        <w:t xml:space="preserve">increased </w:t>
      </w:r>
      <w:r w:rsidRPr="00E64C52">
        <w:t xml:space="preserve">in the </w:t>
      </w:r>
      <w:r w:rsidR="00C04A0B">
        <w:t>Dec</w:t>
      </w:r>
      <w:r w:rsidRPr="00E64C52">
        <w:t xml:space="preserve">ember quarter 2023 for occupations </w:t>
      </w:r>
      <w:r w:rsidR="004F39D1">
        <w:t xml:space="preserve">in </w:t>
      </w:r>
      <w:r w:rsidR="00896AE3">
        <w:t xml:space="preserve">the </w:t>
      </w:r>
      <w:r w:rsidRPr="00E64C52">
        <w:t xml:space="preserve">Professionals major group (Table 2). The suitability gap was </w:t>
      </w:r>
      <w:r w:rsidR="00646E7B">
        <w:t>65.4%</w:t>
      </w:r>
      <w:r w:rsidR="00696530">
        <w:t xml:space="preserve"> (up </w:t>
      </w:r>
      <w:r w:rsidR="00646E7B">
        <w:t>1.5 percentage points</w:t>
      </w:r>
      <w:r w:rsidR="00696530">
        <w:t>)</w:t>
      </w:r>
      <w:r w:rsidRPr="00E64C52">
        <w:t xml:space="preserve">. Occupations within </w:t>
      </w:r>
      <w:r w:rsidR="00D568E1">
        <w:t xml:space="preserve">the </w:t>
      </w:r>
      <w:r w:rsidRPr="00E64C52">
        <w:t xml:space="preserve">Professionals </w:t>
      </w:r>
      <w:r w:rsidR="00D568E1">
        <w:t xml:space="preserve">group </w:t>
      </w:r>
      <w:r w:rsidRPr="00E64C52">
        <w:t>tend to have a large gap, due to employers seeking highly qualified, skilled</w:t>
      </w:r>
      <w:r w:rsidR="00BA38A0">
        <w:t>,</w:t>
      </w:r>
      <w:r w:rsidRPr="00E64C52">
        <w:t xml:space="preserve"> and experienced workers.</w:t>
      </w:r>
      <w:r w:rsidR="003764CC">
        <w:t xml:space="preserve"> </w:t>
      </w:r>
    </w:p>
    <w:p w14:paraId="77D88C48" w14:textId="4B309DAB" w:rsidR="00E64C52" w:rsidRDefault="00E64C52" w:rsidP="00E64C52">
      <w:pPr>
        <w:pStyle w:val="Caption"/>
      </w:pPr>
      <w:r>
        <w:t xml:space="preserve">Table 2: Professionals snapshot </w:t>
      </w:r>
    </w:p>
    <w:tbl>
      <w:tblPr>
        <w:tblStyle w:val="JSATable1"/>
        <w:tblW w:w="8832" w:type="dxa"/>
        <w:tblLayout w:type="fixed"/>
        <w:tblLook w:val="0020" w:firstRow="1" w:lastRow="0" w:firstColumn="0" w:lastColumn="0" w:noHBand="0" w:noVBand="0"/>
      </w:tblPr>
      <w:tblGrid>
        <w:gridCol w:w="1655"/>
        <w:gridCol w:w="1242"/>
        <w:gridCol w:w="1519"/>
        <w:gridCol w:w="1587"/>
        <w:gridCol w:w="1587"/>
        <w:gridCol w:w="1242"/>
      </w:tblGrid>
      <w:tr w:rsidR="00A94FF1" w:rsidRPr="00B26C3D" w14:paraId="15576BA4" w14:textId="6BCD64F3" w:rsidTr="00806F94">
        <w:trPr>
          <w:cnfStyle w:val="100000000000" w:firstRow="1" w:lastRow="0" w:firstColumn="0" w:lastColumn="0" w:oddVBand="0" w:evenVBand="0" w:oddHBand="0" w:evenHBand="0" w:firstRowFirstColumn="0" w:firstRowLastColumn="0" w:lastRowFirstColumn="0" w:lastRowLastColumn="0"/>
          <w:trHeight w:val="573"/>
        </w:trPr>
        <w:tc>
          <w:tcPr>
            <w:tcW w:w="1655" w:type="dxa"/>
          </w:tcPr>
          <w:p w14:paraId="498A9978" w14:textId="77777777" w:rsidR="0038325E" w:rsidRPr="00B26C3D" w:rsidRDefault="0038325E" w:rsidP="008F0C4A"/>
        </w:tc>
        <w:tc>
          <w:tcPr>
            <w:tcW w:w="1242" w:type="dxa"/>
          </w:tcPr>
          <w:p w14:paraId="652E7F69" w14:textId="77777777" w:rsidR="0038325E" w:rsidRPr="00B26C3D" w:rsidRDefault="0038325E" w:rsidP="008F0C4A">
            <w:r>
              <w:t>Fill rate (%)</w:t>
            </w:r>
          </w:p>
        </w:tc>
        <w:tc>
          <w:tcPr>
            <w:tcW w:w="1519" w:type="dxa"/>
          </w:tcPr>
          <w:p w14:paraId="43DAD1C9" w14:textId="77777777" w:rsidR="0038325E" w:rsidRPr="00B26C3D" w:rsidRDefault="0038325E" w:rsidP="008F0C4A">
            <w:r w:rsidRPr="00B26C3D">
              <w:t>A</w:t>
            </w:r>
            <w:r>
              <w:t>pplicants per vacancy (no.)</w:t>
            </w:r>
          </w:p>
        </w:tc>
        <w:tc>
          <w:tcPr>
            <w:tcW w:w="1587" w:type="dxa"/>
          </w:tcPr>
          <w:p w14:paraId="3CAEE26A" w14:textId="77777777" w:rsidR="0038325E" w:rsidRPr="00B26C3D" w:rsidRDefault="0038325E" w:rsidP="008F0C4A">
            <w:r>
              <w:t>Qualified applicants per vacancy (no.)</w:t>
            </w:r>
          </w:p>
        </w:tc>
        <w:tc>
          <w:tcPr>
            <w:tcW w:w="1587" w:type="dxa"/>
          </w:tcPr>
          <w:p w14:paraId="1C30C08C" w14:textId="77777777" w:rsidR="0038325E" w:rsidRPr="00B26C3D" w:rsidRDefault="0038325E" w:rsidP="008F0C4A">
            <w:r>
              <w:t>Suitable applicants per vacancy (no.)</w:t>
            </w:r>
          </w:p>
        </w:tc>
        <w:tc>
          <w:tcPr>
            <w:tcW w:w="1242" w:type="dxa"/>
          </w:tcPr>
          <w:p w14:paraId="41A6BA22" w14:textId="74F96D8A" w:rsidR="0038325E" w:rsidRDefault="0038325E" w:rsidP="00806F94">
            <w:r>
              <w:t>Suitability gap (</w:t>
            </w:r>
            <w:r w:rsidR="0030243C">
              <w:t>%</w:t>
            </w:r>
            <w:r>
              <w:t>)</w:t>
            </w:r>
          </w:p>
        </w:tc>
      </w:tr>
      <w:tr w:rsidR="0038325E" w:rsidRPr="00B26C3D" w14:paraId="56C5A915" w14:textId="343F8DEF" w:rsidTr="00806F94">
        <w:trPr>
          <w:trHeight w:val="323"/>
        </w:trPr>
        <w:tc>
          <w:tcPr>
            <w:tcW w:w="1655" w:type="dxa"/>
          </w:tcPr>
          <w:p w14:paraId="55C92F92" w14:textId="79C41110" w:rsidR="0038325E" w:rsidRPr="003764CC" w:rsidRDefault="000D1AD8" w:rsidP="00E64C52">
            <w:pPr>
              <w:rPr>
                <w:b/>
                <w:bCs/>
              </w:rPr>
            </w:pPr>
            <w:r>
              <w:rPr>
                <w:b/>
                <w:bCs/>
              </w:rPr>
              <w:t>Dec</w:t>
            </w:r>
            <w:r w:rsidR="0038325E" w:rsidRPr="003764CC">
              <w:rPr>
                <w:b/>
                <w:bCs/>
              </w:rPr>
              <w:t>ember 2023 quarter</w:t>
            </w:r>
          </w:p>
        </w:tc>
        <w:tc>
          <w:tcPr>
            <w:tcW w:w="1242" w:type="dxa"/>
            <w:vAlign w:val="center"/>
          </w:tcPr>
          <w:p w14:paraId="2232C856" w14:textId="44B4E1DA" w:rsidR="0038325E" w:rsidRPr="00E64C52" w:rsidRDefault="0038325E" w:rsidP="00E64C52">
            <w:pPr>
              <w:rPr>
                <w:b/>
                <w:bCs/>
              </w:rPr>
            </w:pPr>
            <w:r w:rsidRPr="00E64C52">
              <w:rPr>
                <w:b/>
                <w:bCs/>
                <w:sz w:val="20"/>
                <w:szCs w:val="20"/>
              </w:rPr>
              <w:t>6</w:t>
            </w:r>
            <w:r w:rsidR="000D1AD8">
              <w:rPr>
                <w:b/>
                <w:bCs/>
                <w:sz w:val="20"/>
                <w:szCs w:val="20"/>
              </w:rPr>
              <w:t>2.9</w:t>
            </w:r>
            <w:r w:rsidRPr="00E64C52">
              <w:rPr>
                <w:b/>
                <w:bCs/>
                <w:sz w:val="20"/>
                <w:szCs w:val="20"/>
              </w:rPr>
              <w:t>%</w:t>
            </w:r>
          </w:p>
        </w:tc>
        <w:tc>
          <w:tcPr>
            <w:tcW w:w="1519" w:type="dxa"/>
            <w:vAlign w:val="center"/>
          </w:tcPr>
          <w:p w14:paraId="113C4BFC" w14:textId="7925E28F" w:rsidR="0038325E" w:rsidRPr="00E64C52" w:rsidRDefault="0038325E" w:rsidP="00E64C52">
            <w:pPr>
              <w:rPr>
                <w:b/>
                <w:bCs/>
              </w:rPr>
            </w:pPr>
            <w:r w:rsidRPr="00E64C52">
              <w:rPr>
                <w:b/>
                <w:bCs/>
                <w:sz w:val="20"/>
                <w:szCs w:val="20"/>
              </w:rPr>
              <w:t>18.6</w:t>
            </w:r>
          </w:p>
        </w:tc>
        <w:tc>
          <w:tcPr>
            <w:tcW w:w="1587" w:type="dxa"/>
            <w:vAlign w:val="center"/>
          </w:tcPr>
          <w:p w14:paraId="513BB3A0" w14:textId="7066E455" w:rsidR="0038325E" w:rsidRPr="00E64C52" w:rsidRDefault="0038325E" w:rsidP="00E64C52">
            <w:pPr>
              <w:rPr>
                <w:b/>
                <w:bCs/>
              </w:rPr>
            </w:pPr>
            <w:r w:rsidRPr="00E64C52">
              <w:rPr>
                <w:b/>
                <w:bCs/>
                <w:sz w:val="20"/>
                <w:szCs w:val="20"/>
              </w:rPr>
              <w:t>7.</w:t>
            </w:r>
            <w:r w:rsidR="006E3AAA">
              <w:rPr>
                <w:b/>
                <w:bCs/>
                <w:sz w:val="20"/>
                <w:szCs w:val="20"/>
              </w:rPr>
              <w:t>6</w:t>
            </w:r>
          </w:p>
        </w:tc>
        <w:tc>
          <w:tcPr>
            <w:tcW w:w="1587" w:type="dxa"/>
            <w:vAlign w:val="center"/>
          </w:tcPr>
          <w:p w14:paraId="7A66D9FD" w14:textId="15CDB816" w:rsidR="0038325E" w:rsidRPr="00E64C52" w:rsidRDefault="0038325E" w:rsidP="00E64C52">
            <w:pPr>
              <w:rPr>
                <w:b/>
                <w:bCs/>
              </w:rPr>
            </w:pPr>
            <w:r w:rsidRPr="00E64C52">
              <w:rPr>
                <w:b/>
                <w:bCs/>
                <w:sz w:val="20"/>
                <w:szCs w:val="20"/>
              </w:rPr>
              <w:t>2.</w:t>
            </w:r>
            <w:r w:rsidR="00A94FF1">
              <w:rPr>
                <w:b/>
                <w:bCs/>
                <w:sz w:val="20"/>
                <w:szCs w:val="20"/>
              </w:rPr>
              <w:t>6</w:t>
            </w:r>
          </w:p>
        </w:tc>
        <w:tc>
          <w:tcPr>
            <w:tcW w:w="1242" w:type="dxa"/>
            <w:vAlign w:val="center"/>
          </w:tcPr>
          <w:p w14:paraId="0534CCAA" w14:textId="6CFAEACD" w:rsidR="0038325E" w:rsidRPr="00E64C52" w:rsidRDefault="0030243C" w:rsidP="007F35F8">
            <w:pPr>
              <w:jc w:val="center"/>
              <w:rPr>
                <w:b/>
                <w:bCs/>
                <w:sz w:val="20"/>
                <w:szCs w:val="20"/>
              </w:rPr>
            </w:pPr>
            <w:r>
              <w:rPr>
                <w:b/>
                <w:bCs/>
                <w:sz w:val="20"/>
                <w:szCs w:val="20"/>
              </w:rPr>
              <w:t>65.4%</w:t>
            </w:r>
          </w:p>
        </w:tc>
      </w:tr>
      <w:tr w:rsidR="00A94FF1" w:rsidRPr="00B26C3D" w14:paraId="13534178" w14:textId="559C4A22" w:rsidTr="00806F94">
        <w:trPr>
          <w:cnfStyle w:val="000000010000" w:firstRow="0" w:lastRow="0" w:firstColumn="0" w:lastColumn="0" w:oddVBand="0" w:evenVBand="0" w:oddHBand="0" w:evenHBand="1" w:firstRowFirstColumn="0" w:firstRowLastColumn="0" w:lastRowFirstColumn="0" w:lastRowLastColumn="0"/>
          <w:trHeight w:val="323"/>
        </w:trPr>
        <w:tc>
          <w:tcPr>
            <w:tcW w:w="1655" w:type="dxa"/>
          </w:tcPr>
          <w:p w14:paraId="77F4734D" w14:textId="167F2FC5" w:rsidR="0038325E" w:rsidRPr="00B26C3D" w:rsidRDefault="0038325E" w:rsidP="00E64C52">
            <w:r>
              <w:t xml:space="preserve">Change since </w:t>
            </w:r>
            <w:r w:rsidR="000D1AD8">
              <w:t>September</w:t>
            </w:r>
            <w:r w:rsidRPr="00B26C3D">
              <w:t xml:space="preserve"> 202</w:t>
            </w:r>
            <w:r>
              <w:t>3 quarter</w:t>
            </w:r>
          </w:p>
        </w:tc>
        <w:tc>
          <w:tcPr>
            <w:tcW w:w="1242" w:type="dxa"/>
            <w:vAlign w:val="center"/>
          </w:tcPr>
          <w:p w14:paraId="77F847A8" w14:textId="5FAC052F" w:rsidR="0038325E" w:rsidRPr="00B26C3D" w:rsidRDefault="000D1AD8" w:rsidP="00E64C52">
            <w:r w:rsidRPr="00437E10">
              <w:rPr>
                <w:rFonts w:cs="Arial"/>
                <w:sz w:val="20"/>
                <w:szCs w:val="20"/>
              </w:rPr>
              <w:t>↑</w:t>
            </w:r>
            <w:r w:rsidR="0038325E" w:rsidRPr="00D2375C">
              <w:rPr>
                <w:rFonts w:cs="Arial"/>
                <w:sz w:val="20"/>
                <w:szCs w:val="20"/>
              </w:rPr>
              <w:t xml:space="preserve"> </w:t>
            </w:r>
            <w:r>
              <w:rPr>
                <w:rFonts w:cs="Arial"/>
                <w:sz w:val="20"/>
                <w:szCs w:val="20"/>
              </w:rPr>
              <w:t>1.0</w:t>
            </w:r>
            <w:r w:rsidR="0038325E" w:rsidRPr="00D2375C">
              <w:rPr>
                <w:rFonts w:cs="Arial"/>
                <w:sz w:val="20"/>
                <w:szCs w:val="20"/>
              </w:rPr>
              <w:t>% pts</w:t>
            </w:r>
          </w:p>
        </w:tc>
        <w:tc>
          <w:tcPr>
            <w:tcW w:w="1519" w:type="dxa"/>
            <w:vAlign w:val="center"/>
          </w:tcPr>
          <w:p w14:paraId="0AE1ED73" w14:textId="3DC36686" w:rsidR="0038325E" w:rsidRPr="00B26C3D" w:rsidRDefault="000D1AD8" w:rsidP="00E64C52">
            <w:r w:rsidRPr="00437E10">
              <w:rPr>
                <w:rFonts w:cs="Arial"/>
                <w:sz w:val="20"/>
                <w:szCs w:val="20"/>
              </w:rPr>
              <w:t>↑</w:t>
            </w:r>
            <w:r w:rsidR="0038325E" w:rsidRPr="00D2375C">
              <w:rPr>
                <w:rFonts w:cs="Arial"/>
                <w:sz w:val="20"/>
                <w:szCs w:val="20"/>
              </w:rPr>
              <w:t xml:space="preserve"> </w:t>
            </w:r>
            <w:r>
              <w:rPr>
                <w:rFonts w:cs="Arial"/>
                <w:sz w:val="20"/>
                <w:szCs w:val="20"/>
              </w:rPr>
              <w:t>1.0</w:t>
            </w:r>
          </w:p>
        </w:tc>
        <w:tc>
          <w:tcPr>
            <w:tcW w:w="1587" w:type="dxa"/>
            <w:vAlign w:val="center"/>
          </w:tcPr>
          <w:p w14:paraId="185EFA2B" w14:textId="3629B4B6" w:rsidR="0038325E" w:rsidRPr="00B26C3D" w:rsidRDefault="000D1AD8" w:rsidP="00E64C52">
            <w:r w:rsidRPr="00437E10">
              <w:rPr>
                <w:rFonts w:cs="Arial"/>
                <w:sz w:val="20"/>
                <w:szCs w:val="20"/>
              </w:rPr>
              <w:t>↑</w:t>
            </w:r>
            <w:r w:rsidR="0038325E" w:rsidRPr="00D2375C">
              <w:rPr>
                <w:rFonts w:cs="Arial"/>
                <w:sz w:val="20"/>
                <w:szCs w:val="20"/>
              </w:rPr>
              <w:t xml:space="preserve"> 0.</w:t>
            </w:r>
            <w:r>
              <w:rPr>
                <w:rFonts w:cs="Arial"/>
                <w:sz w:val="20"/>
                <w:szCs w:val="20"/>
              </w:rPr>
              <w:t>4</w:t>
            </w:r>
          </w:p>
        </w:tc>
        <w:tc>
          <w:tcPr>
            <w:tcW w:w="1587" w:type="dxa"/>
            <w:vAlign w:val="center"/>
          </w:tcPr>
          <w:p w14:paraId="0EB00F9A" w14:textId="09EF87F1" w:rsidR="0038325E" w:rsidRPr="00B26C3D" w:rsidRDefault="00A94FF1" w:rsidP="00E64C52">
            <w:r w:rsidRPr="00437E10">
              <w:rPr>
                <w:rFonts w:cs="Arial"/>
                <w:sz w:val="20"/>
                <w:szCs w:val="20"/>
              </w:rPr>
              <w:t>↑</w:t>
            </w:r>
            <w:r>
              <w:rPr>
                <w:rFonts w:cs="Arial"/>
                <w:sz w:val="20"/>
                <w:szCs w:val="20"/>
              </w:rPr>
              <w:t xml:space="preserve"> </w:t>
            </w:r>
            <w:r w:rsidR="0038325E" w:rsidRPr="00D2375C">
              <w:rPr>
                <w:rFonts w:cs="Arial"/>
                <w:sz w:val="20"/>
                <w:szCs w:val="20"/>
              </w:rPr>
              <w:t>0.</w:t>
            </w:r>
            <w:r w:rsidR="000D1AD8">
              <w:rPr>
                <w:rFonts w:cs="Arial"/>
                <w:sz w:val="20"/>
                <w:szCs w:val="20"/>
              </w:rPr>
              <w:t>0</w:t>
            </w:r>
            <w:r w:rsidR="00C04A0B">
              <w:rPr>
                <w:rFonts w:cs="Arial"/>
                <w:sz w:val="20"/>
                <w:szCs w:val="20"/>
              </w:rPr>
              <w:t>5</w:t>
            </w:r>
          </w:p>
        </w:tc>
        <w:tc>
          <w:tcPr>
            <w:tcW w:w="1242" w:type="dxa"/>
            <w:vAlign w:val="center"/>
          </w:tcPr>
          <w:p w14:paraId="67D4D2EA" w14:textId="710EBB6C" w:rsidR="0038325E" w:rsidRPr="00D2375C" w:rsidRDefault="000D1AD8" w:rsidP="007F35F8">
            <w:pPr>
              <w:jc w:val="center"/>
              <w:rPr>
                <w:rFonts w:cs="Arial"/>
                <w:sz w:val="20"/>
                <w:szCs w:val="20"/>
              </w:rPr>
            </w:pPr>
            <w:r w:rsidRPr="00437E10">
              <w:rPr>
                <w:rFonts w:cs="Arial"/>
                <w:sz w:val="20"/>
                <w:szCs w:val="20"/>
              </w:rPr>
              <w:t>↑</w:t>
            </w:r>
            <w:r w:rsidR="0038325E" w:rsidRPr="00D2375C">
              <w:rPr>
                <w:rFonts w:cs="Arial"/>
                <w:sz w:val="20"/>
                <w:szCs w:val="20"/>
              </w:rPr>
              <w:t xml:space="preserve"> </w:t>
            </w:r>
            <w:r w:rsidR="0030243C">
              <w:rPr>
                <w:rFonts w:cs="Arial"/>
                <w:sz w:val="20"/>
                <w:szCs w:val="20"/>
              </w:rPr>
              <w:t>1.5% pts</w:t>
            </w:r>
          </w:p>
        </w:tc>
      </w:tr>
    </w:tbl>
    <w:p w14:paraId="7C0346BF" w14:textId="77777777" w:rsidR="00E64C52" w:rsidRDefault="00E64C52" w:rsidP="00D96023">
      <w:pPr>
        <w:pStyle w:val="Source"/>
      </w:pPr>
      <w:r w:rsidRPr="00140F01">
        <w:t>Source: Jobs and Skills Australia</w:t>
      </w:r>
      <w:r>
        <w:t xml:space="preserve">, </w:t>
      </w:r>
      <w:r w:rsidRPr="00140F01">
        <w:t>Survey of Employers who Recently Advertised (SERA)</w:t>
      </w:r>
      <w:r>
        <w:t>.</w:t>
      </w:r>
    </w:p>
    <w:p w14:paraId="6B2C8960" w14:textId="1DF85EC6" w:rsidR="00E64C52" w:rsidRDefault="00E64C52" w:rsidP="00BA38A0">
      <w:pPr>
        <w:pStyle w:val="Heading3"/>
      </w:pPr>
      <w:bookmarkStart w:id="14" w:name="_Toc159421589"/>
      <w:r>
        <w:t>Regions</w:t>
      </w:r>
      <w:bookmarkEnd w:id="14"/>
      <w:r>
        <w:t xml:space="preserve"> </w:t>
      </w:r>
    </w:p>
    <w:p w14:paraId="6C58EB3D" w14:textId="2087B6BE" w:rsidR="00E140CF" w:rsidRDefault="00E140CF" w:rsidP="00E140CF">
      <w:r>
        <w:t>The fill rate for Professionals was significantly lower in regional areas (</w:t>
      </w:r>
      <w:r w:rsidR="00FB5602">
        <w:t>5</w:t>
      </w:r>
      <w:r w:rsidR="00AF6426">
        <w:t>3.6</w:t>
      </w:r>
      <w:r>
        <w:t>%) than in metropolitan areas (6</w:t>
      </w:r>
      <w:r w:rsidR="00FB5602">
        <w:t>7</w:t>
      </w:r>
      <w:r w:rsidR="00AF6426">
        <w:t>.2</w:t>
      </w:r>
      <w:r>
        <w:t xml:space="preserve">%). </w:t>
      </w:r>
      <w:r w:rsidR="00AF6426">
        <w:t xml:space="preserve">While the </w:t>
      </w:r>
      <w:r>
        <w:t xml:space="preserve">fill rate </w:t>
      </w:r>
      <w:r w:rsidR="00967927">
        <w:t>in</w:t>
      </w:r>
      <w:r>
        <w:t xml:space="preserve">creased by </w:t>
      </w:r>
      <w:r w:rsidR="00967927">
        <w:t>1.2</w:t>
      </w:r>
      <w:r>
        <w:t xml:space="preserve"> percentage points in metropolitan areas</w:t>
      </w:r>
      <w:r w:rsidR="00AF6426">
        <w:t xml:space="preserve">, the rate remained largely unchanged </w:t>
      </w:r>
      <w:r>
        <w:t xml:space="preserve">in regional areas. </w:t>
      </w:r>
    </w:p>
    <w:p w14:paraId="64311528" w14:textId="3774954B" w:rsidR="00E64C52" w:rsidRDefault="006E64D7" w:rsidP="00E140CF">
      <w:r>
        <w:t xml:space="preserve">For </w:t>
      </w:r>
      <w:r w:rsidR="00B47507">
        <w:t>Professionals occupations</w:t>
      </w:r>
      <w:r>
        <w:t>, the suitability gap was similar for</w:t>
      </w:r>
      <w:r w:rsidR="00B47507">
        <w:t xml:space="preserve"> </w:t>
      </w:r>
      <w:r>
        <w:t xml:space="preserve">both </w:t>
      </w:r>
      <w:r w:rsidR="00AF6426">
        <w:t xml:space="preserve">metropolitan and </w:t>
      </w:r>
      <w:r w:rsidR="00B47507">
        <w:t>regional areas (</w:t>
      </w:r>
      <w:r w:rsidR="00AF6426">
        <w:t xml:space="preserve">65.7% and </w:t>
      </w:r>
      <w:r w:rsidR="00B47507">
        <w:t>63.5%</w:t>
      </w:r>
      <w:r w:rsidR="00AF6426">
        <w:t>, respectively</w:t>
      </w:r>
      <w:r w:rsidR="00B47507">
        <w:t>)</w:t>
      </w:r>
      <w:r w:rsidR="00AF6426">
        <w:t>.</w:t>
      </w:r>
      <w:r w:rsidR="00B47507">
        <w:t xml:space="preserve"> </w:t>
      </w:r>
      <w:r>
        <w:t>Th</w:t>
      </w:r>
      <w:r w:rsidR="007621D5">
        <w:t>is</w:t>
      </w:r>
      <w:r>
        <w:t xml:space="preserve"> similarity was due to </w:t>
      </w:r>
      <w:r w:rsidR="00BF1137">
        <w:t xml:space="preserve">the gap </w:t>
      </w:r>
      <w:r w:rsidR="006801E9">
        <w:t>increasing</w:t>
      </w:r>
      <w:r w:rsidR="006F32A5">
        <w:t xml:space="preserve"> by</w:t>
      </w:r>
      <w:r>
        <w:t xml:space="preserve"> 5.5 percentage points in regional areas</w:t>
      </w:r>
      <w:r w:rsidR="006801E9">
        <w:t xml:space="preserve"> over the quarter</w:t>
      </w:r>
      <w:r>
        <w:t xml:space="preserve">. </w:t>
      </w:r>
    </w:p>
    <w:p w14:paraId="4BD48F03" w14:textId="011D3A7C" w:rsidR="00E64C52" w:rsidRDefault="00E64C52" w:rsidP="00BA38A0">
      <w:pPr>
        <w:pStyle w:val="Heading3"/>
      </w:pPr>
      <w:bookmarkStart w:id="15" w:name="_Toc159421590"/>
      <w:r w:rsidRPr="004444E0">
        <w:t>Sub</w:t>
      </w:r>
      <w:r w:rsidR="00E660F6" w:rsidRPr="004444E0">
        <w:t>–</w:t>
      </w:r>
      <w:r w:rsidRPr="004444E0">
        <w:t xml:space="preserve">major </w:t>
      </w:r>
      <w:r w:rsidR="003E2939">
        <w:t xml:space="preserve">occupation </w:t>
      </w:r>
      <w:r w:rsidRPr="004444E0">
        <w:t>groups</w:t>
      </w:r>
      <w:bookmarkEnd w:id="15"/>
      <w:r>
        <w:t xml:space="preserve"> </w:t>
      </w:r>
    </w:p>
    <w:p w14:paraId="4DA32BB8" w14:textId="4DCF68FC" w:rsidR="00E140CF" w:rsidRDefault="00E140CF" w:rsidP="00E140CF">
      <w:r>
        <w:t>The fill rate for</w:t>
      </w:r>
      <w:r w:rsidR="006B25E4">
        <w:t xml:space="preserve"> all sub-major</w:t>
      </w:r>
      <w:r w:rsidR="003E2939">
        <w:t xml:space="preserve"> occupation</w:t>
      </w:r>
      <w:r w:rsidR="006B25E4">
        <w:t xml:space="preserve"> groups</w:t>
      </w:r>
      <w:r>
        <w:t xml:space="preserve"> </w:t>
      </w:r>
      <w:r w:rsidR="00C63558">
        <w:t>in</w:t>
      </w:r>
      <w:r>
        <w:t>creased this quarter</w:t>
      </w:r>
      <w:r w:rsidR="00C63558">
        <w:t xml:space="preserve"> except for Education Professionals</w:t>
      </w:r>
      <w:r w:rsidR="006E64D7">
        <w:t>,</w:t>
      </w:r>
      <w:r w:rsidR="00C63558">
        <w:t xml:space="preserve"> which declined by 1.6 percentage points</w:t>
      </w:r>
      <w:r>
        <w:t xml:space="preserve"> (Figure 3). </w:t>
      </w:r>
      <w:r w:rsidR="006E64D7">
        <w:t xml:space="preserve">The increase for Health Professionals was slight (up 0.4 percentage points), indicating continued challenges filling vacancies in the health-related occupations. </w:t>
      </w:r>
    </w:p>
    <w:p w14:paraId="1E357CC5" w14:textId="189576DB" w:rsidR="006E64D7" w:rsidRDefault="006E64D7" w:rsidP="00E140CF">
      <w:r>
        <w:t>The suitability gap was the largest for Design, Engineering, Science and Transport (75.9%) and ICT Professionals (65.4%) and has remained high over time.</w:t>
      </w:r>
      <w:r w:rsidR="00AD1B91">
        <w:rPr>
          <w:rStyle w:val="FootnoteReference"/>
        </w:rPr>
        <w:footnoteReference w:id="5"/>
      </w:r>
      <w:r>
        <w:t xml:space="preserve"> </w:t>
      </w:r>
    </w:p>
    <w:p w14:paraId="0DB578EC" w14:textId="27A702B8" w:rsidR="00E140CF" w:rsidRDefault="00E140CF" w:rsidP="00E140CF">
      <w:pPr>
        <w:pStyle w:val="Caption"/>
      </w:pPr>
      <w:r>
        <w:lastRenderedPageBreak/>
        <w:t>Figure 3: Quarterly f</w:t>
      </w:r>
      <w:r w:rsidRPr="00D93C1A">
        <w:t>ill rate (%)</w:t>
      </w:r>
      <w:r w:rsidR="007D7CFA">
        <w:t xml:space="preserve"> of Professional sub-major groups</w:t>
      </w:r>
      <w:r w:rsidRPr="00D93C1A">
        <w:t xml:space="preserve">, </w:t>
      </w:r>
      <w:r>
        <w:t>2021 to 2023</w:t>
      </w:r>
    </w:p>
    <w:p w14:paraId="1720EA75" w14:textId="77673882" w:rsidR="00E64C52" w:rsidRDefault="00D46146" w:rsidP="003764CC">
      <w:r>
        <w:rPr>
          <w:noProof/>
        </w:rPr>
        <w:drawing>
          <wp:inline distT="0" distB="0" distL="0" distR="0" wp14:anchorId="4DEFD9DF" wp14:editId="02E99F38">
            <wp:extent cx="5600700" cy="2520000"/>
            <wp:effectExtent l="0" t="0" r="0" b="0"/>
            <wp:docPr id="1860343549" name="Chart 1" descr="Among all the sub-major groups of Professional occupations, the quarterly fill rate is the lowest for Health Professionals occupations at 48% in December 2023. Fill rates for ICT Professionals increased gradually from 63% to 74% in 2021-2023. Similar trends in fill rates were observed for other Professional sub-major groups except Education Professionals in which fill rates declined from over 80% to 66% in 2021-2023. ">
              <a:extLst xmlns:a="http://schemas.openxmlformats.org/drawingml/2006/main">
                <a:ext uri="{FF2B5EF4-FFF2-40B4-BE49-F238E27FC236}">
                  <a16:creationId xmlns:a16="http://schemas.microsoft.com/office/drawing/2014/main" id="{9B9E07AF-B7E7-4522-A82A-CCA81190A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A2225F" w14:textId="77777777" w:rsidR="00E140CF" w:rsidRPr="00B1342F" w:rsidRDefault="00E140CF" w:rsidP="00D62800">
      <w:pPr>
        <w:pStyle w:val="Source"/>
      </w:pPr>
      <w:r w:rsidRPr="00B1342F">
        <w:t>Source: Jobs and Skills Australia</w:t>
      </w:r>
      <w:r>
        <w:t>,</w:t>
      </w:r>
      <w:r w:rsidRPr="00B1342F">
        <w:t xml:space="preserve"> Survey of Employers who Recently Advertised (SERA)</w:t>
      </w:r>
      <w:r>
        <w:t>.</w:t>
      </w:r>
    </w:p>
    <w:p w14:paraId="7C27F1C6" w14:textId="0B3E6F51" w:rsidR="003764CC" w:rsidRPr="001F36D6" w:rsidRDefault="003764CC" w:rsidP="00126AD2">
      <w:pPr>
        <w:pStyle w:val="Heading2"/>
      </w:pPr>
      <w:bookmarkStart w:id="16" w:name="_Toc159421591"/>
      <w:r>
        <w:t>Technicians and Trades Workers snapshot</w:t>
      </w:r>
      <w:bookmarkEnd w:id="16"/>
    </w:p>
    <w:p w14:paraId="043F8835" w14:textId="7E248BB5" w:rsidR="00E140CF" w:rsidRDefault="00E140CF" w:rsidP="00E140CF">
      <w:r>
        <w:t xml:space="preserve">The Technicians and Trades Workers major occupation group experienced a </w:t>
      </w:r>
      <w:r w:rsidR="00C63558">
        <w:t>0.5</w:t>
      </w:r>
      <w:r>
        <w:t xml:space="preserve"> percentage point increase in the fill rate (Table 3). At 4</w:t>
      </w:r>
      <w:r w:rsidR="00C63558">
        <w:t>9</w:t>
      </w:r>
      <w:r>
        <w:t xml:space="preserve">% the fill rate for this broad group is </w:t>
      </w:r>
      <w:r w:rsidR="00D568E1">
        <w:t xml:space="preserve">the </w:t>
      </w:r>
      <w:r w:rsidR="005D2050">
        <w:t>lowest</w:t>
      </w:r>
      <w:r w:rsidR="00D568E1">
        <w:t>,</w:t>
      </w:r>
      <w:r w:rsidR="005D2050">
        <w:t xml:space="preserve"> </w:t>
      </w:r>
      <w:r w:rsidR="003C04E0">
        <w:t xml:space="preserve">compared to </w:t>
      </w:r>
      <w:r>
        <w:t>Professionals and Community and Personal Service Workers</w:t>
      </w:r>
      <w:r w:rsidR="003C04E0">
        <w:t xml:space="preserve">, which </w:t>
      </w:r>
      <w:r>
        <w:t xml:space="preserve">have rates </w:t>
      </w:r>
      <w:r w:rsidR="00C63558">
        <w:t>over</w:t>
      </w:r>
      <w:r>
        <w:t xml:space="preserve"> 60%.</w:t>
      </w:r>
    </w:p>
    <w:p w14:paraId="57D42B36" w14:textId="4C91C94E" w:rsidR="00AD114A" w:rsidRDefault="00E140CF" w:rsidP="00E140CF">
      <w:r>
        <w:t xml:space="preserve">The results indicate that skill shortage pressures persist for Technicians and Trades Workers occupations. </w:t>
      </w:r>
      <w:r w:rsidR="005D2050">
        <w:t>As t</w:t>
      </w:r>
      <w:r>
        <w:t xml:space="preserve">hese occupations </w:t>
      </w:r>
      <w:r w:rsidR="005D2050">
        <w:t xml:space="preserve">mostly require </w:t>
      </w:r>
      <w:r>
        <w:t xml:space="preserve">VET and/or apprenticeship </w:t>
      </w:r>
      <w:r w:rsidR="005D2050">
        <w:t xml:space="preserve">qualifications, </w:t>
      </w:r>
      <w:r>
        <w:t>improving VET and apprenticeship completion</w:t>
      </w:r>
      <w:r w:rsidR="005D2050">
        <w:t>s</w:t>
      </w:r>
      <w:r>
        <w:t xml:space="preserve"> could </w:t>
      </w:r>
      <w:r w:rsidR="005D2050">
        <w:t xml:space="preserve">help to </w:t>
      </w:r>
      <w:r>
        <w:t>alleviate the shortage pressures within this occupation group.</w:t>
      </w:r>
    </w:p>
    <w:p w14:paraId="5EA73476" w14:textId="25F2D1A8" w:rsidR="00E140CF" w:rsidRDefault="00AD114A" w:rsidP="00723AD8">
      <w:pPr>
        <w:spacing w:after="160" w:line="259" w:lineRule="auto"/>
      </w:pPr>
      <w:r>
        <w:br w:type="page"/>
      </w:r>
    </w:p>
    <w:p w14:paraId="018A982E" w14:textId="0127F414" w:rsidR="00E140CF" w:rsidRDefault="00E140CF" w:rsidP="00E140CF">
      <w:pPr>
        <w:pStyle w:val="Caption"/>
      </w:pPr>
      <w:r>
        <w:lastRenderedPageBreak/>
        <w:t xml:space="preserve">Table 3: Technicians and Trade Workers snapshot </w:t>
      </w:r>
    </w:p>
    <w:tbl>
      <w:tblPr>
        <w:tblStyle w:val="JSATable1"/>
        <w:tblW w:w="8832" w:type="dxa"/>
        <w:tblLayout w:type="fixed"/>
        <w:tblLook w:val="0020" w:firstRow="1" w:lastRow="0" w:firstColumn="0" w:lastColumn="0" w:noHBand="0" w:noVBand="0"/>
      </w:tblPr>
      <w:tblGrid>
        <w:gridCol w:w="1655"/>
        <w:gridCol w:w="1242"/>
        <w:gridCol w:w="1519"/>
        <w:gridCol w:w="1587"/>
        <w:gridCol w:w="1587"/>
        <w:gridCol w:w="1242"/>
      </w:tblGrid>
      <w:tr w:rsidR="0038325E" w:rsidRPr="00B26C3D" w14:paraId="2E7B527A" w14:textId="7D823C91" w:rsidTr="00806F94">
        <w:trPr>
          <w:cnfStyle w:val="100000000000" w:firstRow="1" w:lastRow="0" w:firstColumn="0" w:lastColumn="0" w:oddVBand="0" w:evenVBand="0" w:oddHBand="0" w:evenHBand="0" w:firstRowFirstColumn="0" w:firstRowLastColumn="0" w:lastRowFirstColumn="0" w:lastRowLastColumn="0"/>
          <w:trHeight w:val="573"/>
        </w:trPr>
        <w:tc>
          <w:tcPr>
            <w:tcW w:w="1655" w:type="dxa"/>
          </w:tcPr>
          <w:p w14:paraId="3CFCBCDB" w14:textId="77777777" w:rsidR="0038325E" w:rsidRPr="00B26C3D" w:rsidRDefault="0038325E" w:rsidP="0038325E"/>
        </w:tc>
        <w:tc>
          <w:tcPr>
            <w:tcW w:w="1242" w:type="dxa"/>
          </w:tcPr>
          <w:p w14:paraId="46E5F47A" w14:textId="77777777" w:rsidR="0038325E" w:rsidRPr="00B26C3D" w:rsidRDefault="0038325E" w:rsidP="0038325E">
            <w:r>
              <w:t>Fill rate (%)</w:t>
            </w:r>
          </w:p>
        </w:tc>
        <w:tc>
          <w:tcPr>
            <w:tcW w:w="1519" w:type="dxa"/>
          </w:tcPr>
          <w:p w14:paraId="7EE0C63B" w14:textId="77777777" w:rsidR="0038325E" w:rsidRPr="00B26C3D" w:rsidRDefault="0038325E" w:rsidP="0038325E">
            <w:r w:rsidRPr="00B26C3D">
              <w:t>A</w:t>
            </w:r>
            <w:r>
              <w:t>pplicants per vacancy (no.)</w:t>
            </w:r>
          </w:p>
        </w:tc>
        <w:tc>
          <w:tcPr>
            <w:tcW w:w="1587" w:type="dxa"/>
          </w:tcPr>
          <w:p w14:paraId="1021C471" w14:textId="77777777" w:rsidR="0038325E" w:rsidRPr="00B26C3D" w:rsidRDefault="0038325E" w:rsidP="0038325E">
            <w:r>
              <w:t>Qualified applicants per vacancy (no.)</w:t>
            </w:r>
          </w:p>
        </w:tc>
        <w:tc>
          <w:tcPr>
            <w:tcW w:w="1587" w:type="dxa"/>
          </w:tcPr>
          <w:p w14:paraId="7A79D207" w14:textId="77777777" w:rsidR="0038325E" w:rsidRPr="00B26C3D" w:rsidRDefault="0038325E" w:rsidP="0038325E">
            <w:r>
              <w:t>Suitable applicants per vacancy (no.)</w:t>
            </w:r>
          </w:p>
        </w:tc>
        <w:tc>
          <w:tcPr>
            <w:tcW w:w="1242" w:type="dxa"/>
          </w:tcPr>
          <w:p w14:paraId="59E19ECA" w14:textId="7B71D468" w:rsidR="0038325E" w:rsidRDefault="0038325E" w:rsidP="00806F94">
            <w:r>
              <w:t>Suitability gap (</w:t>
            </w:r>
            <w:r w:rsidR="0030243C">
              <w:t>%</w:t>
            </w:r>
            <w:r>
              <w:t>)</w:t>
            </w:r>
          </w:p>
        </w:tc>
      </w:tr>
      <w:tr w:rsidR="0038325E" w:rsidRPr="00B26C3D" w14:paraId="5AC26DE8" w14:textId="13993BA0" w:rsidTr="00806F94">
        <w:trPr>
          <w:trHeight w:val="323"/>
        </w:trPr>
        <w:tc>
          <w:tcPr>
            <w:tcW w:w="1655" w:type="dxa"/>
          </w:tcPr>
          <w:p w14:paraId="4C17D694" w14:textId="271F4E8F" w:rsidR="0038325E" w:rsidRPr="003764CC" w:rsidRDefault="000D1AD8" w:rsidP="0038325E">
            <w:pPr>
              <w:rPr>
                <w:b/>
                <w:bCs/>
              </w:rPr>
            </w:pPr>
            <w:r>
              <w:rPr>
                <w:b/>
                <w:bCs/>
              </w:rPr>
              <w:t>Dec</w:t>
            </w:r>
            <w:r w:rsidRPr="003764CC">
              <w:rPr>
                <w:b/>
                <w:bCs/>
              </w:rPr>
              <w:t xml:space="preserve">ember </w:t>
            </w:r>
            <w:r w:rsidR="0038325E" w:rsidRPr="003764CC">
              <w:rPr>
                <w:b/>
                <w:bCs/>
              </w:rPr>
              <w:t>2023 quarter</w:t>
            </w:r>
          </w:p>
        </w:tc>
        <w:tc>
          <w:tcPr>
            <w:tcW w:w="1242" w:type="dxa"/>
            <w:vAlign w:val="center"/>
          </w:tcPr>
          <w:p w14:paraId="498FD7D0" w14:textId="0FBB4971" w:rsidR="0038325E" w:rsidRPr="00E140CF" w:rsidRDefault="0038325E" w:rsidP="0038325E">
            <w:pPr>
              <w:rPr>
                <w:b/>
                <w:bCs/>
              </w:rPr>
            </w:pPr>
            <w:r w:rsidRPr="00E140CF">
              <w:rPr>
                <w:b/>
                <w:bCs/>
                <w:sz w:val="20"/>
                <w:szCs w:val="20"/>
              </w:rPr>
              <w:t>4</w:t>
            </w:r>
            <w:r w:rsidR="000D1AD8">
              <w:rPr>
                <w:b/>
                <w:bCs/>
                <w:sz w:val="20"/>
                <w:szCs w:val="20"/>
              </w:rPr>
              <w:t>9.0</w:t>
            </w:r>
            <w:r w:rsidRPr="00E140CF">
              <w:rPr>
                <w:b/>
                <w:bCs/>
                <w:sz w:val="20"/>
                <w:szCs w:val="20"/>
              </w:rPr>
              <w:t>%</w:t>
            </w:r>
          </w:p>
        </w:tc>
        <w:tc>
          <w:tcPr>
            <w:tcW w:w="1519" w:type="dxa"/>
            <w:vAlign w:val="center"/>
          </w:tcPr>
          <w:p w14:paraId="2E571D8E" w14:textId="1EFD359E" w:rsidR="0038325E" w:rsidRPr="00E140CF" w:rsidRDefault="0038325E" w:rsidP="0038325E">
            <w:pPr>
              <w:rPr>
                <w:b/>
                <w:bCs/>
              </w:rPr>
            </w:pPr>
            <w:r w:rsidRPr="00E140CF">
              <w:rPr>
                <w:b/>
                <w:bCs/>
                <w:sz w:val="20"/>
                <w:szCs w:val="20"/>
              </w:rPr>
              <w:t>1</w:t>
            </w:r>
            <w:r w:rsidR="000D1AD8">
              <w:rPr>
                <w:b/>
                <w:bCs/>
                <w:sz w:val="20"/>
                <w:szCs w:val="20"/>
              </w:rPr>
              <w:t>3.5</w:t>
            </w:r>
          </w:p>
        </w:tc>
        <w:tc>
          <w:tcPr>
            <w:tcW w:w="1587" w:type="dxa"/>
            <w:vAlign w:val="center"/>
          </w:tcPr>
          <w:p w14:paraId="5F15A601" w14:textId="1E1A3139" w:rsidR="0038325E" w:rsidRPr="00E140CF" w:rsidRDefault="000D1AD8" w:rsidP="0038325E">
            <w:pPr>
              <w:rPr>
                <w:b/>
                <w:bCs/>
              </w:rPr>
            </w:pPr>
            <w:r>
              <w:rPr>
                <w:b/>
                <w:bCs/>
                <w:sz w:val="20"/>
                <w:szCs w:val="20"/>
              </w:rPr>
              <w:t>3.</w:t>
            </w:r>
            <w:r w:rsidR="006E3AAA">
              <w:rPr>
                <w:b/>
                <w:bCs/>
                <w:sz w:val="20"/>
                <w:szCs w:val="20"/>
              </w:rPr>
              <w:t>7</w:t>
            </w:r>
          </w:p>
        </w:tc>
        <w:tc>
          <w:tcPr>
            <w:tcW w:w="1587" w:type="dxa"/>
            <w:vAlign w:val="center"/>
          </w:tcPr>
          <w:p w14:paraId="5C8E50E6" w14:textId="2D360451" w:rsidR="0038325E" w:rsidRPr="00E140CF" w:rsidRDefault="0038325E" w:rsidP="0038325E">
            <w:pPr>
              <w:rPr>
                <w:b/>
                <w:bCs/>
              </w:rPr>
            </w:pPr>
            <w:r w:rsidRPr="00E140CF">
              <w:rPr>
                <w:b/>
                <w:bCs/>
                <w:sz w:val="20"/>
                <w:szCs w:val="20"/>
              </w:rPr>
              <w:t>1.</w:t>
            </w:r>
            <w:r w:rsidR="000D1AD8">
              <w:rPr>
                <w:b/>
                <w:bCs/>
                <w:sz w:val="20"/>
                <w:szCs w:val="20"/>
              </w:rPr>
              <w:t>8</w:t>
            </w:r>
          </w:p>
        </w:tc>
        <w:tc>
          <w:tcPr>
            <w:tcW w:w="1242" w:type="dxa"/>
            <w:vAlign w:val="center"/>
          </w:tcPr>
          <w:p w14:paraId="687A927A" w14:textId="22FE8386" w:rsidR="0038325E" w:rsidRPr="00E140CF" w:rsidRDefault="0030243C" w:rsidP="0038325E">
            <w:pPr>
              <w:rPr>
                <w:b/>
                <w:bCs/>
                <w:sz w:val="20"/>
                <w:szCs w:val="20"/>
              </w:rPr>
            </w:pPr>
            <w:r>
              <w:rPr>
                <w:b/>
                <w:bCs/>
                <w:sz w:val="20"/>
                <w:szCs w:val="20"/>
              </w:rPr>
              <w:t>52.3%</w:t>
            </w:r>
          </w:p>
        </w:tc>
      </w:tr>
      <w:tr w:rsidR="0038325E" w:rsidRPr="00B26C3D" w14:paraId="57F2F4E7" w14:textId="75810965" w:rsidTr="00806F94">
        <w:trPr>
          <w:cnfStyle w:val="000000010000" w:firstRow="0" w:lastRow="0" w:firstColumn="0" w:lastColumn="0" w:oddVBand="0" w:evenVBand="0" w:oddHBand="0" w:evenHBand="1" w:firstRowFirstColumn="0" w:firstRowLastColumn="0" w:lastRowFirstColumn="0" w:lastRowLastColumn="0"/>
          <w:trHeight w:val="323"/>
        </w:trPr>
        <w:tc>
          <w:tcPr>
            <w:tcW w:w="1655" w:type="dxa"/>
          </w:tcPr>
          <w:p w14:paraId="6FFF3BC3" w14:textId="0269EE29" w:rsidR="0038325E" w:rsidRPr="00B26C3D" w:rsidRDefault="0038325E" w:rsidP="0038325E">
            <w:r>
              <w:t xml:space="preserve">Change since </w:t>
            </w:r>
            <w:r w:rsidR="000D1AD8">
              <w:t>September</w:t>
            </w:r>
            <w:r w:rsidRPr="00B26C3D">
              <w:t xml:space="preserve"> 202</w:t>
            </w:r>
            <w:r>
              <w:t>3 quarter</w:t>
            </w:r>
          </w:p>
        </w:tc>
        <w:tc>
          <w:tcPr>
            <w:tcW w:w="1242" w:type="dxa"/>
            <w:vAlign w:val="center"/>
          </w:tcPr>
          <w:p w14:paraId="2DA4A9EB" w14:textId="0C8B0066" w:rsidR="0038325E" w:rsidRPr="00B26C3D" w:rsidRDefault="0038325E" w:rsidP="0038325E">
            <w:r w:rsidRPr="00D2375C">
              <w:rPr>
                <w:rFonts w:cs="Arial"/>
                <w:sz w:val="20"/>
                <w:szCs w:val="20"/>
              </w:rPr>
              <w:t>↑</w:t>
            </w:r>
            <w:r w:rsidR="009E45F5">
              <w:rPr>
                <w:rFonts w:cs="Arial"/>
                <w:sz w:val="20"/>
                <w:szCs w:val="20"/>
              </w:rPr>
              <w:t xml:space="preserve"> </w:t>
            </w:r>
            <w:r w:rsidR="000D1AD8">
              <w:rPr>
                <w:rFonts w:cs="Arial"/>
                <w:sz w:val="20"/>
                <w:szCs w:val="20"/>
              </w:rPr>
              <w:t>0.5</w:t>
            </w:r>
            <w:r w:rsidRPr="00D2375C">
              <w:rPr>
                <w:rFonts w:cs="Arial"/>
                <w:sz w:val="20"/>
                <w:szCs w:val="20"/>
              </w:rPr>
              <w:t>% pts</w:t>
            </w:r>
          </w:p>
        </w:tc>
        <w:tc>
          <w:tcPr>
            <w:tcW w:w="1519" w:type="dxa"/>
            <w:vAlign w:val="center"/>
          </w:tcPr>
          <w:p w14:paraId="21175C70" w14:textId="616EDE88" w:rsidR="0038325E" w:rsidRPr="00B26C3D" w:rsidRDefault="009E45F5" w:rsidP="0038325E">
            <w:r w:rsidRPr="00D2375C">
              <w:rPr>
                <w:rFonts w:cs="Arial"/>
                <w:sz w:val="20"/>
                <w:szCs w:val="20"/>
              </w:rPr>
              <w:t>↑</w:t>
            </w:r>
            <w:r>
              <w:rPr>
                <w:rFonts w:cs="Arial"/>
                <w:sz w:val="20"/>
                <w:szCs w:val="20"/>
              </w:rPr>
              <w:t xml:space="preserve"> </w:t>
            </w:r>
            <w:r w:rsidR="000D1AD8">
              <w:rPr>
                <w:rFonts w:cs="Arial"/>
                <w:sz w:val="20"/>
                <w:szCs w:val="20"/>
              </w:rPr>
              <w:t>0.6</w:t>
            </w:r>
          </w:p>
        </w:tc>
        <w:tc>
          <w:tcPr>
            <w:tcW w:w="1587" w:type="dxa"/>
            <w:vAlign w:val="center"/>
          </w:tcPr>
          <w:p w14:paraId="1841F3C8" w14:textId="077A256A" w:rsidR="0038325E" w:rsidRPr="00B26C3D" w:rsidRDefault="00C63558" w:rsidP="0038325E">
            <w:r w:rsidRPr="00D2375C">
              <w:rPr>
                <w:rFonts w:cs="Arial"/>
                <w:sz w:val="20"/>
                <w:szCs w:val="20"/>
              </w:rPr>
              <w:t>↑</w:t>
            </w:r>
            <w:r>
              <w:rPr>
                <w:rFonts w:cs="Arial"/>
                <w:sz w:val="20"/>
                <w:szCs w:val="20"/>
              </w:rPr>
              <w:t xml:space="preserve"> </w:t>
            </w:r>
            <w:r w:rsidR="000D1AD8">
              <w:rPr>
                <w:rFonts w:cs="Arial"/>
                <w:sz w:val="20"/>
                <w:szCs w:val="20"/>
              </w:rPr>
              <w:t>0.</w:t>
            </w:r>
            <w:r w:rsidR="006E3AAA">
              <w:rPr>
                <w:rFonts w:cs="Arial"/>
                <w:sz w:val="20"/>
                <w:szCs w:val="20"/>
              </w:rPr>
              <w:t>1</w:t>
            </w:r>
          </w:p>
        </w:tc>
        <w:tc>
          <w:tcPr>
            <w:tcW w:w="1587" w:type="dxa"/>
            <w:vAlign w:val="center"/>
          </w:tcPr>
          <w:p w14:paraId="3531F0E3" w14:textId="6EDC5F0F" w:rsidR="0038325E" w:rsidRPr="00B26C3D" w:rsidRDefault="00DA0C5D" w:rsidP="0038325E">
            <w:r w:rsidRPr="00437E10">
              <w:rPr>
                <w:rFonts w:cs="Arial"/>
                <w:sz w:val="20"/>
                <w:szCs w:val="20"/>
              </w:rPr>
              <w:t xml:space="preserve">↓ </w:t>
            </w:r>
            <w:r w:rsidR="0038325E" w:rsidRPr="00D2375C">
              <w:rPr>
                <w:rFonts w:cs="Arial"/>
                <w:sz w:val="20"/>
                <w:szCs w:val="20"/>
              </w:rPr>
              <w:t>0.</w:t>
            </w:r>
            <w:r w:rsidR="000D1AD8">
              <w:rPr>
                <w:rFonts w:cs="Arial"/>
                <w:sz w:val="20"/>
                <w:szCs w:val="20"/>
              </w:rPr>
              <w:t>0</w:t>
            </w:r>
            <w:r w:rsidR="00C63558">
              <w:rPr>
                <w:rFonts w:cs="Arial"/>
                <w:sz w:val="20"/>
                <w:szCs w:val="20"/>
              </w:rPr>
              <w:t>2</w:t>
            </w:r>
          </w:p>
        </w:tc>
        <w:tc>
          <w:tcPr>
            <w:tcW w:w="1242" w:type="dxa"/>
            <w:vAlign w:val="center"/>
          </w:tcPr>
          <w:p w14:paraId="0C2987E4" w14:textId="19087E2E" w:rsidR="0038325E" w:rsidRPr="00D2375C" w:rsidRDefault="009E45F5" w:rsidP="0038325E">
            <w:pPr>
              <w:rPr>
                <w:rFonts w:cs="Arial"/>
                <w:sz w:val="20"/>
                <w:szCs w:val="20"/>
              </w:rPr>
            </w:pPr>
            <w:r w:rsidRPr="00D2375C">
              <w:rPr>
                <w:rFonts w:cs="Arial"/>
                <w:sz w:val="20"/>
                <w:szCs w:val="20"/>
              </w:rPr>
              <w:t>↑</w:t>
            </w:r>
            <w:r>
              <w:rPr>
                <w:rFonts w:cs="Arial"/>
                <w:sz w:val="20"/>
                <w:szCs w:val="20"/>
              </w:rPr>
              <w:t xml:space="preserve"> </w:t>
            </w:r>
            <w:r w:rsidR="0030243C">
              <w:rPr>
                <w:rFonts w:cs="Arial"/>
                <w:sz w:val="20"/>
                <w:szCs w:val="20"/>
              </w:rPr>
              <w:t>1.4% pts</w:t>
            </w:r>
          </w:p>
        </w:tc>
      </w:tr>
    </w:tbl>
    <w:p w14:paraId="1EAA23DA" w14:textId="77777777" w:rsidR="00E140CF" w:rsidRDefault="00E140CF" w:rsidP="00D96023">
      <w:pPr>
        <w:pStyle w:val="Source"/>
      </w:pPr>
      <w:r w:rsidRPr="00140F01">
        <w:t>Source: Jobs and Skills Australia</w:t>
      </w:r>
      <w:r>
        <w:t xml:space="preserve">, </w:t>
      </w:r>
      <w:r w:rsidRPr="00140F01">
        <w:t>Survey of Employers who Recently Advertised (SERA)</w:t>
      </w:r>
      <w:r>
        <w:t>.</w:t>
      </w:r>
    </w:p>
    <w:p w14:paraId="05553E64" w14:textId="77777777" w:rsidR="00E140CF" w:rsidRDefault="00E140CF" w:rsidP="00BA38A0">
      <w:pPr>
        <w:pStyle w:val="Heading3"/>
      </w:pPr>
      <w:bookmarkStart w:id="17" w:name="_Toc159421592"/>
      <w:r>
        <w:t>Regions</w:t>
      </w:r>
      <w:bookmarkEnd w:id="17"/>
      <w:r>
        <w:t xml:space="preserve"> </w:t>
      </w:r>
    </w:p>
    <w:p w14:paraId="6F7AF04D" w14:textId="1788A2A4" w:rsidR="00E140CF" w:rsidRDefault="00891AF4" w:rsidP="00E140CF">
      <w:r>
        <w:t>T</w:t>
      </w:r>
      <w:r w:rsidR="00B571C1" w:rsidRPr="00B571C1">
        <w:t>he fill rate</w:t>
      </w:r>
      <w:r>
        <w:t>s</w:t>
      </w:r>
      <w:r w:rsidR="002358B2">
        <w:t xml:space="preserve"> for </w:t>
      </w:r>
      <w:r w:rsidR="002358B2" w:rsidRPr="002358B2">
        <w:t>Technicians and Trades Workers</w:t>
      </w:r>
      <w:r w:rsidR="00B571C1" w:rsidRPr="00B571C1">
        <w:t xml:space="preserve"> </w:t>
      </w:r>
      <w:r>
        <w:t xml:space="preserve">were </w:t>
      </w:r>
      <w:r w:rsidR="006E3AAA">
        <w:t xml:space="preserve">low in both </w:t>
      </w:r>
      <w:r w:rsidR="005D2050">
        <w:t xml:space="preserve">metropolitan areas </w:t>
      </w:r>
      <w:r w:rsidR="006E3AAA">
        <w:t xml:space="preserve">(50%) </w:t>
      </w:r>
      <w:r w:rsidR="005D2050">
        <w:t>and</w:t>
      </w:r>
      <w:r w:rsidR="006E3AAA">
        <w:t xml:space="preserve"> regional areas (</w:t>
      </w:r>
      <w:r w:rsidR="005D2050">
        <w:t>4</w:t>
      </w:r>
      <w:r w:rsidR="00DA0C5D">
        <w:t>7</w:t>
      </w:r>
      <w:r w:rsidR="005D2050">
        <w:t>%</w:t>
      </w:r>
      <w:r w:rsidR="006E3AAA">
        <w:t>).</w:t>
      </w:r>
      <w:r w:rsidR="005D2050">
        <w:t xml:space="preserve"> </w:t>
      </w:r>
      <w:r w:rsidR="00256F96">
        <w:t>T</w:t>
      </w:r>
      <w:r w:rsidR="00B571C1" w:rsidRPr="00B571C1">
        <w:t xml:space="preserve">he suitability gap </w:t>
      </w:r>
      <w:r w:rsidR="00F53F38">
        <w:t xml:space="preserve">was significantly </w:t>
      </w:r>
      <w:r w:rsidR="00315EEB">
        <w:t xml:space="preserve">higher </w:t>
      </w:r>
      <w:r w:rsidR="00B571C1" w:rsidRPr="00B571C1">
        <w:t xml:space="preserve">in </w:t>
      </w:r>
      <w:r w:rsidR="00315EEB">
        <w:t>metropolitan areas than regional areas</w:t>
      </w:r>
      <w:r w:rsidR="00F53F38">
        <w:t xml:space="preserve"> (</w:t>
      </w:r>
      <w:r w:rsidR="00315EEB">
        <w:t>54.5%</w:t>
      </w:r>
      <w:r w:rsidR="00B571C1" w:rsidRPr="00B571C1">
        <w:t xml:space="preserve"> </w:t>
      </w:r>
      <w:r w:rsidR="00F53F38">
        <w:t xml:space="preserve">versus </w:t>
      </w:r>
      <w:r w:rsidR="00315EEB">
        <w:t>44.3%</w:t>
      </w:r>
      <w:r w:rsidR="00F53F38">
        <w:t>)</w:t>
      </w:r>
      <w:r w:rsidR="00E140CF">
        <w:t>.</w:t>
      </w:r>
    </w:p>
    <w:p w14:paraId="5A61B6B1" w14:textId="241DE750" w:rsidR="00E140CF" w:rsidRDefault="00E140CF" w:rsidP="00BA38A0">
      <w:pPr>
        <w:pStyle w:val="Heading3"/>
      </w:pPr>
      <w:bookmarkStart w:id="18" w:name="_Toc159421593"/>
      <w:r w:rsidRPr="00B74393">
        <w:t xml:space="preserve">Sub-major </w:t>
      </w:r>
      <w:r w:rsidR="00274162">
        <w:t xml:space="preserve">occupation </w:t>
      </w:r>
      <w:r w:rsidRPr="00B74393">
        <w:t>groups</w:t>
      </w:r>
      <w:bookmarkEnd w:id="18"/>
      <w:r>
        <w:t xml:space="preserve"> </w:t>
      </w:r>
    </w:p>
    <w:p w14:paraId="0BC1FCDF" w14:textId="62AA5FC8" w:rsidR="009E0C4B" w:rsidRDefault="00B571C1" w:rsidP="00B571C1">
      <w:r>
        <w:t xml:space="preserve">Fill rates for </w:t>
      </w:r>
      <w:r w:rsidR="00316EA2">
        <w:t xml:space="preserve">Automotive and Engineering Trades Workers, Electrotechnology and Telecommunications Trade Workers, Skilled Animal, Agricultural and Horticultural Workers, and </w:t>
      </w:r>
      <w:r>
        <w:t>Other Technicians and Trades Workers fell over the quarter</w:t>
      </w:r>
      <w:r w:rsidR="00F53F38">
        <w:t xml:space="preserve">. But fill rates </w:t>
      </w:r>
      <w:r>
        <w:t>increased for other</w:t>
      </w:r>
      <w:r w:rsidR="00316EA2">
        <w:t xml:space="preserve"> sub-major occupation group</w:t>
      </w:r>
      <w:r w:rsidR="009B152E">
        <w:t>s</w:t>
      </w:r>
      <w:r>
        <w:t xml:space="preserve"> (Figure 4).</w:t>
      </w:r>
      <w:r w:rsidR="009E0C4B">
        <w:t xml:space="preserve"> </w:t>
      </w:r>
    </w:p>
    <w:p w14:paraId="4AB1607F" w14:textId="4196DD23" w:rsidR="00B571C1" w:rsidRDefault="00F53F38" w:rsidP="00B571C1">
      <w:r>
        <w:t xml:space="preserve">Fill rates for </w:t>
      </w:r>
      <w:r w:rsidR="00B571C1">
        <w:t>Engineering, ICT and Science Technicians</w:t>
      </w:r>
      <w:r>
        <w:t xml:space="preserve"> was the highest of the sub-majors</w:t>
      </w:r>
      <w:r w:rsidR="00B571C1">
        <w:t xml:space="preserve">, </w:t>
      </w:r>
      <w:r>
        <w:t xml:space="preserve">averaging </w:t>
      </w:r>
      <w:r w:rsidR="00B571C1">
        <w:t xml:space="preserve">68% since </w:t>
      </w:r>
      <w:r w:rsidR="00274162">
        <w:t xml:space="preserve">the </w:t>
      </w:r>
      <w:r w:rsidR="00B571C1">
        <w:t>March 2023 quarter</w:t>
      </w:r>
      <w:r>
        <w:t xml:space="preserve">. But the </w:t>
      </w:r>
      <w:r w:rsidR="00B571C1">
        <w:t xml:space="preserve">fill rates </w:t>
      </w:r>
      <w:r>
        <w:t xml:space="preserve">remain </w:t>
      </w:r>
      <w:r w:rsidR="00B571C1">
        <w:t>low for the other occupations</w:t>
      </w:r>
      <w:r>
        <w:t>, s</w:t>
      </w:r>
      <w:r w:rsidR="008C1B8A">
        <w:t>pecifically</w:t>
      </w:r>
      <w:r>
        <w:t xml:space="preserve"> for </w:t>
      </w:r>
      <w:r w:rsidR="00B571C1">
        <w:t>Automotive and Engineering Trades Workers (3</w:t>
      </w:r>
      <w:r w:rsidR="00B74393">
        <w:t>0</w:t>
      </w:r>
      <w:r w:rsidR="00B571C1">
        <w:t>%) and Construction Trades Workers (</w:t>
      </w:r>
      <w:r w:rsidR="00B74393">
        <w:t>38</w:t>
      </w:r>
      <w:r w:rsidR="00B571C1">
        <w:t>%)</w:t>
      </w:r>
      <w:r>
        <w:t xml:space="preserve">. This suggests that </w:t>
      </w:r>
      <w:r w:rsidR="00B571C1">
        <w:t xml:space="preserve">skill shortage pressures </w:t>
      </w:r>
      <w:r>
        <w:t xml:space="preserve">are </w:t>
      </w:r>
      <w:r w:rsidR="00256F96">
        <w:t xml:space="preserve">most </w:t>
      </w:r>
      <w:r w:rsidR="00B571C1">
        <w:t xml:space="preserve">acute for </w:t>
      </w:r>
      <w:r w:rsidR="00256F96">
        <w:t xml:space="preserve">these </w:t>
      </w:r>
      <w:r w:rsidR="008C1B8A">
        <w:t>occupation</w:t>
      </w:r>
      <w:r>
        <w:t xml:space="preserve"> groups</w:t>
      </w:r>
      <w:r w:rsidR="00B571C1">
        <w:t>.</w:t>
      </w:r>
    </w:p>
    <w:p w14:paraId="060F4C5B" w14:textId="0AA8F0E6" w:rsidR="00E140CF" w:rsidRDefault="00E140CF" w:rsidP="00E140CF">
      <w:pPr>
        <w:pStyle w:val="Caption"/>
      </w:pPr>
      <w:r>
        <w:t xml:space="preserve">Figure </w:t>
      </w:r>
      <w:r w:rsidR="00B571C1">
        <w:t>4</w:t>
      </w:r>
      <w:r>
        <w:t>: Quarterly f</w:t>
      </w:r>
      <w:r w:rsidRPr="00D93C1A">
        <w:t>ill rate (%)</w:t>
      </w:r>
      <w:r w:rsidR="007D7CFA">
        <w:t xml:space="preserve"> of Technicians and Trade Workers sub-major groups</w:t>
      </w:r>
      <w:r w:rsidRPr="00D93C1A">
        <w:t xml:space="preserve">, </w:t>
      </w:r>
      <w:r>
        <w:t>2021 to 2023</w:t>
      </w:r>
    </w:p>
    <w:p w14:paraId="08329BD0" w14:textId="3C191EAE" w:rsidR="00B571C1" w:rsidRDefault="009E45F5" w:rsidP="00B571C1">
      <w:pPr>
        <w:pStyle w:val="Heading4"/>
        <w:rPr>
          <w:sz w:val="14"/>
          <w:szCs w:val="14"/>
        </w:rPr>
      </w:pPr>
      <w:r>
        <w:rPr>
          <w:noProof/>
        </w:rPr>
        <w:drawing>
          <wp:inline distT="0" distB="0" distL="0" distR="0" wp14:anchorId="4306B2B7" wp14:editId="2F66FF01">
            <wp:extent cx="5600700" cy="2520000"/>
            <wp:effectExtent l="0" t="0" r="0" b="0"/>
            <wp:docPr id="1169847586" name="Chart 1" descr="The fill rate for the Engineering, ICT and Science Technicians occupation remained as the highest within the Technicians and Trade Workers sub-major occupation groups in 2021-2023. It hoovered around 67% over the past two years and peaked at 69% in the December 2023 quarter. In contrast, fill rates for Automotive and Engineering Trades Workers are the lowest and it was at 43% in the December quarter 2021 and declined to 30% in December 2023. Fill rates for all other sub-major groups of Technicians and Trade Workers were less than 60% and had modest changes in the past two years.">
              <a:extLst xmlns:a="http://schemas.openxmlformats.org/drawingml/2006/main">
                <a:ext uri="{FF2B5EF4-FFF2-40B4-BE49-F238E27FC236}">
                  <a16:creationId xmlns:a16="http://schemas.microsoft.com/office/drawing/2014/main" id="{90462488-0BEC-46F7-9629-0F4EC0934F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903323" w14:textId="77777777" w:rsidR="00B571C1" w:rsidRDefault="00B571C1" w:rsidP="00D62800">
      <w:pPr>
        <w:pStyle w:val="Source"/>
      </w:pPr>
      <w:r w:rsidRPr="00140F01">
        <w:t>Source: Jobs and Skills Australia</w:t>
      </w:r>
      <w:r>
        <w:t xml:space="preserve">, </w:t>
      </w:r>
      <w:r w:rsidRPr="00140F01">
        <w:t>Survey of Employers who Recently Advertised (SERA</w:t>
      </w:r>
      <w:r>
        <w:t>)</w:t>
      </w:r>
    </w:p>
    <w:p w14:paraId="50052FA6" w14:textId="6871A918" w:rsidR="00256F96" w:rsidRDefault="00256F96" w:rsidP="00256F96">
      <w:r>
        <w:t xml:space="preserve">Compared to Professionals, </w:t>
      </w:r>
      <w:r w:rsidR="00B74393">
        <w:t xml:space="preserve">most sub-major occupation groups within </w:t>
      </w:r>
      <w:r>
        <w:t xml:space="preserve">Technicians and Trades Workers </w:t>
      </w:r>
      <w:r w:rsidR="00F90912">
        <w:t xml:space="preserve">occupations </w:t>
      </w:r>
      <w:r>
        <w:t>tend to have low suitability gaps</w:t>
      </w:r>
      <w:r w:rsidR="00B74393">
        <w:t xml:space="preserve">. </w:t>
      </w:r>
      <w:r>
        <w:t xml:space="preserve">As mentioned previously, this </w:t>
      </w:r>
      <w:r>
        <w:lastRenderedPageBreak/>
        <w:t>could be due to more employers in th</w:t>
      </w:r>
      <w:r w:rsidR="00A65E52">
        <w:t>e Professionals</w:t>
      </w:r>
      <w:r>
        <w:t xml:space="preserve"> major group valuing experience </w:t>
      </w:r>
      <w:r w:rsidR="00DA6CC0">
        <w:t xml:space="preserve">over </w:t>
      </w:r>
      <w:r>
        <w:t>qualifications.</w:t>
      </w:r>
      <w:r w:rsidR="00F53F38">
        <w:rPr>
          <w:rStyle w:val="FootnoteReference"/>
        </w:rPr>
        <w:footnoteReference w:id="6"/>
      </w:r>
      <w:r>
        <w:t xml:space="preserve"> </w:t>
      </w:r>
    </w:p>
    <w:p w14:paraId="1D639617" w14:textId="20AFFB74" w:rsidR="003764CC" w:rsidRPr="001F36D6" w:rsidRDefault="003764CC" w:rsidP="00126AD2">
      <w:pPr>
        <w:pStyle w:val="Heading2"/>
      </w:pPr>
      <w:bookmarkStart w:id="19" w:name="_Toc159421594"/>
      <w:r>
        <w:t>Community and Personal Service Workers snapshot</w:t>
      </w:r>
      <w:bookmarkEnd w:id="19"/>
      <w:r>
        <w:t xml:space="preserve"> </w:t>
      </w:r>
    </w:p>
    <w:p w14:paraId="40B5CE0D" w14:textId="609A3E77" w:rsidR="00D76E72" w:rsidRDefault="00D76E72" w:rsidP="00D76E72">
      <w:r w:rsidRPr="00D76E72">
        <w:t xml:space="preserve">The fill rate for Community and Personal Service Workers in the </w:t>
      </w:r>
      <w:r w:rsidR="00DA0C5D">
        <w:t>Dec</w:t>
      </w:r>
      <w:r w:rsidRPr="00D76E72">
        <w:t xml:space="preserve">ember 2023 quarter </w:t>
      </w:r>
      <w:r w:rsidR="00DA0C5D">
        <w:t>increased</w:t>
      </w:r>
      <w:r w:rsidRPr="00D76E72">
        <w:t xml:space="preserve"> by </w:t>
      </w:r>
      <w:r w:rsidR="00EA1DAA">
        <w:t xml:space="preserve">approximately </w:t>
      </w:r>
      <w:r w:rsidR="00DA0C5D">
        <w:t>3</w:t>
      </w:r>
      <w:r w:rsidRPr="00D76E72">
        <w:t xml:space="preserve"> percentage points</w:t>
      </w:r>
      <w:r w:rsidR="007A41D2">
        <w:t>. T</w:t>
      </w:r>
      <w:r w:rsidRPr="00D76E72">
        <w:t xml:space="preserve">he number of applicants, qualified applicants, and suitable applicants per vacancy </w:t>
      </w:r>
      <w:r w:rsidR="00DA0C5D">
        <w:t>al</w:t>
      </w:r>
      <w:r w:rsidR="00F53F38">
        <w:t xml:space="preserve">so </w:t>
      </w:r>
      <w:r w:rsidR="00DA0C5D">
        <w:t>increased</w:t>
      </w:r>
      <w:r w:rsidR="008025CA">
        <w:t xml:space="preserve"> </w:t>
      </w:r>
      <w:r w:rsidR="0052057F">
        <w:t>over</w:t>
      </w:r>
      <w:r w:rsidR="008025CA">
        <w:t xml:space="preserve"> the quarter </w:t>
      </w:r>
      <w:r w:rsidRPr="00D76E72">
        <w:t>(Table 5).</w:t>
      </w:r>
    </w:p>
    <w:p w14:paraId="7FBBBF55" w14:textId="3A0BC6D9" w:rsidR="00D76E72" w:rsidRDefault="00D76E72" w:rsidP="00D76E72">
      <w:pPr>
        <w:pStyle w:val="Caption"/>
      </w:pPr>
      <w:r>
        <w:t xml:space="preserve">Table 5: Community and Personal Service Workers snapshot </w:t>
      </w:r>
    </w:p>
    <w:tbl>
      <w:tblPr>
        <w:tblStyle w:val="JSATable1"/>
        <w:tblW w:w="8832" w:type="dxa"/>
        <w:tblLayout w:type="fixed"/>
        <w:tblLook w:val="0020" w:firstRow="1" w:lastRow="0" w:firstColumn="0" w:lastColumn="0" w:noHBand="0" w:noVBand="0"/>
      </w:tblPr>
      <w:tblGrid>
        <w:gridCol w:w="1655"/>
        <w:gridCol w:w="1242"/>
        <w:gridCol w:w="1519"/>
        <w:gridCol w:w="1587"/>
        <w:gridCol w:w="1587"/>
        <w:gridCol w:w="1242"/>
      </w:tblGrid>
      <w:tr w:rsidR="0038325E" w:rsidRPr="00B26C3D" w14:paraId="48C32381" w14:textId="77F53F1D" w:rsidTr="00806F94">
        <w:trPr>
          <w:cnfStyle w:val="100000000000" w:firstRow="1" w:lastRow="0" w:firstColumn="0" w:lastColumn="0" w:oddVBand="0" w:evenVBand="0" w:oddHBand="0" w:evenHBand="0" w:firstRowFirstColumn="0" w:firstRowLastColumn="0" w:lastRowFirstColumn="0" w:lastRowLastColumn="0"/>
          <w:trHeight w:val="573"/>
        </w:trPr>
        <w:tc>
          <w:tcPr>
            <w:tcW w:w="1655" w:type="dxa"/>
          </w:tcPr>
          <w:p w14:paraId="60A81703" w14:textId="77777777" w:rsidR="0038325E" w:rsidRPr="00B26C3D" w:rsidRDefault="0038325E" w:rsidP="0038325E"/>
        </w:tc>
        <w:tc>
          <w:tcPr>
            <w:tcW w:w="1242" w:type="dxa"/>
          </w:tcPr>
          <w:p w14:paraId="2B87C71A" w14:textId="77777777" w:rsidR="0038325E" w:rsidRPr="00B26C3D" w:rsidRDefault="0038325E" w:rsidP="0038325E">
            <w:r>
              <w:t>Fill rate (%)</w:t>
            </w:r>
          </w:p>
        </w:tc>
        <w:tc>
          <w:tcPr>
            <w:tcW w:w="1519" w:type="dxa"/>
          </w:tcPr>
          <w:p w14:paraId="12EDF156" w14:textId="77777777" w:rsidR="0038325E" w:rsidRPr="00B26C3D" w:rsidRDefault="0038325E" w:rsidP="0038325E">
            <w:r w:rsidRPr="00B26C3D">
              <w:t>A</w:t>
            </w:r>
            <w:r>
              <w:t>pplicants per vacancy (no.)</w:t>
            </w:r>
          </w:p>
        </w:tc>
        <w:tc>
          <w:tcPr>
            <w:tcW w:w="1587" w:type="dxa"/>
          </w:tcPr>
          <w:p w14:paraId="4D502F42" w14:textId="77777777" w:rsidR="0038325E" w:rsidRPr="00B26C3D" w:rsidRDefault="0038325E" w:rsidP="0038325E">
            <w:r>
              <w:t>Qualified applicants per vacancy (no.)</w:t>
            </w:r>
          </w:p>
        </w:tc>
        <w:tc>
          <w:tcPr>
            <w:tcW w:w="1587" w:type="dxa"/>
          </w:tcPr>
          <w:p w14:paraId="1831C79A" w14:textId="77777777" w:rsidR="0038325E" w:rsidRPr="00B26C3D" w:rsidRDefault="0038325E" w:rsidP="0038325E">
            <w:r>
              <w:t>Suitable applicants per vacancy (no.)</w:t>
            </w:r>
          </w:p>
        </w:tc>
        <w:tc>
          <w:tcPr>
            <w:tcW w:w="1242" w:type="dxa"/>
          </w:tcPr>
          <w:p w14:paraId="39F870CE" w14:textId="1A6AEDA1" w:rsidR="0038325E" w:rsidRDefault="0038325E" w:rsidP="00806F94">
            <w:r>
              <w:t>Suitability gap (</w:t>
            </w:r>
            <w:r w:rsidR="0030243C">
              <w:t>%</w:t>
            </w:r>
            <w:r>
              <w:t>)</w:t>
            </w:r>
          </w:p>
        </w:tc>
      </w:tr>
      <w:tr w:rsidR="0038325E" w:rsidRPr="00B26C3D" w14:paraId="25A8A62A" w14:textId="42A05E87" w:rsidTr="00806F94">
        <w:trPr>
          <w:trHeight w:val="323"/>
        </w:trPr>
        <w:tc>
          <w:tcPr>
            <w:tcW w:w="1655" w:type="dxa"/>
          </w:tcPr>
          <w:p w14:paraId="0135ED6D" w14:textId="08025038" w:rsidR="0038325E" w:rsidRPr="003764CC" w:rsidRDefault="009E45F5" w:rsidP="0038325E">
            <w:pPr>
              <w:rPr>
                <w:b/>
                <w:bCs/>
              </w:rPr>
            </w:pPr>
            <w:r>
              <w:rPr>
                <w:b/>
                <w:bCs/>
              </w:rPr>
              <w:t>Dec</w:t>
            </w:r>
            <w:r w:rsidRPr="003764CC">
              <w:rPr>
                <w:b/>
                <w:bCs/>
              </w:rPr>
              <w:t xml:space="preserve">ember </w:t>
            </w:r>
            <w:r w:rsidR="0038325E" w:rsidRPr="003764CC">
              <w:rPr>
                <w:b/>
                <w:bCs/>
              </w:rPr>
              <w:t>2023 quarter</w:t>
            </w:r>
          </w:p>
        </w:tc>
        <w:tc>
          <w:tcPr>
            <w:tcW w:w="1242" w:type="dxa"/>
            <w:vAlign w:val="center"/>
          </w:tcPr>
          <w:p w14:paraId="0CE20EBF" w14:textId="422634B4" w:rsidR="0038325E" w:rsidRPr="00E140CF" w:rsidRDefault="0038325E" w:rsidP="0038325E">
            <w:pPr>
              <w:rPr>
                <w:b/>
                <w:bCs/>
              </w:rPr>
            </w:pPr>
            <w:r w:rsidRPr="002A76D8">
              <w:rPr>
                <w:b/>
                <w:bCs/>
                <w:sz w:val="20"/>
              </w:rPr>
              <w:t>6</w:t>
            </w:r>
            <w:r w:rsidR="009E45F5">
              <w:rPr>
                <w:b/>
                <w:bCs/>
                <w:sz w:val="20"/>
              </w:rPr>
              <w:t>8.4</w:t>
            </w:r>
            <w:r w:rsidRPr="002A76D8">
              <w:rPr>
                <w:b/>
                <w:bCs/>
                <w:sz w:val="20"/>
              </w:rPr>
              <w:t>%</w:t>
            </w:r>
          </w:p>
        </w:tc>
        <w:tc>
          <w:tcPr>
            <w:tcW w:w="1519" w:type="dxa"/>
            <w:vAlign w:val="center"/>
          </w:tcPr>
          <w:p w14:paraId="575C65F1" w14:textId="4EC0AE8A" w:rsidR="0038325E" w:rsidRPr="00E140CF" w:rsidRDefault="0038325E" w:rsidP="0038325E">
            <w:pPr>
              <w:rPr>
                <w:b/>
                <w:bCs/>
              </w:rPr>
            </w:pPr>
            <w:r w:rsidRPr="002A76D8">
              <w:rPr>
                <w:b/>
                <w:bCs/>
                <w:sz w:val="20"/>
              </w:rPr>
              <w:t>13.</w:t>
            </w:r>
            <w:r w:rsidR="009E45F5">
              <w:rPr>
                <w:b/>
                <w:bCs/>
                <w:sz w:val="20"/>
              </w:rPr>
              <w:t>9</w:t>
            </w:r>
          </w:p>
        </w:tc>
        <w:tc>
          <w:tcPr>
            <w:tcW w:w="1587" w:type="dxa"/>
            <w:vAlign w:val="center"/>
          </w:tcPr>
          <w:p w14:paraId="0EBFA881" w14:textId="545AFC50" w:rsidR="0038325E" w:rsidRPr="00E140CF" w:rsidRDefault="002F659A" w:rsidP="0038325E">
            <w:pPr>
              <w:rPr>
                <w:b/>
                <w:bCs/>
              </w:rPr>
            </w:pPr>
            <w:r>
              <w:rPr>
                <w:b/>
                <w:bCs/>
                <w:sz w:val="20"/>
              </w:rPr>
              <w:t>4.3</w:t>
            </w:r>
          </w:p>
        </w:tc>
        <w:tc>
          <w:tcPr>
            <w:tcW w:w="1587" w:type="dxa"/>
            <w:vAlign w:val="center"/>
          </w:tcPr>
          <w:p w14:paraId="69B025D7" w14:textId="78D091E4" w:rsidR="0038325E" w:rsidRPr="00E140CF" w:rsidRDefault="0038325E" w:rsidP="0038325E">
            <w:pPr>
              <w:rPr>
                <w:b/>
                <w:bCs/>
              </w:rPr>
            </w:pPr>
            <w:r w:rsidRPr="002A76D8">
              <w:rPr>
                <w:b/>
                <w:bCs/>
                <w:sz w:val="20"/>
              </w:rPr>
              <w:t>2.6</w:t>
            </w:r>
          </w:p>
        </w:tc>
        <w:tc>
          <w:tcPr>
            <w:tcW w:w="1242" w:type="dxa"/>
            <w:vAlign w:val="center"/>
          </w:tcPr>
          <w:p w14:paraId="77E191F4" w14:textId="64AF9D6F" w:rsidR="0038325E" w:rsidRPr="002A76D8" w:rsidRDefault="0030243C" w:rsidP="0038325E">
            <w:pPr>
              <w:rPr>
                <w:b/>
                <w:bCs/>
                <w:sz w:val="20"/>
              </w:rPr>
            </w:pPr>
            <w:r>
              <w:rPr>
                <w:b/>
                <w:bCs/>
                <w:sz w:val="20"/>
                <w:szCs w:val="20"/>
              </w:rPr>
              <w:t>40.9%</w:t>
            </w:r>
          </w:p>
        </w:tc>
      </w:tr>
      <w:tr w:rsidR="0038325E" w:rsidRPr="00B26C3D" w14:paraId="1B7F3A7A" w14:textId="38D386BF" w:rsidTr="00806F94">
        <w:trPr>
          <w:cnfStyle w:val="000000010000" w:firstRow="0" w:lastRow="0" w:firstColumn="0" w:lastColumn="0" w:oddVBand="0" w:evenVBand="0" w:oddHBand="0" w:evenHBand="1" w:firstRowFirstColumn="0" w:firstRowLastColumn="0" w:lastRowFirstColumn="0" w:lastRowLastColumn="0"/>
          <w:trHeight w:val="323"/>
        </w:trPr>
        <w:tc>
          <w:tcPr>
            <w:tcW w:w="1655" w:type="dxa"/>
          </w:tcPr>
          <w:p w14:paraId="51FB52CD" w14:textId="01610C11" w:rsidR="0038325E" w:rsidRPr="00B26C3D" w:rsidRDefault="0038325E" w:rsidP="0038325E">
            <w:r>
              <w:t xml:space="preserve">Change since </w:t>
            </w:r>
            <w:r w:rsidR="009E45F5">
              <w:t>September</w:t>
            </w:r>
            <w:r w:rsidR="009E45F5" w:rsidRPr="00B26C3D">
              <w:t xml:space="preserve"> </w:t>
            </w:r>
            <w:r w:rsidRPr="00B26C3D">
              <w:t>202</w:t>
            </w:r>
            <w:r>
              <w:t>3 quarter</w:t>
            </w:r>
          </w:p>
        </w:tc>
        <w:tc>
          <w:tcPr>
            <w:tcW w:w="1242" w:type="dxa"/>
            <w:vAlign w:val="center"/>
          </w:tcPr>
          <w:p w14:paraId="31A46F7F" w14:textId="61C4CB17" w:rsidR="0038325E" w:rsidRPr="00B26C3D" w:rsidRDefault="009E45F5" w:rsidP="0038325E">
            <w:r w:rsidRPr="00D2375C">
              <w:rPr>
                <w:rFonts w:cs="Arial"/>
                <w:sz w:val="20"/>
                <w:szCs w:val="20"/>
              </w:rPr>
              <w:t>↑</w:t>
            </w:r>
            <w:r w:rsidR="0038325E" w:rsidRPr="002A76D8">
              <w:rPr>
                <w:rFonts w:cs="Arial"/>
                <w:sz w:val="20"/>
              </w:rPr>
              <w:t xml:space="preserve"> 2</w:t>
            </w:r>
            <w:r w:rsidR="00EA1DAA">
              <w:rPr>
                <w:rFonts w:cs="Arial"/>
                <w:sz w:val="20"/>
              </w:rPr>
              <w:t>.</w:t>
            </w:r>
            <w:r>
              <w:rPr>
                <w:rFonts w:cs="Arial"/>
                <w:sz w:val="20"/>
              </w:rPr>
              <w:t>8</w:t>
            </w:r>
            <w:r w:rsidR="0038325E" w:rsidRPr="002A76D8">
              <w:rPr>
                <w:rFonts w:cs="Arial"/>
                <w:sz w:val="20"/>
              </w:rPr>
              <w:t>% pts</w:t>
            </w:r>
          </w:p>
        </w:tc>
        <w:tc>
          <w:tcPr>
            <w:tcW w:w="1519" w:type="dxa"/>
            <w:vAlign w:val="center"/>
          </w:tcPr>
          <w:p w14:paraId="0C5619A1" w14:textId="5FFBCD2A" w:rsidR="0038325E" w:rsidRPr="00B26C3D" w:rsidRDefault="009E45F5" w:rsidP="0038325E">
            <w:r w:rsidRPr="00D2375C">
              <w:rPr>
                <w:rFonts w:cs="Arial"/>
                <w:sz w:val="20"/>
                <w:szCs w:val="20"/>
              </w:rPr>
              <w:t>↑</w:t>
            </w:r>
            <w:r w:rsidR="0038325E" w:rsidRPr="002A76D8">
              <w:rPr>
                <w:rFonts w:cs="Arial"/>
                <w:sz w:val="20"/>
              </w:rPr>
              <w:t xml:space="preserve"> 1.</w:t>
            </w:r>
            <w:r>
              <w:rPr>
                <w:rFonts w:cs="Arial"/>
                <w:sz w:val="20"/>
              </w:rPr>
              <w:t>9</w:t>
            </w:r>
          </w:p>
        </w:tc>
        <w:tc>
          <w:tcPr>
            <w:tcW w:w="1587" w:type="dxa"/>
            <w:vAlign w:val="center"/>
          </w:tcPr>
          <w:p w14:paraId="5E21FBB2" w14:textId="0EDC84F0" w:rsidR="0038325E" w:rsidRPr="00B26C3D" w:rsidRDefault="009E45F5" w:rsidP="0038325E">
            <w:r w:rsidRPr="00D2375C">
              <w:rPr>
                <w:rFonts w:cs="Arial"/>
                <w:sz w:val="20"/>
                <w:szCs w:val="20"/>
              </w:rPr>
              <w:t>↑</w:t>
            </w:r>
            <w:r w:rsidR="0038325E" w:rsidRPr="002A76D8">
              <w:rPr>
                <w:rFonts w:cs="Arial"/>
                <w:sz w:val="20"/>
              </w:rPr>
              <w:t xml:space="preserve"> 0.</w:t>
            </w:r>
            <w:r w:rsidR="002F659A">
              <w:rPr>
                <w:rFonts w:cs="Arial"/>
                <w:sz w:val="20"/>
              </w:rPr>
              <w:t>5</w:t>
            </w:r>
          </w:p>
        </w:tc>
        <w:tc>
          <w:tcPr>
            <w:tcW w:w="1587" w:type="dxa"/>
            <w:vAlign w:val="center"/>
          </w:tcPr>
          <w:p w14:paraId="58C1BD12" w14:textId="3E7627F4" w:rsidR="0038325E" w:rsidRPr="00B26C3D" w:rsidRDefault="009E45F5" w:rsidP="0038325E">
            <w:r w:rsidRPr="00D2375C">
              <w:rPr>
                <w:rFonts w:cs="Arial"/>
                <w:sz w:val="20"/>
                <w:szCs w:val="20"/>
              </w:rPr>
              <w:t>↑</w:t>
            </w:r>
            <w:r w:rsidR="0038325E" w:rsidRPr="002A76D8">
              <w:rPr>
                <w:rFonts w:cs="Arial"/>
                <w:sz w:val="20"/>
              </w:rPr>
              <w:t xml:space="preserve"> 0.</w:t>
            </w:r>
            <w:r>
              <w:rPr>
                <w:rFonts w:cs="Arial"/>
                <w:sz w:val="20"/>
              </w:rPr>
              <w:t>1</w:t>
            </w:r>
          </w:p>
        </w:tc>
        <w:tc>
          <w:tcPr>
            <w:tcW w:w="1242" w:type="dxa"/>
            <w:vAlign w:val="center"/>
          </w:tcPr>
          <w:p w14:paraId="2E2F3F38" w14:textId="2D91E735" w:rsidR="0038325E" w:rsidRPr="002A76D8" w:rsidRDefault="009E45F5" w:rsidP="0038325E">
            <w:pPr>
              <w:rPr>
                <w:rFonts w:cs="Arial"/>
                <w:sz w:val="20"/>
              </w:rPr>
            </w:pPr>
            <w:r w:rsidRPr="00D2375C">
              <w:rPr>
                <w:rFonts w:cs="Arial"/>
                <w:sz w:val="20"/>
                <w:szCs w:val="20"/>
              </w:rPr>
              <w:t>↑</w:t>
            </w:r>
            <w:r w:rsidR="0038325E">
              <w:rPr>
                <w:rFonts w:cs="Arial"/>
                <w:sz w:val="20"/>
                <w:szCs w:val="20"/>
              </w:rPr>
              <w:t xml:space="preserve"> </w:t>
            </w:r>
            <w:r w:rsidR="0030243C">
              <w:rPr>
                <w:rFonts w:cs="Arial"/>
                <w:sz w:val="20"/>
                <w:szCs w:val="20"/>
              </w:rPr>
              <w:t>5.7% pts</w:t>
            </w:r>
          </w:p>
        </w:tc>
      </w:tr>
    </w:tbl>
    <w:p w14:paraId="7AF3131D" w14:textId="77777777" w:rsidR="00D76E72" w:rsidRDefault="00D76E72" w:rsidP="00D62800">
      <w:pPr>
        <w:pStyle w:val="Source"/>
      </w:pPr>
      <w:r w:rsidRPr="00140F01">
        <w:t>Source: Jobs and Skills Australia</w:t>
      </w:r>
      <w:r>
        <w:t xml:space="preserve">, </w:t>
      </w:r>
      <w:r w:rsidRPr="00140F01">
        <w:t>Survey of Employers who Recently Advertised (SERA)</w:t>
      </w:r>
      <w:r>
        <w:t>.</w:t>
      </w:r>
    </w:p>
    <w:p w14:paraId="2C955C5C" w14:textId="77777777" w:rsidR="00D76E72" w:rsidRDefault="00D76E72" w:rsidP="00BA38A0">
      <w:pPr>
        <w:pStyle w:val="Heading3"/>
      </w:pPr>
      <w:bookmarkStart w:id="20" w:name="_Toc159421595"/>
      <w:r>
        <w:t>Regions</w:t>
      </w:r>
      <w:bookmarkEnd w:id="20"/>
      <w:r>
        <w:t xml:space="preserve"> </w:t>
      </w:r>
    </w:p>
    <w:p w14:paraId="7904FED9" w14:textId="28E2B0F6" w:rsidR="00D76E72" w:rsidRDefault="00D76E72" w:rsidP="00D76E72">
      <w:r w:rsidRPr="00D76E72">
        <w:t xml:space="preserve">The fill rate for Community and Personal Service Workers </w:t>
      </w:r>
      <w:r w:rsidR="00DA0C5D">
        <w:t>increased</w:t>
      </w:r>
      <w:r w:rsidRPr="00D76E72">
        <w:t xml:space="preserve"> more in regional areas </w:t>
      </w:r>
      <w:r w:rsidR="00F53F38">
        <w:t xml:space="preserve">to be slightly </w:t>
      </w:r>
      <w:r w:rsidRPr="00D76E72">
        <w:t>higher than that in metropolitan areas (69% compared to 6</w:t>
      </w:r>
      <w:r w:rsidR="00DA0C5D">
        <w:t>7</w:t>
      </w:r>
      <w:r w:rsidRPr="00D76E72">
        <w:t xml:space="preserve">%). The total number of applicants per vacancy </w:t>
      </w:r>
      <w:r w:rsidR="00DA0C5D">
        <w:t>increased</w:t>
      </w:r>
      <w:r w:rsidRPr="00D76E72">
        <w:t xml:space="preserve"> in </w:t>
      </w:r>
      <w:r w:rsidR="00DA0C5D">
        <w:t>both</w:t>
      </w:r>
      <w:r w:rsidR="004B5B0F">
        <w:t xml:space="preserve"> </w:t>
      </w:r>
      <w:r w:rsidR="004B5B0F" w:rsidRPr="00D76E72">
        <w:t>metropolitan</w:t>
      </w:r>
      <w:r w:rsidR="004B5B0F">
        <w:t xml:space="preserve"> and</w:t>
      </w:r>
      <w:r w:rsidR="00DA0C5D">
        <w:t xml:space="preserve"> </w:t>
      </w:r>
      <w:r w:rsidR="004B5B0F" w:rsidRPr="00D76E72">
        <w:t xml:space="preserve">regional </w:t>
      </w:r>
      <w:r w:rsidRPr="00D76E72">
        <w:t>areas (</w:t>
      </w:r>
      <w:r w:rsidR="003353F1">
        <w:t>1.3 compared to 1.5</w:t>
      </w:r>
      <w:r w:rsidRPr="00D76E72">
        <w:t>)</w:t>
      </w:r>
      <w:r>
        <w:t>.</w:t>
      </w:r>
    </w:p>
    <w:p w14:paraId="4FB1CB55" w14:textId="2F283F05" w:rsidR="00D76E72" w:rsidRDefault="00D76E72" w:rsidP="00BA38A0">
      <w:pPr>
        <w:pStyle w:val="Heading3"/>
      </w:pPr>
      <w:bookmarkStart w:id="21" w:name="_Toc159421596"/>
      <w:r w:rsidRPr="00DB480A">
        <w:t>Sub-major</w:t>
      </w:r>
      <w:r w:rsidR="004B5B0F">
        <w:t xml:space="preserve"> occupation</w:t>
      </w:r>
      <w:r w:rsidRPr="00DB480A">
        <w:t xml:space="preserve"> groups</w:t>
      </w:r>
      <w:bookmarkEnd w:id="21"/>
      <w:r>
        <w:t xml:space="preserve"> </w:t>
      </w:r>
    </w:p>
    <w:p w14:paraId="14A11D78" w14:textId="1EE72389" w:rsidR="00D76E72" w:rsidRDefault="00D76E72" w:rsidP="00D76E72">
      <w:r w:rsidRPr="00D76E72">
        <w:t xml:space="preserve">The fill rates for </w:t>
      </w:r>
      <w:r w:rsidR="00256F96">
        <w:t xml:space="preserve">the </w:t>
      </w:r>
      <w:r w:rsidRPr="00D76E72">
        <w:t xml:space="preserve">Sports and Personal Service group increased by </w:t>
      </w:r>
      <w:r w:rsidR="00B74393">
        <w:t>nearly 3</w:t>
      </w:r>
      <w:r w:rsidRPr="00D76E72">
        <w:t xml:space="preserve"> percentage points to 5</w:t>
      </w:r>
      <w:r w:rsidR="00B74393">
        <w:t>2</w:t>
      </w:r>
      <w:r w:rsidRPr="00D76E72">
        <w:t xml:space="preserve">%, while the fill rate for </w:t>
      </w:r>
      <w:r w:rsidR="00256F96">
        <w:t xml:space="preserve">the </w:t>
      </w:r>
      <w:r w:rsidRPr="00D76E72">
        <w:t xml:space="preserve">Hospitality group rose by </w:t>
      </w:r>
      <w:r w:rsidR="00B74393">
        <w:t>around 1</w:t>
      </w:r>
      <w:r w:rsidRPr="00D76E72">
        <w:t xml:space="preserve"> percentage point to 7</w:t>
      </w:r>
      <w:r w:rsidR="00B74393">
        <w:t>6</w:t>
      </w:r>
      <w:r w:rsidRPr="00D76E72">
        <w:t>%</w:t>
      </w:r>
      <w:r w:rsidR="00D22E10">
        <w:t xml:space="preserve"> </w:t>
      </w:r>
      <w:r w:rsidRPr="00D76E72">
        <w:t>(Figure</w:t>
      </w:r>
      <w:r w:rsidR="00752E3B">
        <w:t xml:space="preserve"> </w:t>
      </w:r>
      <w:r w:rsidRPr="00D76E72">
        <w:t>5).</w:t>
      </w:r>
      <w:r w:rsidR="00C76FDD">
        <w:rPr>
          <w:rStyle w:val="FootnoteReference"/>
        </w:rPr>
        <w:footnoteReference w:id="7"/>
      </w:r>
      <w:r w:rsidRPr="00D76E72">
        <w:t xml:space="preserve"> The fill rates for Carers and Aides and Health and Welfare Support groups </w:t>
      </w:r>
      <w:r w:rsidR="004A4E53">
        <w:t>increas</w:t>
      </w:r>
      <w:r w:rsidRPr="00D76E72">
        <w:t xml:space="preserve">ed by </w:t>
      </w:r>
      <w:r w:rsidR="004A4E53">
        <w:t>1.5</w:t>
      </w:r>
      <w:r w:rsidRPr="00D76E72">
        <w:t xml:space="preserve"> and </w:t>
      </w:r>
      <w:r w:rsidR="004A4E53">
        <w:t>3.3</w:t>
      </w:r>
      <w:r w:rsidRPr="00D76E72">
        <w:t xml:space="preserve"> percentage points respectively</w:t>
      </w:r>
      <w:r w:rsidR="00256F96">
        <w:t>,</w:t>
      </w:r>
      <w:r w:rsidRPr="00D76E72">
        <w:t xml:space="preserve"> to around 7</w:t>
      </w:r>
      <w:r w:rsidR="00B74393">
        <w:t>2</w:t>
      </w:r>
      <w:r w:rsidRPr="00D76E72">
        <w:t>%</w:t>
      </w:r>
      <w:r>
        <w:t xml:space="preserve">. </w:t>
      </w:r>
    </w:p>
    <w:p w14:paraId="03F43F1E" w14:textId="77777777" w:rsidR="00D76E72" w:rsidRDefault="00D76E72" w:rsidP="00D76E72"/>
    <w:p w14:paraId="4C26100E" w14:textId="15CF4FE2" w:rsidR="00D76E72" w:rsidRDefault="00D76E72" w:rsidP="00D76E72">
      <w:pPr>
        <w:pStyle w:val="Caption"/>
      </w:pPr>
      <w:r>
        <w:lastRenderedPageBreak/>
        <w:t>Figure 5: Quarterly f</w:t>
      </w:r>
      <w:r w:rsidRPr="00D93C1A">
        <w:t>ill rate (%)</w:t>
      </w:r>
      <w:r>
        <w:t xml:space="preserve"> of Community and Personal Service Workers</w:t>
      </w:r>
      <w:r w:rsidR="007D7CFA">
        <w:t xml:space="preserve"> sub-major group</w:t>
      </w:r>
      <w:r w:rsidRPr="00D93C1A">
        <w:t xml:space="preserve">, </w:t>
      </w:r>
      <w:r>
        <w:t>2021 to 2023</w:t>
      </w:r>
    </w:p>
    <w:p w14:paraId="38835AC8" w14:textId="1E19BA3B" w:rsidR="007D7CFA" w:rsidRDefault="00D46146" w:rsidP="007D7CFA">
      <w:pPr>
        <w:pStyle w:val="ListBullet"/>
        <w:numPr>
          <w:ilvl w:val="0"/>
          <w:numId w:val="0"/>
        </w:numPr>
        <w:rPr>
          <w:sz w:val="14"/>
          <w:szCs w:val="14"/>
        </w:rPr>
      </w:pPr>
      <w:r>
        <w:rPr>
          <w:noProof/>
        </w:rPr>
        <w:drawing>
          <wp:inline distT="0" distB="0" distL="0" distR="0" wp14:anchorId="5C0A3483" wp14:editId="175719CC">
            <wp:extent cx="5600700" cy="2520000"/>
            <wp:effectExtent l="0" t="0" r="0" b="0"/>
            <wp:docPr id="850704744" name="Chart 1" descr="In 2021-2023, Sports and Personal Service Workers had the lowest fill rate, at around 52% on average, compared to other sub-major groups of Community and Person Service Workers. Fill rates for Hospitality Workers increased significantly by nearly 8 percentage points, from 68% in the 2021 December quarter to 76% in the 2023 December quarter. Over the same period, fill rates for the other three sub-major occupation groups, including Health and Welfare Support Workers, Carers and Aides as well as Sports and Personal Service Workers, experienced little changes.">
              <a:extLst xmlns:a="http://schemas.openxmlformats.org/drawingml/2006/main">
                <a:ext uri="{FF2B5EF4-FFF2-40B4-BE49-F238E27FC236}">
                  <a16:creationId xmlns:a16="http://schemas.microsoft.com/office/drawing/2014/main" id="{539BC9E2-A286-4B24-B504-3F4D61EC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3E6CF8" w14:textId="77777777" w:rsidR="007D7CFA" w:rsidRDefault="007D7CFA" w:rsidP="00D62800">
      <w:pPr>
        <w:pStyle w:val="Source"/>
      </w:pPr>
      <w:r w:rsidRPr="00140F01">
        <w:t>Source: Jobs and Skills Australia</w:t>
      </w:r>
      <w:r>
        <w:t>,</w:t>
      </w:r>
      <w:r w:rsidRPr="00140F01">
        <w:t xml:space="preserve"> Survey of Employers who Recently Advertised (SERA</w:t>
      </w:r>
      <w:r>
        <w:t xml:space="preserve">) </w:t>
      </w:r>
    </w:p>
    <w:p w14:paraId="6DB1004F" w14:textId="77777777" w:rsidR="001E66BB" w:rsidRDefault="001E66BB" w:rsidP="00A03C15">
      <w:pPr>
        <w:sectPr w:rsidR="001E66BB" w:rsidSect="001F20A7">
          <w:headerReference w:type="default" r:id="rId24"/>
          <w:headerReference w:type="first" r:id="rId25"/>
          <w:footerReference w:type="first" r:id="rId26"/>
          <w:type w:val="continuous"/>
          <w:pgSz w:w="11906" w:h="16838"/>
          <w:pgMar w:top="1276" w:right="1440" w:bottom="1134" w:left="1440" w:header="0" w:footer="539" w:gutter="0"/>
          <w:pgNumType w:start="0"/>
          <w:cols w:space="708"/>
          <w:titlePg/>
          <w:docGrid w:linePitch="360"/>
        </w:sectPr>
      </w:pPr>
    </w:p>
    <w:p w14:paraId="1A18E655" w14:textId="179E4F76" w:rsidR="003764CC" w:rsidRPr="001F36D6" w:rsidRDefault="003764CC" w:rsidP="003764CC">
      <w:pPr>
        <w:pStyle w:val="Heading1"/>
      </w:pPr>
      <w:bookmarkStart w:id="22" w:name="_Toc159421597"/>
      <w:r w:rsidRPr="0086738B">
        <w:lastRenderedPageBreak/>
        <w:t>Spotlight piece</w:t>
      </w:r>
      <w:r>
        <w:t>:</w:t>
      </w:r>
      <w:r w:rsidR="00885309">
        <w:t xml:space="preserve"> </w:t>
      </w:r>
      <w:r w:rsidR="00D97C82">
        <w:t>skill shortage</w:t>
      </w:r>
      <w:r w:rsidR="00533BFF">
        <w:t xml:space="preserve"> 101</w:t>
      </w:r>
      <w:bookmarkEnd w:id="22"/>
      <w:r w:rsidR="00D97C82">
        <w:t xml:space="preserve"> </w:t>
      </w:r>
    </w:p>
    <w:p w14:paraId="12C5E90F" w14:textId="796B0C47" w:rsidR="00B978EF" w:rsidRDefault="00533BFF" w:rsidP="00B978EF">
      <w:r>
        <w:t xml:space="preserve">In this </w:t>
      </w:r>
      <w:r w:rsidR="0086738B" w:rsidRPr="006B6D80">
        <w:t xml:space="preserve">section </w:t>
      </w:r>
      <w:r>
        <w:t xml:space="preserve">we </w:t>
      </w:r>
      <w:r w:rsidR="0086738B" w:rsidRPr="006B6D80">
        <w:t xml:space="preserve">outline how </w:t>
      </w:r>
      <w:r w:rsidR="00B93119">
        <w:t xml:space="preserve">a </w:t>
      </w:r>
      <w:r w:rsidR="0086738B" w:rsidRPr="006B6D80">
        <w:t>skill shortage</w:t>
      </w:r>
      <w:r w:rsidR="00B93119">
        <w:t xml:space="preserve"> is</w:t>
      </w:r>
      <w:r w:rsidR="0086738B" w:rsidRPr="006B6D80">
        <w:t xml:space="preserve"> defined</w:t>
      </w:r>
      <w:r w:rsidR="00DD6487">
        <w:t xml:space="preserve"> by J</w:t>
      </w:r>
      <w:r>
        <w:t xml:space="preserve">obs and </w:t>
      </w:r>
      <w:r w:rsidR="00DD6487">
        <w:t>S</w:t>
      </w:r>
      <w:r>
        <w:t xml:space="preserve">kills </w:t>
      </w:r>
      <w:r w:rsidR="0030243C">
        <w:t>Australia</w:t>
      </w:r>
      <w:r w:rsidR="0086738B" w:rsidRPr="006B6D80">
        <w:t xml:space="preserve">, </w:t>
      </w:r>
      <w:r w:rsidR="00DD7B05">
        <w:t xml:space="preserve">and provide a brief </w:t>
      </w:r>
      <w:r>
        <w:t xml:space="preserve">overview of </w:t>
      </w:r>
      <w:r w:rsidR="0086738B" w:rsidRPr="006B6D80">
        <w:t xml:space="preserve">possible causes, </w:t>
      </w:r>
      <w:r w:rsidR="0086738B">
        <w:t>and the</w:t>
      </w:r>
      <w:r w:rsidR="0086738B" w:rsidRPr="006B6D80">
        <w:t xml:space="preserve"> impact on businesses and the economy. </w:t>
      </w:r>
      <w:r>
        <w:t xml:space="preserve">We also </w:t>
      </w:r>
      <w:r w:rsidR="00E50F9D">
        <w:t xml:space="preserve">explain </w:t>
      </w:r>
      <w:r>
        <w:t xml:space="preserve">some common </w:t>
      </w:r>
      <w:r w:rsidR="0086738B" w:rsidRPr="006B6D80">
        <w:t>misconceptions on skill shortages</w:t>
      </w:r>
      <w:r w:rsidR="0086738B">
        <w:t xml:space="preserve">. </w:t>
      </w:r>
    </w:p>
    <w:p w14:paraId="46A6E0B6" w14:textId="77777777" w:rsidR="00533BFF" w:rsidRDefault="00533BFF" w:rsidP="00533BFF">
      <w:pPr>
        <w:pStyle w:val="Heading3"/>
      </w:pPr>
      <w:bookmarkStart w:id="23" w:name="_Toc159421598"/>
      <w:r>
        <w:t>Defining skill shortages</w:t>
      </w:r>
      <w:bookmarkEnd w:id="23"/>
      <w:r>
        <w:t xml:space="preserve"> </w:t>
      </w:r>
    </w:p>
    <w:p w14:paraId="7084044E" w14:textId="59045E97" w:rsidR="00B978EF" w:rsidRDefault="00B978EF" w:rsidP="00236A7E">
      <w:r w:rsidRPr="00236A7E">
        <w:t>Jobs and Skills Australia</w:t>
      </w:r>
      <w:r>
        <w:t xml:space="preserve"> uses the following definition of skill shortages: </w:t>
      </w:r>
    </w:p>
    <w:p w14:paraId="13A6236B" w14:textId="77777777" w:rsidR="00B978EF" w:rsidRDefault="00B978EF" w:rsidP="00B978EF">
      <w:pPr>
        <w:spacing w:line="276" w:lineRule="auto"/>
        <w:ind w:left="720"/>
      </w:pPr>
      <w:r>
        <w:t xml:space="preserve">An occupation is in shortage when employers are unable to fill or have considerable difficulty filling vacancies for an occupation or cannot meet significant specialised skill needs within that occupation, at current levels of </w:t>
      </w:r>
      <w:r w:rsidRPr="008B79C5">
        <w:t>remuneration</w:t>
      </w:r>
      <w:r>
        <w:t xml:space="preserve"> and conditions of employment and in reasonably accessible locations.</w:t>
      </w:r>
    </w:p>
    <w:p w14:paraId="7BF5DAF9" w14:textId="464846EF" w:rsidR="00181F66" w:rsidRDefault="0086738B">
      <w:pPr>
        <w:spacing w:line="276" w:lineRule="auto"/>
      </w:pPr>
      <w:r>
        <w:t xml:space="preserve">The </w:t>
      </w:r>
      <w:r w:rsidR="00B359ED">
        <w:t xml:space="preserve">above definition </w:t>
      </w:r>
      <w:r w:rsidR="00181F66">
        <w:t>therefore uses the percentage of advertised vacancies filled as the primary measure of skill shortages (fill rate). Th</w:t>
      </w:r>
      <w:r w:rsidR="003870D3">
        <w:t>is</w:t>
      </w:r>
      <w:r w:rsidR="00181F66">
        <w:t xml:space="preserve"> metric is objective and has a simple intuition which is a low fill rate would imply a high likelihood of an occupation being in shortage while a high fill rate would suggest a lower chance of the occupation being in shortage. </w:t>
      </w:r>
    </w:p>
    <w:p w14:paraId="4C454D6B" w14:textId="32F30E54" w:rsidR="0086738B" w:rsidRDefault="0086738B" w:rsidP="00236A7E">
      <w:pPr>
        <w:spacing w:line="276" w:lineRule="auto"/>
      </w:pPr>
      <w:r>
        <w:t xml:space="preserve">Below are some examples of terms that are not the same but commonly confused with </w:t>
      </w:r>
      <w:r w:rsidR="00850558">
        <w:t xml:space="preserve">the </w:t>
      </w:r>
      <w:r w:rsidR="00181F66">
        <w:t xml:space="preserve">Jobs and Australia definition of </w:t>
      </w:r>
      <w:r>
        <w:t xml:space="preserve">skill shortages: </w:t>
      </w:r>
    </w:p>
    <w:p w14:paraId="19B7DF16" w14:textId="5BC21B97" w:rsidR="0086738B" w:rsidRDefault="0086738B" w:rsidP="00943B55">
      <w:pPr>
        <w:pStyle w:val="ListBullet"/>
      </w:pPr>
      <w:r w:rsidRPr="00236A7E">
        <w:rPr>
          <w:b/>
          <w:bCs/>
          <w:i/>
          <w:iCs/>
        </w:rPr>
        <w:t>Labour shortages</w:t>
      </w:r>
      <w:r>
        <w:t>:</w:t>
      </w:r>
      <w:r w:rsidRPr="008A5FD3">
        <w:t xml:space="preserve"> </w:t>
      </w:r>
      <w:r w:rsidR="00B359ED">
        <w:t>this generally refers to the quant</w:t>
      </w:r>
      <w:r w:rsidR="00181F66">
        <w:t xml:space="preserve">ity of the gap between demand for and supply of labour. This gap is difficult to measure: one key reason being that both demand and supply of labour change regularly, leading to any gap between the two being highly volatile. </w:t>
      </w:r>
    </w:p>
    <w:p w14:paraId="3DF600F8" w14:textId="2B139945" w:rsidR="0086738B" w:rsidRDefault="0086738B" w:rsidP="0086738B">
      <w:pPr>
        <w:pStyle w:val="ListBullet"/>
      </w:pPr>
      <w:r w:rsidRPr="00236A7E">
        <w:rPr>
          <w:b/>
          <w:bCs/>
          <w:i/>
          <w:iCs/>
        </w:rPr>
        <w:t>Qualification shortages</w:t>
      </w:r>
      <w:r>
        <w:t xml:space="preserve">: qualified applicants are not always suitable </w:t>
      </w:r>
      <w:r w:rsidR="00B359ED">
        <w:t xml:space="preserve">to employers </w:t>
      </w:r>
      <w:r>
        <w:t>as employers often seek additional requirements like experience or employability skills.</w:t>
      </w:r>
    </w:p>
    <w:p w14:paraId="219009DB" w14:textId="26BA24C5" w:rsidR="0086738B" w:rsidRDefault="0086738B" w:rsidP="0086738B">
      <w:pPr>
        <w:pStyle w:val="ListBullet"/>
      </w:pPr>
      <w:r w:rsidRPr="00236A7E">
        <w:rPr>
          <w:b/>
          <w:bCs/>
          <w:i/>
          <w:iCs/>
        </w:rPr>
        <w:t>Skills gaps</w:t>
      </w:r>
      <w:r>
        <w:t>: employers may need workers with a specialised skill set. This is not the same as shortages of an entire occupation.</w:t>
      </w:r>
      <w:r w:rsidR="00AE1C31">
        <w:t xml:space="preserve"> </w:t>
      </w:r>
    </w:p>
    <w:p w14:paraId="24DAC3E4" w14:textId="40A96053" w:rsidR="0086738B" w:rsidRDefault="0086738B" w:rsidP="008778F3">
      <w:pPr>
        <w:pStyle w:val="ListBullet"/>
      </w:pPr>
      <w:r w:rsidRPr="00236A7E">
        <w:rPr>
          <w:b/>
          <w:bCs/>
          <w:i/>
          <w:iCs/>
        </w:rPr>
        <w:t>High turnover</w:t>
      </w:r>
      <w:r>
        <w:t>:</w:t>
      </w:r>
      <w:r w:rsidRPr="000840FC">
        <w:t xml:space="preserve"> </w:t>
      </w:r>
      <w:r w:rsidR="00B359ED">
        <w:t xml:space="preserve">this can give </w:t>
      </w:r>
      <w:r w:rsidRPr="000840FC">
        <w:t xml:space="preserve">the impression of skill shortages because </w:t>
      </w:r>
      <w:r w:rsidR="00E5669D">
        <w:t>employers</w:t>
      </w:r>
      <w:r w:rsidR="00E5669D" w:rsidRPr="000840FC">
        <w:t xml:space="preserve"> </w:t>
      </w:r>
      <w:r w:rsidRPr="000840FC">
        <w:t xml:space="preserve">are constantly recruiting. </w:t>
      </w:r>
      <w:r w:rsidR="00B359ED">
        <w:t xml:space="preserve">However, many lower skilled occupations employ casual workers such as in the hospitality or retail sector. Workers often use these jobs as stepping stones to progress further in the labour market. </w:t>
      </w:r>
      <w:r w:rsidR="00C112E8">
        <w:t xml:space="preserve">If the supply of workers </w:t>
      </w:r>
      <w:r w:rsidR="00B96805">
        <w:t>can</w:t>
      </w:r>
      <w:r w:rsidR="00AD0605">
        <w:t xml:space="preserve"> meet the demand created by </w:t>
      </w:r>
      <w:r w:rsidR="00B96805">
        <w:t xml:space="preserve">high turnover, the occupation may not be in shortage. </w:t>
      </w:r>
    </w:p>
    <w:p w14:paraId="24EB98F6" w14:textId="283D264C" w:rsidR="00624FEA" w:rsidRDefault="00624FEA" w:rsidP="00624FEA">
      <w:pPr>
        <w:pStyle w:val="Heading3"/>
      </w:pPr>
      <w:bookmarkStart w:id="24" w:name="_Toc159421599"/>
      <w:r>
        <w:t xml:space="preserve">Causes and </w:t>
      </w:r>
      <w:proofErr w:type="gramStart"/>
      <w:r>
        <w:t>consequences</w:t>
      </w:r>
      <w:bookmarkEnd w:id="24"/>
      <w:proofErr w:type="gramEnd"/>
      <w:r>
        <w:t xml:space="preserve"> </w:t>
      </w:r>
    </w:p>
    <w:p w14:paraId="5020CA12" w14:textId="77777777" w:rsidR="0086738B" w:rsidRDefault="0086738B" w:rsidP="0086738B">
      <w:pPr>
        <w:pStyle w:val="ListBullet"/>
        <w:numPr>
          <w:ilvl w:val="0"/>
          <w:numId w:val="0"/>
        </w:numPr>
      </w:pPr>
      <w:r>
        <w:t xml:space="preserve">There are many broader, economy wide factors that may lead to skill shortages. For example, from the demand side, </w:t>
      </w:r>
    </w:p>
    <w:p w14:paraId="14F502FC" w14:textId="77777777" w:rsidR="0086738B" w:rsidRDefault="0086738B" w:rsidP="0086738B">
      <w:pPr>
        <w:pStyle w:val="ListBullet"/>
        <w:numPr>
          <w:ilvl w:val="0"/>
          <w:numId w:val="23"/>
        </w:numPr>
      </w:pPr>
      <w:r>
        <w:t xml:space="preserve">Skill shortages often occur in a tight labour market in which employers compete intensively for limited talent. </w:t>
      </w:r>
    </w:p>
    <w:p w14:paraId="16804D59" w14:textId="77777777" w:rsidR="0086738B" w:rsidRDefault="0086738B" w:rsidP="0086738B">
      <w:pPr>
        <w:pStyle w:val="ListBullet"/>
        <w:numPr>
          <w:ilvl w:val="0"/>
          <w:numId w:val="23"/>
        </w:numPr>
      </w:pPr>
      <w:r>
        <w:t xml:space="preserve">Major government spending on specific projects (such as healthcare or infrastructure) often leads to a high demand for specialised skill needs in the relevant occupations. </w:t>
      </w:r>
    </w:p>
    <w:p w14:paraId="532413F7" w14:textId="3CE11C48" w:rsidR="0086738B" w:rsidRDefault="0086738B" w:rsidP="0086738B">
      <w:pPr>
        <w:pStyle w:val="ListBullet"/>
        <w:numPr>
          <w:ilvl w:val="0"/>
          <w:numId w:val="23"/>
        </w:numPr>
      </w:pPr>
      <w:r>
        <w:lastRenderedPageBreak/>
        <w:t xml:space="preserve">Demographic changes, particularly towards an ageing population, </w:t>
      </w:r>
      <w:r w:rsidR="007C2E9F">
        <w:t xml:space="preserve">can </w:t>
      </w:r>
      <w:r>
        <w:t xml:space="preserve">generate a high demand for </w:t>
      </w:r>
      <w:r w:rsidR="007C2E9F">
        <w:t>some</w:t>
      </w:r>
      <w:r>
        <w:t xml:space="preserve"> occupations particularly in the Health Professionals and Community and Service Workers groups. When the supply of skilled labour is insufficient, this leads to skill shortages. </w:t>
      </w:r>
    </w:p>
    <w:p w14:paraId="2A1ED342" w14:textId="2306BE9D" w:rsidR="0086738B" w:rsidRPr="00B94989" w:rsidRDefault="0086738B" w:rsidP="0086738B">
      <w:pPr>
        <w:pStyle w:val="ListBullet"/>
        <w:numPr>
          <w:ilvl w:val="0"/>
          <w:numId w:val="23"/>
        </w:numPr>
      </w:pPr>
      <w:r>
        <w:t xml:space="preserve">Similarly, changes in technology (for example, towards AI) and economic structural change (for example, towards a more service-based economy) </w:t>
      </w:r>
      <w:r w:rsidR="00FE6C70">
        <w:t xml:space="preserve">can </w:t>
      </w:r>
      <w:r>
        <w:t xml:space="preserve">also create significant needs for </w:t>
      </w:r>
      <w:proofErr w:type="spellStart"/>
      <w:r w:rsidRPr="001046B6">
        <w:rPr>
          <w:lang w:val="en-US"/>
        </w:rPr>
        <w:t>specialised</w:t>
      </w:r>
      <w:proofErr w:type="spellEnd"/>
      <w:r w:rsidRPr="001046B6">
        <w:rPr>
          <w:lang w:val="en-US"/>
        </w:rPr>
        <w:t xml:space="preserve"> skill</w:t>
      </w:r>
      <w:r>
        <w:rPr>
          <w:lang w:val="en-US"/>
        </w:rPr>
        <w:t>s</w:t>
      </w:r>
      <w:r w:rsidRPr="001046B6">
        <w:rPr>
          <w:lang w:val="en-US"/>
        </w:rPr>
        <w:t xml:space="preserve"> within relevant occupations.</w:t>
      </w:r>
      <w:r>
        <w:rPr>
          <w:i/>
          <w:iCs/>
          <w:lang w:val="en-US"/>
        </w:rPr>
        <w:t xml:space="preserve"> </w:t>
      </w:r>
    </w:p>
    <w:p w14:paraId="7B9B4D5C" w14:textId="0AF4FDE5" w:rsidR="0086738B" w:rsidRPr="00D65FC3" w:rsidRDefault="0086738B" w:rsidP="0086738B">
      <w:pPr>
        <w:pStyle w:val="ListBullet"/>
        <w:numPr>
          <w:ilvl w:val="0"/>
          <w:numId w:val="0"/>
        </w:numPr>
      </w:pPr>
      <w:r>
        <w:rPr>
          <w:lang w:val="en-US"/>
        </w:rPr>
        <w:t xml:space="preserve">On the other hand, factors such as insufficient supply </w:t>
      </w:r>
      <w:r w:rsidR="00E5518A">
        <w:rPr>
          <w:lang w:val="en-US"/>
        </w:rPr>
        <w:t>from</w:t>
      </w:r>
      <w:r>
        <w:rPr>
          <w:lang w:val="en-US"/>
        </w:rPr>
        <w:t xml:space="preserve"> training systems </w:t>
      </w:r>
      <w:r w:rsidR="00B310FD">
        <w:rPr>
          <w:lang w:val="en-US"/>
        </w:rPr>
        <w:t>for</w:t>
      </w:r>
      <w:r>
        <w:rPr>
          <w:lang w:val="en-US"/>
        </w:rPr>
        <w:t xml:space="preserve"> specific skills, poor employment conditions or pay, high staff turnover</w:t>
      </w:r>
      <w:r w:rsidR="00D76761">
        <w:rPr>
          <w:lang w:val="en-US"/>
        </w:rPr>
        <w:t xml:space="preserve"> and</w:t>
      </w:r>
      <w:r>
        <w:rPr>
          <w:lang w:val="en-US"/>
        </w:rPr>
        <w:t xml:space="preserve"> cultural barriers (particularly against female workers </w:t>
      </w:r>
      <w:r w:rsidR="002A6D25">
        <w:rPr>
          <w:lang w:val="en-US"/>
        </w:rPr>
        <w:t>entering</w:t>
      </w:r>
      <w:r>
        <w:rPr>
          <w:lang w:val="en-US"/>
        </w:rPr>
        <w:t xml:space="preserve"> male-dominated occupations)</w:t>
      </w:r>
      <w:r w:rsidR="00621B1E">
        <w:rPr>
          <w:lang w:val="en-US"/>
        </w:rPr>
        <w:t xml:space="preserve"> also impact employers’ ability to fill vacancies</w:t>
      </w:r>
      <w:r>
        <w:rPr>
          <w:lang w:val="en-US"/>
        </w:rPr>
        <w:t xml:space="preserve">.  </w:t>
      </w:r>
    </w:p>
    <w:p w14:paraId="0FF3C014" w14:textId="34692E9A" w:rsidR="0086738B" w:rsidRPr="009250E9" w:rsidRDefault="00286A63" w:rsidP="0086738B">
      <w:pPr>
        <w:spacing w:line="276" w:lineRule="auto"/>
      </w:pPr>
      <w:r>
        <w:t>F</w:t>
      </w:r>
      <w:r w:rsidR="0086738B">
        <w:t>or businesses, t</w:t>
      </w:r>
      <w:r w:rsidR="0086738B" w:rsidRPr="009250E9">
        <w:t xml:space="preserve">he most common impacts </w:t>
      </w:r>
      <w:r w:rsidR="0086738B">
        <w:t xml:space="preserve">of skill shortages </w:t>
      </w:r>
      <w:r w:rsidR="0086738B" w:rsidRPr="009250E9">
        <w:t xml:space="preserve">are increased workload for </w:t>
      </w:r>
      <w:r w:rsidR="0086738B">
        <w:t xml:space="preserve">current </w:t>
      </w:r>
      <w:r w:rsidR="0086738B" w:rsidRPr="009250E9">
        <w:t xml:space="preserve">staff </w:t>
      </w:r>
      <w:r w:rsidR="0086738B">
        <w:t xml:space="preserve">members </w:t>
      </w:r>
      <w:r w:rsidR="0086738B" w:rsidRPr="009250E9">
        <w:t xml:space="preserve">and increased recruitment costs. </w:t>
      </w:r>
      <w:r w:rsidR="0086738B">
        <w:t>In other instance</w:t>
      </w:r>
      <w:r w:rsidR="00F965FE">
        <w:t>s</w:t>
      </w:r>
      <w:r w:rsidR="0086738B">
        <w:t xml:space="preserve">, </w:t>
      </w:r>
      <w:r w:rsidR="0086738B" w:rsidRPr="009250E9">
        <w:t>some businesses raise their wages</w:t>
      </w:r>
      <w:r w:rsidR="0086738B">
        <w:t xml:space="preserve">, while others </w:t>
      </w:r>
      <w:r w:rsidR="0086738B" w:rsidRPr="009250E9">
        <w:t>are severely hampered</w:t>
      </w:r>
      <w:r w:rsidR="0086738B">
        <w:t xml:space="preserve"> </w:t>
      </w:r>
      <w:r w:rsidR="0086738B" w:rsidRPr="009250E9">
        <w:t>in terms of output, quality, competitiveness</w:t>
      </w:r>
      <w:r w:rsidR="0086738B">
        <w:t xml:space="preserve">, or ability to </w:t>
      </w:r>
      <w:r w:rsidR="0086738B" w:rsidRPr="009250E9">
        <w:t>introd</w:t>
      </w:r>
      <w:r w:rsidR="0086738B">
        <w:t>uce</w:t>
      </w:r>
      <w:r w:rsidR="0086738B" w:rsidRPr="009250E9">
        <w:t xml:space="preserve"> new technologies and products. </w:t>
      </w:r>
    </w:p>
    <w:p w14:paraId="151C8A46" w14:textId="277649D1" w:rsidR="0086738B" w:rsidRDefault="0086738B" w:rsidP="0086738B">
      <w:pPr>
        <w:spacing w:line="276" w:lineRule="auto"/>
      </w:pPr>
      <w:r w:rsidRPr="009250E9">
        <w:t xml:space="preserve">For the economy, </w:t>
      </w:r>
      <w:r w:rsidR="00286A63">
        <w:t>s</w:t>
      </w:r>
      <w:r w:rsidRPr="009250E9">
        <w:t xml:space="preserve">kill shortages </w:t>
      </w:r>
      <w:r>
        <w:t>can</w:t>
      </w:r>
      <w:r w:rsidRPr="009250E9">
        <w:t xml:space="preserve"> lower productivity</w:t>
      </w:r>
      <w:r w:rsidR="00286A63">
        <w:t>. This is</w:t>
      </w:r>
      <w:r w:rsidRPr="009250E9">
        <w:t xml:space="preserve"> because they </w:t>
      </w:r>
      <w:r w:rsidR="000F522F">
        <w:t xml:space="preserve">can </w:t>
      </w:r>
      <w:r w:rsidRPr="009250E9">
        <w:t>increase recruitment costs, reduce the quality of skill matching in recruitment, cause firms to substitute from skilled labour to less productive labour, discourage investment in technology, and reduce the opportunity for localised learning effects.</w:t>
      </w:r>
    </w:p>
    <w:p w14:paraId="33B7E32E" w14:textId="36B0DB12" w:rsidR="000A3A35" w:rsidRDefault="00286A63" w:rsidP="000A3A35">
      <w:pPr>
        <w:pStyle w:val="Heading3"/>
      </w:pPr>
      <w:bookmarkStart w:id="25" w:name="_Toc159421600"/>
      <w:r>
        <w:t>Some m</w:t>
      </w:r>
      <w:r w:rsidR="000A3A35">
        <w:t>yths and misconceptions</w:t>
      </w:r>
      <w:bookmarkEnd w:id="25"/>
    </w:p>
    <w:p w14:paraId="309327D7" w14:textId="41A1BB04" w:rsidR="000A3A35" w:rsidRPr="00D65FC3" w:rsidRDefault="000A3A35" w:rsidP="000A3A35">
      <w:pPr>
        <w:rPr>
          <w:b/>
          <w:bCs/>
        </w:rPr>
      </w:pPr>
      <w:r w:rsidRPr="00D65FC3">
        <w:rPr>
          <w:b/>
          <w:bCs/>
        </w:rPr>
        <w:t>Myth 1: Government</w:t>
      </w:r>
      <w:r w:rsidR="00983B77">
        <w:rPr>
          <w:b/>
          <w:bCs/>
        </w:rPr>
        <w:t xml:space="preserve">s alone </w:t>
      </w:r>
      <w:r w:rsidRPr="00D65FC3">
        <w:rPr>
          <w:b/>
          <w:bCs/>
        </w:rPr>
        <w:t xml:space="preserve">can </w:t>
      </w:r>
      <w:r w:rsidR="00983B77">
        <w:rPr>
          <w:b/>
          <w:bCs/>
        </w:rPr>
        <w:t xml:space="preserve">address </w:t>
      </w:r>
      <w:r w:rsidRPr="00D65FC3">
        <w:rPr>
          <w:b/>
          <w:bCs/>
        </w:rPr>
        <w:t>skill</w:t>
      </w:r>
      <w:r w:rsidR="00983B77">
        <w:rPr>
          <w:b/>
          <w:bCs/>
        </w:rPr>
        <w:t xml:space="preserve"> </w:t>
      </w:r>
      <w:proofErr w:type="gramStart"/>
      <w:r w:rsidR="00983B77">
        <w:rPr>
          <w:b/>
          <w:bCs/>
        </w:rPr>
        <w:t>shortages</w:t>
      </w:r>
      <w:proofErr w:type="gramEnd"/>
    </w:p>
    <w:p w14:paraId="177346D4" w14:textId="422D934D" w:rsidR="00DD7B05" w:rsidRDefault="008647BD" w:rsidP="0086738B">
      <w:pPr>
        <w:spacing w:line="276" w:lineRule="auto"/>
      </w:pPr>
      <w:r>
        <w:t>T</w:t>
      </w:r>
      <w:r w:rsidR="0086738B">
        <w:t xml:space="preserve">he labour market is incredibly complex, differentiated, and dynamic. Available skills in the market are determined by the individual decisions of millions of students, workers, and businesses. </w:t>
      </w:r>
    </w:p>
    <w:p w14:paraId="1ACA1C1C" w14:textId="07E3CF9F" w:rsidR="0086738B" w:rsidRDefault="00983B77" w:rsidP="0086738B">
      <w:pPr>
        <w:spacing w:line="276" w:lineRule="auto"/>
      </w:pPr>
      <w:r>
        <w:t>Addressing s</w:t>
      </w:r>
      <w:r w:rsidR="0086738B" w:rsidRPr="004A71C7">
        <w:t>kill shortages</w:t>
      </w:r>
      <w:r>
        <w:t xml:space="preserve"> require</w:t>
      </w:r>
      <w:r w:rsidR="00870E3E">
        <w:t>s</w:t>
      </w:r>
      <w:r w:rsidR="00A00CCD">
        <w:t xml:space="preserve"> action from</w:t>
      </w:r>
      <w:r>
        <w:t xml:space="preserve"> all main actor</w:t>
      </w:r>
      <w:r w:rsidR="000024C3">
        <w:t>s</w:t>
      </w:r>
      <w:r>
        <w:t xml:space="preserve"> of the labour</w:t>
      </w:r>
      <w:r w:rsidR="008647BD">
        <w:t xml:space="preserve"> market</w:t>
      </w:r>
      <w:r>
        <w:t xml:space="preserve"> – government, business, education and training sector and workers. Alone, the government can only address certain areas such as </w:t>
      </w:r>
      <w:r w:rsidR="00D16D2C">
        <w:t xml:space="preserve">by </w:t>
      </w:r>
      <w:r w:rsidR="0086738B">
        <w:t>help</w:t>
      </w:r>
      <w:r>
        <w:t>ing</w:t>
      </w:r>
      <w:r w:rsidR="0086738B">
        <w:t xml:space="preserve"> remove the critical blockages in the labour market</w:t>
      </w:r>
      <w:r w:rsidR="00D16D2C">
        <w:t>,</w:t>
      </w:r>
      <w:r w:rsidR="0086738B">
        <w:t xml:space="preserve"> providing relevant information to employers and workers, supporting </w:t>
      </w:r>
      <w:proofErr w:type="gramStart"/>
      <w:r w:rsidR="0086738B">
        <w:t>education</w:t>
      </w:r>
      <w:proofErr w:type="gramEnd"/>
      <w:r w:rsidR="0086738B">
        <w:t xml:space="preserve"> and training, or </w:t>
      </w:r>
      <w:r w:rsidR="00FF083C">
        <w:t>t</w:t>
      </w:r>
      <w:r w:rsidR="00FF083C" w:rsidRPr="00FF083C">
        <w:t>arget</w:t>
      </w:r>
      <w:r w:rsidR="00FF083C">
        <w:t>ing</w:t>
      </w:r>
      <w:r w:rsidR="00FF083C" w:rsidRPr="00FF083C">
        <w:t xml:space="preserve"> skilled migration to </w:t>
      </w:r>
      <w:r w:rsidR="00693165">
        <w:t xml:space="preserve">address skills </w:t>
      </w:r>
      <w:r w:rsidR="00FF083C" w:rsidRPr="00FF083C">
        <w:t>shortages</w:t>
      </w:r>
      <w:r w:rsidR="0086738B">
        <w:t xml:space="preserve">. </w:t>
      </w:r>
    </w:p>
    <w:p w14:paraId="0C4277E4" w14:textId="407A7F06" w:rsidR="000A3A35" w:rsidRPr="00A91050" w:rsidRDefault="000A3A35" w:rsidP="000A3A35">
      <w:pPr>
        <w:rPr>
          <w:b/>
          <w:bCs/>
        </w:rPr>
      </w:pPr>
      <w:r w:rsidRPr="00A91050">
        <w:rPr>
          <w:b/>
          <w:bCs/>
        </w:rPr>
        <w:t>Myth 2: Rapid expansion in demand</w:t>
      </w:r>
      <w:r w:rsidR="00316B5E">
        <w:rPr>
          <w:b/>
          <w:bCs/>
        </w:rPr>
        <w:t xml:space="preserve"> always</w:t>
      </w:r>
      <w:r w:rsidRPr="00A91050">
        <w:rPr>
          <w:b/>
          <w:bCs/>
        </w:rPr>
        <w:t xml:space="preserve"> drives </w:t>
      </w:r>
      <w:proofErr w:type="gramStart"/>
      <w:r w:rsidRPr="00A91050">
        <w:rPr>
          <w:b/>
          <w:bCs/>
        </w:rPr>
        <w:t>shortages</w:t>
      </w:r>
      <w:proofErr w:type="gramEnd"/>
    </w:p>
    <w:p w14:paraId="61C336E2" w14:textId="763B1359" w:rsidR="0086738B" w:rsidRPr="00A91050" w:rsidRDefault="00DD7B05" w:rsidP="0086738B">
      <w:pPr>
        <w:spacing w:line="276" w:lineRule="auto"/>
      </w:pPr>
      <w:r>
        <w:t>I</w:t>
      </w:r>
      <w:r w:rsidR="0086738B" w:rsidRPr="00365A08">
        <w:t>ncreased demand will only drive shortages</w:t>
      </w:r>
      <w:r w:rsidR="0086738B">
        <w:t xml:space="preserve"> if the supply of specialised skilled labour cannot meet its demand. The </w:t>
      </w:r>
      <w:r w:rsidR="0086738B" w:rsidRPr="00604837">
        <w:t xml:space="preserve">relationship between employment growth and shortages is not nearly as strong as most </w:t>
      </w:r>
      <w:r w:rsidR="0086738B">
        <w:t xml:space="preserve">would </w:t>
      </w:r>
      <w:r w:rsidR="0086738B" w:rsidRPr="00604837">
        <w:t xml:space="preserve">expect. Sometimes rapidly expanding industries are not in shortage because supply is able to meet demand. Sometimes stable or declining occupations are in shortage because </w:t>
      </w:r>
      <w:r w:rsidR="00316B5E">
        <w:t xml:space="preserve">the current </w:t>
      </w:r>
      <w:r w:rsidR="00DF1D48">
        <w:t>supply</w:t>
      </w:r>
      <w:r w:rsidR="00316B5E">
        <w:t xml:space="preserve"> of suitable workers</w:t>
      </w:r>
      <w:r w:rsidR="00DF1D48">
        <w:t xml:space="preserve"> is insufficient</w:t>
      </w:r>
      <w:r w:rsidR="0086738B" w:rsidRPr="00604837">
        <w:t xml:space="preserve">. </w:t>
      </w:r>
      <w:r w:rsidR="0086738B" w:rsidRPr="00A91050">
        <w:t xml:space="preserve">It is always the balance of demand and supply that matters. </w:t>
      </w:r>
    </w:p>
    <w:p w14:paraId="6AB8FB88" w14:textId="36BF3AAE" w:rsidR="000A3A35" w:rsidRPr="00A91050" w:rsidRDefault="000A3A35" w:rsidP="000A3A35">
      <w:pPr>
        <w:rPr>
          <w:b/>
          <w:bCs/>
        </w:rPr>
      </w:pPr>
      <w:r w:rsidRPr="00A91050">
        <w:rPr>
          <w:b/>
          <w:bCs/>
        </w:rPr>
        <w:t xml:space="preserve">Myth 3: Increased training funding is a good response to all skill </w:t>
      </w:r>
      <w:proofErr w:type="gramStart"/>
      <w:r w:rsidRPr="00A91050">
        <w:rPr>
          <w:b/>
          <w:bCs/>
        </w:rPr>
        <w:t>shortages</w:t>
      </w:r>
      <w:proofErr w:type="gramEnd"/>
    </w:p>
    <w:p w14:paraId="5C12E0F8" w14:textId="53623764" w:rsidR="004B3447" w:rsidRDefault="00983B77" w:rsidP="0086738B">
      <w:pPr>
        <w:spacing w:line="276" w:lineRule="auto"/>
      </w:pPr>
      <w:r>
        <w:t>S</w:t>
      </w:r>
      <w:r w:rsidR="0086738B">
        <w:t xml:space="preserve">kill shortages can be driven by many factors. Increasing training funding is helpful if the funding is targeted towards </w:t>
      </w:r>
      <w:r w:rsidR="00D53832">
        <w:t>a</w:t>
      </w:r>
      <w:r w:rsidR="0086738B">
        <w:t xml:space="preserve"> shortage</w:t>
      </w:r>
      <w:r>
        <w:t xml:space="preserve"> where the main driver is a lack of qualified or trained workers</w:t>
      </w:r>
      <w:r w:rsidR="0086738B">
        <w:t>.</w:t>
      </w:r>
      <w:r>
        <w:t xml:space="preserve"> Shortages are also driven by low staff retention – stemming from poor pay and workplace conditions</w:t>
      </w:r>
      <w:r w:rsidR="00AE1C31">
        <w:t xml:space="preserve">. </w:t>
      </w:r>
      <w:r w:rsidR="004B3447" w:rsidRPr="004B3447">
        <w:t>Ways to enhance the attractiveness of the occupation through improved remuneration and/or working conditions, professional development and clearer career pathways would be the solution to alleviate this kind of shortage.</w:t>
      </w:r>
    </w:p>
    <w:p w14:paraId="4253959D" w14:textId="074A8BFE" w:rsidR="0086738B" w:rsidRPr="00DC2CB0" w:rsidRDefault="00AE1C31" w:rsidP="0086738B">
      <w:pPr>
        <w:spacing w:line="276" w:lineRule="auto"/>
      </w:pPr>
      <w:r>
        <w:t xml:space="preserve">It can also be caused by </w:t>
      </w:r>
      <w:r w:rsidR="00983B77">
        <w:t xml:space="preserve">employer </w:t>
      </w:r>
      <w:r>
        <w:t xml:space="preserve">demand for </w:t>
      </w:r>
      <w:r w:rsidR="00983B77">
        <w:t xml:space="preserve">skills </w:t>
      </w:r>
      <w:r>
        <w:t xml:space="preserve">and experience </w:t>
      </w:r>
      <w:r w:rsidR="00983B77">
        <w:t xml:space="preserve">that are not necessarily acquired through the education system, such as ‘soft </w:t>
      </w:r>
      <w:proofErr w:type="gramStart"/>
      <w:r w:rsidR="00983B77">
        <w:t>skills’</w:t>
      </w:r>
      <w:proofErr w:type="gramEnd"/>
      <w:r w:rsidR="00983B77">
        <w:t>.</w:t>
      </w:r>
      <w:r w:rsidRPr="00AE1C31">
        <w:t xml:space="preserve"> </w:t>
      </w:r>
      <w:r>
        <w:t>In that case, s</w:t>
      </w:r>
      <w:r w:rsidRPr="00AE1C31">
        <w:t xml:space="preserve">imply increasing </w:t>
      </w:r>
      <w:r w:rsidRPr="00AE1C31">
        <w:lastRenderedPageBreak/>
        <w:t xml:space="preserve">the throughput of qualified people </w:t>
      </w:r>
      <w:r>
        <w:t xml:space="preserve">would be </w:t>
      </w:r>
      <w:r w:rsidRPr="00AE1C31">
        <w:t xml:space="preserve">a questionable strategy. The solution </w:t>
      </w:r>
      <w:r>
        <w:t xml:space="preserve">would be </w:t>
      </w:r>
      <w:r w:rsidRPr="00AE1C31">
        <w:t>to enhance the attributes of qualified applicants through investing in their employability skills and work experience.</w:t>
      </w:r>
    </w:p>
    <w:p w14:paraId="0AC692E7" w14:textId="51E93184" w:rsidR="000A3A35" w:rsidRPr="00D5545C" w:rsidRDefault="000A3A35" w:rsidP="000A3A35">
      <w:pPr>
        <w:rPr>
          <w:b/>
          <w:bCs/>
        </w:rPr>
      </w:pPr>
      <w:r w:rsidRPr="00D5545C">
        <w:rPr>
          <w:b/>
          <w:bCs/>
        </w:rPr>
        <w:t xml:space="preserve">Myth 4: Wages always rise in response to </w:t>
      </w:r>
      <w:proofErr w:type="gramStart"/>
      <w:r w:rsidRPr="00D5545C">
        <w:rPr>
          <w:b/>
          <w:bCs/>
        </w:rPr>
        <w:t>shortages</w:t>
      </w:r>
      <w:proofErr w:type="gramEnd"/>
    </w:p>
    <w:p w14:paraId="2F8A9F72" w14:textId="0183B55E" w:rsidR="0086738B" w:rsidRDefault="0086738B" w:rsidP="0086738B">
      <w:r>
        <w:t xml:space="preserve">Increasing wages is one of many employers’ responses to skill shortages, and employers may prefer other responses. As reported in many studies (for example, </w:t>
      </w:r>
      <w:r w:rsidRPr="00F66368">
        <w:t xml:space="preserve">Leal </w:t>
      </w:r>
      <w:r>
        <w:t>2019), there is limited evidence that firms raise wages (temporarily or permanently) in response to skill shortages.</w:t>
      </w:r>
      <w:r>
        <w:rPr>
          <w:rStyle w:val="FootnoteReference"/>
        </w:rPr>
        <w:footnoteReference w:id="8"/>
      </w:r>
      <w:r>
        <w:t xml:space="preserve"> This is consistent with </w:t>
      </w:r>
      <w:r w:rsidRPr="008B79C5">
        <w:t>our analysis</w:t>
      </w:r>
      <w:r>
        <w:t xml:space="preserve"> in the </w:t>
      </w:r>
      <w:hyperlink r:id="rId27" w:history="1">
        <w:r w:rsidRPr="003764CC">
          <w:rPr>
            <w:rStyle w:val="Hyperlink"/>
          </w:rPr>
          <w:t>2023 SPL Key Findings Report</w:t>
        </w:r>
      </w:hyperlink>
      <w:r>
        <w:t xml:space="preserve">, which shows only 1% </w:t>
      </w:r>
      <w:r w:rsidR="001B2185">
        <w:t xml:space="preserve">of </w:t>
      </w:r>
      <w:r>
        <w:t>employers adjusted renumeration to attract suitably skilled workers to fill vacancies. Howeve</w:t>
      </w:r>
      <w:r w:rsidRPr="00180A9D">
        <w:t xml:space="preserve">r, </w:t>
      </w:r>
      <w:r w:rsidRPr="00D106E2">
        <w:t>the</w:t>
      </w:r>
      <w:r>
        <w:t xml:space="preserve"> opposite</w:t>
      </w:r>
      <w:r w:rsidRPr="00D106E2">
        <w:t xml:space="preserve"> is often true</w:t>
      </w:r>
      <w:r>
        <w:t>. That is,</w:t>
      </w:r>
      <w:r w:rsidRPr="00D106E2">
        <w:t xml:space="preserve"> flat constrained wages may cause a </w:t>
      </w:r>
      <w:r>
        <w:t xml:space="preserve">skill </w:t>
      </w:r>
      <w:r w:rsidRPr="00D106E2">
        <w:t>shortage.</w:t>
      </w:r>
    </w:p>
    <w:p w14:paraId="7D83D4B1" w14:textId="7A1D6F2A" w:rsidR="000A3A35" w:rsidRPr="00D5545C" w:rsidRDefault="000A3A35" w:rsidP="000A3A35">
      <w:pPr>
        <w:rPr>
          <w:b/>
          <w:bCs/>
        </w:rPr>
      </w:pPr>
      <w:r w:rsidRPr="00D5545C">
        <w:rPr>
          <w:b/>
          <w:bCs/>
        </w:rPr>
        <w:t xml:space="preserve">Myth 5: Demands of all employers can be </w:t>
      </w:r>
      <w:proofErr w:type="gramStart"/>
      <w:r w:rsidRPr="00D5545C">
        <w:rPr>
          <w:b/>
          <w:bCs/>
        </w:rPr>
        <w:t>met</w:t>
      </w:r>
      <w:proofErr w:type="gramEnd"/>
    </w:p>
    <w:p w14:paraId="05E2CB2B" w14:textId="79F3CD1E" w:rsidR="0086738B" w:rsidRPr="009E638B" w:rsidRDefault="00286A63" w:rsidP="0086738B">
      <w:r>
        <w:t xml:space="preserve">Not all employer vacancies in the labour market can be filled. </w:t>
      </w:r>
      <w:r w:rsidR="0086738B" w:rsidRPr="009E638B">
        <w:t xml:space="preserve">For example, a hospitality employer </w:t>
      </w:r>
      <w:r>
        <w:t xml:space="preserve">may not be able to fill their advertised vacancies as </w:t>
      </w:r>
      <w:r w:rsidR="0086738B" w:rsidRPr="009E638B">
        <w:t xml:space="preserve">workers </w:t>
      </w:r>
      <w:r>
        <w:t xml:space="preserve">may have </w:t>
      </w:r>
      <w:r w:rsidR="0086738B" w:rsidRPr="009E638B">
        <w:t xml:space="preserve">access to better </w:t>
      </w:r>
      <w:r>
        <w:t xml:space="preserve">pay, </w:t>
      </w:r>
      <w:proofErr w:type="gramStart"/>
      <w:r>
        <w:t>conditions</w:t>
      </w:r>
      <w:proofErr w:type="gramEnd"/>
      <w:r>
        <w:t xml:space="preserve"> and career progression </w:t>
      </w:r>
      <w:r w:rsidR="0086738B" w:rsidRPr="009E638B">
        <w:t>opportunities</w:t>
      </w:r>
      <w:r>
        <w:t xml:space="preserve"> elsewhere. </w:t>
      </w:r>
      <w:r w:rsidR="0086738B" w:rsidRPr="009E638B">
        <w:t xml:space="preserve">But this is exactly how the market is supposed to work and produce the most productive outcomes for the economy. </w:t>
      </w:r>
      <w:r w:rsidR="000A40C7">
        <w:t>Theoretically, the market</w:t>
      </w:r>
      <w:r w:rsidR="0086738B" w:rsidRPr="009E638B">
        <w:t xml:space="preserve"> should allocate workers to the most productive </w:t>
      </w:r>
      <w:r>
        <w:t xml:space="preserve">businesses, areas and </w:t>
      </w:r>
      <w:r w:rsidR="0086738B" w:rsidRPr="009E638B">
        <w:t xml:space="preserve">uses, </w:t>
      </w:r>
      <w:r>
        <w:t xml:space="preserve">including in places that </w:t>
      </w:r>
      <w:r w:rsidR="0086738B" w:rsidRPr="009E638B">
        <w:t>are generally higher paid</w:t>
      </w:r>
      <w:r>
        <w:t>,</w:t>
      </w:r>
      <w:r w:rsidR="0086738B">
        <w:t xml:space="preserve"> </w:t>
      </w:r>
      <w:r>
        <w:t xml:space="preserve">have </w:t>
      </w:r>
      <w:r w:rsidR="0086738B" w:rsidRPr="009E638B">
        <w:t>better</w:t>
      </w:r>
      <w:r w:rsidR="0086738B">
        <w:t xml:space="preserve"> employment</w:t>
      </w:r>
      <w:r w:rsidR="0086738B" w:rsidRPr="009E638B">
        <w:t xml:space="preserve"> conditions</w:t>
      </w:r>
      <w:r>
        <w:t xml:space="preserve"> or yield better staff satisfaction</w:t>
      </w:r>
      <w:r w:rsidR="0086738B" w:rsidRPr="009E638B">
        <w:t>.</w:t>
      </w:r>
      <w:r w:rsidR="0086738B">
        <w:t xml:space="preserve"> </w:t>
      </w:r>
    </w:p>
    <w:p w14:paraId="5ED8F17A" w14:textId="3AEB308A" w:rsidR="000A3A35" w:rsidRPr="00D5545C" w:rsidRDefault="000A3A35" w:rsidP="000A3A35">
      <w:pPr>
        <w:rPr>
          <w:b/>
          <w:bCs/>
        </w:rPr>
      </w:pPr>
      <w:r w:rsidRPr="00D5545C">
        <w:rPr>
          <w:b/>
          <w:bCs/>
        </w:rPr>
        <w:t>Myth 6: S</w:t>
      </w:r>
      <w:r w:rsidR="00947BB0">
        <w:rPr>
          <w:b/>
          <w:bCs/>
        </w:rPr>
        <w:t>kill s</w:t>
      </w:r>
      <w:r w:rsidRPr="00D5545C">
        <w:rPr>
          <w:b/>
          <w:bCs/>
        </w:rPr>
        <w:t xml:space="preserve">hortages </w:t>
      </w:r>
      <w:r w:rsidR="008725CF">
        <w:rPr>
          <w:b/>
          <w:bCs/>
        </w:rPr>
        <w:t>can only be</w:t>
      </w:r>
      <w:r w:rsidR="00B90273">
        <w:rPr>
          <w:b/>
          <w:bCs/>
        </w:rPr>
        <w:t xml:space="preserve"> </w:t>
      </w:r>
      <w:r w:rsidRPr="00D5545C">
        <w:rPr>
          <w:b/>
          <w:bCs/>
        </w:rPr>
        <w:t xml:space="preserve">bad for the </w:t>
      </w:r>
      <w:proofErr w:type="gramStart"/>
      <w:r w:rsidRPr="00D5545C">
        <w:rPr>
          <w:b/>
          <w:bCs/>
        </w:rPr>
        <w:t>economy</w:t>
      </w:r>
      <w:proofErr w:type="gramEnd"/>
    </w:p>
    <w:p w14:paraId="34DD855E" w14:textId="29F48AFA" w:rsidR="0086738B" w:rsidRDefault="00286A63" w:rsidP="00947BB0">
      <w:r>
        <w:t>T</w:t>
      </w:r>
      <w:r w:rsidR="0086738B" w:rsidRPr="00830B22">
        <w:t>here are positive</w:t>
      </w:r>
      <w:r w:rsidR="0086738B">
        <w:t xml:space="preserve"> </w:t>
      </w:r>
      <w:r w:rsidR="00B90273">
        <w:t>aspects to some skills shortages</w:t>
      </w:r>
      <w:r w:rsidR="00947BB0">
        <w:t xml:space="preserve">. During periods of tight labour markets, skill shortages prompt more employers to </w:t>
      </w:r>
      <w:r w:rsidR="00254665">
        <w:t>provide more hours of work to existing workers and hire</w:t>
      </w:r>
      <w:r w:rsidR="00947BB0">
        <w:t xml:space="preserve"> unemployed</w:t>
      </w:r>
      <w:r w:rsidR="00254665">
        <w:t xml:space="preserve"> workers</w:t>
      </w:r>
      <w:r w:rsidR="00947BB0">
        <w:t xml:space="preserve">, including those that are </w:t>
      </w:r>
      <w:r w:rsidR="0086738B">
        <w:t xml:space="preserve">long term unemployed and marginalised. </w:t>
      </w:r>
      <w:r w:rsidR="00947BB0">
        <w:t>This leads to better labour market efficiency. That is, those that want a job a</w:t>
      </w:r>
      <w:r w:rsidR="00697572">
        <w:t>re</w:t>
      </w:r>
      <w:r w:rsidR="00947BB0">
        <w:t xml:space="preserve"> more likely to find a job. </w:t>
      </w:r>
      <w:r w:rsidR="0086738B">
        <w:t xml:space="preserve">Also, there might be increased training and </w:t>
      </w:r>
      <w:r w:rsidR="00947BB0">
        <w:t xml:space="preserve">upskilling </w:t>
      </w:r>
      <w:r w:rsidR="0086738B">
        <w:t>opportunities for workers</w:t>
      </w:r>
      <w:r w:rsidR="0086738B" w:rsidRPr="00810388">
        <w:t>.</w:t>
      </w:r>
      <w:r w:rsidR="0086738B">
        <w:t xml:space="preserve"> </w:t>
      </w:r>
      <w:r w:rsidR="00697572">
        <w:t>Shortages</w:t>
      </w:r>
      <w:r w:rsidR="0086738B">
        <w:t xml:space="preserve"> may also create upward pressure on wage growth.</w:t>
      </w:r>
      <w:r w:rsidR="00947BB0">
        <w:t xml:space="preserve"> These impacts benefit vulnerable workers the most, including younger, and lower-income Australians with fewer skills</w:t>
      </w:r>
      <w:r w:rsidR="00254665">
        <w:t xml:space="preserve">. </w:t>
      </w:r>
    </w:p>
    <w:p w14:paraId="4AD4C09D" w14:textId="77777777" w:rsidR="000A3A35" w:rsidRDefault="000A3A35" w:rsidP="000A3A35">
      <w:pPr>
        <w:pStyle w:val="ListBullet"/>
        <w:numPr>
          <w:ilvl w:val="0"/>
          <w:numId w:val="0"/>
        </w:numPr>
        <w:rPr>
          <w:sz w:val="14"/>
          <w:szCs w:val="14"/>
        </w:rPr>
      </w:pPr>
    </w:p>
    <w:p w14:paraId="5EEE2B5D" w14:textId="77777777" w:rsidR="000A3A35" w:rsidRDefault="000A3A35" w:rsidP="000A3A35"/>
    <w:p w14:paraId="720270F0" w14:textId="77777777" w:rsidR="000A3A35" w:rsidRDefault="000A3A35" w:rsidP="000A3A35"/>
    <w:p w14:paraId="62B3A571" w14:textId="77777777" w:rsidR="000A3A35" w:rsidRDefault="000A3A35" w:rsidP="000A3A35"/>
    <w:p w14:paraId="20DEBC71" w14:textId="77777777" w:rsidR="000A3A35" w:rsidRDefault="000A3A35" w:rsidP="000A3A35"/>
    <w:p w14:paraId="340DDBDC" w14:textId="77777777" w:rsidR="00113C8B" w:rsidRDefault="00113C8B" w:rsidP="003764CC"/>
    <w:p w14:paraId="471CE23C" w14:textId="77777777" w:rsidR="008B79C5" w:rsidRDefault="008B79C5" w:rsidP="003764CC"/>
    <w:p w14:paraId="3A1FF5FC" w14:textId="77777777" w:rsidR="008B79C5" w:rsidRDefault="008B79C5" w:rsidP="008B79C5"/>
    <w:p w14:paraId="15753A93" w14:textId="77777777" w:rsidR="008B79C5" w:rsidRDefault="008B79C5" w:rsidP="003764CC">
      <w:pPr>
        <w:sectPr w:rsidR="008B79C5" w:rsidSect="001F20A7">
          <w:pgSz w:w="11906" w:h="16838"/>
          <w:pgMar w:top="1276" w:right="1440" w:bottom="1134" w:left="1440" w:header="0" w:footer="539" w:gutter="0"/>
          <w:cols w:space="708"/>
          <w:titlePg/>
          <w:docGrid w:linePitch="360"/>
        </w:sectPr>
      </w:pPr>
    </w:p>
    <w:p w14:paraId="39B4E021" w14:textId="5CFD1189" w:rsidR="005C5507" w:rsidRPr="001F36D6" w:rsidRDefault="005C5507" w:rsidP="005C5507">
      <w:pPr>
        <w:pStyle w:val="Heading1"/>
      </w:pPr>
      <w:bookmarkStart w:id="26" w:name="_Toc159421601"/>
      <w:r w:rsidRPr="005C5507">
        <w:lastRenderedPageBreak/>
        <w:t>Appendix</w:t>
      </w:r>
      <w:bookmarkEnd w:id="26"/>
      <w:r w:rsidRPr="005C5507">
        <w:t xml:space="preserve"> </w:t>
      </w:r>
    </w:p>
    <w:p w14:paraId="5203C381" w14:textId="25846F97" w:rsidR="00FF53A9" w:rsidRDefault="005C5507" w:rsidP="00FF53A9">
      <w:pPr>
        <w:pStyle w:val="Caption"/>
      </w:pPr>
      <w:r>
        <w:t xml:space="preserve">Appendix </w:t>
      </w:r>
      <w:r w:rsidR="00FF53A9">
        <w:t xml:space="preserve">Table </w:t>
      </w:r>
      <w:r w:rsidR="00E14802">
        <w:t>1</w:t>
      </w:r>
      <w:r w:rsidR="00FF53A9">
        <w:t xml:space="preserve">: </w:t>
      </w:r>
      <w:r w:rsidR="009E45F5">
        <w:t xml:space="preserve">December </w:t>
      </w:r>
      <w:r>
        <w:t xml:space="preserve">2023 quarter data </w:t>
      </w:r>
    </w:p>
    <w:p w14:paraId="62D61208" w14:textId="77777777" w:rsidR="00323B9A" w:rsidRDefault="00323B9A" w:rsidP="00631632">
      <w:pPr>
        <w:pStyle w:val="Spacer"/>
      </w:pPr>
    </w:p>
    <w:bookmarkEnd w:id="0"/>
    <w:bookmarkEnd w:id="1"/>
    <w:tbl>
      <w:tblPr>
        <w:tblStyle w:val="PlainTable4"/>
        <w:tblW w:w="14601" w:type="dxa"/>
        <w:tblLayout w:type="fixed"/>
        <w:tblLook w:val="04A0" w:firstRow="1" w:lastRow="0" w:firstColumn="1" w:lastColumn="0" w:noHBand="0" w:noVBand="1"/>
      </w:tblPr>
      <w:tblGrid>
        <w:gridCol w:w="2127"/>
        <w:gridCol w:w="1275"/>
        <w:gridCol w:w="1418"/>
        <w:gridCol w:w="1276"/>
        <w:gridCol w:w="1134"/>
        <w:gridCol w:w="1275"/>
        <w:gridCol w:w="1134"/>
        <w:gridCol w:w="1276"/>
        <w:gridCol w:w="1134"/>
        <w:gridCol w:w="1276"/>
        <w:gridCol w:w="1276"/>
      </w:tblGrid>
      <w:tr w:rsidR="00236A7E" w:rsidRPr="00686562" w14:paraId="56EFEE91" w14:textId="70C85A9D" w:rsidTr="00236A7E">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002060"/>
            <w:vAlign w:val="bottom"/>
          </w:tcPr>
          <w:p w14:paraId="0CAD94B2" w14:textId="77777777" w:rsidR="007F35F8" w:rsidRPr="00B71532" w:rsidRDefault="007F35F8" w:rsidP="0030243C">
            <w:pPr>
              <w:pStyle w:val="Tableheader"/>
            </w:pPr>
          </w:p>
        </w:tc>
        <w:tc>
          <w:tcPr>
            <w:tcW w:w="0" w:type="dxa"/>
            <w:gridSpan w:val="2"/>
            <w:tcBorders>
              <w:left w:val="single" w:sz="4" w:space="0" w:color="auto"/>
              <w:right w:val="single" w:sz="4" w:space="0" w:color="auto"/>
            </w:tcBorders>
            <w:shd w:val="clear" w:color="auto" w:fill="002060"/>
            <w:vAlign w:val="center"/>
          </w:tcPr>
          <w:p w14:paraId="7A2E1E5E" w14:textId="77777777" w:rsidR="007F35F8" w:rsidRPr="00B71532" w:rsidRDefault="007F35F8" w:rsidP="008F0C4A">
            <w:pPr>
              <w:pStyle w:val="Tableheader"/>
              <w:jc w:val="center"/>
              <w:cnfStyle w:val="100000000000" w:firstRow="1" w:lastRow="0" w:firstColumn="0" w:lastColumn="0" w:oddVBand="0" w:evenVBand="0" w:oddHBand="0" w:evenHBand="0" w:firstRowFirstColumn="0" w:firstRowLastColumn="0" w:lastRowFirstColumn="0" w:lastRowLastColumn="0"/>
            </w:pPr>
            <w:r w:rsidRPr="00B71532">
              <w:rPr>
                <w:b/>
                <w:bCs w:val="0"/>
              </w:rPr>
              <w:t>Fill rate (%)</w:t>
            </w:r>
          </w:p>
        </w:tc>
        <w:tc>
          <w:tcPr>
            <w:tcW w:w="0" w:type="dxa"/>
            <w:gridSpan w:val="2"/>
            <w:tcBorders>
              <w:left w:val="single" w:sz="4" w:space="0" w:color="auto"/>
              <w:right w:val="single" w:sz="4" w:space="0" w:color="auto"/>
            </w:tcBorders>
            <w:shd w:val="clear" w:color="auto" w:fill="002060"/>
            <w:vAlign w:val="center"/>
          </w:tcPr>
          <w:p w14:paraId="564FF4B5" w14:textId="77777777" w:rsidR="007F35F8" w:rsidRPr="00B71532" w:rsidRDefault="007F35F8" w:rsidP="008F0C4A">
            <w:pPr>
              <w:pStyle w:val="Tableheader"/>
              <w:jc w:val="center"/>
              <w:cnfStyle w:val="100000000000" w:firstRow="1" w:lastRow="0" w:firstColumn="0" w:lastColumn="0" w:oddVBand="0" w:evenVBand="0" w:oddHBand="0" w:evenHBand="0" w:firstRowFirstColumn="0" w:firstRowLastColumn="0" w:lastRowFirstColumn="0" w:lastRowLastColumn="0"/>
            </w:pPr>
            <w:r w:rsidRPr="00B71532">
              <w:rPr>
                <w:b/>
                <w:bCs w:val="0"/>
              </w:rPr>
              <w:t>Applicants per vacancy</w:t>
            </w:r>
          </w:p>
        </w:tc>
        <w:tc>
          <w:tcPr>
            <w:tcW w:w="0" w:type="dxa"/>
            <w:gridSpan w:val="2"/>
            <w:tcBorders>
              <w:left w:val="single" w:sz="4" w:space="0" w:color="auto"/>
              <w:right w:val="single" w:sz="4" w:space="0" w:color="auto"/>
            </w:tcBorders>
            <w:shd w:val="clear" w:color="auto" w:fill="002060"/>
            <w:vAlign w:val="center"/>
          </w:tcPr>
          <w:p w14:paraId="546BA7A2" w14:textId="77777777" w:rsidR="007F35F8" w:rsidRPr="00B71532" w:rsidRDefault="007F35F8" w:rsidP="008F0C4A">
            <w:pPr>
              <w:pStyle w:val="Tableheader"/>
              <w:jc w:val="center"/>
              <w:cnfStyle w:val="100000000000" w:firstRow="1" w:lastRow="0" w:firstColumn="0" w:lastColumn="0" w:oddVBand="0" w:evenVBand="0" w:oddHBand="0" w:evenHBand="0" w:firstRowFirstColumn="0" w:firstRowLastColumn="0" w:lastRowFirstColumn="0" w:lastRowLastColumn="0"/>
            </w:pPr>
            <w:r w:rsidRPr="00B71532">
              <w:rPr>
                <w:b/>
                <w:bCs w:val="0"/>
              </w:rPr>
              <w:t>Qualified applicants per vacancy</w:t>
            </w:r>
          </w:p>
        </w:tc>
        <w:tc>
          <w:tcPr>
            <w:tcW w:w="0" w:type="dxa"/>
            <w:gridSpan w:val="2"/>
            <w:tcBorders>
              <w:left w:val="single" w:sz="4" w:space="0" w:color="auto"/>
            </w:tcBorders>
            <w:shd w:val="clear" w:color="auto" w:fill="002060"/>
            <w:vAlign w:val="center"/>
          </w:tcPr>
          <w:p w14:paraId="410AD090" w14:textId="77777777" w:rsidR="007F35F8" w:rsidRPr="00B71532" w:rsidRDefault="007F35F8" w:rsidP="008F0C4A">
            <w:pPr>
              <w:pStyle w:val="Tableheader"/>
              <w:jc w:val="center"/>
              <w:cnfStyle w:val="100000000000" w:firstRow="1" w:lastRow="0" w:firstColumn="0" w:lastColumn="0" w:oddVBand="0" w:evenVBand="0" w:oddHBand="0" w:evenHBand="0" w:firstRowFirstColumn="0" w:firstRowLastColumn="0" w:lastRowFirstColumn="0" w:lastRowLastColumn="0"/>
            </w:pPr>
            <w:r w:rsidRPr="00B71532">
              <w:rPr>
                <w:b/>
                <w:bCs w:val="0"/>
              </w:rPr>
              <w:t>Suitable applicants per vacancy</w:t>
            </w:r>
          </w:p>
        </w:tc>
        <w:tc>
          <w:tcPr>
            <w:tcW w:w="0" w:type="dxa"/>
            <w:gridSpan w:val="2"/>
            <w:tcBorders>
              <w:left w:val="single" w:sz="4" w:space="0" w:color="auto"/>
            </w:tcBorders>
            <w:shd w:val="clear" w:color="auto" w:fill="002060"/>
          </w:tcPr>
          <w:p w14:paraId="51491DBD" w14:textId="026124E2" w:rsidR="007F35F8" w:rsidRPr="00311521" w:rsidRDefault="007F35F8" w:rsidP="008F0C4A">
            <w:pPr>
              <w:pStyle w:val="Tableheader"/>
              <w:jc w:val="center"/>
              <w:cnfStyle w:val="100000000000" w:firstRow="1" w:lastRow="0" w:firstColumn="0" w:lastColumn="0" w:oddVBand="0" w:evenVBand="0" w:oddHBand="0" w:evenHBand="0" w:firstRowFirstColumn="0" w:firstRowLastColumn="0" w:lastRowFirstColumn="0" w:lastRowLastColumn="0"/>
              <w:rPr>
                <w:b/>
                <w:bCs w:val="0"/>
              </w:rPr>
            </w:pPr>
            <w:r w:rsidRPr="00B71532">
              <w:rPr>
                <w:b/>
                <w:bCs w:val="0"/>
              </w:rPr>
              <w:t>Suitability gap</w:t>
            </w:r>
          </w:p>
        </w:tc>
      </w:tr>
      <w:tr w:rsidR="00236A7E" w:rsidRPr="00686562" w14:paraId="2D3CF1FF" w14:textId="7D06BA4B" w:rsidTr="00C04A0B">
        <w:trPr>
          <w:cnfStyle w:val="100000000000" w:firstRow="1" w:lastRow="0" w:firstColumn="0" w:lastColumn="0" w:oddVBand="0" w:evenVBand="0" w:oddHBand="0" w:evenHBand="0" w:firstRowFirstColumn="0" w:firstRowLastColumn="0" w:lastRowFirstColumn="0" w:lastRowLastColumn="0"/>
          <w:trHeight w:val="796"/>
          <w:tblHeader/>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auto"/>
            </w:tcBorders>
            <w:shd w:val="clear" w:color="auto" w:fill="002060"/>
          </w:tcPr>
          <w:p w14:paraId="4DA00ABD" w14:textId="77777777" w:rsidR="00E72AEF" w:rsidRPr="00B71532" w:rsidRDefault="00E72AEF" w:rsidP="00E72AEF">
            <w:pPr>
              <w:pStyle w:val="Tableheader"/>
              <w:rPr>
                <w:b/>
                <w:bCs w:val="0"/>
              </w:rPr>
            </w:pPr>
            <w:r w:rsidRPr="00B71532">
              <w:rPr>
                <w:b/>
                <w:bCs w:val="0"/>
              </w:rPr>
              <w:t>Category</w:t>
            </w:r>
          </w:p>
        </w:tc>
        <w:tc>
          <w:tcPr>
            <w:tcW w:w="1275" w:type="dxa"/>
            <w:tcBorders>
              <w:left w:val="single" w:sz="4" w:space="0" w:color="auto"/>
            </w:tcBorders>
            <w:shd w:val="clear" w:color="auto" w:fill="002060"/>
          </w:tcPr>
          <w:p w14:paraId="0FC8DB3E" w14:textId="7A642D59"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rPr>
                <w:b/>
                <w:bCs w:val="0"/>
              </w:rPr>
            </w:pPr>
            <w:r>
              <w:t xml:space="preserve">Dec-2023 </w:t>
            </w:r>
            <w:r w:rsidRPr="00B71532">
              <w:t>quarter</w:t>
            </w:r>
          </w:p>
        </w:tc>
        <w:tc>
          <w:tcPr>
            <w:tcW w:w="1418" w:type="dxa"/>
            <w:tcBorders>
              <w:right w:val="single" w:sz="4" w:space="0" w:color="auto"/>
            </w:tcBorders>
            <w:shd w:val="clear" w:color="auto" w:fill="002060"/>
          </w:tcPr>
          <w:p w14:paraId="278F8030" w14:textId="702CA903"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pPr>
            <w:r w:rsidRPr="00B71532">
              <w:t>Quarterly change</w:t>
            </w:r>
          </w:p>
        </w:tc>
        <w:tc>
          <w:tcPr>
            <w:tcW w:w="1276" w:type="dxa"/>
            <w:tcBorders>
              <w:left w:val="single" w:sz="4" w:space="0" w:color="auto"/>
            </w:tcBorders>
            <w:shd w:val="clear" w:color="auto" w:fill="002060"/>
          </w:tcPr>
          <w:p w14:paraId="473580C9" w14:textId="7C5CD7B0"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rPr>
                <w:b/>
                <w:bCs w:val="0"/>
              </w:rPr>
            </w:pPr>
            <w:r>
              <w:t xml:space="preserve">Dec-2023 </w:t>
            </w:r>
            <w:r w:rsidRPr="00B71532">
              <w:t>quarter</w:t>
            </w:r>
          </w:p>
        </w:tc>
        <w:tc>
          <w:tcPr>
            <w:tcW w:w="1134" w:type="dxa"/>
            <w:tcBorders>
              <w:right w:val="single" w:sz="4" w:space="0" w:color="auto"/>
            </w:tcBorders>
            <w:shd w:val="clear" w:color="auto" w:fill="002060"/>
          </w:tcPr>
          <w:p w14:paraId="6A9A8691" w14:textId="77777777"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pPr>
            <w:r w:rsidRPr="00B71532">
              <w:t>Quarterly change</w:t>
            </w:r>
          </w:p>
        </w:tc>
        <w:tc>
          <w:tcPr>
            <w:tcW w:w="1275" w:type="dxa"/>
            <w:tcBorders>
              <w:left w:val="single" w:sz="4" w:space="0" w:color="auto"/>
            </w:tcBorders>
            <w:shd w:val="clear" w:color="auto" w:fill="002060"/>
          </w:tcPr>
          <w:p w14:paraId="452969ED" w14:textId="10CB8808"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rPr>
                <w:b/>
                <w:bCs w:val="0"/>
              </w:rPr>
            </w:pPr>
            <w:r>
              <w:t xml:space="preserve">Dec-2023 </w:t>
            </w:r>
            <w:r w:rsidRPr="00B71532">
              <w:t>quarter</w:t>
            </w:r>
          </w:p>
        </w:tc>
        <w:tc>
          <w:tcPr>
            <w:tcW w:w="1134" w:type="dxa"/>
            <w:tcBorders>
              <w:right w:val="single" w:sz="4" w:space="0" w:color="auto"/>
            </w:tcBorders>
            <w:shd w:val="clear" w:color="auto" w:fill="002060"/>
          </w:tcPr>
          <w:p w14:paraId="60D18F99" w14:textId="77777777"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pPr>
            <w:r w:rsidRPr="00B71532">
              <w:t>Quarterly change</w:t>
            </w:r>
          </w:p>
        </w:tc>
        <w:tc>
          <w:tcPr>
            <w:tcW w:w="1276" w:type="dxa"/>
            <w:tcBorders>
              <w:left w:val="single" w:sz="4" w:space="0" w:color="auto"/>
            </w:tcBorders>
            <w:shd w:val="clear" w:color="auto" w:fill="002060"/>
          </w:tcPr>
          <w:p w14:paraId="358B72D6" w14:textId="6B2E4F94"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rPr>
                <w:b/>
                <w:bCs w:val="0"/>
              </w:rPr>
            </w:pPr>
            <w:r>
              <w:t xml:space="preserve">Dec-2023 </w:t>
            </w:r>
            <w:r w:rsidRPr="00B71532">
              <w:t>quarter</w:t>
            </w:r>
          </w:p>
        </w:tc>
        <w:tc>
          <w:tcPr>
            <w:tcW w:w="1134" w:type="dxa"/>
            <w:tcBorders>
              <w:right w:val="single" w:sz="4" w:space="0" w:color="auto"/>
            </w:tcBorders>
            <w:shd w:val="clear" w:color="auto" w:fill="002060"/>
          </w:tcPr>
          <w:p w14:paraId="41C13C8E" w14:textId="77777777"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pPr>
            <w:r w:rsidRPr="00B71532">
              <w:t>Quarterly change</w:t>
            </w:r>
          </w:p>
        </w:tc>
        <w:tc>
          <w:tcPr>
            <w:tcW w:w="1276" w:type="dxa"/>
            <w:tcBorders>
              <w:left w:val="single" w:sz="4" w:space="0" w:color="auto"/>
            </w:tcBorders>
            <w:shd w:val="clear" w:color="auto" w:fill="002060"/>
          </w:tcPr>
          <w:p w14:paraId="1FCB88CF" w14:textId="6AAFD534"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pPr>
            <w:r>
              <w:t xml:space="preserve">Dec-2023 </w:t>
            </w:r>
            <w:r w:rsidRPr="00B71532">
              <w:t>quarter</w:t>
            </w:r>
          </w:p>
        </w:tc>
        <w:tc>
          <w:tcPr>
            <w:tcW w:w="1276" w:type="dxa"/>
            <w:shd w:val="clear" w:color="auto" w:fill="002060"/>
          </w:tcPr>
          <w:p w14:paraId="0625B8E6" w14:textId="2B71AB92" w:rsidR="00E72AEF" w:rsidRPr="00B71532" w:rsidRDefault="00E72AEF" w:rsidP="00E72AEF">
            <w:pPr>
              <w:pStyle w:val="Tableheader"/>
              <w:cnfStyle w:val="100000000000" w:firstRow="1" w:lastRow="0" w:firstColumn="0" w:lastColumn="0" w:oddVBand="0" w:evenVBand="0" w:oddHBand="0" w:evenHBand="0" w:firstRowFirstColumn="0" w:firstRowLastColumn="0" w:lastRowFirstColumn="0" w:lastRowLastColumn="0"/>
            </w:pPr>
            <w:r w:rsidRPr="00B71532">
              <w:t>Quarterly change</w:t>
            </w:r>
          </w:p>
        </w:tc>
      </w:tr>
      <w:tr w:rsidR="00AE1C31" w:rsidRPr="00C57C1A" w14:paraId="7AF358EA" w14:textId="70330786" w:rsidTr="0030243C">
        <w:trPr>
          <w:cnfStyle w:val="000000100000" w:firstRow="0" w:lastRow="0" w:firstColumn="0" w:lastColumn="0" w:oddVBand="0" w:evenVBand="0" w:oddHBand="1" w:evenHBand="0" w:firstRowFirstColumn="0" w:firstRowLastColumn="0" w:lastRowFirstColumn="0" w:lastRowLastColumn="0"/>
          <w:trHeight w:hRule="exact" w:val="56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161C9862" w14:textId="77777777" w:rsidR="00E031BA" w:rsidRPr="00B71532" w:rsidRDefault="00E031BA" w:rsidP="00E031BA">
            <w:pPr>
              <w:pStyle w:val="Tablebodycopy"/>
              <w:rPr>
                <w:rFonts w:asciiTheme="minorHAnsi" w:hAnsiTheme="minorHAnsi" w:cstheme="minorHAnsi"/>
              </w:rPr>
            </w:pPr>
            <w:r w:rsidRPr="00B71532">
              <w:rPr>
                <w:rFonts w:asciiTheme="minorHAnsi" w:hAnsiTheme="minorHAnsi" w:cstheme="minorHAnsi"/>
              </w:rPr>
              <w:t>Overall</w:t>
            </w:r>
          </w:p>
        </w:tc>
        <w:tc>
          <w:tcPr>
            <w:tcW w:w="0" w:type="dxa"/>
            <w:tcBorders>
              <w:left w:val="single" w:sz="4" w:space="0" w:color="auto"/>
            </w:tcBorders>
            <w:shd w:val="clear" w:color="auto" w:fill="auto"/>
            <w:vAlign w:val="bottom"/>
          </w:tcPr>
          <w:p w14:paraId="620EABC9" w14:textId="03584643" w:rsidR="00E031BA" w:rsidRPr="00E031BA" w:rsidRDefault="00E031BA" w:rsidP="00E031BA">
            <w:pPr>
              <w:pStyle w:val="Tablebodycopy"/>
              <w:jc w:val="right"/>
              <w:cnfStyle w:val="000000100000" w:firstRow="0" w:lastRow="0" w:firstColumn="0" w:lastColumn="0" w:oddVBand="0" w:evenVBand="0" w:oddHBand="1" w:evenHBand="0" w:firstRowFirstColumn="0" w:firstRowLastColumn="0" w:lastRowFirstColumn="0" w:lastRowLastColumn="0"/>
              <w:rPr>
                <w:rFonts w:cs="Arial"/>
                <w:b/>
                <w:bCs/>
                <w:color w:val="auto"/>
              </w:rPr>
            </w:pPr>
            <w:r w:rsidRPr="00E031BA">
              <w:rPr>
                <w:rFonts w:cs="Arial"/>
                <w:b/>
                <w:bCs/>
                <w:color w:val="000000"/>
              </w:rPr>
              <w:t>63.6%</w:t>
            </w:r>
          </w:p>
        </w:tc>
        <w:tc>
          <w:tcPr>
            <w:tcW w:w="0" w:type="dxa"/>
            <w:tcBorders>
              <w:right w:val="single" w:sz="4" w:space="0" w:color="auto"/>
            </w:tcBorders>
            <w:shd w:val="clear" w:color="auto" w:fill="auto"/>
            <w:vAlign w:val="bottom"/>
          </w:tcPr>
          <w:p w14:paraId="67E12318" w14:textId="5AF50604" w:rsidR="00E031BA" w:rsidRPr="00E031BA" w:rsidRDefault="00E031BA" w:rsidP="00E031BA">
            <w:pPr>
              <w:pStyle w:val="Tableheader"/>
              <w:jc w:val="right"/>
              <w:cnfStyle w:val="000000100000" w:firstRow="0" w:lastRow="0" w:firstColumn="0" w:lastColumn="0" w:oddVBand="0" w:evenVBand="0" w:oddHBand="1" w:evenHBand="0" w:firstRowFirstColumn="0" w:firstRowLastColumn="0" w:lastRowFirstColumn="0" w:lastRowLastColumn="0"/>
              <w:rPr>
                <w:rFonts w:cs="Arial"/>
                <w:bCs/>
                <w:color w:val="auto"/>
              </w:rPr>
            </w:pPr>
            <w:r w:rsidRPr="00E031BA">
              <w:rPr>
                <w:rFonts w:cs="Arial"/>
                <w:bCs/>
                <w:color w:val="000000"/>
              </w:rPr>
              <w:t xml:space="preserve"> +1.5% pts</w:t>
            </w:r>
          </w:p>
        </w:tc>
        <w:tc>
          <w:tcPr>
            <w:tcW w:w="0" w:type="dxa"/>
            <w:tcBorders>
              <w:left w:val="single" w:sz="4" w:space="0" w:color="auto"/>
            </w:tcBorders>
            <w:shd w:val="clear" w:color="auto" w:fill="auto"/>
            <w:vAlign w:val="bottom"/>
          </w:tcPr>
          <w:p w14:paraId="430C5132" w14:textId="394C7B5D" w:rsidR="00E031BA" w:rsidRPr="00E031BA" w:rsidRDefault="00E031BA" w:rsidP="00E031BA">
            <w:pPr>
              <w:pStyle w:val="Tableheader"/>
              <w:jc w:val="right"/>
              <w:cnfStyle w:val="000000100000" w:firstRow="0" w:lastRow="0" w:firstColumn="0" w:lastColumn="0" w:oddVBand="0" w:evenVBand="0" w:oddHBand="1" w:evenHBand="0" w:firstRowFirstColumn="0" w:firstRowLastColumn="0" w:lastRowFirstColumn="0" w:lastRowLastColumn="0"/>
              <w:rPr>
                <w:rFonts w:cs="Arial"/>
                <w:bCs/>
                <w:color w:val="auto"/>
              </w:rPr>
            </w:pPr>
            <w:r w:rsidRPr="00E031BA">
              <w:rPr>
                <w:rFonts w:cs="Arial"/>
                <w:bCs/>
                <w:color w:val="000000"/>
              </w:rPr>
              <w:t>18.1</w:t>
            </w:r>
          </w:p>
        </w:tc>
        <w:tc>
          <w:tcPr>
            <w:tcW w:w="0" w:type="dxa"/>
            <w:tcBorders>
              <w:right w:val="single" w:sz="4" w:space="0" w:color="auto"/>
            </w:tcBorders>
            <w:shd w:val="clear" w:color="auto" w:fill="auto"/>
            <w:vAlign w:val="bottom"/>
          </w:tcPr>
          <w:p w14:paraId="4A93C035" w14:textId="27F01405" w:rsidR="00E031BA" w:rsidRPr="00E031BA" w:rsidRDefault="00E031BA" w:rsidP="00E031BA">
            <w:pPr>
              <w:pStyle w:val="Tableheader"/>
              <w:jc w:val="right"/>
              <w:cnfStyle w:val="000000100000" w:firstRow="0" w:lastRow="0" w:firstColumn="0" w:lastColumn="0" w:oddVBand="0" w:evenVBand="0" w:oddHBand="1" w:evenHBand="0" w:firstRowFirstColumn="0" w:firstRowLastColumn="0" w:lastRowFirstColumn="0" w:lastRowLastColumn="0"/>
              <w:rPr>
                <w:rFonts w:cs="Arial"/>
                <w:bCs/>
                <w:color w:val="auto"/>
              </w:rPr>
            </w:pPr>
            <w:r w:rsidRPr="00E031BA">
              <w:rPr>
                <w:rFonts w:cs="Arial"/>
                <w:bCs/>
                <w:color w:val="000000"/>
              </w:rPr>
              <w:t xml:space="preserve"> +1.1</w:t>
            </w:r>
          </w:p>
        </w:tc>
        <w:tc>
          <w:tcPr>
            <w:tcW w:w="0" w:type="dxa"/>
            <w:tcBorders>
              <w:left w:val="single" w:sz="4" w:space="0" w:color="auto"/>
            </w:tcBorders>
            <w:shd w:val="clear" w:color="auto" w:fill="auto"/>
            <w:vAlign w:val="bottom"/>
          </w:tcPr>
          <w:p w14:paraId="21419150" w14:textId="7963CF76" w:rsidR="00E031BA" w:rsidRPr="00E031BA" w:rsidRDefault="00E031BA" w:rsidP="00E031BA">
            <w:pPr>
              <w:pStyle w:val="Tableheader"/>
              <w:jc w:val="right"/>
              <w:cnfStyle w:val="000000100000" w:firstRow="0" w:lastRow="0" w:firstColumn="0" w:lastColumn="0" w:oddVBand="0" w:evenVBand="0" w:oddHBand="1" w:evenHBand="0" w:firstRowFirstColumn="0" w:firstRowLastColumn="0" w:lastRowFirstColumn="0" w:lastRowLastColumn="0"/>
              <w:rPr>
                <w:rFonts w:cs="Arial"/>
                <w:bCs/>
                <w:color w:val="auto"/>
              </w:rPr>
            </w:pPr>
            <w:r w:rsidRPr="00E031BA">
              <w:rPr>
                <w:rFonts w:cs="Arial"/>
                <w:bCs/>
                <w:color w:val="000000"/>
              </w:rPr>
              <w:t>6.1</w:t>
            </w:r>
          </w:p>
        </w:tc>
        <w:tc>
          <w:tcPr>
            <w:tcW w:w="0" w:type="dxa"/>
            <w:tcBorders>
              <w:right w:val="single" w:sz="4" w:space="0" w:color="auto"/>
            </w:tcBorders>
            <w:shd w:val="clear" w:color="auto" w:fill="auto"/>
            <w:vAlign w:val="bottom"/>
          </w:tcPr>
          <w:p w14:paraId="6B707EA7" w14:textId="701E03CA" w:rsidR="00E031BA" w:rsidRPr="00E031BA" w:rsidRDefault="00E031BA" w:rsidP="00E031BA">
            <w:pPr>
              <w:pStyle w:val="Tableheader"/>
              <w:jc w:val="right"/>
              <w:cnfStyle w:val="000000100000" w:firstRow="0" w:lastRow="0" w:firstColumn="0" w:lastColumn="0" w:oddVBand="0" w:evenVBand="0" w:oddHBand="1" w:evenHBand="0" w:firstRowFirstColumn="0" w:firstRowLastColumn="0" w:lastRowFirstColumn="0" w:lastRowLastColumn="0"/>
              <w:rPr>
                <w:rFonts w:cs="Arial"/>
                <w:bCs/>
                <w:color w:val="auto"/>
              </w:rPr>
            </w:pPr>
            <w:r w:rsidRPr="00E031BA">
              <w:rPr>
                <w:rFonts w:cs="Arial"/>
                <w:bCs/>
                <w:color w:val="000000"/>
              </w:rPr>
              <w:t xml:space="preserve"> +0.3</w:t>
            </w:r>
          </w:p>
        </w:tc>
        <w:tc>
          <w:tcPr>
            <w:tcW w:w="0" w:type="dxa"/>
            <w:tcBorders>
              <w:left w:val="single" w:sz="4" w:space="0" w:color="auto"/>
            </w:tcBorders>
            <w:shd w:val="clear" w:color="auto" w:fill="auto"/>
            <w:vAlign w:val="bottom"/>
          </w:tcPr>
          <w:p w14:paraId="55B7CFA4" w14:textId="4EFB450A" w:rsidR="00E031BA" w:rsidRPr="00E031BA" w:rsidRDefault="00E031BA" w:rsidP="00E031BA">
            <w:pPr>
              <w:pStyle w:val="Tableheader"/>
              <w:jc w:val="right"/>
              <w:cnfStyle w:val="000000100000" w:firstRow="0" w:lastRow="0" w:firstColumn="0" w:lastColumn="0" w:oddVBand="0" w:evenVBand="0" w:oddHBand="1" w:evenHBand="0" w:firstRowFirstColumn="0" w:firstRowLastColumn="0" w:lastRowFirstColumn="0" w:lastRowLastColumn="0"/>
              <w:rPr>
                <w:rFonts w:cs="Arial"/>
                <w:bCs/>
                <w:color w:val="auto"/>
              </w:rPr>
            </w:pPr>
            <w:r w:rsidRPr="00E031BA">
              <w:rPr>
                <w:rFonts w:cs="Arial"/>
                <w:bCs/>
                <w:color w:val="000000"/>
              </w:rPr>
              <w:t>2.7</w:t>
            </w:r>
          </w:p>
        </w:tc>
        <w:tc>
          <w:tcPr>
            <w:tcW w:w="0" w:type="dxa"/>
            <w:tcBorders>
              <w:right w:val="single" w:sz="4" w:space="0" w:color="auto"/>
            </w:tcBorders>
            <w:shd w:val="clear" w:color="auto" w:fill="auto"/>
            <w:vAlign w:val="bottom"/>
          </w:tcPr>
          <w:p w14:paraId="07A5B3E7" w14:textId="1249842C" w:rsidR="00E031BA" w:rsidRPr="00E031BA" w:rsidRDefault="00E031BA" w:rsidP="00E031BA">
            <w:pPr>
              <w:pStyle w:val="Tableheader"/>
              <w:jc w:val="right"/>
              <w:cnfStyle w:val="000000100000" w:firstRow="0" w:lastRow="0" w:firstColumn="0" w:lastColumn="0" w:oddVBand="0" w:evenVBand="0" w:oddHBand="1" w:evenHBand="0" w:firstRowFirstColumn="0" w:firstRowLastColumn="0" w:lastRowFirstColumn="0" w:lastRowLastColumn="0"/>
              <w:rPr>
                <w:rFonts w:cs="Arial"/>
                <w:bCs/>
                <w:color w:val="auto"/>
              </w:rPr>
            </w:pPr>
            <w:r w:rsidRPr="00E031BA">
              <w:rPr>
                <w:rFonts w:cs="Arial"/>
                <w:bCs/>
                <w:color w:val="000000"/>
              </w:rPr>
              <w:t xml:space="preserve"> +0.0</w:t>
            </w:r>
          </w:p>
        </w:tc>
        <w:tc>
          <w:tcPr>
            <w:tcW w:w="0" w:type="dxa"/>
            <w:tcBorders>
              <w:left w:val="single" w:sz="4" w:space="0" w:color="auto"/>
            </w:tcBorders>
            <w:shd w:val="clear" w:color="auto" w:fill="auto"/>
            <w:vAlign w:val="bottom"/>
          </w:tcPr>
          <w:p w14:paraId="2ABF10D0" w14:textId="12F91891" w:rsidR="00E031BA" w:rsidRPr="00E031BA" w:rsidRDefault="0030243C" w:rsidP="0030243C">
            <w:pPr>
              <w:pStyle w:val="Tableheader"/>
              <w:jc w:val="right"/>
              <w:cnfStyle w:val="000000100000" w:firstRow="0" w:lastRow="0" w:firstColumn="0" w:lastColumn="0" w:oddVBand="0" w:evenVBand="0" w:oddHBand="1" w:evenHBand="0" w:firstRowFirstColumn="0" w:firstRowLastColumn="0" w:lastRowFirstColumn="0" w:lastRowLastColumn="0"/>
              <w:rPr>
                <w:rFonts w:cs="Arial"/>
                <w:bCs/>
                <w:color w:val="auto"/>
              </w:rPr>
            </w:pPr>
            <w:r>
              <w:rPr>
                <w:rFonts w:cs="Arial"/>
                <w:bCs/>
                <w:color w:val="000000"/>
              </w:rPr>
              <w:t>56.3%</w:t>
            </w:r>
          </w:p>
        </w:tc>
        <w:tc>
          <w:tcPr>
            <w:tcW w:w="0" w:type="dxa"/>
            <w:shd w:val="clear" w:color="auto" w:fill="auto"/>
            <w:vAlign w:val="bottom"/>
          </w:tcPr>
          <w:p w14:paraId="70B493D1" w14:textId="499E7C09" w:rsidR="00E031BA" w:rsidRPr="00E031BA" w:rsidRDefault="00E031BA" w:rsidP="0030243C">
            <w:pPr>
              <w:pStyle w:val="Tableheader"/>
              <w:jc w:val="right"/>
              <w:cnfStyle w:val="000000100000" w:firstRow="0" w:lastRow="0" w:firstColumn="0" w:lastColumn="0" w:oddVBand="0" w:evenVBand="0" w:oddHBand="1" w:evenHBand="0" w:firstRowFirstColumn="0" w:firstRowLastColumn="0" w:lastRowFirstColumn="0" w:lastRowLastColumn="0"/>
              <w:rPr>
                <w:rFonts w:cs="Arial"/>
                <w:bCs/>
                <w:color w:val="auto"/>
              </w:rPr>
            </w:pPr>
            <w:r w:rsidRPr="00E031BA">
              <w:rPr>
                <w:rFonts w:cs="Arial"/>
                <w:bCs/>
                <w:color w:val="000000"/>
              </w:rPr>
              <w:t>+</w:t>
            </w:r>
            <w:r w:rsidR="0030243C">
              <w:rPr>
                <w:rFonts w:cs="Arial"/>
                <w:bCs/>
                <w:color w:val="000000"/>
              </w:rPr>
              <w:t>1.6% pts</w:t>
            </w:r>
          </w:p>
        </w:tc>
      </w:tr>
      <w:tr w:rsidR="00B71532" w:rsidRPr="00C57C1A" w14:paraId="2116C01B" w14:textId="5A97A7BE" w:rsidTr="00236A7E">
        <w:trPr>
          <w:trHeight w:hRule="exact" w:val="440"/>
        </w:trPr>
        <w:tc>
          <w:tcPr>
            <w:cnfStyle w:val="001000000000" w:firstRow="0" w:lastRow="0" w:firstColumn="1" w:lastColumn="0" w:oddVBand="0" w:evenVBand="0" w:oddHBand="0" w:evenHBand="0" w:firstRowFirstColumn="0" w:firstRowLastColumn="0" w:lastRowFirstColumn="0" w:lastRowLastColumn="0"/>
            <w:tcW w:w="0" w:type="dxa"/>
            <w:gridSpan w:val="11"/>
            <w:shd w:val="clear" w:color="auto" w:fill="002060"/>
            <w:vAlign w:val="bottom"/>
          </w:tcPr>
          <w:p w14:paraId="070B16BE" w14:textId="089D5963" w:rsidR="00B71532" w:rsidRPr="00B71532" w:rsidRDefault="00B71532" w:rsidP="0030243C">
            <w:pPr>
              <w:pStyle w:val="Tablebodycopy"/>
              <w:rPr>
                <w:rFonts w:asciiTheme="minorHAnsi" w:hAnsiTheme="minorHAnsi" w:cstheme="minorHAnsi"/>
              </w:rPr>
            </w:pPr>
            <w:r w:rsidRPr="00B71532">
              <w:rPr>
                <w:rFonts w:asciiTheme="minorHAnsi" w:hAnsiTheme="minorHAnsi" w:cstheme="minorHAnsi"/>
                <w:b w:val="0"/>
                <w:bCs w:val="0"/>
                <w:i/>
                <w:iCs/>
                <w:color w:val="FFFFFF" w:themeColor="background1"/>
              </w:rPr>
              <w:t>States and territories</w:t>
            </w:r>
          </w:p>
        </w:tc>
      </w:tr>
      <w:tr w:rsidR="00236A7E" w:rsidRPr="00C57C1A" w14:paraId="637C43E2" w14:textId="4F742E05" w:rsidTr="0030243C">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D9D9D9" w:themeFill="background1" w:themeFillShade="D9"/>
          </w:tcPr>
          <w:p w14:paraId="00D48EA6"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New South Wales</w:t>
            </w:r>
          </w:p>
        </w:tc>
        <w:tc>
          <w:tcPr>
            <w:tcW w:w="0" w:type="dxa"/>
            <w:tcBorders>
              <w:left w:val="single" w:sz="4" w:space="0" w:color="auto"/>
            </w:tcBorders>
            <w:shd w:val="clear" w:color="auto" w:fill="D9D9D9" w:themeFill="background1" w:themeFillShade="D9"/>
            <w:vAlign w:val="bottom"/>
          </w:tcPr>
          <w:p w14:paraId="75712AAD" w14:textId="26BBE88A"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61.9%</w:t>
            </w:r>
          </w:p>
        </w:tc>
        <w:tc>
          <w:tcPr>
            <w:tcW w:w="0" w:type="dxa"/>
            <w:tcBorders>
              <w:right w:val="single" w:sz="4" w:space="0" w:color="auto"/>
            </w:tcBorders>
            <w:shd w:val="clear" w:color="auto" w:fill="D9D9D9" w:themeFill="background1" w:themeFillShade="D9"/>
            <w:vAlign w:val="bottom"/>
          </w:tcPr>
          <w:p w14:paraId="117F2DC8" w14:textId="2841C2E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+1.9% pts</w:t>
            </w:r>
          </w:p>
        </w:tc>
        <w:tc>
          <w:tcPr>
            <w:tcW w:w="0" w:type="dxa"/>
            <w:tcBorders>
              <w:left w:val="single" w:sz="4" w:space="0" w:color="auto"/>
            </w:tcBorders>
            <w:shd w:val="clear" w:color="auto" w:fill="D9D9D9" w:themeFill="background1" w:themeFillShade="D9"/>
            <w:vAlign w:val="bottom"/>
          </w:tcPr>
          <w:p w14:paraId="570C0522" w14:textId="7883EBA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17.5</w:t>
            </w:r>
          </w:p>
        </w:tc>
        <w:tc>
          <w:tcPr>
            <w:tcW w:w="0" w:type="dxa"/>
            <w:tcBorders>
              <w:right w:val="single" w:sz="4" w:space="0" w:color="auto"/>
            </w:tcBorders>
            <w:shd w:val="clear" w:color="auto" w:fill="D9D9D9" w:themeFill="background1" w:themeFillShade="D9"/>
            <w:vAlign w:val="bottom"/>
          </w:tcPr>
          <w:p w14:paraId="032DBB07" w14:textId="1EF6957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+1.3</w:t>
            </w:r>
          </w:p>
        </w:tc>
        <w:tc>
          <w:tcPr>
            <w:tcW w:w="0" w:type="dxa"/>
            <w:tcBorders>
              <w:left w:val="single" w:sz="4" w:space="0" w:color="auto"/>
            </w:tcBorders>
            <w:shd w:val="clear" w:color="auto" w:fill="D9D9D9" w:themeFill="background1" w:themeFillShade="D9"/>
            <w:vAlign w:val="bottom"/>
          </w:tcPr>
          <w:p w14:paraId="0C6CAE93" w14:textId="0347DF3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6.2</w:t>
            </w:r>
          </w:p>
        </w:tc>
        <w:tc>
          <w:tcPr>
            <w:tcW w:w="0" w:type="dxa"/>
            <w:tcBorders>
              <w:right w:val="single" w:sz="4" w:space="0" w:color="auto"/>
            </w:tcBorders>
            <w:shd w:val="clear" w:color="auto" w:fill="D9D9D9" w:themeFill="background1" w:themeFillShade="D9"/>
            <w:vAlign w:val="bottom"/>
          </w:tcPr>
          <w:p w14:paraId="4071E544" w14:textId="1EC5661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+0.4</w:t>
            </w:r>
          </w:p>
        </w:tc>
        <w:tc>
          <w:tcPr>
            <w:tcW w:w="0" w:type="dxa"/>
            <w:tcBorders>
              <w:left w:val="single" w:sz="4" w:space="0" w:color="auto"/>
            </w:tcBorders>
            <w:shd w:val="clear" w:color="auto" w:fill="D9D9D9" w:themeFill="background1" w:themeFillShade="D9"/>
            <w:vAlign w:val="bottom"/>
          </w:tcPr>
          <w:p w14:paraId="6C754472" w14:textId="5C143081"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2.7</w:t>
            </w:r>
          </w:p>
        </w:tc>
        <w:tc>
          <w:tcPr>
            <w:tcW w:w="0" w:type="dxa"/>
            <w:tcBorders>
              <w:right w:val="single" w:sz="4" w:space="0" w:color="auto"/>
            </w:tcBorders>
            <w:shd w:val="clear" w:color="auto" w:fill="D9D9D9" w:themeFill="background1" w:themeFillShade="D9"/>
            <w:vAlign w:val="bottom"/>
          </w:tcPr>
          <w:p w14:paraId="69CFC9C4" w14:textId="436009B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tcBorders>
            <w:shd w:val="clear" w:color="auto" w:fill="D9D9D9" w:themeFill="background1" w:themeFillShade="D9"/>
            <w:vAlign w:val="bottom"/>
          </w:tcPr>
          <w:p w14:paraId="2EC8B4FD" w14:textId="60093B10" w:rsidR="0030243C" w:rsidRPr="00236A7E"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236A7E">
              <w:rPr>
                <w:rFonts w:cs="Arial"/>
                <w:color w:val="000000"/>
              </w:rPr>
              <w:t>56.5%</w:t>
            </w:r>
          </w:p>
        </w:tc>
        <w:tc>
          <w:tcPr>
            <w:tcW w:w="0" w:type="dxa"/>
            <w:shd w:val="clear" w:color="auto" w:fill="D9D9D9" w:themeFill="background1" w:themeFillShade="D9"/>
            <w:vAlign w:val="bottom"/>
          </w:tcPr>
          <w:p w14:paraId="37165C18" w14:textId="5D2BADD3" w:rsidR="0030243C" w:rsidRPr="00236A7E"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236A7E">
              <w:rPr>
                <w:rFonts w:cs="Arial"/>
                <w:color w:val="000000"/>
              </w:rPr>
              <w:t>+2.4% pts</w:t>
            </w:r>
          </w:p>
        </w:tc>
      </w:tr>
      <w:tr w:rsidR="00AE1C31" w:rsidRPr="00C57C1A" w14:paraId="374BD3AD" w14:textId="6FD7DC3B" w:rsidTr="0030243C">
        <w:trPr>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31453395"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Victoria</w:t>
            </w:r>
          </w:p>
        </w:tc>
        <w:tc>
          <w:tcPr>
            <w:tcW w:w="0" w:type="dxa"/>
            <w:tcBorders>
              <w:left w:val="single" w:sz="4" w:space="0" w:color="auto"/>
            </w:tcBorders>
            <w:vAlign w:val="bottom"/>
          </w:tcPr>
          <w:p w14:paraId="46D8A5FB" w14:textId="73CD16CB"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61.4%</w:t>
            </w:r>
          </w:p>
        </w:tc>
        <w:tc>
          <w:tcPr>
            <w:tcW w:w="0" w:type="dxa"/>
            <w:tcBorders>
              <w:right w:val="single" w:sz="4" w:space="0" w:color="auto"/>
            </w:tcBorders>
            <w:vAlign w:val="bottom"/>
          </w:tcPr>
          <w:p w14:paraId="006479A3" w14:textId="2826832B"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+1.2% pts</w:t>
            </w:r>
          </w:p>
        </w:tc>
        <w:tc>
          <w:tcPr>
            <w:tcW w:w="0" w:type="dxa"/>
            <w:tcBorders>
              <w:left w:val="single" w:sz="4" w:space="0" w:color="auto"/>
            </w:tcBorders>
            <w:vAlign w:val="bottom"/>
          </w:tcPr>
          <w:p w14:paraId="299B0176" w14:textId="7D81D9B4"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18.8</w:t>
            </w:r>
          </w:p>
        </w:tc>
        <w:tc>
          <w:tcPr>
            <w:tcW w:w="0" w:type="dxa"/>
            <w:tcBorders>
              <w:right w:val="single" w:sz="4" w:space="0" w:color="auto"/>
            </w:tcBorders>
            <w:vAlign w:val="bottom"/>
          </w:tcPr>
          <w:p w14:paraId="3A93DBE5" w14:textId="3612570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+1.0</w:t>
            </w:r>
          </w:p>
        </w:tc>
        <w:tc>
          <w:tcPr>
            <w:tcW w:w="0" w:type="dxa"/>
            <w:tcBorders>
              <w:left w:val="single" w:sz="4" w:space="0" w:color="auto"/>
            </w:tcBorders>
            <w:vAlign w:val="bottom"/>
          </w:tcPr>
          <w:p w14:paraId="5567A1C1" w14:textId="76C827A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6.8</w:t>
            </w:r>
          </w:p>
        </w:tc>
        <w:tc>
          <w:tcPr>
            <w:tcW w:w="0" w:type="dxa"/>
            <w:tcBorders>
              <w:right w:val="single" w:sz="4" w:space="0" w:color="auto"/>
            </w:tcBorders>
            <w:vAlign w:val="bottom"/>
          </w:tcPr>
          <w:p w14:paraId="03B5407C" w14:textId="4B1F70A3"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+0.2</w:t>
            </w:r>
          </w:p>
        </w:tc>
        <w:tc>
          <w:tcPr>
            <w:tcW w:w="0" w:type="dxa"/>
            <w:tcBorders>
              <w:left w:val="single" w:sz="4" w:space="0" w:color="auto"/>
            </w:tcBorders>
            <w:vAlign w:val="bottom"/>
          </w:tcPr>
          <w:p w14:paraId="5B778094" w14:textId="416BA6CB"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2.6</w:t>
            </w:r>
          </w:p>
        </w:tc>
        <w:tc>
          <w:tcPr>
            <w:tcW w:w="0" w:type="dxa"/>
            <w:tcBorders>
              <w:right w:val="single" w:sz="4" w:space="0" w:color="auto"/>
            </w:tcBorders>
            <w:vAlign w:val="bottom"/>
          </w:tcPr>
          <w:p w14:paraId="128C9C10" w14:textId="164C7D41"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vAlign w:val="bottom"/>
          </w:tcPr>
          <w:p w14:paraId="3ADA78DA" w14:textId="6FB86FC3" w:rsidR="0030243C" w:rsidRPr="00236A7E"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36A7E">
              <w:rPr>
                <w:rFonts w:cs="Arial"/>
                <w:color w:val="000000"/>
              </w:rPr>
              <w:t>61.5%</w:t>
            </w:r>
          </w:p>
        </w:tc>
        <w:tc>
          <w:tcPr>
            <w:tcW w:w="0" w:type="dxa"/>
            <w:vAlign w:val="bottom"/>
          </w:tcPr>
          <w:p w14:paraId="4728C9A1" w14:textId="11A46C33" w:rsidR="0030243C" w:rsidRPr="00236A7E"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36A7E">
              <w:rPr>
                <w:rFonts w:cs="Arial"/>
                <w:color w:val="000000"/>
              </w:rPr>
              <w:t>+2.4% pts</w:t>
            </w:r>
          </w:p>
        </w:tc>
      </w:tr>
      <w:tr w:rsidR="00236A7E" w:rsidRPr="00C57C1A" w14:paraId="15AC8D72" w14:textId="02CC0B9F" w:rsidTr="0030243C">
        <w:trPr>
          <w:cnfStyle w:val="000000100000" w:firstRow="0" w:lastRow="0" w:firstColumn="0" w:lastColumn="0" w:oddVBand="0" w:evenVBand="0" w:oddHBand="1"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D9D9D9" w:themeFill="background1" w:themeFillShade="D9"/>
          </w:tcPr>
          <w:p w14:paraId="730460B9"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Queensland</w:t>
            </w:r>
          </w:p>
        </w:tc>
        <w:tc>
          <w:tcPr>
            <w:tcW w:w="0" w:type="dxa"/>
            <w:tcBorders>
              <w:left w:val="single" w:sz="4" w:space="0" w:color="auto"/>
            </w:tcBorders>
            <w:shd w:val="clear" w:color="auto" w:fill="D9D9D9" w:themeFill="background1" w:themeFillShade="D9"/>
            <w:vAlign w:val="bottom"/>
          </w:tcPr>
          <w:p w14:paraId="09FF80FD" w14:textId="0FF2E2B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63.1%</w:t>
            </w:r>
          </w:p>
        </w:tc>
        <w:tc>
          <w:tcPr>
            <w:tcW w:w="0" w:type="dxa"/>
            <w:tcBorders>
              <w:right w:val="single" w:sz="4" w:space="0" w:color="auto"/>
            </w:tcBorders>
            <w:shd w:val="clear" w:color="auto" w:fill="D9D9D9" w:themeFill="background1" w:themeFillShade="D9"/>
            <w:vAlign w:val="bottom"/>
          </w:tcPr>
          <w:p w14:paraId="2A040D0E" w14:textId="5E4327D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-1.3% pts</w:t>
            </w:r>
          </w:p>
        </w:tc>
        <w:tc>
          <w:tcPr>
            <w:tcW w:w="0" w:type="dxa"/>
            <w:tcBorders>
              <w:left w:val="single" w:sz="4" w:space="0" w:color="auto"/>
            </w:tcBorders>
            <w:shd w:val="clear" w:color="auto" w:fill="D9D9D9" w:themeFill="background1" w:themeFillShade="D9"/>
            <w:vAlign w:val="bottom"/>
          </w:tcPr>
          <w:p w14:paraId="78758CD4" w14:textId="54E6A34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16.0</w:t>
            </w:r>
          </w:p>
        </w:tc>
        <w:tc>
          <w:tcPr>
            <w:tcW w:w="0" w:type="dxa"/>
            <w:tcBorders>
              <w:right w:val="single" w:sz="4" w:space="0" w:color="auto"/>
            </w:tcBorders>
            <w:shd w:val="clear" w:color="auto" w:fill="D9D9D9" w:themeFill="background1" w:themeFillShade="D9"/>
            <w:vAlign w:val="bottom"/>
          </w:tcPr>
          <w:p w14:paraId="50A88A70" w14:textId="049E555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+0.7</w:t>
            </w:r>
          </w:p>
        </w:tc>
        <w:tc>
          <w:tcPr>
            <w:tcW w:w="0" w:type="dxa"/>
            <w:tcBorders>
              <w:left w:val="single" w:sz="4" w:space="0" w:color="auto"/>
            </w:tcBorders>
            <w:shd w:val="clear" w:color="auto" w:fill="D9D9D9" w:themeFill="background1" w:themeFillShade="D9"/>
            <w:vAlign w:val="bottom"/>
          </w:tcPr>
          <w:p w14:paraId="6CD3DA67" w14:textId="2011549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5.2</w:t>
            </w:r>
          </w:p>
        </w:tc>
        <w:tc>
          <w:tcPr>
            <w:tcW w:w="0" w:type="dxa"/>
            <w:tcBorders>
              <w:right w:val="single" w:sz="4" w:space="0" w:color="auto"/>
            </w:tcBorders>
            <w:shd w:val="clear" w:color="auto" w:fill="D9D9D9" w:themeFill="background1" w:themeFillShade="D9"/>
            <w:vAlign w:val="bottom"/>
          </w:tcPr>
          <w:p w14:paraId="166E9AF4" w14:textId="4534B652"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D9D9D9" w:themeFill="background1" w:themeFillShade="D9"/>
            <w:vAlign w:val="bottom"/>
          </w:tcPr>
          <w:p w14:paraId="2C3B4E18" w14:textId="3A14055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2.4</w:t>
            </w:r>
          </w:p>
        </w:tc>
        <w:tc>
          <w:tcPr>
            <w:tcW w:w="0" w:type="dxa"/>
            <w:tcBorders>
              <w:right w:val="single" w:sz="4" w:space="0" w:color="auto"/>
            </w:tcBorders>
            <w:shd w:val="clear" w:color="auto" w:fill="D9D9D9" w:themeFill="background1" w:themeFillShade="D9"/>
            <w:vAlign w:val="bottom"/>
          </w:tcPr>
          <w:p w14:paraId="7A2FC52F" w14:textId="5B1E1B2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D9D9D9" w:themeFill="background1" w:themeFillShade="D9"/>
            <w:vAlign w:val="bottom"/>
          </w:tcPr>
          <w:p w14:paraId="44AF315B" w14:textId="6BD7AAC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236A7E">
              <w:rPr>
                <w:rFonts w:cs="Arial"/>
                <w:color w:val="000000"/>
              </w:rPr>
              <w:t>53.1%</w:t>
            </w:r>
          </w:p>
        </w:tc>
        <w:tc>
          <w:tcPr>
            <w:tcW w:w="0" w:type="dxa"/>
            <w:shd w:val="clear" w:color="auto" w:fill="D9D9D9" w:themeFill="background1" w:themeFillShade="D9"/>
            <w:vAlign w:val="bottom"/>
          </w:tcPr>
          <w:p w14:paraId="68E675FA" w14:textId="4BBF94B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236A7E">
              <w:rPr>
                <w:rFonts w:cs="Arial"/>
                <w:color w:val="000000"/>
              </w:rPr>
              <w:t>+1.8% pts</w:t>
            </w:r>
          </w:p>
        </w:tc>
      </w:tr>
      <w:tr w:rsidR="00AE1C31" w:rsidRPr="00C57C1A" w14:paraId="01B67D64" w14:textId="6C48DFE5" w:rsidTr="0030243C">
        <w:trPr>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17BAFB26"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South Australia</w:t>
            </w:r>
          </w:p>
        </w:tc>
        <w:tc>
          <w:tcPr>
            <w:tcW w:w="0" w:type="dxa"/>
            <w:tcBorders>
              <w:left w:val="single" w:sz="4" w:space="0" w:color="auto"/>
            </w:tcBorders>
            <w:shd w:val="clear" w:color="auto" w:fill="auto"/>
            <w:vAlign w:val="bottom"/>
          </w:tcPr>
          <w:p w14:paraId="7B41A523" w14:textId="10D8AC8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63.6%</w:t>
            </w:r>
          </w:p>
        </w:tc>
        <w:tc>
          <w:tcPr>
            <w:tcW w:w="0" w:type="dxa"/>
            <w:tcBorders>
              <w:right w:val="single" w:sz="4" w:space="0" w:color="auto"/>
            </w:tcBorders>
            <w:shd w:val="clear" w:color="auto" w:fill="auto"/>
            <w:vAlign w:val="bottom"/>
          </w:tcPr>
          <w:p w14:paraId="206922BB" w14:textId="34F7C0A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-0.6% pts</w:t>
            </w:r>
          </w:p>
        </w:tc>
        <w:tc>
          <w:tcPr>
            <w:tcW w:w="0" w:type="dxa"/>
            <w:tcBorders>
              <w:left w:val="single" w:sz="4" w:space="0" w:color="auto"/>
            </w:tcBorders>
            <w:shd w:val="clear" w:color="auto" w:fill="auto"/>
            <w:vAlign w:val="bottom"/>
          </w:tcPr>
          <w:p w14:paraId="7C6632E0" w14:textId="2B9DB9C3"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18.6</w:t>
            </w:r>
          </w:p>
        </w:tc>
        <w:tc>
          <w:tcPr>
            <w:tcW w:w="0" w:type="dxa"/>
            <w:tcBorders>
              <w:right w:val="single" w:sz="4" w:space="0" w:color="auto"/>
            </w:tcBorders>
            <w:shd w:val="clear" w:color="auto" w:fill="auto"/>
            <w:vAlign w:val="bottom"/>
          </w:tcPr>
          <w:p w14:paraId="77BABE7F" w14:textId="6BEBF96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+0.4</w:t>
            </w:r>
          </w:p>
        </w:tc>
        <w:tc>
          <w:tcPr>
            <w:tcW w:w="0" w:type="dxa"/>
            <w:tcBorders>
              <w:left w:val="single" w:sz="4" w:space="0" w:color="auto"/>
            </w:tcBorders>
            <w:shd w:val="clear" w:color="auto" w:fill="auto"/>
            <w:vAlign w:val="bottom"/>
          </w:tcPr>
          <w:p w14:paraId="522B098B" w14:textId="588400E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6.5</w:t>
            </w:r>
          </w:p>
        </w:tc>
        <w:tc>
          <w:tcPr>
            <w:tcW w:w="0" w:type="dxa"/>
            <w:tcBorders>
              <w:right w:val="single" w:sz="4" w:space="0" w:color="auto"/>
            </w:tcBorders>
            <w:shd w:val="clear" w:color="auto" w:fill="auto"/>
            <w:vAlign w:val="bottom"/>
          </w:tcPr>
          <w:p w14:paraId="5819F9A1" w14:textId="06C8342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+0.3</w:t>
            </w:r>
          </w:p>
        </w:tc>
        <w:tc>
          <w:tcPr>
            <w:tcW w:w="0" w:type="dxa"/>
            <w:tcBorders>
              <w:left w:val="single" w:sz="4" w:space="0" w:color="auto"/>
            </w:tcBorders>
            <w:shd w:val="clear" w:color="auto" w:fill="auto"/>
            <w:vAlign w:val="bottom"/>
          </w:tcPr>
          <w:p w14:paraId="778A710C" w14:textId="79C8EC5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2.5</w:t>
            </w:r>
          </w:p>
        </w:tc>
        <w:tc>
          <w:tcPr>
            <w:tcW w:w="0" w:type="dxa"/>
            <w:tcBorders>
              <w:right w:val="single" w:sz="4" w:space="0" w:color="auto"/>
            </w:tcBorders>
            <w:shd w:val="clear" w:color="auto" w:fill="auto"/>
            <w:vAlign w:val="bottom"/>
          </w:tcPr>
          <w:p w14:paraId="151FD837" w14:textId="766B402D"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tcBorders>
            <w:vAlign w:val="bottom"/>
          </w:tcPr>
          <w:p w14:paraId="350518D5" w14:textId="0FB93D93" w:rsidR="0030243C" w:rsidRPr="00236A7E"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36A7E">
              <w:rPr>
                <w:rFonts w:cs="Arial"/>
                <w:color w:val="000000"/>
              </w:rPr>
              <w:t>62.2%</w:t>
            </w:r>
          </w:p>
        </w:tc>
        <w:tc>
          <w:tcPr>
            <w:tcW w:w="0" w:type="dxa"/>
            <w:vAlign w:val="bottom"/>
          </w:tcPr>
          <w:p w14:paraId="42C2507F" w14:textId="507BE500" w:rsidR="0030243C" w:rsidRPr="00236A7E"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36A7E">
              <w:rPr>
                <w:rFonts w:cs="Arial"/>
                <w:color w:val="000000"/>
              </w:rPr>
              <w:t>+2.2% pts</w:t>
            </w:r>
          </w:p>
        </w:tc>
      </w:tr>
      <w:tr w:rsidR="00236A7E" w:rsidRPr="00C57C1A" w14:paraId="362D75DA" w14:textId="3396FF2A" w:rsidTr="0030243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D9D9D9" w:themeFill="background1" w:themeFillShade="D9"/>
          </w:tcPr>
          <w:p w14:paraId="50F51CC6"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Western Australia</w:t>
            </w:r>
          </w:p>
        </w:tc>
        <w:tc>
          <w:tcPr>
            <w:tcW w:w="0" w:type="dxa"/>
            <w:tcBorders>
              <w:left w:val="single" w:sz="4" w:space="0" w:color="auto"/>
            </w:tcBorders>
            <w:shd w:val="clear" w:color="auto" w:fill="D9D9D9" w:themeFill="background1" w:themeFillShade="D9"/>
            <w:vAlign w:val="bottom"/>
          </w:tcPr>
          <w:p w14:paraId="665DC1A7" w14:textId="20BACF81"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66.7%</w:t>
            </w:r>
          </w:p>
        </w:tc>
        <w:tc>
          <w:tcPr>
            <w:tcW w:w="0" w:type="dxa"/>
            <w:tcBorders>
              <w:right w:val="single" w:sz="4" w:space="0" w:color="auto"/>
            </w:tcBorders>
            <w:shd w:val="clear" w:color="auto" w:fill="D9D9D9" w:themeFill="background1" w:themeFillShade="D9"/>
            <w:vAlign w:val="bottom"/>
          </w:tcPr>
          <w:p w14:paraId="35DB1FD3" w14:textId="45A2E7D2"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+1.7% pts</w:t>
            </w:r>
          </w:p>
        </w:tc>
        <w:tc>
          <w:tcPr>
            <w:tcW w:w="0" w:type="dxa"/>
            <w:tcBorders>
              <w:left w:val="single" w:sz="4" w:space="0" w:color="auto"/>
            </w:tcBorders>
            <w:shd w:val="clear" w:color="auto" w:fill="D9D9D9" w:themeFill="background1" w:themeFillShade="D9"/>
            <w:vAlign w:val="bottom"/>
          </w:tcPr>
          <w:p w14:paraId="3260BAAB" w14:textId="587C502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16.3</w:t>
            </w:r>
          </w:p>
        </w:tc>
        <w:tc>
          <w:tcPr>
            <w:tcW w:w="0" w:type="dxa"/>
            <w:tcBorders>
              <w:right w:val="single" w:sz="4" w:space="0" w:color="auto"/>
            </w:tcBorders>
            <w:shd w:val="clear" w:color="auto" w:fill="D9D9D9" w:themeFill="background1" w:themeFillShade="D9"/>
            <w:vAlign w:val="bottom"/>
          </w:tcPr>
          <w:p w14:paraId="43E603DE" w14:textId="274ABFC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D9D9D9" w:themeFill="background1" w:themeFillShade="D9"/>
            <w:vAlign w:val="bottom"/>
          </w:tcPr>
          <w:p w14:paraId="6A2F3C01" w14:textId="4DF1BA1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4.6</w:t>
            </w:r>
          </w:p>
        </w:tc>
        <w:tc>
          <w:tcPr>
            <w:tcW w:w="0" w:type="dxa"/>
            <w:tcBorders>
              <w:right w:val="single" w:sz="4" w:space="0" w:color="auto"/>
            </w:tcBorders>
            <w:shd w:val="clear" w:color="auto" w:fill="D9D9D9" w:themeFill="background1" w:themeFillShade="D9"/>
            <w:vAlign w:val="bottom"/>
          </w:tcPr>
          <w:p w14:paraId="311DE2D5" w14:textId="3E22030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D9D9D9" w:themeFill="background1" w:themeFillShade="D9"/>
            <w:vAlign w:val="bottom"/>
          </w:tcPr>
          <w:p w14:paraId="6293D181" w14:textId="50E4852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2.5</w:t>
            </w:r>
          </w:p>
        </w:tc>
        <w:tc>
          <w:tcPr>
            <w:tcW w:w="0" w:type="dxa"/>
            <w:tcBorders>
              <w:right w:val="single" w:sz="4" w:space="0" w:color="auto"/>
            </w:tcBorders>
            <w:shd w:val="clear" w:color="auto" w:fill="D9D9D9" w:themeFill="background1" w:themeFillShade="D9"/>
            <w:vAlign w:val="bottom"/>
          </w:tcPr>
          <w:p w14:paraId="5BD930AE" w14:textId="30E8FB7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D9D9D9" w:themeFill="background1" w:themeFillShade="D9"/>
            <w:vAlign w:val="bottom"/>
          </w:tcPr>
          <w:p w14:paraId="6A23AC77" w14:textId="3C0D1E79" w:rsidR="0030243C" w:rsidRPr="00236A7E"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236A7E">
              <w:rPr>
                <w:rFonts w:cs="Arial"/>
                <w:color w:val="000000"/>
              </w:rPr>
              <w:t>45.8%</w:t>
            </w:r>
          </w:p>
        </w:tc>
        <w:tc>
          <w:tcPr>
            <w:tcW w:w="0" w:type="dxa"/>
            <w:shd w:val="clear" w:color="auto" w:fill="D9D9D9" w:themeFill="background1" w:themeFillShade="D9"/>
            <w:vAlign w:val="bottom"/>
          </w:tcPr>
          <w:p w14:paraId="42C7BEBB" w14:textId="5E56C9E4" w:rsidR="0030243C" w:rsidRPr="00236A7E"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236A7E">
              <w:rPr>
                <w:rFonts w:cs="Arial"/>
                <w:color w:val="000000"/>
              </w:rPr>
              <w:t xml:space="preserve"> -3.9% pts</w:t>
            </w:r>
          </w:p>
        </w:tc>
      </w:tr>
      <w:tr w:rsidR="00AE1C31" w:rsidRPr="00C57C1A" w14:paraId="5EB3A0F1" w14:textId="03ECE8EC" w:rsidTr="0030243C">
        <w:trPr>
          <w:trHeight w:hRule="exact" w:val="483"/>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090F0297"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Tasmania*</w:t>
            </w:r>
          </w:p>
        </w:tc>
        <w:tc>
          <w:tcPr>
            <w:tcW w:w="0" w:type="dxa"/>
            <w:tcBorders>
              <w:left w:val="single" w:sz="4" w:space="0" w:color="auto"/>
            </w:tcBorders>
            <w:shd w:val="clear" w:color="auto" w:fill="auto"/>
            <w:vAlign w:val="bottom"/>
          </w:tcPr>
          <w:p w14:paraId="1FE31EE5" w14:textId="72C5A81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62.0%</w:t>
            </w:r>
          </w:p>
        </w:tc>
        <w:tc>
          <w:tcPr>
            <w:tcW w:w="0" w:type="dxa"/>
            <w:tcBorders>
              <w:right w:val="single" w:sz="4" w:space="0" w:color="auto"/>
            </w:tcBorders>
            <w:shd w:val="clear" w:color="auto" w:fill="auto"/>
            <w:vAlign w:val="bottom"/>
          </w:tcPr>
          <w:p w14:paraId="6724E7F8" w14:textId="6A25D1B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+3.5% pts</w:t>
            </w:r>
          </w:p>
        </w:tc>
        <w:tc>
          <w:tcPr>
            <w:tcW w:w="0" w:type="dxa"/>
            <w:tcBorders>
              <w:left w:val="single" w:sz="4" w:space="0" w:color="auto"/>
            </w:tcBorders>
            <w:shd w:val="clear" w:color="auto" w:fill="auto"/>
            <w:vAlign w:val="bottom"/>
          </w:tcPr>
          <w:p w14:paraId="0DE3F874" w14:textId="1FB600AB"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14.6</w:t>
            </w:r>
          </w:p>
        </w:tc>
        <w:tc>
          <w:tcPr>
            <w:tcW w:w="0" w:type="dxa"/>
            <w:tcBorders>
              <w:right w:val="single" w:sz="4" w:space="0" w:color="auto"/>
            </w:tcBorders>
            <w:shd w:val="clear" w:color="auto" w:fill="auto"/>
            <w:vAlign w:val="bottom"/>
          </w:tcPr>
          <w:p w14:paraId="7DBF2811" w14:textId="70109AAB"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-1.5</w:t>
            </w:r>
          </w:p>
        </w:tc>
        <w:tc>
          <w:tcPr>
            <w:tcW w:w="0" w:type="dxa"/>
            <w:tcBorders>
              <w:left w:val="single" w:sz="4" w:space="0" w:color="auto"/>
            </w:tcBorders>
            <w:shd w:val="clear" w:color="auto" w:fill="auto"/>
            <w:vAlign w:val="bottom"/>
          </w:tcPr>
          <w:p w14:paraId="297121A4" w14:textId="5762FA1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4.0</w:t>
            </w:r>
          </w:p>
        </w:tc>
        <w:tc>
          <w:tcPr>
            <w:tcW w:w="0" w:type="dxa"/>
            <w:tcBorders>
              <w:right w:val="single" w:sz="4" w:space="0" w:color="auto"/>
            </w:tcBorders>
            <w:shd w:val="clear" w:color="auto" w:fill="auto"/>
            <w:vAlign w:val="bottom"/>
          </w:tcPr>
          <w:p w14:paraId="74246804" w14:textId="742A9CE6"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-1.1</w:t>
            </w:r>
          </w:p>
        </w:tc>
        <w:tc>
          <w:tcPr>
            <w:tcW w:w="0" w:type="dxa"/>
            <w:tcBorders>
              <w:left w:val="single" w:sz="4" w:space="0" w:color="auto"/>
            </w:tcBorders>
            <w:shd w:val="clear" w:color="auto" w:fill="auto"/>
            <w:vAlign w:val="bottom"/>
          </w:tcPr>
          <w:p w14:paraId="33B760AF" w14:textId="13BB91C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2.4</w:t>
            </w:r>
          </w:p>
        </w:tc>
        <w:tc>
          <w:tcPr>
            <w:tcW w:w="0" w:type="dxa"/>
            <w:tcBorders>
              <w:right w:val="single" w:sz="4" w:space="0" w:color="auto"/>
            </w:tcBorders>
            <w:shd w:val="clear" w:color="auto" w:fill="auto"/>
            <w:vAlign w:val="bottom"/>
          </w:tcPr>
          <w:p w14:paraId="1D04DD89" w14:textId="7AF2AAE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-0.3</w:t>
            </w:r>
          </w:p>
        </w:tc>
        <w:tc>
          <w:tcPr>
            <w:tcW w:w="0" w:type="dxa"/>
            <w:tcBorders>
              <w:left w:val="single" w:sz="4" w:space="0" w:color="auto"/>
            </w:tcBorders>
            <w:vAlign w:val="bottom"/>
          </w:tcPr>
          <w:p w14:paraId="0418D89C" w14:textId="428C2A0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36A7E">
              <w:rPr>
                <w:rFonts w:cs="Arial"/>
                <w:color w:val="000000"/>
              </w:rPr>
              <w:t>40.2%</w:t>
            </w:r>
          </w:p>
        </w:tc>
        <w:tc>
          <w:tcPr>
            <w:tcW w:w="0" w:type="dxa"/>
            <w:vAlign w:val="bottom"/>
          </w:tcPr>
          <w:p w14:paraId="32B0692C" w14:textId="16357EED"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36A7E">
              <w:rPr>
                <w:rFonts w:cs="Arial"/>
                <w:color w:val="000000"/>
              </w:rPr>
              <w:t xml:space="preserve"> -7.9% pts</w:t>
            </w:r>
          </w:p>
        </w:tc>
      </w:tr>
      <w:tr w:rsidR="00236A7E" w:rsidRPr="00C57C1A" w14:paraId="4F067F08" w14:textId="34BF82BE" w:rsidTr="0030243C">
        <w:trPr>
          <w:cnfStyle w:val="000000100000" w:firstRow="0" w:lastRow="0" w:firstColumn="0" w:lastColumn="0" w:oddVBand="0" w:evenVBand="0" w:oddHBand="1" w:evenHBand="0" w:firstRowFirstColumn="0" w:firstRowLastColumn="0" w:lastRowFirstColumn="0" w:lastRowLastColumn="0"/>
          <w:trHeight w:hRule="exact" w:val="71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D9D9D9" w:themeFill="background1" w:themeFillShade="D9"/>
          </w:tcPr>
          <w:p w14:paraId="2C322507"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Northern Territory*</w:t>
            </w:r>
          </w:p>
        </w:tc>
        <w:tc>
          <w:tcPr>
            <w:tcW w:w="0" w:type="dxa"/>
            <w:tcBorders>
              <w:left w:val="single" w:sz="4" w:space="0" w:color="auto"/>
            </w:tcBorders>
            <w:shd w:val="clear" w:color="auto" w:fill="D9D9D9" w:themeFill="background1" w:themeFillShade="D9"/>
            <w:vAlign w:val="bottom"/>
          </w:tcPr>
          <w:p w14:paraId="1AC35177" w14:textId="008A333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53.2%</w:t>
            </w:r>
          </w:p>
        </w:tc>
        <w:tc>
          <w:tcPr>
            <w:tcW w:w="0" w:type="dxa"/>
            <w:tcBorders>
              <w:right w:val="single" w:sz="4" w:space="0" w:color="auto"/>
            </w:tcBorders>
            <w:shd w:val="clear" w:color="auto" w:fill="D9D9D9" w:themeFill="background1" w:themeFillShade="D9"/>
            <w:vAlign w:val="bottom"/>
          </w:tcPr>
          <w:p w14:paraId="5219067D" w14:textId="06B2EDD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+0.1% pts</w:t>
            </w:r>
          </w:p>
        </w:tc>
        <w:tc>
          <w:tcPr>
            <w:tcW w:w="0" w:type="dxa"/>
            <w:tcBorders>
              <w:left w:val="single" w:sz="4" w:space="0" w:color="auto"/>
            </w:tcBorders>
            <w:shd w:val="clear" w:color="auto" w:fill="D9D9D9" w:themeFill="background1" w:themeFillShade="D9"/>
            <w:vAlign w:val="bottom"/>
          </w:tcPr>
          <w:p w14:paraId="251AD575" w14:textId="045EAA5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11.0</w:t>
            </w:r>
          </w:p>
        </w:tc>
        <w:tc>
          <w:tcPr>
            <w:tcW w:w="0" w:type="dxa"/>
            <w:tcBorders>
              <w:right w:val="single" w:sz="4" w:space="0" w:color="auto"/>
            </w:tcBorders>
            <w:shd w:val="clear" w:color="auto" w:fill="D9D9D9" w:themeFill="background1" w:themeFillShade="D9"/>
            <w:vAlign w:val="bottom"/>
          </w:tcPr>
          <w:p w14:paraId="117BC080" w14:textId="6EEB07A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+0.5</w:t>
            </w:r>
          </w:p>
        </w:tc>
        <w:tc>
          <w:tcPr>
            <w:tcW w:w="0" w:type="dxa"/>
            <w:tcBorders>
              <w:left w:val="single" w:sz="4" w:space="0" w:color="auto"/>
            </w:tcBorders>
            <w:shd w:val="clear" w:color="auto" w:fill="D9D9D9" w:themeFill="background1" w:themeFillShade="D9"/>
            <w:vAlign w:val="bottom"/>
          </w:tcPr>
          <w:p w14:paraId="53949D8E" w14:textId="10513C4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3.4</w:t>
            </w:r>
          </w:p>
        </w:tc>
        <w:tc>
          <w:tcPr>
            <w:tcW w:w="0" w:type="dxa"/>
            <w:tcBorders>
              <w:right w:val="single" w:sz="4" w:space="0" w:color="auto"/>
            </w:tcBorders>
            <w:shd w:val="clear" w:color="auto" w:fill="D9D9D9" w:themeFill="background1" w:themeFillShade="D9"/>
            <w:vAlign w:val="bottom"/>
          </w:tcPr>
          <w:p w14:paraId="076D2D20" w14:textId="057C13D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tcBorders>
            <w:shd w:val="clear" w:color="auto" w:fill="D9D9D9" w:themeFill="background1" w:themeFillShade="D9"/>
            <w:vAlign w:val="bottom"/>
          </w:tcPr>
          <w:p w14:paraId="0268E49E" w14:textId="6451316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1.6</w:t>
            </w:r>
          </w:p>
        </w:tc>
        <w:tc>
          <w:tcPr>
            <w:tcW w:w="0" w:type="dxa"/>
            <w:tcBorders>
              <w:right w:val="single" w:sz="4" w:space="0" w:color="auto"/>
            </w:tcBorders>
            <w:shd w:val="clear" w:color="auto" w:fill="D9D9D9" w:themeFill="background1" w:themeFillShade="D9"/>
            <w:vAlign w:val="bottom"/>
          </w:tcPr>
          <w:p w14:paraId="0D173986" w14:textId="0B849E8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tcBorders>
            <w:shd w:val="clear" w:color="auto" w:fill="D9D9D9" w:themeFill="background1" w:themeFillShade="D9"/>
            <w:vAlign w:val="bottom"/>
          </w:tcPr>
          <w:p w14:paraId="0A27D395" w14:textId="1D5313E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236A7E">
              <w:rPr>
                <w:rFonts w:cs="Arial"/>
                <w:color w:val="000000"/>
              </w:rPr>
              <w:t>52.7%</w:t>
            </w:r>
          </w:p>
        </w:tc>
        <w:tc>
          <w:tcPr>
            <w:tcW w:w="0" w:type="dxa"/>
            <w:shd w:val="clear" w:color="auto" w:fill="D9D9D9" w:themeFill="background1" w:themeFillShade="D9"/>
            <w:vAlign w:val="bottom"/>
          </w:tcPr>
          <w:p w14:paraId="320790FC" w14:textId="172F5B8A"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236A7E">
              <w:rPr>
                <w:rFonts w:cs="Arial"/>
                <w:color w:val="000000"/>
              </w:rPr>
              <w:t>+1.1% pts</w:t>
            </w:r>
          </w:p>
        </w:tc>
      </w:tr>
      <w:tr w:rsidR="00236A7E" w:rsidRPr="00C57C1A" w14:paraId="163B7299" w14:textId="6751E4D8" w:rsidTr="0030243C">
        <w:trPr>
          <w:trHeight w:hRule="exact" w:val="719"/>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right w:val="single" w:sz="4" w:space="0" w:color="auto"/>
            </w:tcBorders>
            <w:shd w:val="clear" w:color="auto" w:fill="auto"/>
          </w:tcPr>
          <w:p w14:paraId="47442CF7"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Australian Capital Territory*</w:t>
            </w:r>
          </w:p>
        </w:tc>
        <w:tc>
          <w:tcPr>
            <w:tcW w:w="0" w:type="dxa"/>
            <w:tcBorders>
              <w:left w:val="single" w:sz="4" w:space="0" w:color="auto"/>
              <w:bottom w:val="single" w:sz="4" w:space="0" w:color="auto"/>
            </w:tcBorders>
            <w:shd w:val="clear" w:color="auto" w:fill="auto"/>
            <w:vAlign w:val="bottom"/>
          </w:tcPr>
          <w:p w14:paraId="1D7DCCD6" w14:textId="0D39722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60.7%</w:t>
            </w:r>
          </w:p>
        </w:tc>
        <w:tc>
          <w:tcPr>
            <w:tcW w:w="0" w:type="dxa"/>
            <w:tcBorders>
              <w:bottom w:val="single" w:sz="4" w:space="0" w:color="auto"/>
              <w:right w:val="single" w:sz="4" w:space="0" w:color="auto"/>
            </w:tcBorders>
            <w:shd w:val="clear" w:color="auto" w:fill="auto"/>
            <w:vAlign w:val="bottom"/>
          </w:tcPr>
          <w:p w14:paraId="7E27DDB1" w14:textId="3300FD5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+3.0% pts</w:t>
            </w:r>
          </w:p>
        </w:tc>
        <w:tc>
          <w:tcPr>
            <w:tcW w:w="0" w:type="dxa"/>
            <w:tcBorders>
              <w:left w:val="single" w:sz="4" w:space="0" w:color="auto"/>
              <w:bottom w:val="single" w:sz="4" w:space="0" w:color="auto"/>
            </w:tcBorders>
            <w:shd w:val="clear" w:color="auto" w:fill="auto"/>
            <w:vAlign w:val="bottom"/>
          </w:tcPr>
          <w:p w14:paraId="5A70D918" w14:textId="7E302621"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10.7</w:t>
            </w:r>
          </w:p>
        </w:tc>
        <w:tc>
          <w:tcPr>
            <w:tcW w:w="0" w:type="dxa"/>
            <w:tcBorders>
              <w:bottom w:val="single" w:sz="4" w:space="0" w:color="auto"/>
              <w:right w:val="single" w:sz="4" w:space="0" w:color="auto"/>
            </w:tcBorders>
            <w:shd w:val="clear" w:color="auto" w:fill="auto"/>
            <w:vAlign w:val="bottom"/>
          </w:tcPr>
          <w:p w14:paraId="3645490F" w14:textId="1352B5B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-0.3</w:t>
            </w:r>
          </w:p>
        </w:tc>
        <w:tc>
          <w:tcPr>
            <w:tcW w:w="0" w:type="dxa"/>
            <w:tcBorders>
              <w:left w:val="single" w:sz="4" w:space="0" w:color="auto"/>
              <w:bottom w:val="single" w:sz="4" w:space="0" w:color="auto"/>
            </w:tcBorders>
            <w:shd w:val="clear" w:color="auto" w:fill="auto"/>
            <w:vAlign w:val="bottom"/>
          </w:tcPr>
          <w:p w14:paraId="1B10880A" w14:textId="29FA3B64"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3.3</w:t>
            </w:r>
          </w:p>
        </w:tc>
        <w:tc>
          <w:tcPr>
            <w:tcW w:w="0" w:type="dxa"/>
            <w:tcBorders>
              <w:bottom w:val="single" w:sz="4" w:space="0" w:color="auto"/>
              <w:right w:val="single" w:sz="4" w:space="0" w:color="auto"/>
            </w:tcBorders>
            <w:shd w:val="clear" w:color="auto" w:fill="auto"/>
            <w:vAlign w:val="bottom"/>
          </w:tcPr>
          <w:p w14:paraId="643F94F6" w14:textId="49CB2488"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bottom w:val="single" w:sz="4" w:space="0" w:color="auto"/>
            </w:tcBorders>
            <w:shd w:val="clear" w:color="auto" w:fill="auto"/>
            <w:vAlign w:val="bottom"/>
          </w:tcPr>
          <w:p w14:paraId="76429D72" w14:textId="2B5431A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1.8</w:t>
            </w:r>
          </w:p>
        </w:tc>
        <w:tc>
          <w:tcPr>
            <w:tcW w:w="0" w:type="dxa"/>
            <w:tcBorders>
              <w:bottom w:val="single" w:sz="4" w:space="0" w:color="auto"/>
              <w:right w:val="single" w:sz="4" w:space="0" w:color="auto"/>
            </w:tcBorders>
            <w:shd w:val="clear" w:color="auto" w:fill="auto"/>
            <w:vAlign w:val="bottom"/>
          </w:tcPr>
          <w:p w14:paraId="749F16D2" w14:textId="7A4F65E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bottom w:val="single" w:sz="4" w:space="0" w:color="auto"/>
            </w:tcBorders>
            <w:vAlign w:val="bottom"/>
          </w:tcPr>
          <w:p w14:paraId="778E7AFE" w14:textId="0ED76FB6"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36A7E">
              <w:rPr>
                <w:rFonts w:cs="Arial"/>
                <w:color w:val="000000"/>
              </w:rPr>
              <w:t>44.4%</w:t>
            </w:r>
          </w:p>
        </w:tc>
        <w:tc>
          <w:tcPr>
            <w:tcW w:w="0" w:type="dxa"/>
            <w:tcBorders>
              <w:bottom w:val="single" w:sz="4" w:space="0" w:color="auto"/>
            </w:tcBorders>
            <w:vAlign w:val="bottom"/>
          </w:tcPr>
          <w:p w14:paraId="4BC50F61" w14:textId="79E563E4"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236A7E">
              <w:rPr>
                <w:rFonts w:cs="Arial"/>
                <w:color w:val="000000"/>
              </w:rPr>
              <w:t>+2.6% pts</w:t>
            </w:r>
          </w:p>
        </w:tc>
      </w:tr>
      <w:tr w:rsidR="0054042D" w:rsidRPr="007C7AEA" w14:paraId="56FFDA11" w14:textId="61EBDF11" w:rsidTr="00E0581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right w:val="single" w:sz="4" w:space="0" w:color="auto"/>
            </w:tcBorders>
            <w:shd w:val="clear" w:color="auto" w:fill="002060"/>
          </w:tcPr>
          <w:p w14:paraId="01A81840" w14:textId="77777777" w:rsidR="00CA4C94" w:rsidRPr="00B71532" w:rsidRDefault="00CA4C94" w:rsidP="0078459E">
            <w:pPr>
              <w:pStyle w:val="Tablebodycopy"/>
              <w:rPr>
                <w:rFonts w:asciiTheme="minorHAnsi" w:hAnsiTheme="minorHAnsi" w:cstheme="minorHAnsi"/>
                <w:b w:val="0"/>
                <w:bCs w:val="0"/>
                <w:i/>
                <w:iCs/>
                <w:color w:val="FFFFFF" w:themeColor="background1"/>
              </w:rPr>
            </w:pPr>
            <w:r w:rsidRPr="00B71532">
              <w:rPr>
                <w:rFonts w:asciiTheme="minorHAnsi" w:hAnsiTheme="minorHAnsi" w:cstheme="minorHAnsi"/>
                <w:b w:val="0"/>
                <w:bCs w:val="0"/>
                <w:i/>
                <w:iCs/>
                <w:color w:val="FFFFFF" w:themeColor="background1"/>
              </w:rPr>
              <w:lastRenderedPageBreak/>
              <w:t>Skill level</w:t>
            </w:r>
            <w:r w:rsidRPr="00B71532">
              <w:rPr>
                <w:rStyle w:val="FootnoteReference"/>
                <w:rFonts w:asciiTheme="minorHAnsi" w:hAnsiTheme="minorHAnsi" w:cstheme="minorHAnsi"/>
                <w:b w:val="0"/>
                <w:bCs w:val="0"/>
                <w:i/>
                <w:iCs/>
                <w:color w:val="FFFFFF" w:themeColor="background1"/>
              </w:rPr>
              <w:footnoteReference w:id="9"/>
            </w:r>
          </w:p>
        </w:tc>
        <w:tc>
          <w:tcPr>
            <w:tcW w:w="1275" w:type="dxa"/>
            <w:tcBorders>
              <w:top w:val="single" w:sz="4" w:space="0" w:color="auto"/>
              <w:left w:val="single" w:sz="4" w:space="0" w:color="auto"/>
            </w:tcBorders>
            <w:shd w:val="clear" w:color="auto" w:fill="002060"/>
          </w:tcPr>
          <w:p w14:paraId="28B6F95D"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p>
        </w:tc>
        <w:tc>
          <w:tcPr>
            <w:tcW w:w="1418" w:type="dxa"/>
            <w:tcBorders>
              <w:top w:val="single" w:sz="4" w:space="0" w:color="auto"/>
              <w:right w:val="single" w:sz="4" w:space="0" w:color="auto"/>
            </w:tcBorders>
            <w:shd w:val="clear" w:color="auto" w:fill="002060"/>
          </w:tcPr>
          <w:p w14:paraId="0E891B6A"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p>
        </w:tc>
        <w:tc>
          <w:tcPr>
            <w:tcW w:w="1276" w:type="dxa"/>
            <w:tcBorders>
              <w:top w:val="single" w:sz="4" w:space="0" w:color="auto"/>
              <w:left w:val="single" w:sz="4" w:space="0" w:color="auto"/>
            </w:tcBorders>
            <w:shd w:val="clear" w:color="auto" w:fill="002060"/>
          </w:tcPr>
          <w:p w14:paraId="3CED5A15"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p>
        </w:tc>
        <w:tc>
          <w:tcPr>
            <w:tcW w:w="1134" w:type="dxa"/>
            <w:tcBorders>
              <w:top w:val="single" w:sz="4" w:space="0" w:color="auto"/>
              <w:right w:val="single" w:sz="4" w:space="0" w:color="auto"/>
            </w:tcBorders>
            <w:shd w:val="clear" w:color="auto" w:fill="002060"/>
          </w:tcPr>
          <w:p w14:paraId="78A5AC08"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p>
        </w:tc>
        <w:tc>
          <w:tcPr>
            <w:tcW w:w="1275" w:type="dxa"/>
            <w:tcBorders>
              <w:top w:val="single" w:sz="4" w:space="0" w:color="auto"/>
              <w:left w:val="single" w:sz="4" w:space="0" w:color="auto"/>
            </w:tcBorders>
            <w:shd w:val="clear" w:color="auto" w:fill="002060"/>
          </w:tcPr>
          <w:p w14:paraId="06C5B3AF"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p>
        </w:tc>
        <w:tc>
          <w:tcPr>
            <w:tcW w:w="1134" w:type="dxa"/>
            <w:tcBorders>
              <w:top w:val="single" w:sz="4" w:space="0" w:color="auto"/>
              <w:right w:val="single" w:sz="4" w:space="0" w:color="auto"/>
            </w:tcBorders>
            <w:shd w:val="clear" w:color="auto" w:fill="002060"/>
          </w:tcPr>
          <w:p w14:paraId="698AEEF4"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p>
        </w:tc>
        <w:tc>
          <w:tcPr>
            <w:tcW w:w="1276" w:type="dxa"/>
            <w:tcBorders>
              <w:top w:val="single" w:sz="4" w:space="0" w:color="auto"/>
              <w:left w:val="single" w:sz="4" w:space="0" w:color="auto"/>
            </w:tcBorders>
            <w:shd w:val="clear" w:color="auto" w:fill="002060"/>
          </w:tcPr>
          <w:p w14:paraId="11FDF131"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p>
        </w:tc>
        <w:tc>
          <w:tcPr>
            <w:tcW w:w="1134" w:type="dxa"/>
            <w:tcBorders>
              <w:top w:val="single" w:sz="4" w:space="0" w:color="auto"/>
            </w:tcBorders>
            <w:shd w:val="clear" w:color="auto" w:fill="002060"/>
          </w:tcPr>
          <w:p w14:paraId="561AA384"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p>
        </w:tc>
        <w:tc>
          <w:tcPr>
            <w:tcW w:w="1276" w:type="dxa"/>
            <w:tcBorders>
              <w:top w:val="single" w:sz="4" w:space="0" w:color="auto"/>
            </w:tcBorders>
            <w:shd w:val="clear" w:color="auto" w:fill="002060"/>
          </w:tcPr>
          <w:p w14:paraId="270FA7A7"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Style w:val="CommentReference"/>
                <w:color w:val="auto"/>
                <w:sz w:val="22"/>
                <w:szCs w:val="22"/>
                <w:lang w:val="en-AU"/>
              </w:rPr>
            </w:pPr>
          </w:p>
        </w:tc>
        <w:tc>
          <w:tcPr>
            <w:tcW w:w="1276" w:type="dxa"/>
            <w:tcBorders>
              <w:top w:val="single" w:sz="4" w:space="0" w:color="auto"/>
            </w:tcBorders>
            <w:shd w:val="clear" w:color="auto" w:fill="002060"/>
          </w:tcPr>
          <w:p w14:paraId="30D97F6B" w14:textId="77777777" w:rsidR="00CA4C94" w:rsidRPr="00B71532" w:rsidRDefault="00CA4C94" w:rsidP="008F0C4A">
            <w:pPr>
              <w:pStyle w:val="Tablebodycopy"/>
              <w:jc w:val="center"/>
              <w:cnfStyle w:val="000000100000" w:firstRow="0" w:lastRow="0" w:firstColumn="0" w:lastColumn="0" w:oddVBand="0" w:evenVBand="0" w:oddHBand="1" w:evenHBand="0" w:firstRowFirstColumn="0" w:firstRowLastColumn="0" w:lastRowFirstColumn="0" w:lastRowLastColumn="0"/>
              <w:rPr>
                <w:rStyle w:val="CommentReference"/>
                <w:color w:val="auto"/>
                <w:sz w:val="22"/>
                <w:szCs w:val="22"/>
                <w:lang w:val="en-AU"/>
              </w:rPr>
            </w:pPr>
          </w:p>
        </w:tc>
      </w:tr>
      <w:tr w:rsidR="00236A7E" w:rsidRPr="00C57C1A" w14:paraId="5CE5709B" w14:textId="22FA0975" w:rsidTr="0030243C">
        <w:trPr>
          <w:trHeight w:hRule="exact" w:val="373"/>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D9D9D9" w:themeFill="background1" w:themeFillShade="D9"/>
          </w:tcPr>
          <w:p w14:paraId="305D9338" w14:textId="77777777" w:rsidR="0030243C" w:rsidRPr="00B71532" w:rsidRDefault="0030243C" w:rsidP="0030243C">
            <w:pPr>
              <w:pStyle w:val="Tablebodycopy"/>
              <w:rPr>
                <w:rFonts w:asciiTheme="minorHAnsi" w:hAnsiTheme="minorHAnsi" w:cstheme="minorHAnsi"/>
                <w:b w:val="0"/>
                <w:bCs w:val="0"/>
                <w:i/>
                <w:iCs/>
              </w:rPr>
            </w:pPr>
            <w:r w:rsidRPr="00B71532">
              <w:rPr>
                <w:rFonts w:asciiTheme="minorHAnsi" w:hAnsiTheme="minorHAnsi" w:cstheme="minorHAnsi"/>
                <w:b w:val="0"/>
                <w:bCs w:val="0"/>
              </w:rPr>
              <w:t>Skill Level 1</w:t>
            </w:r>
          </w:p>
        </w:tc>
        <w:tc>
          <w:tcPr>
            <w:tcW w:w="0" w:type="dxa"/>
            <w:tcBorders>
              <w:left w:val="single" w:sz="4" w:space="0" w:color="auto"/>
            </w:tcBorders>
            <w:shd w:val="clear" w:color="auto" w:fill="D9D9D9" w:themeFill="background1" w:themeFillShade="D9"/>
            <w:vAlign w:val="bottom"/>
          </w:tcPr>
          <w:p w14:paraId="10E5AB68" w14:textId="3C9DD744"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65.3%</w:t>
            </w:r>
          </w:p>
        </w:tc>
        <w:tc>
          <w:tcPr>
            <w:tcW w:w="0" w:type="dxa"/>
            <w:tcBorders>
              <w:right w:val="single" w:sz="4" w:space="0" w:color="auto"/>
            </w:tcBorders>
            <w:shd w:val="clear" w:color="auto" w:fill="D9D9D9" w:themeFill="background1" w:themeFillShade="D9"/>
            <w:vAlign w:val="bottom"/>
          </w:tcPr>
          <w:p w14:paraId="55ED6303" w14:textId="682365F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+1.0% pts</w:t>
            </w:r>
          </w:p>
        </w:tc>
        <w:tc>
          <w:tcPr>
            <w:tcW w:w="0" w:type="dxa"/>
            <w:tcBorders>
              <w:left w:val="single" w:sz="4" w:space="0" w:color="auto"/>
            </w:tcBorders>
            <w:shd w:val="clear" w:color="auto" w:fill="D9D9D9" w:themeFill="background1" w:themeFillShade="D9"/>
            <w:vAlign w:val="bottom"/>
          </w:tcPr>
          <w:p w14:paraId="0EFC46B4" w14:textId="27713A4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20.6</w:t>
            </w:r>
          </w:p>
        </w:tc>
        <w:tc>
          <w:tcPr>
            <w:tcW w:w="0" w:type="dxa"/>
            <w:tcBorders>
              <w:right w:val="single" w:sz="4" w:space="0" w:color="auto"/>
            </w:tcBorders>
            <w:shd w:val="clear" w:color="auto" w:fill="D9D9D9" w:themeFill="background1" w:themeFillShade="D9"/>
            <w:vAlign w:val="bottom"/>
          </w:tcPr>
          <w:p w14:paraId="7F312E58" w14:textId="4D238D3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+1.2</w:t>
            </w:r>
          </w:p>
        </w:tc>
        <w:tc>
          <w:tcPr>
            <w:tcW w:w="0" w:type="dxa"/>
            <w:tcBorders>
              <w:left w:val="single" w:sz="4" w:space="0" w:color="auto"/>
            </w:tcBorders>
            <w:shd w:val="clear" w:color="auto" w:fill="D9D9D9" w:themeFill="background1" w:themeFillShade="D9"/>
            <w:vAlign w:val="bottom"/>
          </w:tcPr>
          <w:p w14:paraId="1CCBE6B3" w14:textId="4265FD9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8.2</w:t>
            </w:r>
          </w:p>
        </w:tc>
        <w:tc>
          <w:tcPr>
            <w:tcW w:w="0" w:type="dxa"/>
            <w:tcBorders>
              <w:right w:val="single" w:sz="4" w:space="0" w:color="auto"/>
            </w:tcBorders>
            <w:shd w:val="clear" w:color="auto" w:fill="D9D9D9" w:themeFill="background1" w:themeFillShade="D9"/>
            <w:vAlign w:val="bottom"/>
          </w:tcPr>
          <w:p w14:paraId="555E16E6" w14:textId="5EDD6CC6"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+0.4</w:t>
            </w:r>
          </w:p>
        </w:tc>
        <w:tc>
          <w:tcPr>
            <w:tcW w:w="0" w:type="dxa"/>
            <w:tcBorders>
              <w:left w:val="single" w:sz="4" w:space="0" w:color="auto"/>
            </w:tcBorders>
            <w:shd w:val="clear" w:color="auto" w:fill="D9D9D9" w:themeFill="background1" w:themeFillShade="D9"/>
            <w:vAlign w:val="bottom"/>
          </w:tcPr>
          <w:p w14:paraId="15A16666" w14:textId="566B60A3"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2.8</w:t>
            </w:r>
          </w:p>
        </w:tc>
        <w:tc>
          <w:tcPr>
            <w:tcW w:w="0" w:type="dxa"/>
            <w:tcBorders>
              <w:right w:val="single" w:sz="4" w:space="0" w:color="auto"/>
            </w:tcBorders>
            <w:shd w:val="clear" w:color="auto" w:fill="D9D9D9" w:themeFill="background1" w:themeFillShade="D9"/>
            <w:vAlign w:val="bottom"/>
          </w:tcPr>
          <w:p w14:paraId="6BE21FA8" w14:textId="410FCD3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D9D9D9" w:themeFill="background1" w:themeFillShade="D9"/>
            <w:vAlign w:val="bottom"/>
          </w:tcPr>
          <w:p w14:paraId="68E5F556" w14:textId="70362CAB"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B5D61">
              <w:t>65.7%</w:t>
            </w:r>
          </w:p>
        </w:tc>
        <w:tc>
          <w:tcPr>
            <w:tcW w:w="0" w:type="dxa"/>
            <w:shd w:val="clear" w:color="auto" w:fill="D9D9D9" w:themeFill="background1" w:themeFillShade="D9"/>
            <w:vAlign w:val="bottom"/>
          </w:tcPr>
          <w:p w14:paraId="6D49A252" w14:textId="695C8C4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B5D61">
              <w:t>+1.4% pts</w:t>
            </w:r>
          </w:p>
        </w:tc>
      </w:tr>
      <w:tr w:rsidR="00AE1C31" w:rsidRPr="00C57C1A" w14:paraId="0BE8047B" w14:textId="3CE5154E" w:rsidTr="0030243C">
        <w:trPr>
          <w:cnfStyle w:val="000000100000" w:firstRow="0" w:lastRow="0" w:firstColumn="0" w:lastColumn="0" w:oddVBand="0" w:evenVBand="0" w:oddHBand="1" w:evenHBand="0" w:firstRowFirstColumn="0" w:firstRowLastColumn="0" w:lastRowFirstColumn="0" w:lastRowLastColumn="0"/>
          <w:trHeight w:hRule="exact" w:val="423"/>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691DDED2" w14:textId="77777777" w:rsidR="0030243C" w:rsidRPr="00B71532" w:rsidRDefault="0030243C" w:rsidP="0030243C">
            <w:pPr>
              <w:pStyle w:val="Tablebodycopy"/>
              <w:rPr>
                <w:rFonts w:asciiTheme="minorHAnsi" w:hAnsiTheme="minorHAnsi" w:cstheme="minorHAnsi"/>
                <w:b w:val="0"/>
                <w:bCs w:val="0"/>
                <w:i/>
                <w:iCs/>
              </w:rPr>
            </w:pPr>
            <w:r w:rsidRPr="00B71532">
              <w:rPr>
                <w:rFonts w:asciiTheme="minorHAnsi" w:hAnsiTheme="minorHAnsi" w:cstheme="minorHAnsi"/>
                <w:b w:val="0"/>
                <w:bCs w:val="0"/>
              </w:rPr>
              <w:t>Skill Level 2</w:t>
            </w:r>
          </w:p>
        </w:tc>
        <w:tc>
          <w:tcPr>
            <w:tcW w:w="0" w:type="dxa"/>
            <w:tcBorders>
              <w:left w:val="single" w:sz="4" w:space="0" w:color="auto"/>
            </w:tcBorders>
            <w:shd w:val="clear" w:color="auto" w:fill="auto"/>
            <w:vAlign w:val="bottom"/>
          </w:tcPr>
          <w:p w14:paraId="39FA0970" w14:textId="067E488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72.6%</w:t>
            </w:r>
          </w:p>
        </w:tc>
        <w:tc>
          <w:tcPr>
            <w:tcW w:w="0" w:type="dxa"/>
            <w:tcBorders>
              <w:right w:val="single" w:sz="4" w:space="0" w:color="auto"/>
            </w:tcBorders>
            <w:shd w:val="clear" w:color="auto" w:fill="auto"/>
            <w:vAlign w:val="bottom"/>
          </w:tcPr>
          <w:p w14:paraId="4848DDC9" w14:textId="12B7D7C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+1.7% pts</w:t>
            </w:r>
          </w:p>
        </w:tc>
        <w:tc>
          <w:tcPr>
            <w:tcW w:w="0" w:type="dxa"/>
            <w:tcBorders>
              <w:left w:val="single" w:sz="4" w:space="0" w:color="auto"/>
            </w:tcBorders>
            <w:shd w:val="clear" w:color="auto" w:fill="auto"/>
            <w:vAlign w:val="bottom"/>
          </w:tcPr>
          <w:p w14:paraId="2E714887" w14:textId="2754F0A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21.6</w:t>
            </w:r>
          </w:p>
        </w:tc>
        <w:tc>
          <w:tcPr>
            <w:tcW w:w="0" w:type="dxa"/>
            <w:tcBorders>
              <w:right w:val="single" w:sz="4" w:space="0" w:color="auto"/>
            </w:tcBorders>
            <w:shd w:val="clear" w:color="auto" w:fill="auto"/>
            <w:vAlign w:val="bottom"/>
          </w:tcPr>
          <w:p w14:paraId="4AF83B15" w14:textId="6ADEB83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+1.4</w:t>
            </w:r>
          </w:p>
        </w:tc>
        <w:tc>
          <w:tcPr>
            <w:tcW w:w="0" w:type="dxa"/>
            <w:tcBorders>
              <w:left w:val="single" w:sz="4" w:space="0" w:color="auto"/>
            </w:tcBorders>
            <w:shd w:val="clear" w:color="auto" w:fill="auto"/>
            <w:vAlign w:val="bottom"/>
          </w:tcPr>
          <w:p w14:paraId="2FFF7EE1" w14:textId="5945C3B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6.2</w:t>
            </w:r>
          </w:p>
        </w:tc>
        <w:tc>
          <w:tcPr>
            <w:tcW w:w="0" w:type="dxa"/>
            <w:tcBorders>
              <w:right w:val="single" w:sz="4" w:space="0" w:color="auto"/>
            </w:tcBorders>
            <w:shd w:val="clear" w:color="auto" w:fill="auto"/>
            <w:vAlign w:val="bottom"/>
          </w:tcPr>
          <w:p w14:paraId="77B346F1" w14:textId="1F28639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+0.2</w:t>
            </w:r>
          </w:p>
        </w:tc>
        <w:tc>
          <w:tcPr>
            <w:tcW w:w="0" w:type="dxa"/>
            <w:tcBorders>
              <w:left w:val="single" w:sz="4" w:space="0" w:color="auto"/>
            </w:tcBorders>
            <w:shd w:val="clear" w:color="auto" w:fill="auto"/>
            <w:vAlign w:val="bottom"/>
          </w:tcPr>
          <w:p w14:paraId="33B57726" w14:textId="0BEC10E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3.1</w:t>
            </w:r>
          </w:p>
        </w:tc>
        <w:tc>
          <w:tcPr>
            <w:tcW w:w="0" w:type="dxa"/>
            <w:tcBorders>
              <w:right w:val="single" w:sz="4" w:space="0" w:color="auto"/>
            </w:tcBorders>
            <w:shd w:val="clear" w:color="auto" w:fill="auto"/>
            <w:vAlign w:val="bottom"/>
          </w:tcPr>
          <w:p w14:paraId="53A8C059" w14:textId="119E1DD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vAlign w:val="bottom"/>
          </w:tcPr>
          <w:p w14:paraId="37ABA657" w14:textId="1E7EC99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B5D61">
              <w:t>50.4%</w:t>
            </w:r>
          </w:p>
        </w:tc>
        <w:tc>
          <w:tcPr>
            <w:tcW w:w="0" w:type="dxa"/>
            <w:vAlign w:val="bottom"/>
          </w:tcPr>
          <w:p w14:paraId="3B6F325E" w14:textId="0107EC51"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B5D61">
              <w:t>+1.1% pts</w:t>
            </w:r>
          </w:p>
        </w:tc>
      </w:tr>
      <w:tr w:rsidR="00236A7E" w:rsidRPr="00C57C1A" w14:paraId="753F8949" w14:textId="33EC229B" w:rsidTr="0030243C">
        <w:trPr>
          <w:trHeight w:hRule="exact" w:val="426"/>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D9D9D9" w:themeFill="background1" w:themeFillShade="D9"/>
          </w:tcPr>
          <w:p w14:paraId="5F00969B" w14:textId="77777777" w:rsidR="0030243C" w:rsidRPr="00B71532" w:rsidRDefault="0030243C" w:rsidP="0030243C">
            <w:pPr>
              <w:pStyle w:val="Tablebodycopy"/>
              <w:rPr>
                <w:rFonts w:asciiTheme="minorHAnsi" w:hAnsiTheme="minorHAnsi" w:cstheme="minorHAnsi"/>
                <w:b w:val="0"/>
                <w:bCs w:val="0"/>
                <w:i/>
                <w:iCs/>
              </w:rPr>
            </w:pPr>
            <w:r w:rsidRPr="00B71532">
              <w:rPr>
                <w:rFonts w:asciiTheme="minorHAnsi" w:hAnsiTheme="minorHAnsi" w:cstheme="minorHAnsi"/>
                <w:b w:val="0"/>
                <w:bCs w:val="0"/>
              </w:rPr>
              <w:t>Skill Level 3</w:t>
            </w:r>
          </w:p>
        </w:tc>
        <w:tc>
          <w:tcPr>
            <w:tcW w:w="0" w:type="dxa"/>
            <w:tcBorders>
              <w:left w:val="single" w:sz="4" w:space="0" w:color="auto"/>
            </w:tcBorders>
            <w:shd w:val="clear" w:color="auto" w:fill="D9D9D9" w:themeFill="background1" w:themeFillShade="D9"/>
            <w:vAlign w:val="bottom"/>
          </w:tcPr>
          <w:p w14:paraId="349EB3CB" w14:textId="7404281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48.2%</w:t>
            </w:r>
          </w:p>
        </w:tc>
        <w:tc>
          <w:tcPr>
            <w:tcW w:w="0" w:type="dxa"/>
            <w:tcBorders>
              <w:right w:val="single" w:sz="4" w:space="0" w:color="auto"/>
            </w:tcBorders>
            <w:shd w:val="clear" w:color="auto" w:fill="D9D9D9" w:themeFill="background1" w:themeFillShade="D9"/>
            <w:vAlign w:val="bottom"/>
          </w:tcPr>
          <w:p w14:paraId="47643369" w14:textId="0D24DEC3"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+1.0% pts</w:t>
            </w:r>
          </w:p>
        </w:tc>
        <w:tc>
          <w:tcPr>
            <w:tcW w:w="0" w:type="dxa"/>
            <w:tcBorders>
              <w:left w:val="single" w:sz="4" w:space="0" w:color="auto"/>
            </w:tcBorders>
            <w:shd w:val="clear" w:color="auto" w:fill="D9D9D9" w:themeFill="background1" w:themeFillShade="D9"/>
            <w:vAlign w:val="bottom"/>
          </w:tcPr>
          <w:p w14:paraId="6A15139E" w14:textId="5CAFF08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10.6</w:t>
            </w:r>
          </w:p>
        </w:tc>
        <w:tc>
          <w:tcPr>
            <w:tcW w:w="0" w:type="dxa"/>
            <w:tcBorders>
              <w:right w:val="single" w:sz="4" w:space="0" w:color="auto"/>
            </w:tcBorders>
            <w:shd w:val="clear" w:color="auto" w:fill="D9D9D9" w:themeFill="background1" w:themeFillShade="D9"/>
            <w:vAlign w:val="bottom"/>
          </w:tcPr>
          <w:p w14:paraId="459E7162" w14:textId="448E13C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+0.6</w:t>
            </w:r>
          </w:p>
        </w:tc>
        <w:tc>
          <w:tcPr>
            <w:tcW w:w="0" w:type="dxa"/>
            <w:tcBorders>
              <w:left w:val="single" w:sz="4" w:space="0" w:color="auto"/>
            </w:tcBorders>
            <w:shd w:val="clear" w:color="auto" w:fill="D9D9D9" w:themeFill="background1" w:themeFillShade="D9"/>
            <w:vAlign w:val="bottom"/>
          </w:tcPr>
          <w:p w14:paraId="6A70A666" w14:textId="61D19D9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2.8</w:t>
            </w:r>
          </w:p>
        </w:tc>
        <w:tc>
          <w:tcPr>
            <w:tcW w:w="0" w:type="dxa"/>
            <w:tcBorders>
              <w:right w:val="single" w:sz="4" w:space="0" w:color="auto"/>
            </w:tcBorders>
            <w:shd w:val="clear" w:color="auto" w:fill="D9D9D9" w:themeFill="background1" w:themeFillShade="D9"/>
            <w:vAlign w:val="bottom"/>
          </w:tcPr>
          <w:p w14:paraId="7EAC832C" w14:textId="1E08FC6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shd w:val="clear" w:color="auto" w:fill="D9D9D9" w:themeFill="background1" w:themeFillShade="D9"/>
            <w:vAlign w:val="bottom"/>
          </w:tcPr>
          <w:p w14:paraId="3B31334F" w14:textId="0D120A0D"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1.5</w:t>
            </w:r>
          </w:p>
        </w:tc>
        <w:tc>
          <w:tcPr>
            <w:tcW w:w="0" w:type="dxa"/>
            <w:tcBorders>
              <w:right w:val="single" w:sz="4" w:space="0" w:color="auto"/>
            </w:tcBorders>
            <w:shd w:val="clear" w:color="auto" w:fill="D9D9D9" w:themeFill="background1" w:themeFillShade="D9"/>
            <w:vAlign w:val="bottom"/>
          </w:tcPr>
          <w:p w14:paraId="698A2F25" w14:textId="258B4A3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D9D9D9" w:themeFill="background1" w:themeFillShade="D9"/>
            <w:vAlign w:val="bottom"/>
          </w:tcPr>
          <w:p w14:paraId="10B68030" w14:textId="28017FB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B5D61">
              <w:t>44.8%</w:t>
            </w:r>
          </w:p>
        </w:tc>
        <w:tc>
          <w:tcPr>
            <w:tcW w:w="0" w:type="dxa"/>
            <w:shd w:val="clear" w:color="auto" w:fill="D9D9D9" w:themeFill="background1" w:themeFillShade="D9"/>
            <w:vAlign w:val="bottom"/>
          </w:tcPr>
          <w:p w14:paraId="04F861B7" w14:textId="5C8D9AB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6B5D61">
              <w:t>+2.8% pts</w:t>
            </w:r>
          </w:p>
        </w:tc>
      </w:tr>
      <w:tr w:rsidR="00AE1C31" w:rsidRPr="00C57C1A" w14:paraId="707CCA8F" w14:textId="47C94EF2" w:rsidTr="0030243C">
        <w:trPr>
          <w:cnfStyle w:val="000000100000" w:firstRow="0" w:lastRow="0" w:firstColumn="0" w:lastColumn="0" w:oddVBand="0" w:evenVBand="0" w:oddHBand="1"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2182B679" w14:textId="77777777" w:rsidR="0030243C" w:rsidRPr="00B71532" w:rsidRDefault="0030243C" w:rsidP="0030243C">
            <w:pPr>
              <w:pStyle w:val="Tablebodycopy"/>
              <w:rPr>
                <w:rFonts w:asciiTheme="minorHAnsi" w:hAnsiTheme="minorHAnsi" w:cstheme="minorHAnsi"/>
                <w:b w:val="0"/>
                <w:bCs w:val="0"/>
                <w:i/>
                <w:iCs/>
              </w:rPr>
            </w:pPr>
            <w:r w:rsidRPr="00B71532">
              <w:rPr>
                <w:rFonts w:asciiTheme="minorHAnsi" w:hAnsiTheme="minorHAnsi" w:cstheme="minorHAnsi"/>
                <w:b w:val="0"/>
                <w:bCs w:val="0"/>
              </w:rPr>
              <w:t>Skill Level 4</w:t>
            </w:r>
          </w:p>
        </w:tc>
        <w:tc>
          <w:tcPr>
            <w:tcW w:w="0" w:type="dxa"/>
            <w:tcBorders>
              <w:left w:val="single" w:sz="4" w:space="0" w:color="auto"/>
            </w:tcBorders>
            <w:shd w:val="clear" w:color="auto" w:fill="auto"/>
            <w:vAlign w:val="bottom"/>
          </w:tcPr>
          <w:p w14:paraId="2E9F0AA9" w14:textId="0550606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69.9%</w:t>
            </w:r>
          </w:p>
        </w:tc>
        <w:tc>
          <w:tcPr>
            <w:tcW w:w="0" w:type="dxa"/>
            <w:tcBorders>
              <w:right w:val="single" w:sz="4" w:space="0" w:color="auto"/>
            </w:tcBorders>
            <w:shd w:val="clear" w:color="auto" w:fill="auto"/>
            <w:vAlign w:val="bottom"/>
          </w:tcPr>
          <w:p w14:paraId="2668D2E8" w14:textId="51EB218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+2.9% pts</w:t>
            </w:r>
          </w:p>
        </w:tc>
        <w:tc>
          <w:tcPr>
            <w:tcW w:w="0" w:type="dxa"/>
            <w:tcBorders>
              <w:left w:val="single" w:sz="4" w:space="0" w:color="auto"/>
            </w:tcBorders>
            <w:shd w:val="clear" w:color="auto" w:fill="auto"/>
            <w:vAlign w:val="bottom"/>
          </w:tcPr>
          <w:p w14:paraId="1E6FDC22" w14:textId="7E01557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19.2</w:t>
            </w:r>
          </w:p>
        </w:tc>
        <w:tc>
          <w:tcPr>
            <w:tcW w:w="0" w:type="dxa"/>
            <w:tcBorders>
              <w:right w:val="single" w:sz="4" w:space="0" w:color="auto"/>
            </w:tcBorders>
            <w:shd w:val="clear" w:color="auto" w:fill="auto"/>
            <w:vAlign w:val="bottom"/>
          </w:tcPr>
          <w:p w14:paraId="445CD3A0" w14:textId="5A9401E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+1.5</w:t>
            </w:r>
          </w:p>
        </w:tc>
        <w:tc>
          <w:tcPr>
            <w:tcW w:w="0" w:type="dxa"/>
            <w:tcBorders>
              <w:left w:val="single" w:sz="4" w:space="0" w:color="auto"/>
            </w:tcBorders>
            <w:shd w:val="clear" w:color="auto" w:fill="auto"/>
            <w:vAlign w:val="bottom"/>
          </w:tcPr>
          <w:p w14:paraId="382F81B5" w14:textId="454702A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5.8</w:t>
            </w:r>
          </w:p>
        </w:tc>
        <w:tc>
          <w:tcPr>
            <w:tcW w:w="0" w:type="dxa"/>
            <w:tcBorders>
              <w:right w:val="single" w:sz="4" w:space="0" w:color="auto"/>
            </w:tcBorders>
            <w:shd w:val="clear" w:color="auto" w:fill="auto"/>
            <w:vAlign w:val="bottom"/>
          </w:tcPr>
          <w:p w14:paraId="118FDBC4" w14:textId="4D1F619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+0.3</w:t>
            </w:r>
          </w:p>
        </w:tc>
        <w:tc>
          <w:tcPr>
            <w:tcW w:w="0" w:type="dxa"/>
            <w:tcBorders>
              <w:left w:val="single" w:sz="4" w:space="0" w:color="auto"/>
            </w:tcBorders>
            <w:shd w:val="clear" w:color="auto" w:fill="auto"/>
            <w:vAlign w:val="bottom"/>
          </w:tcPr>
          <w:p w14:paraId="56EEADF7" w14:textId="031C885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3.3</w:t>
            </w:r>
          </w:p>
        </w:tc>
        <w:tc>
          <w:tcPr>
            <w:tcW w:w="0" w:type="dxa"/>
            <w:tcBorders>
              <w:right w:val="single" w:sz="4" w:space="0" w:color="auto"/>
            </w:tcBorders>
            <w:shd w:val="clear" w:color="auto" w:fill="auto"/>
            <w:vAlign w:val="bottom"/>
          </w:tcPr>
          <w:p w14:paraId="1D94CCAD" w14:textId="283BF1A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vAlign w:val="bottom"/>
          </w:tcPr>
          <w:p w14:paraId="449B6DAF" w14:textId="3F7496B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B5D61">
              <w:t>43.3%</w:t>
            </w:r>
          </w:p>
        </w:tc>
        <w:tc>
          <w:tcPr>
            <w:tcW w:w="0" w:type="dxa"/>
            <w:vAlign w:val="bottom"/>
          </w:tcPr>
          <w:p w14:paraId="10E66CDD" w14:textId="76C79A6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6B5D61">
              <w:t>+1.7% pts</w:t>
            </w:r>
          </w:p>
        </w:tc>
      </w:tr>
      <w:tr w:rsidR="00B71532" w:rsidRPr="007C7AEA" w14:paraId="70030DF8" w14:textId="72EB10AE" w:rsidTr="00236A7E">
        <w:trPr>
          <w:trHeight w:hRule="exact" w:val="476"/>
        </w:trPr>
        <w:tc>
          <w:tcPr>
            <w:cnfStyle w:val="001000000000" w:firstRow="0" w:lastRow="0" w:firstColumn="1" w:lastColumn="0" w:oddVBand="0" w:evenVBand="0" w:oddHBand="0" w:evenHBand="0" w:firstRowFirstColumn="0" w:firstRowLastColumn="0" w:lastRowFirstColumn="0" w:lastRowLastColumn="0"/>
            <w:tcW w:w="0" w:type="dxa"/>
            <w:gridSpan w:val="11"/>
            <w:tcBorders>
              <w:left w:val="single" w:sz="4" w:space="0" w:color="auto"/>
            </w:tcBorders>
            <w:shd w:val="clear" w:color="auto" w:fill="002060"/>
            <w:vAlign w:val="bottom"/>
          </w:tcPr>
          <w:p w14:paraId="3EEBDE78" w14:textId="5532C921" w:rsidR="00B71532" w:rsidRPr="00B71532" w:rsidRDefault="00B71532" w:rsidP="00236A7E">
            <w:pPr>
              <w:pStyle w:val="Tablebodycopy"/>
              <w:jc w:val="right"/>
              <w:rPr>
                <w:rFonts w:asciiTheme="minorHAnsi" w:hAnsiTheme="minorHAnsi" w:cstheme="minorHAnsi"/>
                <w:color w:val="FFFFFF" w:themeColor="background1"/>
              </w:rPr>
            </w:pPr>
            <w:r w:rsidRPr="00B71532">
              <w:rPr>
                <w:rFonts w:asciiTheme="minorHAnsi" w:hAnsiTheme="minorHAnsi" w:cstheme="minorHAnsi"/>
                <w:b w:val="0"/>
                <w:bCs w:val="0"/>
                <w:i/>
                <w:iCs/>
                <w:color w:val="FFFFFF" w:themeColor="background1"/>
              </w:rPr>
              <w:t>Occupations – select categories</w:t>
            </w:r>
            <w:r w:rsidRPr="00B71532">
              <w:rPr>
                <w:rStyle w:val="FootnoteReference"/>
                <w:rFonts w:asciiTheme="minorHAnsi" w:hAnsiTheme="minorHAnsi" w:cstheme="minorHAnsi"/>
                <w:b w:val="0"/>
                <w:bCs w:val="0"/>
                <w:i/>
                <w:iCs/>
                <w:color w:val="FFFFFF" w:themeColor="background1"/>
              </w:rPr>
              <w:footnoteReference w:id="10"/>
            </w:r>
          </w:p>
        </w:tc>
      </w:tr>
      <w:tr w:rsidR="00236A7E" w:rsidRPr="00C57C1A" w14:paraId="26382296" w14:textId="79C273C9" w:rsidTr="0030243C">
        <w:trPr>
          <w:cnfStyle w:val="000000100000" w:firstRow="0" w:lastRow="0" w:firstColumn="0" w:lastColumn="0" w:oddVBand="0" w:evenVBand="0" w:oddHBand="1" w:evenHBand="0" w:firstRowFirstColumn="0" w:firstRowLastColumn="0" w:lastRowFirstColumn="0" w:lastRowLastColumn="0"/>
          <w:trHeight w:hRule="exact" w:val="375"/>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D9D9D9" w:themeFill="background1" w:themeFillShade="D9"/>
          </w:tcPr>
          <w:p w14:paraId="403BC46D" w14:textId="77777777" w:rsidR="0030243C" w:rsidRPr="00380F7B" w:rsidRDefault="0030243C" w:rsidP="0030243C">
            <w:pPr>
              <w:pStyle w:val="Tablebodycopy"/>
              <w:rPr>
                <w:rFonts w:asciiTheme="minorHAnsi" w:hAnsiTheme="minorHAnsi" w:cstheme="minorHAnsi"/>
              </w:rPr>
            </w:pPr>
            <w:r w:rsidRPr="00380F7B">
              <w:rPr>
                <w:rFonts w:asciiTheme="minorHAnsi" w:hAnsiTheme="minorHAnsi" w:cstheme="minorHAnsi"/>
              </w:rPr>
              <w:t>Professionals</w:t>
            </w:r>
          </w:p>
        </w:tc>
        <w:tc>
          <w:tcPr>
            <w:tcW w:w="0" w:type="dxa"/>
            <w:tcBorders>
              <w:left w:val="single" w:sz="4" w:space="0" w:color="auto"/>
            </w:tcBorders>
            <w:shd w:val="clear" w:color="auto" w:fill="D9D9D9" w:themeFill="background1" w:themeFillShade="D9"/>
            <w:vAlign w:val="bottom"/>
          </w:tcPr>
          <w:p w14:paraId="4FEB61A3" w14:textId="1FEE2A4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62.9%</w:t>
            </w:r>
          </w:p>
        </w:tc>
        <w:tc>
          <w:tcPr>
            <w:tcW w:w="0" w:type="dxa"/>
            <w:tcBorders>
              <w:right w:val="single" w:sz="4" w:space="0" w:color="auto"/>
            </w:tcBorders>
            <w:shd w:val="clear" w:color="auto" w:fill="D9D9D9" w:themeFill="background1" w:themeFillShade="D9"/>
            <w:vAlign w:val="bottom"/>
          </w:tcPr>
          <w:p w14:paraId="140D9477" w14:textId="2B5F257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+1.0% pts</w:t>
            </w:r>
          </w:p>
        </w:tc>
        <w:tc>
          <w:tcPr>
            <w:tcW w:w="0" w:type="dxa"/>
            <w:tcBorders>
              <w:left w:val="single" w:sz="4" w:space="0" w:color="auto"/>
            </w:tcBorders>
            <w:shd w:val="clear" w:color="auto" w:fill="D9D9D9" w:themeFill="background1" w:themeFillShade="D9"/>
            <w:vAlign w:val="bottom"/>
          </w:tcPr>
          <w:p w14:paraId="6805626F" w14:textId="02B16A2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18.6</w:t>
            </w:r>
          </w:p>
        </w:tc>
        <w:tc>
          <w:tcPr>
            <w:tcW w:w="0" w:type="dxa"/>
            <w:tcBorders>
              <w:right w:val="single" w:sz="4" w:space="0" w:color="auto"/>
            </w:tcBorders>
            <w:shd w:val="clear" w:color="auto" w:fill="D9D9D9" w:themeFill="background1" w:themeFillShade="D9"/>
            <w:vAlign w:val="bottom"/>
          </w:tcPr>
          <w:p w14:paraId="319E27EC" w14:textId="641D160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+1.0</w:t>
            </w:r>
          </w:p>
        </w:tc>
        <w:tc>
          <w:tcPr>
            <w:tcW w:w="0" w:type="dxa"/>
            <w:tcBorders>
              <w:left w:val="single" w:sz="4" w:space="0" w:color="auto"/>
            </w:tcBorders>
            <w:shd w:val="clear" w:color="auto" w:fill="D9D9D9" w:themeFill="background1" w:themeFillShade="D9"/>
            <w:vAlign w:val="bottom"/>
          </w:tcPr>
          <w:p w14:paraId="1B6E5C48" w14:textId="2AE588F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7.6</w:t>
            </w:r>
          </w:p>
        </w:tc>
        <w:tc>
          <w:tcPr>
            <w:tcW w:w="0" w:type="dxa"/>
            <w:tcBorders>
              <w:right w:val="single" w:sz="4" w:space="0" w:color="auto"/>
            </w:tcBorders>
            <w:shd w:val="clear" w:color="auto" w:fill="D9D9D9" w:themeFill="background1" w:themeFillShade="D9"/>
            <w:vAlign w:val="bottom"/>
          </w:tcPr>
          <w:p w14:paraId="73D6FDEF" w14:textId="1E4C578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+0.4</w:t>
            </w:r>
          </w:p>
        </w:tc>
        <w:tc>
          <w:tcPr>
            <w:tcW w:w="0" w:type="dxa"/>
            <w:tcBorders>
              <w:left w:val="single" w:sz="4" w:space="0" w:color="auto"/>
            </w:tcBorders>
            <w:shd w:val="clear" w:color="auto" w:fill="D9D9D9" w:themeFill="background1" w:themeFillShade="D9"/>
            <w:vAlign w:val="bottom"/>
          </w:tcPr>
          <w:p w14:paraId="19D8BA7B" w14:textId="7124E270"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2.6</w:t>
            </w:r>
          </w:p>
        </w:tc>
        <w:tc>
          <w:tcPr>
            <w:tcW w:w="0" w:type="dxa"/>
            <w:tcBorders>
              <w:right w:val="single" w:sz="4" w:space="0" w:color="auto"/>
            </w:tcBorders>
            <w:shd w:val="clear" w:color="auto" w:fill="D9D9D9" w:themeFill="background1" w:themeFillShade="D9"/>
            <w:vAlign w:val="bottom"/>
          </w:tcPr>
          <w:p w14:paraId="2A76AF84" w14:textId="10438DC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D9D9D9" w:themeFill="background1" w:themeFillShade="D9"/>
            <w:vAlign w:val="bottom"/>
          </w:tcPr>
          <w:p w14:paraId="1C6212FB" w14:textId="627ABDFA"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7A1A5E">
              <w:t>65.4%</w:t>
            </w:r>
          </w:p>
        </w:tc>
        <w:tc>
          <w:tcPr>
            <w:tcW w:w="0" w:type="dxa"/>
            <w:shd w:val="clear" w:color="auto" w:fill="D9D9D9" w:themeFill="background1" w:themeFillShade="D9"/>
            <w:vAlign w:val="bottom"/>
          </w:tcPr>
          <w:p w14:paraId="33E0F030" w14:textId="19D6FCF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7A1A5E">
              <w:t>+1.5% pts</w:t>
            </w:r>
          </w:p>
        </w:tc>
      </w:tr>
      <w:tr w:rsidR="00AE1C31" w:rsidRPr="00C57C1A" w14:paraId="11E1705F" w14:textId="576B392D" w:rsidTr="0030243C">
        <w:trPr>
          <w:trHeight w:hRule="exact" w:val="936"/>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5293A0D8" w14:textId="034C0D0C"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Business, Human Resource and Marketing</w:t>
            </w:r>
          </w:p>
        </w:tc>
        <w:tc>
          <w:tcPr>
            <w:tcW w:w="0" w:type="dxa"/>
            <w:tcBorders>
              <w:left w:val="single" w:sz="4" w:space="0" w:color="auto"/>
            </w:tcBorders>
            <w:shd w:val="clear" w:color="auto" w:fill="auto"/>
            <w:vAlign w:val="bottom"/>
          </w:tcPr>
          <w:p w14:paraId="048E5BD5" w14:textId="7E80D52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74.0%</w:t>
            </w:r>
          </w:p>
        </w:tc>
        <w:tc>
          <w:tcPr>
            <w:tcW w:w="0" w:type="dxa"/>
            <w:tcBorders>
              <w:right w:val="single" w:sz="4" w:space="0" w:color="auto"/>
            </w:tcBorders>
            <w:shd w:val="clear" w:color="auto" w:fill="auto"/>
            <w:vAlign w:val="bottom"/>
          </w:tcPr>
          <w:p w14:paraId="6465BA4A" w14:textId="41AF881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+2.6% pts</w:t>
            </w:r>
          </w:p>
        </w:tc>
        <w:tc>
          <w:tcPr>
            <w:tcW w:w="0" w:type="dxa"/>
            <w:tcBorders>
              <w:left w:val="single" w:sz="4" w:space="0" w:color="auto"/>
            </w:tcBorders>
            <w:shd w:val="clear" w:color="auto" w:fill="auto"/>
            <w:vAlign w:val="bottom"/>
          </w:tcPr>
          <w:p w14:paraId="2DA8A6C4" w14:textId="52D3BF6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25.4</w:t>
            </w:r>
          </w:p>
        </w:tc>
        <w:tc>
          <w:tcPr>
            <w:tcW w:w="0" w:type="dxa"/>
            <w:tcBorders>
              <w:right w:val="single" w:sz="4" w:space="0" w:color="auto"/>
            </w:tcBorders>
            <w:shd w:val="clear" w:color="auto" w:fill="auto"/>
            <w:vAlign w:val="bottom"/>
          </w:tcPr>
          <w:p w14:paraId="3A1266AC" w14:textId="062EFDD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+3.1</w:t>
            </w:r>
          </w:p>
        </w:tc>
        <w:tc>
          <w:tcPr>
            <w:tcW w:w="0" w:type="dxa"/>
            <w:tcBorders>
              <w:left w:val="single" w:sz="4" w:space="0" w:color="auto"/>
            </w:tcBorders>
            <w:shd w:val="clear" w:color="auto" w:fill="auto"/>
            <w:vAlign w:val="bottom"/>
          </w:tcPr>
          <w:p w14:paraId="6EF9BA89" w14:textId="19B017E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8.9</w:t>
            </w:r>
          </w:p>
        </w:tc>
        <w:tc>
          <w:tcPr>
            <w:tcW w:w="0" w:type="dxa"/>
            <w:tcBorders>
              <w:right w:val="single" w:sz="4" w:space="0" w:color="auto"/>
            </w:tcBorders>
            <w:shd w:val="clear" w:color="auto" w:fill="auto"/>
            <w:vAlign w:val="bottom"/>
          </w:tcPr>
          <w:p w14:paraId="7D7602BE" w14:textId="6B2FE2C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+1.1</w:t>
            </w:r>
          </w:p>
        </w:tc>
        <w:tc>
          <w:tcPr>
            <w:tcW w:w="0" w:type="dxa"/>
            <w:tcBorders>
              <w:left w:val="single" w:sz="4" w:space="0" w:color="auto"/>
            </w:tcBorders>
            <w:shd w:val="clear" w:color="auto" w:fill="auto"/>
            <w:vAlign w:val="bottom"/>
          </w:tcPr>
          <w:p w14:paraId="33541F4C" w14:textId="048F063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3.3</w:t>
            </w:r>
          </w:p>
        </w:tc>
        <w:tc>
          <w:tcPr>
            <w:tcW w:w="0" w:type="dxa"/>
            <w:tcBorders>
              <w:right w:val="single" w:sz="4" w:space="0" w:color="auto"/>
            </w:tcBorders>
            <w:shd w:val="clear" w:color="auto" w:fill="auto"/>
            <w:vAlign w:val="bottom"/>
          </w:tcPr>
          <w:p w14:paraId="3D416C38" w14:textId="29D3A96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+0.2</w:t>
            </w:r>
          </w:p>
        </w:tc>
        <w:tc>
          <w:tcPr>
            <w:tcW w:w="0" w:type="dxa"/>
            <w:tcBorders>
              <w:left w:val="single" w:sz="4" w:space="0" w:color="auto"/>
            </w:tcBorders>
            <w:shd w:val="clear" w:color="auto" w:fill="auto"/>
            <w:vAlign w:val="bottom"/>
          </w:tcPr>
          <w:p w14:paraId="1668AB19" w14:textId="67B3146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7A1A5E">
              <w:t>62.6%</w:t>
            </w:r>
          </w:p>
        </w:tc>
        <w:tc>
          <w:tcPr>
            <w:tcW w:w="0" w:type="dxa"/>
            <w:shd w:val="clear" w:color="auto" w:fill="auto"/>
            <w:vAlign w:val="bottom"/>
          </w:tcPr>
          <w:p w14:paraId="477D6816" w14:textId="5C218AC1"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7A1A5E">
              <w:t>+2.7% pts</w:t>
            </w:r>
          </w:p>
        </w:tc>
      </w:tr>
      <w:tr w:rsidR="00AE1C31" w:rsidRPr="00C57C1A" w14:paraId="3B61F38F" w14:textId="310EEDAF" w:rsidTr="0030243C">
        <w:trPr>
          <w:cnfStyle w:val="000000100000" w:firstRow="0" w:lastRow="0" w:firstColumn="0" w:lastColumn="0" w:oddVBand="0" w:evenVBand="0" w:oddHBand="1" w:evenHBand="0" w:firstRowFirstColumn="0" w:firstRowLastColumn="0" w:lastRowFirstColumn="0" w:lastRowLastColumn="0"/>
          <w:trHeight w:hRule="exact" w:val="1147"/>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10A09FB1"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Design, Engineering, Science and Transport</w:t>
            </w:r>
          </w:p>
        </w:tc>
        <w:tc>
          <w:tcPr>
            <w:tcW w:w="0" w:type="dxa"/>
            <w:tcBorders>
              <w:left w:val="single" w:sz="4" w:space="0" w:color="auto"/>
            </w:tcBorders>
            <w:shd w:val="clear" w:color="auto" w:fill="auto"/>
            <w:vAlign w:val="bottom"/>
          </w:tcPr>
          <w:p w14:paraId="7D1AFF19" w14:textId="6E1A292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63.3%</w:t>
            </w:r>
          </w:p>
        </w:tc>
        <w:tc>
          <w:tcPr>
            <w:tcW w:w="0" w:type="dxa"/>
            <w:tcBorders>
              <w:right w:val="single" w:sz="4" w:space="0" w:color="auto"/>
            </w:tcBorders>
            <w:shd w:val="clear" w:color="auto" w:fill="auto"/>
            <w:vAlign w:val="bottom"/>
          </w:tcPr>
          <w:p w14:paraId="0FB94BF6" w14:textId="20E5232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+1.5% pts</w:t>
            </w:r>
          </w:p>
        </w:tc>
        <w:tc>
          <w:tcPr>
            <w:tcW w:w="0" w:type="dxa"/>
            <w:tcBorders>
              <w:left w:val="single" w:sz="4" w:space="0" w:color="auto"/>
            </w:tcBorders>
            <w:shd w:val="clear" w:color="auto" w:fill="auto"/>
            <w:vAlign w:val="bottom"/>
          </w:tcPr>
          <w:p w14:paraId="52A3C2CE" w14:textId="79250C3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23.7</w:t>
            </w:r>
          </w:p>
        </w:tc>
        <w:tc>
          <w:tcPr>
            <w:tcW w:w="0" w:type="dxa"/>
            <w:tcBorders>
              <w:right w:val="single" w:sz="4" w:space="0" w:color="auto"/>
            </w:tcBorders>
            <w:shd w:val="clear" w:color="auto" w:fill="auto"/>
            <w:vAlign w:val="bottom"/>
          </w:tcPr>
          <w:p w14:paraId="6F7539A4" w14:textId="74C0C94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+0.3</w:t>
            </w:r>
          </w:p>
        </w:tc>
        <w:tc>
          <w:tcPr>
            <w:tcW w:w="0" w:type="dxa"/>
            <w:tcBorders>
              <w:left w:val="single" w:sz="4" w:space="0" w:color="auto"/>
            </w:tcBorders>
            <w:shd w:val="clear" w:color="auto" w:fill="auto"/>
            <w:vAlign w:val="bottom"/>
          </w:tcPr>
          <w:p w14:paraId="7F313C7D" w14:textId="14669C0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11.1</w:t>
            </w:r>
          </w:p>
        </w:tc>
        <w:tc>
          <w:tcPr>
            <w:tcW w:w="0" w:type="dxa"/>
            <w:tcBorders>
              <w:right w:val="single" w:sz="4" w:space="0" w:color="auto"/>
            </w:tcBorders>
            <w:shd w:val="clear" w:color="auto" w:fill="auto"/>
            <w:vAlign w:val="bottom"/>
          </w:tcPr>
          <w:p w14:paraId="1EEA879D" w14:textId="1D9D2EC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+0.4</w:t>
            </w:r>
          </w:p>
        </w:tc>
        <w:tc>
          <w:tcPr>
            <w:tcW w:w="0" w:type="dxa"/>
            <w:tcBorders>
              <w:left w:val="single" w:sz="4" w:space="0" w:color="auto"/>
            </w:tcBorders>
            <w:shd w:val="clear" w:color="auto" w:fill="auto"/>
            <w:vAlign w:val="bottom"/>
          </w:tcPr>
          <w:p w14:paraId="266163C9" w14:textId="0A94094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2.7</w:t>
            </w:r>
          </w:p>
        </w:tc>
        <w:tc>
          <w:tcPr>
            <w:tcW w:w="0" w:type="dxa"/>
            <w:tcBorders>
              <w:right w:val="single" w:sz="4" w:space="0" w:color="auto"/>
            </w:tcBorders>
            <w:shd w:val="clear" w:color="auto" w:fill="auto"/>
            <w:vAlign w:val="bottom"/>
          </w:tcPr>
          <w:p w14:paraId="013DD005" w14:textId="618BA5E1"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shd w:val="clear" w:color="auto" w:fill="auto"/>
            <w:vAlign w:val="bottom"/>
          </w:tcPr>
          <w:p w14:paraId="5726CD95" w14:textId="0DD4ECD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7A1A5E">
              <w:t>75.9%</w:t>
            </w:r>
          </w:p>
        </w:tc>
        <w:tc>
          <w:tcPr>
            <w:tcW w:w="0" w:type="dxa"/>
            <w:shd w:val="clear" w:color="auto" w:fill="auto"/>
            <w:vAlign w:val="bottom"/>
          </w:tcPr>
          <w:p w14:paraId="24C11650" w14:textId="3C8E24E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7A1A5E">
              <w:t>+1.4% pts</w:t>
            </w:r>
          </w:p>
        </w:tc>
      </w:tr>
      <w:tr w:rsidR="00AE1C31" w:rsidRPr="00C57C1A" w14:paraId="39E52961" w14:textId="1E81B655" w:rsidTr="0030243C">
        <w:trPr>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37C98114"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Education</w:t>
            </w:r>
          </w:p>
        </w:tc>
        <w:tc>
          <w:tcPr>
            <w:tcW w:w="0" w:type="dxa"/>
            <w:tcBorders>
              <w:left w:val="single" w:sz="4" w:space="0" w:color="auto"/>
            </w:tcBorders>
            <w:shd w:val="clear" w:color="auto" w:fill="auto"/>
            <w:vAlign w:val="bottom"/>
          </w:tcPr>
          <w:p w14:paraId="4869B02F" w14:textId="528718C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65.9%</w:t>
            </w:r>
          </w:p>
        </w:tc>
        <w:tc>
          <w:tcPr>
            <w:tcW w:w="0" w:type="dxa"/>
            <w:tcBorders>
              <w:right w:val="single" w:sz="4" w:space="0" w:color="auto"/>
            </w:tcBorders>
            <w:shd w:val="clear" w:color="auto" w:fill="auto"/>
            <w:vAlign w:val="bottom"/>
          </w:tcPr>
          <w:p w14:paraId="1998E5B3" w14:textId="2541F0C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-1.6% pts</w:t>
            </w:r>
          </w:p>
        </w:tc>
        <w:tc>
          <w:tcPr>
            <w:tcW w:w="0" w:type="dxa"/>
            <w:tcBorders>
              <w:left w:val="single" w:sz="4" w:space="0" w:color="auto"/>
            </w:tcBorders>
            <w:shd w:val="clear" w:color="auto" w:fill="auto"/>
            <w:vAlign w:val="bottom"/>
          </w:tcPr>
          <w:p w14:paraId="19B0C9B7" w14:textId="585E9F4D"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7.3</w:t>
            </w:r>
          </w:p>
        </w:tc>
        <w:tc>
          <w:tcPr>
            <w:tcW w:w="0" w:type="dxa"/>
            <w:tcBorders>
              <w:right w:val="single" w:sz="4" w:space="0" w:color="auto"/>
            </w:tcBorders>
            <w:shd w:val="clear" w:color="auto" w:fill="auto"/>
            <w:vAlign w:val="bottom"/>
          </w:tcPr>
          <w:p w14:paraId="2E37221C" w14:textId="728FB26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+0.5</w:t>
            </w:r>
          </w:p>
        </w:tc>
        <w:tc>
          <w:tcPr>
            <w:tcW w:w="0" w:type="dxa"/>
            <w:tcBorders>
              <w:left w:val="single" w:sz="4" w:space="0" w:color="auto"/>
            </w:tcBorders>
            <w:shd w:val="clear" w:color="auto" w:fill="auto"/>
            <w:vAlign w:val="bottom"/>
          </w:tcPr>
          <w:p w14:paraId="14246198" w14:textId="0086A4A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3.5</w:t>
            </w:r>
          </w:p>
        </w:tc>
        <w:tc>
          <w:tcPr>
            <w:tcW w:w="0" w:type="dxa"/>
            <w:tcBorders>
              <w:right w:val="single" w:sz="4" w:space="0" w:color="auto"/>
            </w:tcBorders>
            <w:shd w:val="clear" w:color="auto" w:fill="auto"/>
            <w:vAlign w:val="bottom"/>
          </w:tcPr>
          <w:p w14:paraId="52C0BA64" w14:textId="5C033B7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-0.2</w:t>
            </w:r>
          </w:p>
        </w:tc>
        <w:tc>
          <w:tcPr>
            <w:tcW w:w="0" w:type="dxa"/>
            <w:tcBorders>
              <w:left w:val="single" w:sz="4" w:space="0" w:color="auto"/>
            </w:tcBorders>
            <w:shd w:val="clear" w:color="auto" w:fill="auto"/>
            <w:vAlign w:val="bottom"/>
          </w:tcPr>
          <w:p w14:paraId="46BB74AE" w14:textId="5681E14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1.5</w:t>
            </w:r>
          </w:p>
        </w:tc>
        <w:tc>
          <w:tcPr>
            <w:tcW w:w="0" w:type="dxa"/>
            <w:tcBorders>
              <w:right w:val="single" w:sz="4" w:space="0" w:color="auto"/>
            </w:tcBorders>
            <w:shd w:val="clear" w:color="auto" w:fill="auto"/>
            <w:vAlign w:val="bottom"/>
          </w:tcPr>
          <w:p w14:paraId="207815B3" w14:textId="2A80E9B3"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shd w:val="clear" w:color="auto" w:fill="auto"/>
            <w:vAlign w:val="bottom"/>
          </w:tcPr>
          <w:p w14:paraId="36A7FC0F" w14:textId="342AB25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7A1A5E">
              <w:t>56.6%</w:t>
            </w:r>
          </w:p>
        </w:tc>
        <w:tc>
          <w:tcPr>
            <w:tcW w:w="0" w:type="dxa"/>
            <w:shd w:val="clear" w:color="auto" w:fill="auto"/>
            <w:vAlign w:val="bottom"/>
          </w:tcPr>
          <w:p w14:paraId="713CA85A" w14:textId="6508C08B"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7A1A5E">
              <w:t>+1.2% pts</w:t>
            </w:r>
          </w:p>
        </w:tc>
      </w:tr>
      <w:tr w:rsidR="00AE1C31" w:rsidRPr="00C57C1A" w14:paraId="26544362" w14:textId="3F137DDB" w:rsidTr="0030243C">
        <w:trPr>
          <w:cnfStyle w:val="000000100000" w:firstRow="0" w:lastRow="0" w:firstColumn="0" w:lastColumn="0" w:oddVBand="0" w:evenVBand="0" w:oddHBand="1"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27712E4E"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Health</w:t>
            </w:r>
          </w:p>
        </w:tc>
        <w:tc>
          <w:tcPr>
            <w:tcW w:w="0" w:type="dxa"/>
            <w:tcBorders>
              <w:left w:val="single" w:sz="4" w:space="0" w:color="auto"/>
            </w:tcBorders>
            <w:shd w:val="clear" w:color="auto" w:fill="auto"/>
            <w:vAlign w:val="bottom"/>
          </w:tcPr>
          <w:p w14:paraId="3C0A256D" w14:textId="1FEE6DD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48.0%</w:t>
            </w:r>
          </w:p>
        </w:tc>
        <w:tc>
          <w:tcPr>
            <w:tcW w:w="0" w:type="dxa"/>
            <w:tcBorders>
              <w:right w:val="single" w:sz="4" w:space="0" w:color="auto"/>
            </w:tcBorders>
            <w:shd w:val="clear" w:color="auto" w:fill="auto"/>
            <w:vAlign w:val="bottom"/>
          </w:tcPr>
          <w:p w14:paraId="6C4A9E30" w14:textId="11E06FD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+0.4% pts</w:t>
            </w:r>
          </w:p>
        </w:tc>
        <w:tc>
          <w:tcPr>
            <w:tcW w:w="0" w:type="dxa"/>
            <w:tcBorders>
              <w:left w:val="single" w:sz="4" w:space="0" w:color="auto"/>
            </w:tcBorders>
            <w:shd w:val="clear" w:color="auto" w:fill="auto"/>
            <w:vAlign w:val="bottom"/>
          </w:tcPr>
          <w:p w14:paraId="05A37E3E" w14:textId="3B5F5A20"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5.6</w:t>
            </w:r>
          </w:p>
        </w:tc>
        <w:tc>
          <w:tcPr>
            <w:tcW w:w="0" w:type="dxa"/>
            <w:tcBorders>
              <w:right w:val="single" w:sz="4" w:space="0" w:color="auto"/>
            </w:tcBorders>
            <w:shd w:val="clear" w:color="auto" w:fill="auto"/>
            <w:vAlign w:val="bottom"/>
          </w:tcPr>
          <w:p w14:paraId="6C2ECC17" w14:textId="35D43EB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-0.2</w:t>
            </w:r>
          </w:p>
        </w:tc>
        <w:tc>
          <w:tcPr>
            <w:tcW w:w="0" w:type="dxa"/>
            <w:tcBorders>
              <w:left w:val="single" w:sz="4" w:space="0" w:color="auto"/>
            </w:tcBorders>
            <w:shd w:val="clear" w:color="auto" w:fill="auto"/>
            <w:vAlign w:val="bottom"/>
          </w:tcPr>
          <w:p w14:paraId="5A5877B4" w14:textId="52740BB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2.9</w:t>
            </w:r>
          </w:p>
        </w:tc>
        <w:tc>
          <w:tcPr>
            <w:tcW w:w="0" w:type="dxa"/>
            <w:tcBorders>
              <w:right w:val="single" w:sz="4" w:space="0" w:color="auto"/>
            </w:tcBorders>
            <w:shd w:val="clear" w:color="auto" w:fill="auto"/>
            <w:vAlign w:val="bottom"/>
          </w:tcPr>
          <w:p w14:paraId="0EF51D38" w14:textId="06730A0A"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auto"/>
            <w:vAlign w:val="bottom"/>
          </w:tcPr>
          <w:p w14:paraId="6C6EA53D" w14:textId="01327152"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1.4</w:t>
            </w:r>
          </w:p>
        </w:tc>
        <w:tc>
          <w:tcPr>
            <w:tcW w:w="0" w:type="dxa"/>
            <w:tcBorders>
              <w:right w:val="single" w:sz="4" w:space="0" w:color="auto"/>
            </w:tcBorders>
            <w:shd w:val="clear" w:color="auto" w:fill="auto"/>
            <w:vAlign w:val="bottom"/>
          </w:tcPr>
          <w:p w14:paraId="6BC60254" w14:textId="246A93C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auto"/>
            <w:vAlign w:val="bottom"/>
          </w:tcPr>
          <w:p w14:paraId="1DF073F1" w14:textId="1BCF87E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7A1A5E">
              <w:t>51.1%</w:t>
            </w:r>
          </w:p>
        </w:tc>
        <w:tc>
          <w:tcPr>
            <w:tcW w:w="0" w:type="dxa"/>
            <w:shd w:val="clear" w:color="auto" w:fill="auto"/>
            <w:vAlign w:val="bottom"/>
          </w:tcPr>
          <w:p w14:paraId="69D00975" w14:textId="039CDED1"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7A1A5E">
              <w:t>+0.2% pts</w:t>
            </w:r>
          </w:p>
        </w:tc>
      </w:tr>
      <w:tr w:rsidR="00AE1C31" w:rsidRPr="00C57C1A" w14:paraId="7BDFCF0E" w14:textId="6D07B19B" w:rsidTr="0030243C">
        <w:trPr>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09A9CB9D"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ICT</w:t>
            </w:r>
          </w:p>
        </w:tc>
        <w:tc>
          <w:tcPr>
            <w:tcW w:w="0" w:type="dxa"/>
            <w:tcBorders>
              <w:left w:val="single" w:sz="4" w:space="0" w:color="auto"/>
            </w:tcBorders>
            <w:shd w:val="clear" w:color="auto" w:fill="auto"/>
            <w:vAlign w:val="bottom"/>
          </w:tcPr>
          <w:p w14:paraId="51F504AD" w14:textId="6D420D14"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74.0%</w:t>
            </w:r>
          </w:p>
        </w:tc>
        <w:tc>
          <w:tcPr>
            <w:tcW w:w="0" w:type="dxa"/>
            <w:tcBorders>
              <w:right w:val="single" w:sz="4" w:space="0" w:color="auto"/>
            </w:tcBorders>
            <w:shd w:val="clear" w:color="auto" w:fill="auto"/>
            <w:vAlign w:val="bottom"/>
          </w:tcPr>
          <w:p w14:paraId="3FC134FE" w14:textId="0B3E536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+1.6% pts</w:t>
            </w:r>
          </w:p>
        </w:tc>
        <w:tc>
          <w:tcPr>
            <w:tcW w:w="0" w:type="dxa"/>
            <w:tcBorders>
              <w:left w:val="single" w:sz="4" w:space="0" w:color="auto"/>
            </w:tcBorders>
            <w:shd w:val="clear" w:color="auto" w:fill="auto"/>
            <w:vAlign w:val="bottom"/>
          </w:tcPr>
          <w:p w14:paraId="721ACD6F" w14:textId="4B4977A6"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43.3</w:t>
            </w:r>
          </w:p>
        </w:tc>
        <w:tc>
          <w:tcPr>
            <w:tcW w:w="0" w:type="dxa"/>
            <w:tcBorders>
              <w:right w:val="single" w:sz="4" w:space="0" w:color="auto"/>
            </w:tcBorders>
            <w:shd w:val="clear" w:color="auto" w:fill="auto"/>
            <w:vAlign w:val="bottom"/>
          </w:tcPr>
          <w:p w14:paraId="09482160" w14:textId="35C988A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+3.0</w:t>
            </w:r>
          </w:p>
        </w:tc>
        <w:tc>
          <w:tcPr>
            <w:tcW w:w="0" w:type="dxa"/>
            <w:tcBorders>
              <w:left w:val="single" w:sz="4" w:space="0" w:color="auto"/>
            </w:tcBorders>
            <w:shd w:val="clear" w:color="auto" w:fill="auto"/>
            <w:vAlign w:val="bottom"/>
          </w:tcPr>
          <w:p w14:paraId="2F3511B4" w14:textId="092CEEF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16.6</w:t>
            </w:r>
          </w:p>
        </w:tc>
        <w:tc>
          <w:tcPr>
            <w:tcW w:w="0" w:type="dxa"/>
            <w:tcBorders>
              <w:right w:val="single" w:sz="4" w:space="0" w:color="auto"/>
            </w:tcBorders>
            <w:shd w:val="clear" w:color="auto" w:fill="auto"/>
            <w:vAlign w:val="bottom"/>
          </w:tcPr>
          <w:p w14:paraId="21F4F837" w14:textId="6E4E76B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+1.5</w:t>
            </w:r>
          </w:p>
        </w:tc>
        <w:tc>
          <w:tcPr>
            <w:tcW w:w="0" w:type="dxa"/>
            <w:tcBorders>
              <w:left w:val="single" w:sz="4" w:space="0" w:color="auto"/>
            </w:tcBorders>
            <w:shd w:val="clear" w:color="auto" w:fill="auto"/>
            <w:vAlign w:val="bottom"/>
          </w:tcPr>
          <w:p w14:paraId="4DE316F1" w14:textId="18BFD5C1"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5.7</w:t>
            </w:r>
          </w:p>
        </w:tc>
        <w:tc>
          <w:tcPr>
            <w:tcW w:w="0" w:type="dxa"/>
            <w:tcBorders>
              <w:right w:val="single" w:sz="4" w:space="0" w:color="auto"/>
            </w:tcBorders>
            <w:shd w:val="clear" w:color="auto" w:fill="auto"/>
            <w:vAlign w:val="bottom"/>
          </w:tcPr>
          <w:p w14:paraId="1BF407E6" w14:textId="224B008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+0.4</w:t>
            </w:r>
          </w:p>
        </w:tc>
        <w:tc>
          <w:tcPr>
            <w:tcW w:w="0" w:type="dxa"/>
            <w:tcBorders>
              <w:left w:val="single" w:sz="4" w:space="0" w:color="auto"/>
            </w:tcBorders>
            <w:shd w:val="clear" w:color="auto" w:fill="auto"/>
            <w:vAlign w:val="bottom"/>
          </w:tcPr>
          <w:p w14:paraId="0DF15CAF" w14:textId="341CB91D"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7A1A5E">
              <w:t>65.4%</w:t>
            </w:r>
          </w:p>
        </w:tc>
        <w:tc>
          <w:tcPr>
            <w:tcW w:w="0" w:type="dxa"/>
            <w:shd w:val="clear" w:color="auto" w:fill="auto"/>
            <w:vAlign w:val="bottom"/>
          </w:tcPr>
          <w:p w14:paraId="5B357AEC" w14:textId="4CF6686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7A1A5E">
              <w:t>+0.9% pts</w:t>
            </w:r>
          </w:p>
        </w:tc>
      </w:tr>
      <w:tr w:rsidR="00AE1C31" w:rsidRPr="00C57C1A" w14:paraId="76ECAC2B" w14:textId="2DB99411" w:rsidTr="0030243C">
        <w:trPr>
          <w:cnfStyle w:val="000000100000" w:firstRow="0" w:lastRow="0" w:firstColumn="0" w:lastColumn="0" w:oddVBand="0" w:evenVBand="0" w:oddHBand="1" w:evenHBand="0" w:firstRowFirstColumn="0" w:firstRowLastColumn="0" w:lastRowFirstColumn="0" w:lastRowLastColumn="0"/>
          <w:trHeight w:hRule="exact" w:val="589"/>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54173762"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lastRenderedPageBreak/>
              <w:t>Legal, Social and Welfare</w:t>
            </w:r>
          </w:p>
        </w:tc>
        <w:tc>
          <w:tcPr>
            <w:tcW w:w="0" w:type="dxa"/>
            <w:tcBorders>
              <w:left w:val="single" w:sz="4" w:space="0" w:color="auto"/>
            </w:tcBorders>
            <w:shd w:val="clear" w:color="auto" w:fill="auto"/>
            <w:vAlign w:val="bottom"/>
          </w:tcPr>
          <w:p w14:paraId="19B488A4" w14:textId="21F9B71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66.9%</w:t>
            </w:r>
          </w:p>
        </w:tc>
        <w:tc>
          <w:tcPr>
            <w:tcW w:w="0" w:type="dxa"/>
            <w:tcBorders>
              <w:right w:val="single" w:sz="4" w:space="0" w:color="auto"/>
            </w:tcBorders>
            <w:shd w:val="clear" w:color="auto" w:fill="auto"/>
            <w:vAlign w:val="bottom"/>
          </w:tcPr>
          <w:p w14:paraId="3DEAAD7B" w14:textId="02282C5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+2.5% pts</w:t>
            </w:r>
          </w:p>
        </w:tc>
        <w:tc>
          <w:tcPr>
            <w:tcW w:w="0" w:type="dxa"/>
            <w:tcBorders>
              <w:left w:val="single" w:sz="4" w:space="0" w:color="auto"/>
            </w:tcBorders>
            <w:shd w:val="clear" w:color="auto" w:fill="auto"/>
            <w:vAlign w:val="bottom"/>
          </w:tcPr>
          <w:p w14:paraId="6F0E2079" w14:textId="156CE57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9.8</w:t>
            </w:r>
          </w:p>
        </w:tc>
        <w:tc>
          <w:tcPr>
            <w:tcW w:w="0" w:type="dxa"/>
            <w:tcBorders>
              <w:right w:val="single" w:sz="4" w:space="0" w:color="auto"/>
            </w:tcBorders>
            <w:shd w:val="clear" w:color="auto" w:fill="auto"/>
            <w:vAlign w:val="bottom"/>
          </w:tcPr>
          <w:p w14:paraId="0C00A52A" w14:textId="2C827E12"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+1.2</w:t>
            </w:r>
          </w:p>
        </w:tc>
        <w:tc>
          <w:tcPr>
            <w:tcW w:w="0" w:type="dxa"/>
            <w:tcBorders>
              <w:left w:val="single" w:sz="4" w:space="0" w:color="auto"/>
            </w:tcBorders>
            <w:shd w:val="clear" w:color="auto" w:fill="auto"/>
            <w:vAlign w:val="bottom"/>
          </w:tcPr>
          <w:p w14:paraId="0FCD029E" w14:textId="05ABB6F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3.9</w:t>
            </w:r>
          </w:p>
        </w:tc>
        <w:tc>
          <w:tcPr>
            <w:tcW w:w="0" w:type="dxa"/>
            <w:tcBorders>
              <w:right w:val="single" w:sz="4" w:space="0" w:color="auto"/>
            </w:tcBorders>
            <w:shd w:val="clear" w:color="auto" w:fill="auto"/>
            <w:vAlign w:val="bottom"/>
          </w:tcPr>
          <w:p w14:paraId="46EA3061" w14:textId="5DF7610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+0.6</w:t>
            </w:r>
          </w:p>
        </w:tc>
        <w:tc>
          <w:tcPr>
            <w:tcW w:w="0" w:type="dxa"/>
            <w:tcBorders>
              <w:left w:val="single" w:sz="4" w:space="0" w:color="auto"/>
            </w:tcBorders>
            <w:shd w:val="clear" w:color="auto" w:fill="auto"/>
            <w:vAlign w:val="bottom"/>
          </w:tcPr>
          <w:p w14:paraId="214ECFEF" w14:textId="434D500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2.0</w:t>
            </w:r>
          </w:p>
        </w:tc>
        <w:tc>
          <w:tcPr>
            <w:tcW w:w="0" w:type="dxa"/>
            <w:tcBorders>
              <w:right w:val="single" w:sz="4" w:space="0" w:color="auto"/>
            </w:tcBorders>
            <w:shd w:val="clear" w:color="auto" w:fill="auto"/>
            <w:vAlign w:val="bottom"/>
          </w:tcPr>
          <w:p w14:paraId="678BBD5E" w14:textId="05BA54F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+0.2</w:t>
            </w:r>
          </w:p>
        </w:tc>
        <w:tc>
          <w:tcPr>
            <w:tcW w:w="0" w:type="dxa"/>
            <w:tcBorders>
              <w:left w:val="single" w:sz="4" w:space="0" w:color="auto"/>
            </w:tcBorders>
            <w:shd w:val="clear" w:color="auto" w:fill="auto"/>
            <w:vAlign w:val="bottom"/>
          </w:tcPr>
          <w:p w14:paraId="08DF019A" w14:textId="2410DDB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8D3097">
              <w:t>48.4%</w:t>
            </w:r>
          </w:p>
        </w:tc>
        <w:tc>
          <w:tcPr>
            <w:tcW w:w="0" w:type="dxa"/>
            <w:shd w:val="clear" w:color="auto" w:fill="auto"/>
            <w:vAlign w:val="bottom"/>
          </w:tcPr>
          <w:p w14:paraId="43720BF8" w14:textId="361761B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8D3097">
              <w:t>+4.7% pts</w:t>
            </w:r>
          </w:p>
        </w:tc>
      </w:tr>
      <w:tr w:rsidR="00236A7E" w:rsidRPr="00C57C1A" w14:paraId="1940ABB3" w14:textId="094200FD" w:rsidTr="0030243C">
        <w:trPr>
          <w:trHeight w:hRule="exact" w:val="692"/>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D9D9D9" w:themeFill="background1" w:themeFillShade="D9"/>
          </w:tcPr>
          <w:p w14:paraId="7095D279" w14:textId="77777777" w:rsidR="0030243C" w:rsidRPr="00380F7B" w:rsidRDefault="0030243C" w:rsidP="0030243C">
            <w:pPr>
              <w:pStyle w:val="Tablebodycopy"/>
              <w:rPr>
                <w:rFonts w:asciiTheme="minorHAnsi" w:hAnsiTheme="minorHAnsi" w:cstheme="minorHAnsi"/>
              </w:rPr>
            </w:pPr>
            <w:bookmarkStart w:id="27" w:name="_Hlk150874093"/>
            <w:r w:rsidRPr="00380F7B">
              <w:rPr>
                <w:rFonts w:asciiTheme="minorHAnsi" w:hAnsiTheme="minorHAnsi" w:cstheme="minorHAnsi"/>
              </w:rPr>
              <w:t>Technicians and Trades Workers</w:t>
            </w:r>
          </w:p>
        </w:tc>
        <w:tc>
          <w:tcPr>
            <w:tcW w:w="0" w:type="dxa"/>
            <w:tcBorders>
              <w:left w:val="single" w:sz="4" w:space="0" w:color="auto"/>
            </w:tcBorders>
            <w:shd w:val="clear" w:color="auto" w:fill="D9D9D9" w:themeFill="background1" w:themeFillShade="D9"/>
            <w:vAlign w:val="bottom"/>
          </w:tcPr>
          <w:p w14:paraId="3EB858AE" w14:textId="0D32B01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49.0%</w:t>
            </w:r>
          </w:p>
        </w:tc>
        <w:tc>
          <w:tcPr>
            <w:tcW w:w="0" w:type="dxa"/>
            <w:tcBorders>
              <w:right w:val="single" w:sz="4" w:space="0" w:color="auto"/>
            </w:tcBorders>
            <w:shd w:val="clear" w:color="auto" w:fill="D9D9D9" w:themeFill="background1" w:themeFillShade="D9"/>
            <w:vAlign w:val="bottom"/>
          </w:tcPr>
          <w:p w14:paraId="412ED444" w14:textId="62044B2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+0.5% pts</w:t>
            </w:r>
          </w:p>
        </w:tc>
        <w:tc>
          <w:tcPr>
            <w:tcW w:w="0" w:type="dxa"/>
            <w:tcBorders>
              <w:left w:val="single" w:sz="4" w:space="0" w:color="auto"/>
            </w:tcBorders>
            <w:shd w:val="clear" w:color="auto" w:fill="D9D9D9" w:themeFill="background1" w:themeFillShade="D9"/>
            <w:vAlign w:val="bottom"/>
          </w:tcPr>
          <w:p w14:paraId="3C92125D" w14:textId="4296236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13.5</w:t>
            </w:r>
          </w:p>
        </w:tc>
        <w:tc>
          <w:tcPr>
            <w:tcW w:w="0" w:type="dxa"/>
            <w:tcBorders>
              <w:right w:val="single" w:sz="4" w:space="0" w:color="auto"/>
            </w:tcBorders>
            <w:shd w:val="clear" w:color="auto" w:fill="D9D9D9" w:themeFill="background1" w:themeFillShade="D9"/>
            <w:vAlign w:val="bottom"/>
          </w:tcPr>
          <w:p w14:paraId="4AD75592" w14:textId="734DC478"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+0.6</w:t>
            </w:r>
          </w:p>
        </w:tc>
        <w:tc>
          <w:tcPr>
            <w:tcW w:w="0" w:type="dxa"/>
            <w:tcBorders>
              <w:left w:val="single" w:sz="4" w:space="0" w:color="auto"/>
            </w:tcBorders>
            <w:shd w:val="clear" w:color="auto" w:fill="D9D9D9" w:themeFill="background1" w:themeFillShade="D9"/>
            <w:vAlign w:val="bottom"/>
          </w:tcPr>
          <w:p w14:paraId="41FAAF6F" w14:textId="3B6902C1"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3.7</w:t>
            </w:r>
          </w:p>
        </w:tc>
        <w:tc>
          <w:tcPr>
            <w:tcW w:w="0" w:type="dxa"/>
            <w:tcBorders>
              <w:right w:val="single" w:sz="4" w:space="0" w:color="auto"/>
            </w:tcBorders>
            <w:shd w:val="clear" w:color="auto" w:fill="D9D9D9" w:themeFill="background1" w:themeFillShade="D9"/>
            <w:vAlign w:val="bottom"/>
          </w:tcPr>
          <w:p w14:paraId="492916A8" w14:textId="56D621D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shd w:val="clear" w:color="auto" w:fill="D9D9D9" w:themeFill="background1" w:themeFillShade="D9"/>
            <w:vAlign w:val="bottom"/>
          </w:tcPr>
          <w:p w14:paraId="485702FF" w14:textId="7255D0D6"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1.8</w:t>
            </w:r>
          </w:p>
        </w:tc>
        <w:tc>
          <w:tcPr>
            <w:tcW w:w="0" w:type="dxa"/>
            <w:tcBorders>
              <w:right w:val="single" w:sz="4" w:space="0" w:color="auto"/>
            </w:tcBorders>
            <w:shd w:val="clear" w:color="auto" w:fill="D9D9D9" w:themeFill="background1" w:themeFillShade="D9"/>
            <w:vAlign w:val="bottom"/>
          </w:tcPr>
          <w:p w14:paraId="4D1AD3EB" w14:textId="7BEC885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D9D9D9" w:themeFill="background1" w:themeFillShade="D9"/>
            <w:vAlign w:val="bottom"/>
          </w:tcPr>
          <w:p w14:paraId="21C885E8" w14:textId="3A0CA351"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1E6999">
              <w:t>52.3%</w:t>
            </w:r>
          </w:p>
        </w:tc>
        <w:tc>
          <w:tcPr>
            <w:tcW w:w="0" w:type="dxa"/>
            <w:shd w:val="clear" w:color="auto" w:fill="D9D9D9" w:themeFill="background1" w:themeFillShade="D9"/>
            <w:vAlign w:val="bottom"/>
          </w:tcPr>
          <w:p w14:paraId="442C9FDC" w14:textId="11E21B3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1E6999">
              <w:t>+1.4% pts</w:t>
            </w:r>
          </w:p>
        </w:tc>
      </w:tr>
      <w:tr w:rsidR="00AE1C31" w:rsidRPr="00C57C1A" w14:paraId="0CFC1B52" w14:textId="7EFD8C5E" w:rsidTr="0030243C">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6107B6E2"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Engineering, ICT and Science Technicians</w:t>
            </w:r>
          </w:p>
        </w:tc>
        <w:tc>
          <w:tcPr>
            <w:tcW w:w="0" w:type="dxa"/>
            <w:tcBorders>
              <w:left w:val="single" w:sz="4" w:space="0" w:color="auto"/>
            </w:tcBorders>
            <w:shd w:val="clear" w:color="auto" w:fill="auto"/>
            <w:vAlign w:val="bottom"/>
          </w:tcPr>
          <w:p w14:paraId="7FFFF987" w14:textId="54E09CF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69.3%</w:t>
            </w:r>
          </w:p>
        </w:tc>
        <w:tc>
          <w:tcPr>
            <w:tcW w:w="0" w:type="dxa"/>
            <w:tcBorders>
              <w:right w:val="single" w:sz="4" w:space="0" w:color="auto"/>
            </w:tcBorders>
            <w:shd w:val="clear" w:color="auto" w:fill="auto"/>
            <w:vAlign w:val="bottom"/>
          </w:tcPr>
          <w:p w14:paraId="1A14B2CC" w14:textId="6F8663FA"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+0.1% pts</w:t>
            </w:r>
          </w:p>
        </w:tc>
        <w:tc>
          <w:tcPr>
            <w:tcW w:w="0" w:type="dxa"/>
            <w:tcBorders>
              <w:left w:val="single" w:sz="4" w:space="0" w:color="auto"/>
            </w:tcBorders>
            <w:shd w:val="clear" w:color="auto" w:fill="auto"/>
            <w:vAlign w:val="bottom"/>
          </w:tcPr>
          <w:p w14:paraId="271BEE3D" w14:textId="1D239F50"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26.9</w:t>
            </w:r>
          </w:p>
        </w:tc>
        <w:tc>
          <w:tcPr>
            <w:tcW w:w="0" w:type="dxa"/>
            <w:tcBorders>
              <w:right w:val="single" w:sz="4" w:space="0" w:color="auto"/>
            </w:tcBorders>
            <w:shd w:val="clear" w:color="auto" w:fill="auto"/>
            <w:vAlign w:val="bottom"/>
          </w:tcPr>
          <w:p w14:paraId="758F617D" w14:textId="6E65C65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+0.7</w:t>
            </w:r>
          </w:p>
        </w:tc>
        <w:tc>
          <w:tcPr>
            <w:tcW w:w="0" w:type="dxa"/>
            <w:tcBorders>
              <w:left w:val="single" w:sz="4" w:space="0" w:color="auto"/>
            </w:tcBorders>
            <w:shd w:val="clear" w:color="auto" w:fill="auto"/>
            <w:vAlign w:val="bottom"/>
          </w:tcPr>
          <w:p w14:paraId="189BF59E" w14:textId="5C35D022"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8.1</w:t>
            </w:r>
          </w:p>
        </w:tc>
        <w:tc>
          <w:tcPr>
            <w:tcW w:w="0" w:type="dxa"/>
            <w:tcBorders>
              <w:right w:val="single" w:sz="4" w:space="0" w:color="auto"/>
            </w:tcBorders>
            <w:shd w:val="clear" w:color="auto" w:fill="auto"/>
            <w:vAlign w:val="bottom"/>
          </w:tcPr>
          <w:p w14:paraId="322A75F5" w14:textId="6F29975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-0.3</w:t>
            </w:r>
          </w:p>
        </w:tc>
        <w:tc>
          <w:tcPr>
            <w:tcW w:w="0" w:type="dxa"/>
            <w:tcBorders>
              <w:left w:val="single" w:sz="4" w:space="0" w:color="auto"/>
            </w:tcBorders>
            <w:shd w:val="clear" w:color="auto" w:fill="auto"/>
            <w:vAlign w:val="bottom"/>
          </w:tcPr>
          <w:p w14:paraId="21FBFD64" w14:textId="2065E3DA"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3.3</w:t>
            </w:r>
          </w:p>
        </w:tc>
        <w:tc>
          <w:tcPr>
            <w:tcW w:w="0" w:type="dxa"/>
            <w:tcBorders>
              <w:right w:val="single" w:sz="4" w:space="0" w:color="auto"/>
            </w:tcBorders>
            <w:shd w:val="clear" w:color="auto" w:fill="auto"/>
            <w:vAlign w:val="bottom"/>
          </w:tcPr>
          <w:p w14:paraId="5B34A072" w14:textId="40286B3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-0.3</w:t>
            </w:r>
          </w:p>
        </w:tc>
        <w:tc>
          <w:tcPr>
            <w:tcW w:w="0" w:type="dxa"/>
            <w:tcBorders>
              <w:left w:val="single" w:sz="4" w:space="0" w:color="auto"/>
            </w:tcBorders>
            <w:shd w:val="clear" w:color="auto" w:fill="auto"/>
            <w:vAlign w:val="bottom"/>
          </w:tcPr>
          <w:p w14:paraId="55C168F9" w14:textId="2A3BD192"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1E6999">
              <w:t>59.8%</w:t>
            </w:r>
          </w:p>
        </w:tc>
        <w:tc>
          <w:tcPr>
            <w:tcW w:w="0" w:type="dxa"/>
            <w:shd w:val="clear" w:color="auto" w:fill="auto"/>
            <w:vAlign w:val="bottom"/>
          </w:tcPr>
          <w:p w14:paraId="5FFEDCFF" w14:textId="53E3A2C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1E6999">
              <w:t>+2.0% pts</w:t>
            </w:r>
          </w:p>
        </w:tc>
      </w:tr>
      <w:tr w:rsidR="00AE1C31" w:rsidRPr="00C57C1A" w14:paraId="2606F0BA" w14:textId="4F70FD60" w:rsidTr="0030243C">
        <w:trPr>
          <w:trHeight w:hRule="exact" w:val="948"/>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3EB0CD77"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Automotive and Engineering Trades</w:t>
            </w:r>
          </w:p>
        </w:tc>
        <w:tc>
          <w:tcPr>
            <w:tcW w:w="0" w:type="dxa"/>
            <w:tcBorders>
              <w:left w:val="single" w:sz="4" w:space="0" w:color="auto"/>
            </w:tcBorders>
            <w:shd w:val="clear" w:color="auto" w:fill="auto"/>
            <w:vAlign w:val="bottom"/>
          </w:tcPr>
          <w:p w14:paraId="1FC71C4F" w14:textId="189ED72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29.7%</w:t>
            </w:r>
          </w:p>
        </w:tc>
        <w:tc>
          <w:tcPr>
            <w:tcW w:w="0" w:type="dxa"/>
            <w:tcBorders>
              <w:right w:val="single" w:sz="4" w:space="0" w:color="auto"/>
            </w:tcBorders>
            <w:shd w:val="clear" w:color="auto" w:fill="auto"/>
            <w:vAlign w:val="bottom"/>
          </w:tcPr>
          <w:p w14:paraId="3495C084" w14:textId="0EFF035B"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-2.4% pts</w:t>
            </w:r>
          </w:p>
        </w:tc>
        <w:tc>
          <w:tcPr>
            <w:tcW w:w="0" w:type="dxa"/>
            <w:tcBorders>
              <w:left w:val="single" w:sz="4" w:space="0" w:color="auto"/>
            </w:tcBorders>
            <w:shd w:val="clear" w:color="auto" w:fill="auto"/>
            <w:vAlign w:val="bottom"/>
          </w:tcPr>
          <w:p w14:paraId="70075C2B" w14:textId="28790951"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7.7</w:t>
            </w:r>
          </w:p>
        </w:tc>
        <w:tc>
          <w:tcPr>
            <w:tcW w:w="0" w:type="dxa"/>
            <w:tcBorders>
              <w:right w:val="single" w:sz="4" w:space="0" w:color="auto"/>
            </w:tcBorders>
            <w:shd w:val="clear" w:color="auto" w:fill="auto"/>
            <w:vAlign w:val="bottom"/>
          </w:tcPr>
          <w:p w14:paraId="6567E41E" w14:textId="016907C3"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+0.7</w:t>
            </w:r>
          </w:p>
        </w:tc>
        <w:tc>
          <w:tcPr>
            <w:tcW w:w="0" w:type="dxa"/>
            <w:tcBorders>
              <w:left w:val="single" w:sz="4" w:space="0" w:color="auto"/>
            </w:tcBorders>
            <w:shd w:val="clear" w:color="auto" w:fill="auto"/>
            <w:vAlign w:val="bottom"/>
          </w:tcPr>
          <w:p w14:paraId="5DA72E89" w14:textId="0DC7151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2.4</w:t>
            </w:r>
          </w:p>
        </w:tc>
        <w:tc>
          <w:tcPr>
            <w:tcW w:w="0" w:type="dxa"/>
            <w:tcBorders>
              <w:right w:val="single" w:sz="4" w:space="0" w:color="auto"/>
            </w:tcBorders>
            <w:shd w:val="clear" w:color="auto" w:fill="auto"/>
            <w:vAlign w:val="bottom"/>
          </w:tcPr>
          <w:p w14:paraId="71B11D3A" w14:textId="4C687A5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shd w:val="clear" w:color="auto" w:fill="auto"/>
            <w:vAlign w:val="bottom"/>
          </w:tcPr>
          <w:p w14:paraId="32BB23A5" w14:textId="70BA3EE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0.9</w:t>
            </w:r>
          </w:p>
        </w:tc>
        <w:tc>
          <w:tcPr>
            <w:tcW w:w="0" w:type="dxa"/>
            <w:tcBorders>
              <w:right w:val="single" w:sz="4" w:space="0" w:color="auto"/>
            </w:tcBorders>
            <w:shd w:val="clear" w:color="auto" w:fill="auto"/>
            <w:vAlign w:val="bottom"/>
          </w:tcPr>
          <w:p w14:paraId="5053483B" w14:textId="5AB41933"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auto"/>
            <w:vAlign w:val="bottom"/>
          </w:tcPr>
          <w:p w14:paraId="23DCEE8B" w14:textId="5EE8BD34"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1E6999">
              <w:t>61.4%</w:t>
            </w:r>
          </w:p>
        </w:tc>
        <w:tc>
          <w:tcPr>
            <w:tcW w:w="0" w:type="dxa"/>
            <w:shd w:val="clear" w:color="auto" w:fill="auto"/>
            <w:vAlign w:val="bottom"/>
          </w:tcPr>
          <w:p w14:paraId="3CB52471" w14:textId="21AF58F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1E6999">
              <w:t>+0.9% pts</w:t>
            </w:r>
          </w:p>
        </w:tc>
      </w:tr>
      <w:tr w:rsidR="00AE1C31" w:rsidRPr="00C57C1A" w14:paraId="05270765" w14:textId="7CF19CB9" w:rsidTr="0030243C">
        <w:trPr>
          <w:cnfStyle w:val="000000100000" w:firstRow="0" w:lastRow="0" w:firstColumn="0" w:lastColumn="0" w:oddVBand="0" w:evenVBand="0" w:oddHBand="1" w:evenHBand="0" w:firstRowFirstColumn="0" w:firstRowLastColumn="0" w:lastRowFirstColumn="0" w:lastRowLastColumn="0"/>
          <w:trHeight w:hRule="exact" w:val="652"/>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734DDB9F"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Construction Trades</w:t>
            </w:r>
          </w:p>
        </w:tc>
        <w:tc>
          <w:tcPr>
            <w:tcW w:w="0" w:type="dxa"/>
            <w:tcBorders>
              <w:left w:val="single" w:sz="4" w:space="0" w:color="auto"/>
            </w:tcBorders>
            <w:shd w:val="clear" w:color="auto" w:fill="auto"/>
            <w:vAlign w:val="bottom"/>
          </w:tcPr>
          <w:p w14:paraId="0CEF4A9E" w14:textId="658BE16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37.5%</w:t>
            </w:r>
          </w:p>
        </w:tc>
        <w:tc>
          <w:tcPr>
            <w:tcW w:w="0" w:type="dxa"/>
            <w:tcBorders>
              <w:right w:val="single" w:sz="4" w:space="0" w:color="auto"/>
            </w:tcBorders>
            <w:shd w:val="clear" w:color="auto" w:fill="auto"/>
            <w:vAlign w:val="bottom"/>
          </w:tcPr>
          <w:p w14:paraId="530E3995" w14:textId="350207D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+3.9% pts</w:t>
            </w:r>
          </w:p>
        </w:tc>
        <w:tc>
          <w:tcPr>
            <w:tcW w:w="0" w:type="dxa"/>
            <w:tcBorders>
              <w:left w:val="single" w:sz="4" w:space="0" w:color="auto"/>
            </w:tcBorders>
            <w:shd w:val="clear" w:color="auto" w:fill="auto"/>
            <w:vAlign w:val="bottom"/>
          </w:tcPr>
          <w:p w14:paraId="63C3ED15" w14:textId="0559993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7.1</w:t>
            </w:r>
          </w:p>
        </w:tc>
        <w:tc>
          <w:tcPr>
            <w:tcW w:w="0" w:type="dxa"/>
            <w:tcBorders>
              <w:right w:val="single" w:sz="4" w:space="0" w:color="auto"/>
            </w:tcBorders>
            <w:shd w:val="clear" w:color="auto" w:fill="auto"/>
            <w:vAlign w:val="bottom"/>
          </w:tcPr>
          <w:p w14:paraId="6E6B244E" w14:textId="33041B9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+0.9</w:t>
            </w:r>
          </w:p>
        </w:tc>
        <w:tc>
          <w:tcPr>
            <w:tcW w:w="0" w:type="dxa"/>
            <w:tcBorders>
              <w:left w:val="single" w:sz="4" w:space="0" w:color="auto"/>
            </w:tcBorders>
            <w:shd w:val="clear" w:color="auto" w:fill="auto"/>
            <w:vAlign w:val="bottom"/>
          </w:tcPr>
          <w:p w14:paraId="1F5CB0D6" w14:textId="764383DA"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1.3</w:t>
            </w:r>
          </w:p>
        </w:tc>
        <w:tc>
          <w:tcPr>
            <w:tcW w:w="0" w:type="dxa"/>
            <w:tcBorders>
              <w:right w:val="single" w:sz="4" w:space="0" w:color="auto"/>
            </w:tcBorders>
            <w:shd w:val="clear" w:color="auto" w:fill="auto"/>
            <w:vAlign w:val="bottom"/>
          </w:tcPr>
          <w:p w14:paraId="41F8B5D1" w14:textId="2E757B5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shd w:val="clear" w:color="auto" w:fill="auto"/>
            <w:vAlign w:val="bottom"/>
          </w:tcPr>
          <w:p w14:paraId="7D63F5FA" w14:textId="474F450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0.8</w:t>
            </w:r>
          </w:p>
        </w:tc>
        <w:tc>
          <w:tcPr>
            <w:tcW w:w="0" w:type="dxa"/>
            <w:tcBorders>
              <w:right w:val="single" w:sz="4" w:space="0" w:color="auto"/>
            </w:tcBorders>
            <w:shd w:val="clear" w:color="auto" w:fill="auto"/>
            <w:vAlign w:val="bottom"/>
          </w:tcPr>
          <w:p w14:paraId="7EE07CF7" w14:textId="2B782A8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shd w:val="clear" w:color="auto" w:fill="auto"/>
            <w:vAlign w:val="bottom"/>
          </w:tcPr>
          <w:p w14:paraId="1ACAFE26" w14:textId="5EF4FD3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1E6999">
              <w:t>36.4%</w:t>
            </w:r>
          </w:p>
        </w:tc>
        <w:tc>
          <w:tcPr>
            <w:tcW w:w="0" w:type="dxa"/>
            <w:shd w:val="clear" w:color="auto" w:fill="auto"/>
            <w:vAlign w:val="bottom"/>
          </w:tcPr>
          <w:p w14:paraId="5C166CD3" w14:textId="77A2AF4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1E6999">
              <w:t>+2.1% pts</w:t>
            </w:r>
          </w:p>
        </w:tc>
      </w:tr>
      <w:tr w:rsidR="00AE1C31" w:rsidRPr="00C57C1A" w14:paraId="124FB229" w14:textId="6359D229" w:rsidTr="0030243C">
        <w:trPr>
          <w:trHeight w:hRule="exact" w:val="91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45536450"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Electrotechnology and Telecomm. Trades</w:t>
            </w:r>
          </w:p>
        </w:tc>
        <w:tc>
          <w:tcPr>
            <w:tcW w:w="0" w:type="dxa"/>
            <w:tcBorders>
              <w:left w:val="single" w:sz="4" w:space="0" w:color="auto"/>
            </w:tcBorders>
            <w:shd w:val="clear" w:color="auto" w:fill="auto"/>
            <w:vAlign w:val="bottom"/>
          </w:tcPr>
          <w:p w14:paraId="2B3C3ADD" w14:textId="720D7B7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38.0%</w:t>
            </w:r>
          </w:p>
        </w:tc>
        <w:tc>
          <w:tcPr>
            <w:tcW w:w="0" w:type="dxa"/>
            <w:tcBorders>
              <w:right w:val="single" w:sz="4" w:space="0" w:color="auto"/>
            </w:tcBorders>
            <w:shd w:val="clear" w:color="auto" w:fill="auto"/>
            <w:vAlign w:val="bottom"/>
          </w:tcPr>
          <w:p w14:paraId="40AAF60B" w14:textId="5931F88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-0.7% pts</w:t>
            </w:r>
          </w:p>
        </w:tc>
        <w:tc>
          <w:tcPr>
            <w:tcW w:w="0" w:type="dxa"/>
            <w:tcBorders>
              <w:left w:val="single" w:sz="4" w:space="0" w:color="auto"/>
            </w:tcBorders>
            <w:shd w:val="clear" w:color="auto" w:fill="auto"/>
            <w:vAlign w:val="bottom"/>
          </w:tcPr>
          <w:p w14:paraId="79ADE1F4" w14:textId="4966800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8.0</w:t>
            </w:r>
          </w:p>
        </w:tc>
        <w:tc>
          <w:tcPr>
            <w:tcW w:w="0" w:type="dxa"/>
            <w:tcBorders>
              <w:right w:val="single" w:sz="4" w:space="0" w:color="auto"/>
            </w:tcBorders>
            <w:shd w:val="clear" w:color="auto" w:fill="auto"/>
            <w:vAlign w:val="bottom"/>
          </w:tcPr>
          <w:p w14:paraId="1EC2454E" w14:textId="5C01E59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-0.2</w:t>
            </w:r>
          </w:p>
        </w:tc>
        <w:tc>
          <w:tcPr>
            <w:tcW w:w="0" w:type="dxa"/>
            <w:tcBorders>
              <w:left w:val="single" w:sz="4" w:space="0" w:color="auto"/>
            </w:tcBorders>
            <w:shd w:val="clear" w:color="auto" w:fill="auto"/>
            <w:vAlign w:val="bottom"/>
          </w:tcPr>
          <w:p w14:paraId="1DE977F6" w14:textId="4584954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2.2</w:t>
            </w:r>
          </w:p>
        </w:tc>
        <w:tc>
          <w:tcPr>
            <w:tcW w:w="0" w:type="dxa"/>
            <w:tcBorders>
              <w:right w:val="single" w:sz="4" w:space="0" w:color="auto"/>
            </w:tcBorders>
            <w:shd w:val="clear" w:color="auto" w:fill="auto"/>
            <w:vAlign w:val="bottom"/>
          </w:tcPr>
          <w:p w14:paraId="20ABDBCE" w14:textId="1CB83B64"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shd w:val="clear" w:color="auto" w:fill="auto"/>
            <w:vAlign w:val="bottom"/>
          </w:tcPr>
          <w:p w14:paraId="7C1C3397" w14:textId="25C5925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1.3</w:t>
            </w:r>
          </w:p>
        </w:tc>
        <w:tc>
          <w:tcPr>
            <w:tcW w:w="0" w:type="dxa"/>
            <w:tcBorders>
              <w:right w:val="single" w:sz="4" w:space="0" w:color="auto"/>
            </w:tcBorders>
            <w:shd w:val="clear" w:color="auto" w:fill="auto"/>
            <w:vAlign w:val="bottom"/>
          </w:tcPr>
          <w:p w14:paraId="60F42C2D" w14:textId="6989CC1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auto"/>
            <w:vAlign w:val="bottom"/>
          </w:tcPr>
          <w:p w14:paraId="15DC6D1F" w14:textId="372BD6AB"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1E6999">
              <w:t>40.3%</w:t>
            </w:r>
          </w:p>
        </w:tc>
        <w:tc>
          <w:tcPr>
            <w:tcW w:w="0" w:type="dxa"/>
            <w:shd w:val="clear" w:color="auto" w:fill="auto"/>
            <w:vAlign w:val="bottom"/>
          </w:tcPr>
          <w:p w14:paraId="07E0643C" w14:textId="27D732D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1E6999">
              <w:t xml:space="preserve"> -1.3% pts</w:t>
            </w:r>
          </w:p>
        </w:tc>
      </w:tr>
      <w:tr w:rsidR="00AE1C31" w:rsidRPr="00C57C1A" w14:paraId="5FA75D58" w14:textId="46721682" w:rsidTr="0030243C">
        <w:trPr>
          <w:cnfStyle w:val="000000100000" w:firstRow="0" w:lastRow="0" w:firstColumn="0" w:lastColumn="0" w:oddVBand="0" w:evenVBand="0" w:oddHBand="1" w:evenHBand="0" w:firstRowFirstColumn="0" w:firstRowLastColumn="0" w:lastRowFirstColumn="0" w:lastRowLastColumn="0"/>
          <w:trHeight w:hRule="exact" w:val="788"/>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684DF1A4" w14:textId="0D5EEB28" w:rsidR="0030243C" w:rsidRPr="00D46146" w:rsidRDefault="0030243C" w:rsidP="0030243C">
            <w:pPr>
              <w:pStyle w:val="Tablebodycopy"/>
              <w:spacing w:line="276" w:lineRule="auto"/>
              <w:rPr>
                <w:rFonts w:asciiTheme="minorHAnsi" w:hAnsiTheme="minorHAnsi" w:cstheme="minorHAnsi"/>
              </w:rPr>
            </w:pPr>
            <w:r w:rsidRPr="00B71532">
              <w:rPr>
                <w:rFonts w:asciiTheme="minorHAnsi" w:hAnsiTheme="minorHAnsi" w:cstheme="minorHAnsi"/>
                <w:b w:val="0"/>
                <w:bCs w:val="0"/>
              </w:rPr>
              <w:t>Food Trades</w:t>
            </w:r>
          </w:p>
        </w:tc>
        <w:tc>
          <w:tcPr>
            <w:tcW w:w="0" w:type="dxa"/>
            <w:tcBorders>
              <w:left w:val="single" w:sz="4" w:space="0" w:color="auto"/>
            </w:tcBorders>
            <w:shd w:val="clear" w:color="auto" w:fill="auto"/>
            <w:vAlign w:val="bottom"/>
          </w:tcPr>
          <w:p w14:paraId="113C1D7D" w14:textId="4C6A3E7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58.7%</w:t>
            </w:r>
          </w:p>
        </w:tc>
        <w:tc>
          <w:tcPr>
            <w:tcW w:w="0" w:type="dxa"/>
            <w:tcBorders>
              <w:right w:val="single" w:sz="4" w:space="0" w:color="auto"/>
            </w:tcBorders>
            <w:shd w:val="clear" w:color="auto" w:fill="auto"/>
            <w:vAlign w:val="bottom"/>
          </w:tcPr>
          <w:p w14:paraId="4A43F005" w14:textId="4320DB4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+3.0% pts</w:t>
            </w:r>
          </w:p>
        </w:tc>
        <w:tc>
          <w:tcPr>
            <w:tcW w:w="0" w:type="dxa"/>
            <w:tcBorders>
              <w:left w:val="single" w:sz="4" w:space="0" w:color="auto"/>
            </w:tcBorders>
            <w:shd w:val="clear" w:color="auto" w:fill="auto"/>
            <w:vAlign w:val="bottom"/>
          </w:tcPr>
          <w:p w14:paraId="2B5BBEB8" w14:textId="49C4FF6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11.2</w:t>
            </w:r>
          </w:p>
        </w:tc>
        <w:tc>
          <w:tcPr>
            <w:tcW w:w="0" w:type="dxa"/>
            <w:tcBorders>
              <w:right w:val="single" w:sz="4" w:space="0" w:color="auto"/>
            </w:tcBorders>
            <w:shd w:val="clear" w:color="auto" w:fill="auto"/>
            <w:vAlign w:val="bottom"/>
          </w:tcPr>
          <w:p w14:paraId="79B05695" w14:textId="2D34B9B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+1.1</w:t>
            </w:r>
          </w:p>
        </w:tc>
        <w:tc>
          <w:tcPr>
            <w:tcW w:w="0" w:type="dxa"/>
            <w:tcBorders>
              <w:left w:val="single" w:sz="4" w:space="0" w:color="auto"/>
            </w:tcBorders>
            <w:shd w:val="clear" w:color="auto" w:fill="auto"/>
            <w:vAlign w:val="bottom"/>
          </w:tcPr>
          <w:p w14:paraId="7CF685BD" w14:textId="7E11AAD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3.8</w:t>
            </w:r>
          </w:p>
        </w:tc>
        <w:tc>
          <w:tcPr>
            <w:tcW w:w="0" w:type="dxa"/>
            <w:tcBorders>
              <w:right w:val="single" w:sz="4" w:space="0" w:color="auto"/>
            </w:tcBorders>
            <w:shd w:val="clear" w:color="auto" w:fill="auto"/>
            <w:vAlign w:val="bottom"/>
          </w:tcPr>
          <w:p w14:paraId="1875AE5B" w14:textId="07EF773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+0.9</w:t>
            </w:r>
          </w:p>
        </w:tc>
        <w:tc>
          <w:tcPr>
            <w:tcW w:w="0" w:type="dxa"/>
            <w:tcBorders>
              <w:left w:val="single" w:sz="4" w:space="0" w:color="auto"/>
            </w:tcBorders>
            <w:shd w:val="clear" w:color="auto" w:fill="auto"/>
            <w:vAlign w:val="bottom"/>
          </w:tcPr>
          <w:p w14:paraId="75AE94EC" w14:textId="772701B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2.0</w:t>
            </w:r>
          </w:p>
        </w:tc>
        <w:tc>
          <w:tcPr>
            <w:tcW w:w="0" w:type="dxa"/>
            <w:tcBorders>
              <w:right w:val="single" w:sz="4" w:space="0" w:color="auto"/>
            </w:tcBorders>
            <w:shd w:val="clear" w:color="auto" w:fill="auto"/>
            <w:vAlign w:val="bottom"/>
          </w:tcPr>
          <w:p w14:paraId="459426F5" w14:textId="2700B5A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+0.3</w:t>
            </w:r>
          </w:p>
        </w:tc>
        <w:tc>
          <w:tcPr>
            <w:tcW w:w="0" w:type="dxa"/>
            <w:tcBorders>
              <w:left w:val="single" w:sz="4" w:space="0" w:color="auto"/>
            </w:tcBorders>
            <w:shd w:val="clear" w:color="auto" w:fill="auto"/>
            <w:vAlign w:val="bottom"/>
          </w:tcPr>
          <w:p w14:paraId="40860980" w14:textId="05C732D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1E6999">
              <w:t>46.9%</w:t>
            </w:r>
          </w:p>
        </w:tc>
        <w:tc>
          <w:tcPr>
            <w:tcW w:w="0" w:type="dxa"/>
            <w:shd w:val="clear" w:color="auto" w:fill="auto"/>
            <w:vAlign w:val="bottom"/>
          </w:tcPr>
          <w:p w14:paraId="21D6425C" w14:textId="45F5FA7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1E6999">
              <w:t>+5.7% pts</w:t>
            </w:r>
          </w:p>
        </w:tc>
      </w:tr>
      <w:tr w:rsidR="00AE1C31" w:rsidRPr="00C57C1A" w14:paraId="0126AAA9" w14:textId="33BC81B0" w:rsidTr="0030243C">
        <w:trPr>
          <w:trHeight w:hRule="exact" w:val="902"/>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32B4D8BA" w14:textId="77777777" w:rsidR="0030243C" w:rsidRPr="00B71532" w:rsidRDefault="0030243C" w:rsidP="0030243C">
            <w:pPr>
              <w:pStyle w:val="Tablebodycopy"/>
              <w:spacing w:before="0" w:after="0" w:line="276" w:lineRule="auto"/>
              <w:rPr>
                <w:rFonts w:asciiTheme="minorHAnsi" w:hAnsiTheme="minorHAnsi" w:cstheme="minorHAnsi"/>
              </w:rPr>
            </w:pPr>
            <w:r w:rsidRPr="00B71532">
              <w:rPr>
                <w:rFonts w:asciiTheme="minorHAnsi" w:hAnsiTheme="minorHAnsi" w:cstheme="minorHAnsi"/>
                <w:b w:val="0"/>
                <w:bCs w:val="0"/>
              </w:rPr>
              <w:t xml:space="preserve">Skilled Animal, Agricultural and </w:t>
            </w:r>
          </w:p>
          <w:p w14:paraId="5EEB36A7" w14:textId="77777777" w:rsidR="0030243C" w:rsidRPr="00B71532" w:rsidRDefault="0030243C" w:rsidP="0030243C">
            <w:pPr>
              <w:pStyle w:val="Tablebodycopy"/>
              <w:spacing w:before="0" w:after="0" w:line="276" w:lineRule="auto"/>
              <w:rPr>
                <w:rFonts w:asciiTheme="minorHAnsi" w:hAnsiTheme="minorHAnsi" w:cstheme="minorHAnsi"/>
              </w:rPr>
            </w:pPr>
            <w:r w:rsidRPr="00B71532">
              <w:rPr>
                <w:rFonts w:asciiTheme="minorHAnsi" w:hAnsiTheme="minorHAnsi" w:cstheme="minorHAnsi"/>
                <w:b w:val="0"/>
                <w:bCs w:val="0"/>
              </w:rPr>
              <w:t>Horticultural Workers</w:t>
            </w:r>
          </w:p>
          <w:p w14:paraId="009C91C5" w14:textId="77777777" w:rsidR="0030243C" w:rsidRPr="00B71532" w:rsidRDefault="0030243C" w:rsidP="0030243C">
            <w:pPr>
              <w:pStyle w:val="Tablebodycopy"/>
              <w:spacing w:after="0" w:line="276" w:lineRule="auto"/>
              <w:rPr>
                <w:rFonts w:asciiTheme="minorHAnsi" w:hAnsiTheme="minorHAnsi" w:cstheme="minorHAnsi"/>
                <w:b w:val="0"/>
                <w:bCs w:val="0"/>
              </w:rPr>
            </w:pPr>
          </w:p>
        </w:tc>
        <w:tc>
          <w:tcPr>
            <w:tcW w:w="0" w:type="dxa"/>
            <w:tcBorders>
              <w:left w:val="single" w:sz="4" w:space="0" w:color="auto"/>
            </w:tcBorders>
            <w:shd w:val="clear" w:color="auto" w:fill="auto"/>
            <w:vAlign w:val="bottom"/>
          </w:tcPr>
          <w:p w14:paraId="1190D1AA" w14:textId="1B8EFBF8"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48.7%</w:t>
            </w:r>
          </w:p>
        </w:tc>
        <w:tc>
          <w:tcPr>
            <w:tcW w:w="0" w:type="dxa"/>
            <w:tcBorders>
              <w:right w:val="single" w:sz="4" w:space="0" w:color="auto"/>
            </w:tcBorders>
            <w:shd w:val="clear" w:color="auto" w:fill="auto"/>
            <w:vAlign w:val="bottom"/>
          </w:tcPr>
          <w:p w14:paraId="7BC828D8" w14:textId="5EA2408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-1.8% pts</w:t>
            </w:r>
          </w:p>
        </w:tc>
        <w:tc>
          <w:tcPr>
            <w:tcW w:w="0" w:type="dxa"/>
            <w:tcBorders>
              <w:left w:val="single" w:sz="4" w:space="0" w:color="auto"/>
            </w:tcBorders>
            <w:shd w:val="clear" w:color="auto" w:fill="auto"/>
            <w:vAlign w:val="bottom"/>
          </w:tcPr>
          <w:p w14:paraId="48D3D3C0" w14:textId="4ABA62D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11.8</w:t>
            </w:r>
          </w:p>
        </w:tc>
        <w:tc>
          <w:tcPr>
            <w:tcW w:w="0" w:type="dxa"/>
            <w:tcBorders>
              <w:right w:val="single" w:sz="4" w:space="0" w:color="auto"/>
            </w:tcBorders>
            <w:shd w:val="clear" w:color="auto" w:fill="auto"/>
            <w:vAlign w:val="bottom"/>
          </w:tcPr>
          <w:p w14:paraId="016F56ED" w14:textId="0EFB1DC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+0.5</w:t>
            </w:r>
          </w:p>
        </w:tc>
        <w:tc>
          <w:tcPr>
            <w:tcW w:w="0" w:type="dxa"/>
            <w:tcBorders>
              <w:left w:val="single" w:sz="4" w:space="0" w:color="auto"/>
            </w:tcBorders>
            <w:shd w:val="clear" w:color="auto" w:fill="auto"/>
            <w:vAlign w:val="bottom"/>
          </w:tcPr>
          <w:p w14:paraId="27668456" w14:textId="0BFA48C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2.0</w:t>
            </w:r>
          </w:p>
        </w:tc>
        <w:tc>
          <w:tcPr>
            <w:tcW w:w="0" w:type="dxa"/>
            <w:tcBorders>
              <w:right w:val="single" w:sz="4" w:space="0" w:color="auto"/>
            </w:tcBorders>
            <w:shd w:val="clear" w:color="auto" w:fill="auto"/>
            <w:vAlign w:val="bottom"/>
          </w:tcPr>
          <w:p w14:paraId="22EFA09A" w14:textId="58829DE3"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-0.2</w:t>
            </w:r>
          </w:p>
        </w:tc>
        <w:tc>
          <w:tcPr>
            <w:tcW w:w="0" w:type="dxa"/>
            <w:tcBorders>
              <w:left w:val="single" w:sz="4" w:space="0" w:color="auto"/>
            </w:tcBorders>
            <w:shd w:val="clear" w:color="auto" w:fill="auto"/>
            <w:vAlign w:val="bottom"/>
          </w:tcPr>
          <w:p w14:paraId="5DF0EC41" w14:textId="032143A1"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1.6</w:t>
            </w:r>
          </w:p>
        </w:tc>
        <w:tc>
          <w:tcPr>
            <w:tcW w:w="0" w:type="dxa"/>
            <w:tcBorders>
              <w:right w:val="single" w:sz="4" w:space="0" w:color="auto"/>
            </w:tcBorders>
            <w:shd w:val="clear" w:color="auto" w:fill="auto"/>
            <w:vAlign w:val="bottom"/>
          </w:tcPr>
          <w:p w14:paraId="7EA45390" w14:textId="6D3FF10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auto"/>
            <w:vAlign w:val="bottom"/>
          </w:tcPr>
          <w:p w14:paraId="0B3F1ABF" w14:textId="0896359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1E6999">
              <w:t>19.1%</w:t>
            </w:r>
          </w:p>
        </w:tc>
        <w:tc>
          <w:tcPr>
            <w:tcW w:w="0" w:type="dxa"/>
            <w:shd w:val="clear" w:color="auto" w:fill="auto"/>
            <w:vAlign w:val="bottom"/>
          </w:tcPr>
          <w:p w14:paraId="61C8149A" w14:textId="0593C37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1E6999">
              <w:t xml:space="preserve"> -8.9% pts</w:t>
            </w:r>
          </w:p>
        </w:tc>
      </w:tr>
      <w:tr w:rsidR="00AE1C31" w:rsidRPr="00C57C1A" w14:paraId="7BD937C7" w14:textId="53CB45B7" w:rsidTr="0030243C">
        <w:trPr>
          <w:cnfStyle w:val="000000100000" w:firstRow="0" w:lastRow="0" w:firstColumn="0" w:lastColumn="0" w:oddVBand="0" w:evenVBand="0" w:oddHBand="1" w:evenHBand="0" w:firstRowFirstColumn="0" w:firstRowLastColumn="0" w:lastRowFirstColumn="0" w:lastRowLastColumn="0"/>
          <w:trHeight w:hRule="exact" w:val="918"/>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436DC5E0"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Other Technicians and Trades Workers</w:t>
            </w:r>
          </w:p>
        </w:tc>
        <w:tc>
          <w:tcPr>
            <w:tcW w:w="0" w:type="dxa"/>
            <w:tcBorders>
              <w:left w:val="single" w:sz="4" w:space="0" w:color="auto"/>
            </w:tcBorders>
            <w:shd w:val="clear" w:color="auto" w:fill="auto"/>
            <w:vAlign w:val="bottom"/>
          </w:tcPr>
          <w:p w14:paraId="654CE9DB" w14:textId="211618E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52.3%</w:t>
            </w:r>
          </w:p>
        </w:tc>
        <w:tc>
          <w:tcPr>
            <w:tcW w:w="0" w:type="dxa"/>
            <w:tcBorders>
              <w:right w:val="single" w:sz="4" w:space="0" w:color="auto"/>
            </w:tcBorders>
            <w:shd w:val="clear" w:color="auto" w:fill="auto"/>
            <w:vAlign w:val="bottom"/>
          </w:tcPr>
          <w:p w14:paraId="52B466CD" w14:textId="420790B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-0.2% pts</w:t>
            </w:r>
          </w:p>
        </w:tc>
        <w:tc>
          <w:tcPr>
            <w:tcW w:w="0" w:type="dxa"/>
            <w:tcBorders>
              <w:left w:val="single" w:sz="4" w:space="0" w:color="auto"/>
            </w:tcBorders>
            <w:shd w:val="clear" w:color="auto" w:fill="auto"/>
            <w:vAlign w:val="bottom"/>
          </w:tcPr>
          <w:p w14:paraId="6DD8A40E" w14:textId="5B59DAF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8.5</w:t>
            </w:r>
          </w:p>
        </w:tc>
        <w:tc>
          <w:tcPr>
            <w:tcW w:w="0" w:type="dxa"/>
            <w:tcBorders>
              <w:right w:val="single" w:sz="4" w:space="0" w:color="auto"/>
            </w:tcBorders>
            <w:shd w:val="clear" w:color="auto" w:fill="auto"/>
            <w:vAlign w:val="bottom"/>
          </w:tcPr>
          <w:p w14:paraId="2B1AA845" w14:textId="2F23A182"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auto"/>
            <w:vAlign w:val="bottom"/>
          </w:tcPr>
          <w:p w14:paraId="38B62A38" w14:textId="316DF16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1.5</w:t>
            </w:r>
          </w:p>
        </w:tc>
        <w:tc>
          <w:tcPr>
            <w:tcW w:w="0" w:type="dxa"/>
            <w:tcBorders>
              <w:right w:val="single" w:sz="4" w:space="0" w:color="auto"/>
            </w:tcBorders>
            <w:shd w:val="clear" w:color="auto" w:fill="auto"/>
            <w:vAlign w:val="bottom"/>
          </w:tcPr>
          <w:p w14:paraId="3F7E874D" w14:textId="07156EE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auto"/>
            <w:vAlign w:val="bottom"/>
          </w:tcPr>
          <w:p w14:paraId="74197075" w14:textId="200C93A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1.1</w:t>
            </w:r>
          </w:p>
        </w:tc>
        <w:tc>
          <w:tcPr>
            <w:tcW w:w="0" w:type="dxa"/>
            <w:tcBorders>
              <w:right w:val="single" w:sz="4" w:space="0" w:color="auto"/>
            </w:tcBorders>
            <w:shd w:val="clear" w:color="auto" w:fill="auto"/>
            <w:vAlign w:val="bottom"/>
          </w:tcPr>
          <w:p w14:paraId="0EFC3064" w14:textId="4B0FAB7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shd w:val="clear" w:color="auto" w:fill="auto"/>
            <w:vAlign w:val="bottom"/>
          </w:tcPr>
          <w:p w14:paraId="6E2B0C29" w14:textId="10BDA61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1E6999">
              <w:t>23.0%</w:t>
            </w:r>
          </w:p>
        </w:tc>
        <w:tc>
          <w:tcPr>
            <w:tcW w:w="0" w:type="dxa"/>
            <w:shd w:val="clear" w:color="auto" w:fill="auto"/>
            <w:vAlign w:val="bottom"/>
          </w:tcPr>
          <w:p w14:paraId="383E5B4B" w14:textId="569A54C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1E6999">
              <w:t>+3.7% pts</w:t>
            </w:r>
          </w:p>
        </w:tc>
      </w:tr>
      <w:bookmarkEnd w:id="27"/>
      <w:tr w:rsidR="00236A7E" w:rsidRPr="00C57C1A" w14:paraId="1DD26D24" w14:textId="4B410F9B" w:rsidTr="0030243C">
        <w:trPr>
          <w:trHeight w:hRule="exact" w:val="907"/>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D9D9D9" w:themeFill="background1" w:themeFillShade="D9"/>
          </w:tcPr>
          <w:p w14:paraId="573DCA1F" w14:textId="77777777" w:rsidR="0030243C" w:rsidRPr="00380F7B" w:rsidRDefault="0030243C" w:rsidP="0030243C">
            <w:pPr>
              <w:pStyle w:val="Tablebodycopy"/>
              <w:rPr>
                <w:rFonts w:asciiTheme="minorHAnsi" w:hAnsiTheme="minorHAnsi" w:cstheme="minorHAnsi"/>
              </w:rPr>
            </w:pPr>
            <w:r w:rsidRPr="00380F7B">
              <w:rPr>
                <w:rFonts w:asciiTheme="minorHAnsi" w:hAnsiTheme="minorHAnsi" w:cstheme="minorHAnsi"/>
              </w:rPr>
              <w:lastRenderedPageBreak/>
              <w:t>Community and Personal Service Workers</w:t>
            </w:r>
          </w:p>
        </w:tc>
        <w:tc>
          <w:tcPr>
            <w:tcW w:w="0" w:type="dxa"/>
            <w:tcBorders>
              <w:left w:val="single" w:sz="4" w:space="0" w:color="auto"/>
            </w:tcBorders>
            <w:shd w:val="clear" w:color="auto" w:fill="D9D9D9" w:themeFill="background1" w:themeFillShade="D9"/>
            <w:vAlign w:val="bottom"/>
          </w:tcPr>
          <w:p w14:paraId="787FF8C6" w14:textId="0FE9B3E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68.4%</w:t>
            </w:r>
          </w:p>
        </w:tc>
        <w:tc>
          <w:tcPr>
            <w:tcW w:w="0" w:type="dxa"/>
            <w:tcBorders>
              <w:right w:val="single" w:sz="4" w:space="0" w:color="auto"/>
            </w:tcBorders>
            <w:shd w:val="clear" w:color="auto" w:fill="D9D9D9" w:themeFill="background1" w:themeFillShade="D9"/>
            <w:vAlign w:val="bottom"/>
          </w:tcPr>
          <w:p w14:paraId="6077CB40" w14:textId="180D945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+2.8% pts</w:t>
            </w:r>
          </w:p>
        </w:tc>
        <w:tc>
          <w:tcPr>
            <w:tcW w:w="0" w:type="dxa"/>
            <w:tcBorders>
              <w:left w:val="single" w:sz="4" w:space="0" w:color="auto"/>
            </w:tcBorders>
            <w:shd w:val="clear" w:color="auto" w:fill="D9D9D9" w:themeFill="background1" w:themeFillShade="D9"/>
            <w:vAlign w:val="bottom"/>
          </w:tcPr>
          <w:p w14:paraId="6EBD31E3" w14:textId="7232234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13.9</w:t>
            </w:r>
          </w:p>
        </w:tc>
        <w:tc>
          <w:tcPr>
            <w:tcW w:w="0" w:type="dxa"/>
            <w:tcBorders>
              <w:right w:val="single" w:sz="4" w:space="0" w:color="auto"/>
            </w:tcBorders>
            <w:shd w:val="clear" w:color="auto" w:fill="D9D9D9" w:themeFill="background1" w:themeFillShade="D9"/>
            <w:vAlign w:val="bottom"/>
          </w:tcPr>
          <w:p w14:paraId="6B2FB0EC" w14:textId="4825932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+1.9</w:t>
            </w:r>
          </w:p>
        </w:tc>
        <w:tc>
          <w:tcPr>
            <w:tcW w:w="0" w:type="dxa"/>
            <w:tcBorders>
              <w:left w:val="single" w:sz="4" w:space="0" w:color="auto"/>
            </w:tcBorders>
            <w:shd w:val="clear" w:color="auto" w:fill="D9D9D9" w:themeFill="background1" w:themeFillShade="D9"/>
            <w:vAlign w:val="bottom"/>
          </w:tcPr>
          <w:p w14:paraId="1FA33776" w14:textId="721BA64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4.3</w:t>
            </w:r>
          </w:p>
        </w:tc>
        <w:tc>
          <w:tcPr>
            <w:tcW w:w="0" w:type="dxa"/>
            <w:tcBorders>
              <w:right w:val="single" w:sz="4" w:space="0" w:color="auto"/>
            </w:tcBorders>
            <w:shd w:val="clear" w:color="auto" w:fill="D9D9D9" w:themeFill="background1" w:themeFillShade="D9"/>
            <w:vAlign w:val="bottom"/>
          </w:tcPr>
          <w:p w14:paraId="539368BB" w14:textId="4CBADDF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+0.5</w:t>
            </w:r>
          </w:p>
        </w:tc>
        <w:tc>
          <w:tcPr>
            <w:tcW w:w="0" w:type="dxa"/>
            <w:tcBorders>
              <w:left w:val="single" w:sz="4" w:space="0" w:color="auto"/>
            </w:tcBorders>
            <w:shd w:val="clear" w:color="auto" w:fill="D9D9D9" w:themeFill="background1" w:themeFillShade="D9"/>
            <w:vAlign w:val="bottom"/>
          </w:tcPr>
          <w:p w14:paraId="5925B6FB" w14:textId="518AF1E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2.6</w:t>
            </w:r>
          </w:p>
        </w:tc>
        <w:tc>
          <w:tcPr>
            <w:tcW w:w="0" w:type="dxa"/>
            <w:tcBorders>
              <w:right w:val="single" w:sz="4" w:space="0" w:color="auto"/>
            </w:tcBorders>
            <w:shd w:val="clear" w:color="auto" w:fill="D9D9D9" w:themeFill="background1" w:themeFillShade="D9"/>
            <w:vAlign w:val="bottom"/>
          </w:tcPr>
          <w:p w14:paraId="16E9AE5A" w14:textId="66CD231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D9D9D9" w:themeFill="background1" w:themeFillShade="D9"/>
            <w:vAlign w:val="bottom"/>
          </w:tcPr>
          <w:p w14:paraId="7FB3614C" w14:textId="45D50F8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FF0000"/>
              </w:rPr>
            </w:pPr>
            <w:r w:rsidRPr="00D722FE">
              <w:t>40.9%</w:t>
            </w:r>
          </w:p>
        </w:tc>
        <w:tc>
          <w:tcPr>
            <w:tcW w:w="0" w:type="dxa"/>
            <w:shd w:val="clear" w:color="auto" w:fill="D9D9D9" w:themeFill="background1" w:themeFillShade="D9"/>
            <w:vAlign w:val="bottom"/>
          </w:tcPr>
          <w:p w14:paraId="1A009277" w14:textId="19C2922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FF0000"/>
              </w:rPr>
            </w:pPr>
            <w:r w:rsidRPr="00D722FE">
              <w:t>+5.7% pts</w:t>
            </w:r>
          </w:p>
        </w:tc>
      </w:tr>
      <w:tr w:rsidR="00AE1C31" w:rsidRPr="00C57C1A" w14:paraId="2AB24C75" w14:textId="22FF9AF3" w:rsidTr="0030243C">
        <w:trPr>
          <w:cnfStyle w:val="000000100000" w:firstRow="0" w:lastRow="0" w:firstColumn="0" w:lastColumn="0" w:oddVBand="0" w:evenVBand="0" w:oddHBand="1"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2CB1CBA1"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 xml:space="preserve">Health and Welfare Support </w:t>
            </w:r>
          </w:p>
        </w:tc>
        <w:tc>
          <w:tcPr>
            <w:tcW w:w="0" w:type="dxa"/>
            <w:tcBorders>
              <w:left w:val="single" w:sz="4" w:space="0" w:color="auto"/>
            </w:tcBorders>
            <w:shd w:val="clear" w:color="auto" w:fill="auto"/>
            <w:vAlign w:val="bottom"/>
          </w:tcPr>
          <w:p w14:paraId="3BDDB941" w14:textId="7EDFCFE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71.5%</w:t>
            </w:r>
          </w:p>
        </w:tc>
        <w:tc>
          <w:tcPr>
            <w:tcW w:w="0" w:type="dxa"/>
            <w:tcBorders>
              <w:right w:val="single" w:sz="4" w:space="0" w:color="auto"/>
            </w:tcBorders>
            <w:shd w:val="clear" w:color="auto" w:fill="auto"/>
            <w:vAlign w:val="bottom"/>
          </w:tcPr>
          <w:p w14:paraId="4418BD51" w14:textId="61EF4A3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+1.5% pts</w:t>
            </w:r>
          </w:p>
        </w:tc>
        <w:tc>
          <w:tcPr>
            <w:tcW w:w="0" w:type="dxa"/>
            <w:tcBorders>
              <w:left w:val="single" w:sz="4" w:space="0" w:color="auto"/>
            </w:tcBorders>
            <w:shd w:val="clear" w:color="auto" w:fill="auto"/>
            <w:vAlign w:val="bottom"/>
          </w:tcPr>
          <w:p w14:paraId="0423A9F1" w14:textId="79B737E0"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13.5</w:t>
            </w:r>
          </w:p>
        </w:tc>
        <w:tc>
          <w:tcPr>
            <w:tcW w:w="0" w:type="dxa"/>
            <w:tcBorders>
              <w:right w:val="single" w:sz="4" w:space="0" w:color="auto"/>
            </w:tcBorders>
            <w:shd w:val="clear" w:color="auto" w:fill="auto"/>
            <w:vAlign w:val="bottom"/>
          </w:tcPr>
          <w:p w14:paraId="673B2A09" w14:textId="42DD91F1"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+1.0</w:t>
            </w:r>
          </w:p>
        </w:tc>
        <w:tc>
          <w:tcPr>
            <w:tcW w:w="0" w:type="dxa"/>
            <w:tcBorders>
              <w:left w:val="single" w:sz="4" w:space="0" w:color="auto"/>
            </w:tcBorders>
            <w:shd w:val="clear" w:color="auto" w:fill="auto"/>
            <w:vAlign w:val="bottom"/>
          </w:tcPr>
          <w:p w14:paraId="63C890E8" w14:textId="04D8336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4.9</w:t>
            </w:r>
          </w:p>
        </w:tc>
        <w:tc>
          <w:tcPr>
            <w:tcW w:w="0" w:type="dxa"/>
            <w:tcBorders>
              <w:right w:val="single" w:sz="4" w:space="0" w:color="auto"/>
            </w:tcBorders>
            <w:shd w:val="clear" w:color="auto" w:fill="auto"/>
            <w:vAlign w:val="bottom"/>
          </w:tcPr>
          <w:p w14:paraId="206BF4DE" w14:textId="07BDF87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+0.2</w:t>
            </w:r>
          </w:p>
        </w:tc>
        <w:tc>
          <w:tcPr>
            <w:tcW w:w="0" w:type="dxa"/>
            <w:tcBorders>
              <w:left w:val="single" w:sz="4" w:space="0" w:color="auto"/>
            </w:tcBorders>
            <w:shd w:val="clear" w:color="auto" w:fill="auto"/>
            <w:vAlign w:val="bottom"/>
          </w:tcPr>
          <w:p w14:paraId="689DA14B" w14:textId="60EFFDE1"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2.5</w:t>
            </w:r>
          </w:p>
        </w:tc>
        <w:tc>
          <w:tcPr>
            <w:tcW w:w="0" w:type="dxa"/>
            <w:tcBorders>
              <w:right w:val="single" w:sz="4" w:space="0" w:color="auto"/>
            </w:tcBorders>
            <w:shd w:val="clear" w:color="auto" w:fill="auto"/>
            <w:vAlign w:val="bottom"/>
          </w:tcPr>
          <w:p w14:paraId="0241A061" w14:textId="75342A1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tcBorders>
            <w:shd w:val="clear" w:color="auto" w:fill="auto"/>
            <w:vAlign w:val="bottom"/>
          </w:tcPr>
          <w:p w14:paraId="22BE0248" w14:textId="586EAF2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FF0000"/>
              </w:rPr>
            </w:pPr>
            <w:r w:rsidRPr="00D722FE">
              <w:t>49.1%</w:t>
            </w:r>
          </w:p>
        </w:tc>
        <w:tc>
          <w:tcPr>
            <w:tcW w:w="0" w:type="dxa"/>
            <w:shd w:val="clear" w:color="auto" w:fill="auto"/>
            <w:vAlign w:val="bottom"/>
          </w:tcPr>
          <w:p w14:paraId="42E82D33" w14:textId="294226B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FF0000"/>
              </w:rPr>
            </w:pPr>
            <w:r w:rsidRPr="00D722FE">
              <w:t>+3.2% pts</w:t>
            </w:r>
          </w:p>
        </w:tc>
      </w:tr>
      <w:tr w:rsidR="00AE1C31" w:rsidRPr="00C57C1A" w14:paraId="0BA278B4" w14:textId="601ADDF5" w:rsidTr="0030243C">
        <w:trPr>
          <w:trHeight w:hRule="exact" w:val="426"/>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152BE639"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Carers and Aides</w:t>
            </w:r>
          </w:p>
        </w:tc>
        <w:tc>
          <w:tcPr>
            <w:tcW w:w="0" w:type="dxa"/>
            <w:tcBorders>
              <w:left w:val="single" w:sz="4" w:space="0" w:color="auto"/>
            </w:tcBorders>
            <w:shd w:val="clear" w:color="auto" w:fill="auto"/>
            <w:vAlign w:val="bottom"/>
          </w:tcPr>
          <w:p w14:paraId="502BC849" w14:textId="186BED8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71.7%</w:t>
            </w:r>
          </w:p>
        </w:tc>
        <w:tc>
          <w:tcPr>
            <w:tcW w:w="0" w:type="dxa"/>
            <w:tcBorders>
              <w:right w:val="single" w:sz="4" w:space="0" w:color="auto"/>
            </w:tcBorders>
            <w:shd w:val="clear" w:color="auto" w:fill="auto"/>
            <w:vAlign w:val="bottom"/>
          </w:tcPr>
          <w:p w14:paraId="3AAF7F79" w14:textId="34DA3C6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+3.3% pts</w:t>
            </w:r>
          </w:p>
        </w:tc>
        <w:tc>
          <w:tcPr>
            <w:tcW w:w="0" w:type="dxa"/>
            <w:tcBorders>
              <w:left w:val="single" w:sz="4" w:space="0" w:color="auto"/>
            </w:tcBorders>
            <w:shd w:val="clear" w:color="auto" w:fill="auto"/>
            <w:vAlign w:val="bottom"/>
          </w:tcPr>
          <w:p w14:paraId="79BA0E75" w14:textId="5E21C29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10.1</w:t>
            </w:r>
          </w:p>
        </w:tc>
        <w:tc>
          <w:tcPr>
            <w:tcW w:w="0" w:type="dxa"/>
            <w:tcBorders>
              <w:right w:val="single" w:sz="4" w:space="0" w:color="auto"/>
            </w:tcBorders>
            <w:shd w:val="clear" w:color="auto" w:fill="auto"/>
            <w:vAlign w:val="bottom"/>
          </w:tcPr>
          <w:p w14:paraId="71C9A5F9" w14:textId="62B3729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+0.9</w:t>
            </w:r>
          </w:p>
        </w:tc>
        <w:tc>
          <w:tcPr>
            <w:tcW w:w="0" w:type="dxa"/>
            <w:tcBorders>
              <w:left w:val="single" w:sz="4" w:space="0" w:color="auto"/>
            </w:tcBorders>
            <w:shd w:val="clear" w:color="auto" w:fill="auto"/>
            <w:vAlign w:val="bottom"/>
          </w:tcPr>
          <w:p w14:paraId="5FF12AE1" w14:textId="1FB9EB0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3.7</w:t>
            </w:r>
          </w:p>
        </w:tc>
        <w:tc>
          <w:tcPr>
            <w:tcW w:w="0" w:type="dxa"/>
            <w:tcBorders>
              <w:right w:val="single" w:sz="4" w:space="0" w:color="auto"/>
            </w:tcBorders>
            <w:shd w:val="clear" w:color="auto" w:fill="auto"/>
            <w:vAlign w:val="bottom"/>
          </w:tcPr>
          <w:p w14:paraId="4206E975" w14:textId="5FCFC25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+0.5</w:t>
            </w:r>
          </w:p>
        </w:tc>
        <w:tc>
          <w:tcPr>
            <w:tcW w:w="0" w:type="dxa"/>
            <w:tcBorders>
              <w:left w:val="single" w:sz="4" w:space="0" w:color="auto"/>
            </w:tcBorders>
            <w:shd w:val="clear" w:color="auto" w:fill="auto"/>
            <w:vAlign w:val="bottom"/>
          </w:tcPr>
          <w:p w14:paraId="1E3700AD" w14:textId="1E27857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2.0</w:t>
            </w:r>
          </w:p>
        </w:tc>
        <w:tc>
          <w:tcPr>
            <w:tcW w:w="0" w:type="dxa"/>
            <w:tcBorders>
              <w:right w:val="single" w:sz="4" w:space="0" w:color="auto"/>
            </w:tcBorders>
            <w:shd w:val="clear" w:color="auto" w:fill="auto"/>
            <w:vAlign w:val="bottom"/>
          </w:tcPr>
          <w:p w14:paraId="3F21B827" w14:textId="754258F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auto"/>
            <w:vAlign w:val="bottom"/>
          </w:tcPr>
          <w:p w14:paraId="7CEAA7C0" w14:textId="69D4E3A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FF0000"/>
              </w:rPr>
            </w:pPr>
            <w:r w:rsidRPr="00D722FE">
              <w:t>45.4%</w:t>
            </w:r>
          </w:p>
        </w:tc>
        <w:tc>
          <w:tcPr>
            <w:tcW w:w="0" w:type="dxa"/>
            <w:shd w:val="clear" w:color="auto" w:fill="auto"/>
            <w:vAlign w:val="bottom"/>
          </w:tcPr>
          <w:p w14:paraId="01C1F772" w14:textId="272E199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FF0000"/>
              </w:rPr>
            </w:pPr>
            <w:r w:rsidRPr="00D722FE">
              <w:t>+9.3% pts</w:t>
            </w:r>
          </w:p>
        </w:tc>
      </w:tr>
      <w:tr w:rsidR="00AE1C31" w:rsidRPr="00C57C1A" w14:paraId="099E43FB" w14:textId="093E720F" w:rsidTr="0030243C">
        <w:trPr>
          <w:cnfStyle w:val="000000100000" w:firstRow="0" w:lastRow="0" w:firstColumn="0" w:lastColumn="0" w:oddVBand="0" w:evenVBand="0" w:oddHBand="1" w:evenHBand="0" w:firstRowFirstColumn="0" w:firstRowLastColumn="0" w:lastRowFirstColumn="0" w:lastRowLastColumn="0"/>
          <w:trHeight w:hRule="exact" w:val="489"/>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72FD3E45" w14:textId="0329B05E"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Hospitality</w:t>
            </w:r>
            <w:r>
              <w:rPr>
                <w:rFonts w:asciiTheme="minorHAnsi" w:hAnsiTheme="minorHAnsi" w:cstheme="minorHAnsi"/>
                <w:b w:val="0"/>
                <w:bCs w:val="0"/>
              </w:rPr>
              <w:t xml:space="preserve"> Workers</w:t>
            </w:r>
            <w:r w:rsidRPr="00B71532">
              <w:rPr>
                <w:rFonts w:asciiTheme="minorHAnsi" w:hAnsiTheme="minorHAnsi" w:cstheme="minorHAnsi"/>
                <w:b w:val="0"/>
                <w:bCs w:val="0"/>
              </w:rPr>
              <w:t xml:space="preserve"> </w:t>
            </w:r>
          </w:p>
        </w:tc>
        <w:tc>
          <w:tcPr>
            <w:tcW w:w="0" w:type="dxa"/>
            <w:tcBorders>
              <w:left w:val="single" w:sz="4" w:space="0" w:color="auto"/>
            </w:tcBorders>
            <w:shd w:val="clear" w:color="auto" w:fill="auto"/>
            <w:vAlign w:val="bottom"/>
          </w:tcPr>
          <w:p w14:paraId="784AD5B3" w14:textId="4B8652F0"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76.2%</w:t>
            </w:r>
          </w:p>
        </w:tc>
        <w:tc>
          <w:tcPr>
            <w:tcW w:w="0" w:type="dxa"/>
            <w:tcBorders>
              <w:right w:val="single" w:sz="4" w:space="0" w:color="auto"/>
            </w:tcBorders>
            <w:shd w:val="clear" w:color="auto" w:fill="auto"/>
            <w:vAlign w:val="bottom"/>
          </w:tcPr>
          <w:p w14:paraId="69F51EF3" w14:textId="6079C59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+1.3% pts</w:t>
            </w:r>
          </w:p>
        </w:tc>
        <w:tc>
          <w:tcPr>
            <w:tcW w:w="0" w:type="dxa"/>
            <w:tcBorders>
              <w:left w:val="single" w:sz="4" w:space="0" w:color="auto"/>
            </w:tcBorders>
            <w:shd w:val="clear" w:color="auto" w:fill="auto"/>
            <w:vAlign w:val="bottom"/>
          </w:tcPr>
          <w:p w14:paraId="7BB131E8" w14:textId="54741692"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28.4</w:t>
            </w:r>
          </w:p>
        </w:tc>
        <w:tc>
          <w:tcPr>
            <w:tcW w:w="0" w:type="dxa"/>
            <w:tcBorders>
              <w:right w:val="single" w:sz="4" w:space="0" w:color="auto"/>
            </w:tcBorders>
            <w:shd w:val="clear" w:color="auto" w:fill="auto"/>
            <w:vAlign w:val="bottom"/>
          </w:tcPr>
          <w:p w14:paraId="57D4851F" w14:textId="0C6C5A2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+4.9</w:t>
            </w:r>
          </w:p>
        </w:tc>
        <w:tc>
          <w:tcPr>
            <w:tcW w:w="0" w:type="dxa"/>
            <w:tcBorders>
              <w:left w:val="single" w:sz="4" w:space="0" w:color="auto"/>
            </w:tcBorders>
            <w:shd w:val="clear" w:color="auto" w:fill="auto"/>
            <w:vAlign w:val="bottom"/>
          </w:tcPr>
          <w:p w14:paraId="0F03C936" w14:textId="339F2B5A"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6.7</w:t>
            </w:r>
          </w:p>
        </w:tc>
        <w:tc>
          <w:tcPr>
            <w:tcW w:w="0" w:type="dxa"/>
            <w:tcBorders>
              <w:right w:val="single" w:sz="4" w:space="0" w:color="auto"/>
            </w:tcBorders>
            <w:shd w:val="clear" w:color="auto" w:fill="auto"/>
            <w:vAlign w:val="bottom"/>
          </w:tcPr>
          <w:p w14:paraId="1F4AD304" w14:textId="7942FC10"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+0.6</w:t>
            </w:r>
          </w:p>
        </w:tc>
        <w:tc>
          <w:tcPr>
            <w:tcW w:w="0" w:type="dxa"/>
            <w:tcBorders>
              <w:left w:val="single" w:sz="4" w:space="0" w:color="auto"/>
            </w:tcBorders>
            <w:shd w:val="clear" w:color="auto" w:fill="auto"/>
            <w:vAlign w:val="bottom"/>
          </w:tcPr>
          <w:p w14:paraId="148E155A" w14:textId="65FA5A5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5.0</w:t>
            </w:r>
          </w:p>
        </w:tc>
        <w:tc>
          <w:tcPr>
            <w:tcW w:w="0" w:type="dxa"/>
            <w:tcBorders>
              <w:right w:val="single" w:sz="4" w:space="0" w:color="auto"/>
            </w:tcBorders>
            <w:shd w:val="clear" w:color="auto" w:fill="auto"/>
            <w:vAlign w:val="bottom"/>
          </w:tcPr>
          <w:p w14:paraId="29D5C975" w14:textId="07E6F77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+0.2</w:t>
            </w:r>
          </w:p>
        </w:tc>
        <w:tc>
          <w:tcPr>
            <w:tcW w:w="0" w:type="dxa"/>
            <w:tcBorders>
              <w:left w:val="single" w:sz="4" w:space="0" w:color="auto"/>
            </w:tcBorders>
            <w:shd w:val="clear" w:color="auto" w:fill="auto"/>
            <w:vAlign w:val="bottom"/>
          </w:tcPr>
          <w:p w14:paraId="1860442A" w14:textId="2E9992B9"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D722FE">
              <w:t>26.5%</w:t>
            </w:r>
          </w:p>
        </w:tc>
        <w:tc>
          <w:tcPr>
            <w:tcW w:w="0" w:type="dxa"/>
            <w:shd w:val="clear" w:color="auto" w:fill="auto"/>
            <w:vAlign w:val="bottom"/>
          </w:tcPr>
          <w:p w14:paraId="3BAA7248" w14:textId="549E9241"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D722FE">
              <w:t>+3.4% pts</w:t>
            </w:r>
          </w:p>
        </w:tc>
      </w:tr>
      <w:tr w:rsidR="00AE1C31" w:rsidRPr="00C57C1A" w14:paraId="70AE5DEF" w14:textId="14EF13E8" w:rsidTr="0030243C">
        <w:trPr>
          <w:trHeight w:hRule="exact" w:val="68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17A2A9AF" w14:textId="77777777" w:rsidR="0030243C" w:rsidRPr="00B71532" w:rsidRDefault="0030243C" w:rsidP="0030243C">
            <w:pPr>
              <w:pStyle w:val="Tablebodycopy"/>
              <w:rPr>
                <w:rFonts w:asciiTheme="minorHAnsi" w:hAnsiTheme="minorHAnsi" w:cstheme="minorHAnsi"/>
                <w:b w:val="0"/>
                <w:bCs w:val="0"/>
              </w:rPr>
            </w:pPr>
            <w:r w:rsidRPr="00B71532">
              <w:rPr>
                <w:rFonts w:asciiTheme="minorHAnsi" w:hAnsiTheme="minorHAnsi" w:cstheme="minorHAnsi"/>
                <w:b w:val="0"/>
                <w:bCs w:val="0"/>
              </w:rPr>
              <w:t xml:space="preserve">Sports and Personal Service </w:t>
            </w:r>
          </w:p>
        </w:tc>
        <w:tc>
          <w:tcPr>
            <w:tcW w:w="0" w:type="dxa"/>
            <w:tcBorders>
              <w:left w:val="single" w:sz="4" w:space="0" w:color="auto"/>
            </w:tcBorders>
            <w:shd w:val="clear" w:color="auto" w:fill="auto"/>
            <w:vAlign w:val="bottom"/>
          </w:tcPr>
          <w:p w14:paraId="56546C93" w14:textId="1EA0A73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52.0%</w:t>
            </w:r>
          </w:p>
        </w:tc>
        <w:tc>
          <w:tcPr>
            <w:tcW w:w="0" w:type="dxa"/>
            <w:tcBorders>
              <w:right w:val="single" w:sz="4" w:space="0" w:color="auto"/>
            </w:tcBorders>
            <w:shd w:val="clear" w:color="auto" w:fill="auto"/>
            <w:vAlign w:val="bottom"/>
          </w:tcPr>
          <w:p w14:paraId="7FD6209C" w14:textId="318E2CF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+2.7% pts</w:t>
            </w:r>
          </w:p>
        </w:tc>
        <w:tc>
          <w:tcPr>
            <w:tcW w:w="0" w:type="dxa"/>
            <w:tcBorders>
              <w:left w:val="single" w:sz="4" w:space="0" w:color="auto"/>
            </w:tcBorders>
            <w:shd w:val="clear" w:color="auto" w:fill="auto"/>
            <w:vAlign w:val="bottom"/>
          </w:tcPr>
          <w:p w14:paraId="54ADFF60" w14:textId="2FB6017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9.9</w:t>
            </w:r>
          </w:p>
        </w:tc>
        <w:tc>
          <w:tcPr>
            <w:tcW w:w="0" w:type="dxa"/>
            <w:tcBorders>
              <w:right w:val="single" w:sz="4" w:space="0" w:color="auto"/>
            </w:tcBorders>
            <w:shd w:val="clear" w:color="auto" w:fill="auto"/>
            <w:vAlign w:val="bottom"/>
          </w:tcPr>
          <w:p w14:paraId="322AE5B6" w14:textId="428948B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+1.8</w:t>
            </w:r>
          </w:p>
        </w:tc>
        <w:tc>
          <w:tcPr>
            <w:tcW w:w="0" w:type="dxa"/>
            <w:tcBorders>
              <w:left w:val="single" w:sz="4" w:space="0" w:color="auto"/>
            </w:tcBorders>
            <w:shd w:val="clear" w:color="auto" w:fill="auto"/>
            <w:vAlign w:val="bottom"/>
          </w:tcPr>
          <w:p w14:paraId="32BB36CF" w14:textId="6FE30D3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2.5</w:t>
            </w:r>
          </w:p>
        </w:tc>
        <w:tc>
          <w:tcPr>
            <w:tcW w:w="0" w:type="dxa"/>
            <w:tcBorders>
              <w:right w:val="single" w:sz="4" w:space="0" w:color="auto"/>
            </w:tcBorders>
            <w:shd w:val="clear" w:color="auto" w:fill="auto"/>
            <w:vAlign w:val="bottom"/>
          </w:tcPr>
          <w:p w14:paraId="533265CF" w14:textId="1E8B1CB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auto"/>
            <w:vAlign w:val="bottom"/>
          </w:tcPr>
          <w:p w14:paraId="4F78A265" w14:textId="0DD9EB3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1.4</w:t>
            </w:r>
          </w:p>
        </w:tc>
        <w:tc>
          <w:tcPr>
            <w:tcW w:w="0" w:type="dxa"/>
            <w:tcBorders>
              <w:right w:val="single" w:sz="4" w:space="0" w:color="auto"/>
            </w:tcBorders>
            <w:shd w:val="clear" w:color="auto" w:fill="auto"/>
            <w:vAlign w:val="bottom"/>
          </w:tcPr>
          <w:p w14:paraId="61FAE19E" w14:textId="086534BD"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tcBorders>
            <w:vAlign w:val="bottom"/>
          </w:tcPr>
          <w:p w14:paraId="3694F090" w14:textId="625DB9A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FF0000"/>
              </w:rPr>
            </w:pPr>
            <w:r w:rsidRPr="00D722FE">
              <w:t>43.4%</w:t>
            </w:r>
          </w:p>
        </w:tc>
        <w:tc>
          <w:tcPr>
            <w:tcW w:w="0" w:type="dxa"/>
            <w:vAlign w:val="bottom"/>
          </w:tcPr>
          <w:p w14:paraId="32DB7B15" w14:textId="40A8270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FF0000"/>
              </w:rPr>
            </w:pPr>
            <w:r w:rsidRPr="00D722FE">
              <w:t>+3.1% pts</w:t>
            </w:r>
          </w:p>
        </w:tc>
      </w:tr>
      <w:tr w:rsidR="00971AA2" w:rsidRPr="00C57C1A" w14:paraId="4A397C00" w14:textId="290D9944" w:rsidTr="00E05811">
        <w:trPr>
          <w:cnfStyle w:val="000000100000" w:firstRow="0" w:lastRow="0" w:firstColumn="0" w:lastColumn="0" w:oddVBand="0" w:evenVBand="0" w:oddHBand="1" w:evenHBand="0" w:firstRowFirstColumn="0" w:firstRowLastColumn="0" w:lastRowFirstColumn="0" w:lastRowLastColumn="0"/>
          <w:trHeight w:hRule="exact" w:val="89"/>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auto"/>
            </w:tcBorders>
            <w:shd w:val="clear" w:color="auto" w:fill="auto"/>
          </w:tcPr>
          <w:p w14:paraId="6C569D79" w14:textId="77777777" w:rsidR="00971AA2" w:rsidRPr="00B71532" w:rsidRDefault="00971AA2" w:rsidP="00971AA2">
            <w:pPr>
              <w:pStyle w:val="Tablebodycopy"/>
              <w:rPr>
                <w:rFonts w:asciiTheme="minorHAnsi" w:hAnsiTheme="minorHAnsi" w:cstheme="minorHAnsi"/>
                <w:b w:val="0"/>
                <w:bCs w:val="0"/>
              </w:rPr>
            </w:pPr>
          </w:p>
          <w:p w14:paraId="51E40A57" w14:textId="77777777" w:rsidR="00971AA2" w:rsidRPr="00B71532" w:rsidRDefault="00971AA2" w:rsidP="00971AA2">
            <w:pPr>
              <w:pStyle w:val="Tablebodycopy"/>
              <w:rPr>
                <w:rFonts w:asciiTheme="minorHAnsi" w:hAnsiTheme="minorHAnsi" w:cstheme="minorHAnsi"/>
              </w:rPr>
            </w:pPr>
          </w:p>
        </w:tc>
        <w:tc>
          <w:tcPr>
            <w:tcW w:w="1275" w:type="dxa"/>
            <w:tcBorders>
              <w:left w:val="single" w:sz="4" w:space="0" w:color="auto"/>
            </w:tcBorders>
            <w:shd w:val="clear" w:color="auto" w:fill="auto"/>
          </w:tcPr>
          <w:p w14:paraId="346D8E49"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18" w:type="dxa"/>
            <w:tcBorders>
              <w:right w:val="single" w:sz="4" w:space="0" w:color="auto"/>
            </w:tcBorders>
            <w:shd w:val="clear" w:color="auto" w:fill="auto"/>
          </w:tcPr>
          <w:p w14:paraId="69F868D3"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76" w:type="dxa"/>
            <w:tcBorders>
              <w:left w:val="single" w:sz="4" w:space="0" w:color="auto"/>
            </w:tcBorders>
            <w:shd w:val="clear" w:color="auto" w:fill="auto"/>
          </w:tcPr>
          <w:p w14:paraId="79DA4C7A"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right w:val="single" w:sz="4" w:space="0" w:color="auto"/>
            </w:tcBorders>
            <w:shd w:val="clear" w:color="auto" w:fill="auto"/>
          </w:tcPr>
          <w:p w14:paraId="46B4DEC1"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75" w:type="dxa"/>
            <w:tcBorders>
              <w:left w:val="single" w:sz="4" w:space="0" w:color="auto"/>
            </w:tcBorders>
            <w:shd w:val="clear" w:color="auto" w:fill="auto"/>
          </w:tcPr>
          <w:p w14:paraId="23D26476"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right w:val="single" w:sz="4" w:space="0" w:color="auto"/>
            </w:tcBorders>
            <w:shd w:val="clear" w:color="auto" w:fill="auto"/>
          </w:tcPr>
          <w:p w14:paraId="5964CE3E"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76" w:type="dxa"/>
            <w:tcBorders>
              <w:left w:val="single" w:sz="4" w:space="0" w:color="auto"/>
            </w:tcBorders>
            <w:shd w:val="clear" w:color="auto" w:fill="auto"/>
          </w:tcPr>
          <w:p w14:paraId="0B491664"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right w:val="single" w:sz="4" w:space="0" w:color="auto"/>
            </w:tcBorders>
            <w:shd w:val="clear" w:color="auto" w:fill="auto"/>
          </w:tcPr>
          <w:p w14:paraId="0DECA318"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76" w:type="dxa"/>
            <w:tcBorders>
              <w:left w:val="single" w:sz="4" w:space="0" w:color="auto"/>
            </w:tcBorders>
          </w:tcPr>
          <w:p w14:paraId="706B4DF8"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76" w:type="dxa"/>
          </w:tcPr>
          <w:p w14:paraId="09BD87DE"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36A7E" w:rsidRPr="007C7AEA" w14:paraId="0CDDDC8E" w14:textId="47121209" w:rsidTr="00E05811">
        <w:trPr>
          <w:trHeight w:hRule="exact" w:val="505"/>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auto"/>
            </w:tcBorders>
            <w:shd w:val="clear" w:color="auto" w:fill="002060"/>
          </w:tcPr>
          <w:p w14:paraId="1A56F341" w14:textId="77777777" w:rsidR="00971AA2" w:rsidRPr="00B71532" w:rsidRDefault="00971AA2" w:rsidP="00971AA2">
            <w:pPr>
              <w:pStyle w:val="Tablebodycopy"/>
              <w:rPr>
                <w:rFonts w:asciiTheme="minorHAnsi" w:hAnsiTheme="minorHAnsi" w:cstheme="minorHAnsi"/>
                <w:color w:val="FFFFFF" w:themeColor="background1"/>
              </w:rPr>
            </w:pPr>
            <w:r w:rsidRPr="00B71532">
              <w:rPr>
                <w:rFonts w:asciiTheme="minorHAnsi" w:hAnsiTheme="minorHAnsi" w:cstheme="minorHAnsi"/>
                <w:b w:val="0"/>
                <w:bCs w:val="0"/>
                <w:i/>
                <w:iCs/>
                <w:color w:val="FFFFFF" w:themeColor="background1"/>
              </w:rPr>
              <w:t>Metro/regional</w:t>
            </w:r>
          </w:p>
        </w:tc>
        <w:tc>
          <w:tcPr>
            <w:tcW w:w="1275" w:type="dxa"/>
            <w:tcBorders>
              <w:left w:val="single" w:sz="4" w:space="0" w:color="auto"/>
            </w:tcBorders>
            <w:shd w:val="clear" w:color="auto" w:fill="002060"/>
          </w:tcPr>
          <w:p w14:paraId="14BEC3A2"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418" w:type="dxa"/>
            <w:tcBorders>
              <w:right w:val="single" w:sz="4" w:space="0" w:color="auto"/>
            </w:tcBorders>
            <w:shd w:val="clear" w:color="auto" w:fill="002060"/>
          </w:tcPr>
          <w:p w14:paraId="7563C81C"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276" w:type="dxa"/>
            <w:tcBorders>
              <w:left w:val="single" w:sz="4" w:space="0" w:color="auto"/>
            </w:tcBorders>
            <w:shd w:val="clear" w:color="auto" w:fill="002060"/>
          </w:tcPr>
          <w:p w14:paraId="1000C519"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134" w:type="dxa"/>
            <w:tcBorders>
              <w:right w:val="single" w:sz="4" w:space="0" w:color="auto"/>
            </w:tcBorders>
            <w:shd w:val="clear" w:color="auto" w:fill="002060"/>
          </w:tcPr>
          <w:p w14:paraId="08960B5B"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275" w:type="dxa"/>
            <w:tcBorders>
              <w:left w:val="single" w:sz="4" w:space="0" w:color="auto"/>
            </w:tcBorders>
            <w:shd w:val="clear" w:color="auto" w:fill="002060"/>
          </w:tcPr>
          <w:p w14:paraId="7F3E492B"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134" w:type="dxa"/>
            <w:tcBorders>
              <w:right w:val="single" w:sz="4" w:space="0" w:color="auto"/>
            </w:tcBorders>
            <w:shd w:val="clear" w:color="auto" w:fill="002060"/>
          </w:tcPr>
          <w:p w14:paraId="1389EFC8"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276" w:type="dxa"/>
            <w:tcBorders>
              <w:left w:val="single" w:sz="4" w:space="0" w:color="auto"/>
            </w:tcBorders>
            <w:shd w:val="clear" w:color="auto" w:fill="002060"/>
          </w:tcPr>
          <w:p w14:paraId="2DC09A8F"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134" w:type="dxa"/>
            <w:tcBorders>
              <w:right w:val="single" w:sz="4" w:space="0" w:color="auto"/>
            </w:tcBorders>
            <w:shd w:val="clear" w:color="auto" w:fill="002060"/>
          </w:tcPr>
          <w:p w14:paraId="50F61DB0"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276" w:type="dxa"/>
            <w:tcBorders>
              <w:left w:val="single" w:sz="4" w:space="0" w:color="auto"/>
            </w:tcBorders>
            <w:shd w:val="clear" w:color="auto" w:fill="002060"/>
          </w:tcPr>
          <w:p w14:paraId="5DBFCB1E"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276" w:type="dxa"/>
            <w:shd w:val="clear" w:color="auto" w:fill="002060"/>
          </w:tcPr>
          <w:p w14:paraId="1B4ABA90"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r>
      <w:tr w:rsidR="00AE1C31" w:rsidRPr="00C57C1A" w14:paraId="37A58D71" w14:textId="1CE3F13E" w:rsidTr="0030243C">
        <w:trPr>
          <w:cnfStyle w:val="000000100000" w:firstRow="0" w:lastRow="0" w:firstColumn="0" w:lastColumn="0" w:oddVBand="0" w:evenVBand="0" w:oddHBand="1"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3662F17A" w14:textId="77777777" w:rsidR="0030243C" w:rsidRPr="00B71532" w:rsidRDefault="0030243C" w:rsidP="0030243C">
            <w:pPr>
              <w:pStyle w:val="Tablebodycopy"/>
              <w:rPr>
                <w:rFonts w:asciiTheme="minorHAnsi" w:hAnsiTheme="minorHAnsi" w:cstheme="minorHAnsi"/>
                <w:i/>
                <w:iCs/>
              </w:rPr>
            </w:pPr>
            <w:r w:rsidRPr="00B71532">
              <w:rPr>
                <w:rFonts w:asciiTheme="minorHAnsi" w:hAnsiTheme="minorHAnsi" w:cstheme="minorHAnsi"/>
                <w:b w:val="0"/>
                <w:bCs w:val="0"/>
              </w:rPr>
              <w:t>Metro</w:t>
            </w:r>
          </w:p>
        </w:tc>
        <w:tc>
          <w:tcPr>
            <w:tcW w:w="0" w:type="dxa"/>
            <w:tcBorders>
              <w:left w:val="single" w:sz="4" w:space="0" w:color="auto"/>
            </w:tcBorders>
            <w:shd w:val="clear" w:color="auto" w:fill="auto"/>
            <w:vAlign w:val="bottom"/>
          </w:tcPr>
          <w:p w14:paraId="0CD6B083" w14:textId="45E69A4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65.6%</w:t>
            </w:r>
          </w:p>
        </w:tc>
        <w:tc>
          <w:tcPr>
            <w:tcW w:w="0" w:type="dxa"/>
            <w:tcBorders>
              <w:right w:val="single" w:sz="4" w:space="0" w:color="auto"/>
            </w:tcBorders>
            <w:shd w:val="clear" w:color="auto" w:fill="auto"/>
            <w:vAlign w:val="bottom"/>
          </w:tcPr>
          <w:p w14:paraId="233E473E" w14:textId="26D4A47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+1.4% pts</w:t>
            </w:r>
          </w:p>
        </w:tc>
        <w:tc>
          <w:tcPr>
            <w:tcW w:w="0" w:type="dxa"/>
            <w:tcBorders>
              <w:left w:val="single" w:sz="4" w:space="0" w:color="auto"/>
            </w:tcBorders>
            <w:shd w:val="clear" w:color="auto" w:fill="auto"/>
            <w:vAlign w:val="bottom"/>
          </w:tcPr>
          <w:p w14:paraId="273FCB19" w14:textId="5ABBE9C0"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21.1</w:t>
            </w:r>
          </w:p>
        </w:tc>
        <w:tc>
          <w:tcPr>
            <w:tcW w:w="0" w:type="dxa"/>
            <w:tcBorders>
              <w:right w:val="single" w:sz="4" w:space="0" w:color="auto"/>
            </w:tcBorders>
            <w:shd w:val="clear" w:color="auto" w:fill="auto"/>
            <w:vAlign w:val="bottom"/>
          </w:tcPr>
          <w:p w14:paraId="555F530D" w14:textId="7936E652"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+1.2</w:t>
            </w:r>
          </w:p>
        </w:tc>
        <w:tc>
          <w:tcPr>
            <w:tcW w:w="0" w:type="dxa"/>
            <w:tcBorders>
              <w:left w:val="single" w:sz="4" w:space="0" w:color="auto"/>
            </w:tcBorders>
            <w:shd w:val="clear" w:color="auto" w:fill="auto"/>
            <w:vAlign w:val="bottom"/>
          </w:tcPr>
          <w:p w14:paraId="4501F2D0" w14:textId="03856CF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7.2</w:t>
            </w:r>
          </w:p>
        </w:tc>
        <w:tc>
          <w:tcPr>
            <w:tcW w:w="0" w:type="dxa"/>
            <w:tcBorders>
              <w:right w:val="single" w:sz="4" w:space="0" w:color="auto"/>
            </w:tcBorders>
            <w:shd w:val="clear" w:color="auto" w:fill="auto"/>
            <w:vAlign w:val="bottom"/>
          </w:tcPr>
          <w:p w14:paraId="76CCEE46" w14:textId="576D2698"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+0.3</w:t>
            </w:r>
          </w:p>
        </w:tc>
        <w:tc>
          <w:tcPr>
            <w:tcW w:w="0" w:type="dxa"/>
            <w:tcBorders>
              <w:left w:val="single" w:sz="4" w:space="0" w:color="auto"/>
            </w:tcBorders>
            <w:shd w:val="clear" w:color="auto" w:fill="auto"/>
            <w:vAlign w:val="bottom"/>
          </w:tcPr>
          <w:p w14:paraId="2EDDF608" w14:textId="5625B2E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3.0</w:t>
            </w:r>
          </w:p>
        </w:tc>
        <w:tc>
          <w:tcPr>
            <w:tcW w:w="0" w:type="dxa"/>
            <w:tcBorders>
              <w:right w:val="single" w:sz="4" w:space="0" w:color="auto"/>
            </w:tcBorders>
            <w:shd w:val="clear" w:color="auto" w:fill="auto"/>
            <w:vAlign w:val="bottom"/>
          </w:tcPr>
          <w:p w14:paraId="14345B77" w14:textId="681BC9D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auto"/>
            <w:vAlign w:val="bottom"/>
          </w:tcPr>
          <w:p w14:paraId="2D1B1DE9" w14:textId="0DEE8FA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B02761">
              <w:t>58.5%</w:t>
            </w:r>
          </w:p>
        </w:tc>
        <w:tc>
          <w:tcPr>
            <w:tcW w:w="0" w:type="dxa"/>
            <w:shd w:val="clear" w:color="auto" w:fill="auto"/>
            <w:vAlign w:val="bottom"/>
          </w:tcPr>
          <w:p w14:paraId="6FAAA393" w14:textId="1409345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B02761">
              <w:t>+1.0% pts</w:t>
            </w:r>
          </w:p>
        </w:tc>
      </w:tr>
      <w:tr w:rsidR="00AE1C31" w:rsidRPr="00C57C1A" w14:paraId="62E32020" w14:textId="00522642" w:rsidTr="0030243C">
        <w:trPr>
          <w:trHeight w:hRule="exact" w:val="383"/>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652FFE24"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Regional</w:t>
            </w:r>
          </w:p>
        </w:tc>
        <w:tc>
          <w:tcPr>
            <w:tcW w:w="0" w:type="dxa"/>
            <w:tcBorders>
              <w:left w:val="single" w:sz="4" w:space="0" w:color="auto"/>
            </w:tcBorders>
            <w:shd w:val="clear" w:color="auto" w:fill="auto"/>
            <w:vAlign w:val="bottom"/>
          </w:tcPr>
          <w:p w14:paraId="7D359FF6" w14:textId="17EA6D7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58.5%</w:t>
            </w:r>
          </w:p>
        </w:tc>
        <w:tc>
          <w:tcPr>
            <w:tcW w:w="0" w:type="dxa"/>
            <w:tcBorders>
              <w:right w:val="single" w:sz="4" w:space="0" w:color="auto"/>
            </w:tcBorders>
            <w:shd w:val="clear" w:color="auto" w:fill="auto"/>
            <w:vAlign w:val="bottom"/>
          </w:tcPr>
          <w:p w14:paraId="0D46AE5C" w14:textId="00DC67E4"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+0.3% pts</w:t>
            </w:r>
          </w:p>
        </w:tc>
        <w:tc>
          <w:tcPr>
            <w:tcW w:w="0" w:type="dxa"/>
            <w:tcBorders>
              <w:left w:val="single" w:sz="4" w:space="0" w:color="auto"/>
            </w:tcBorders>
            <w:shd w:val="clear" w:color="auto" w:fill="auto"/>
            <w:vAlign w:val="bottom"/>
          </w:tcPr>
          <w:p w14:paraId="6B9BBAFD" w14:textId="2FA955C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11.0</w:t>
            </w:r>
          </w:p>
        </w:tc>
        <w:tc>
          <w:tcPr>
            <w:tcW w:w="0" w:type="dxa"/>
            <w:tcBorders>
              <w:right w:val="single" w:sz="4" w:space="0" w:color="auto"/>
            </w:tcBorders>
            <w:shd w:val="clear" w:color="auto" w:fill="auto"/>
            <w:vAlign w:val="bottom"/>
          </w:tcPr>
          <w:p w14:paraId="50616542" w14:textId="57CE813D"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+0.6</w:t>
            </w:r>
          </w:p>
        </w:tc>
        <w:tc>
          <w:tcPr>
            <w:tcW w:w="0" w:type="dxa"/>
            <w:tcBorders>
              <w:left w:val="single" w:sz="4" w:space="0" w:color="auto"/>
            </w:tcBorders>
            <w:shd w:val="clear" w:color="auto" w:fill="auto"/>
            <w:vAlign w:val="bottom"/>
          </w:tcPr>
          <w:p w14:paraId="43767DCD" w14:textId="5D9DF3D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3.5</w:t>
            </w:r>
          </w:p>
        </w:tc>
        <w:tc>
          <w:tcPr>
            <w:tcW w:w="0" w:type="dxa"/>
            <w:tcBorders>
              <w:right w:val="single" w:sz="4" w:space="0" w:color="auto"/>
            </w:tcBorders>
            <w:shd w:val="clear" w:color="auto" w:fill="auto"/>
            <w:vAlign w:val="bottom"/>
          </w:tcPr>
          <w:p w14:paraId="33C4FFBC" w14:textId="323A02C6"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+0.2</w:t>
            </w:r>
          </w:p>
        </w:tc>
        <w:tc>
          <w:tcPr>
            <w:tcW w:w="0" w:type="dxa"/>
            <w:tcBorders>
              <w:left w:val="single" w:sz="4" w:space="0" w:color="auto"/>
            </w:tcBorders>
            <w:shd w:val="clear" w:color="auto" w:fill="auto"/>
            <w:vAlign w:val="bottom"/>
          </w:tcPr>
          <w:p w14:paraId="2793961B" w14:textId="05CB6F0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1.9</w:t>
            </w:r>
          </w:p>
        </w:tc>
        <w:tc>
          <w:tcPr>
            <w:tcW w:w="0" w:type="dxa"/>
            <w:tcBorders>
              <w:right w:val="single" w:sz="4" w:space="0" w:color="auto"/>
            </w:tcBorders>
            <w:shd w:val="clear" w:color="auto" w:fill="auto"/>
            <w:vAlign w:val="bottom"/>
          </w:tcPr>
          <w:p w14:paraId="63F2563C" w14:textId="6A724F7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vAlign w:val="bottom"/>
          </w:tcPr>
          <w:p w14:paraId="2327CC86" w14:textId="402A8696"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B02761">
              <w:t>47.8%</w:t>
            </w:r>
          </w:p>
        </w:tc>
        <w:tc>
          <w:tcPr>
            <w:tcW w:w="0" w:type="dxa"/>
            <w:vAlign w:val="bottom"/>
          </w:tcPr>
          <w:p w14:paraId="6A925C29" w14:textId="3A7A082D"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B02761">
              <w:t>+5.8% pts</w:t>
            </w:r>
          </w:p>
        </w:tc>
      </w:tr>
      <w:tr w:rsidR="00971AA2" w:rsidRPr="00C57C1A" w14:paraId="233CDD42" w14:textId="0BE674DB" w:rsidTr="00E05811">
        <w:trPr>
          <w:cnfStyle w:val="000000100000" w:firstRow="0" w:lastRow="0" w:firstColumn="0" w:lastColumn="0" w:oddVBand="0" w:evenVBand="0" w:oddHBand="1" w:evenHBand="0" w:firstRowFirstColumn="0" w:firstRowLastColumn="0" w:lastRowFirstColumn="0" w:lastRowLastColumn="0"/>
          <w:trHeight w:hRule="exact" w:val="65"/>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auto"/>
            </w:tcBorders>
            <w:shd w:val="clear" w:color="auto" w:fill="auto"/>
          </w:tcPr>
          <w:p w14:paraId="3E544DC8" w14:textId="77777777" w:rsidR="00971AA2" w:rsidRPr="00B71532" w:rsidRDefault="00971AA2" w:rsidP="00971AA2">
            <w:pPr>
              <w:pStyle w:val="Tablebodycopy"/>
              <w:rPr>
                <w:rFonts w:asciiTheme="minorHAnsi" w:hAnsiTheme="minorHAnsi" w:cstheme="minorHAnsi"/>
              </w:rPr>
            </w:pPr>
          </w:p>
        </w:tc>
        <w:tc>
          <w:tcPr>
            <w:tcW w:w="1275" w:type="dxa"/>
            <w:tcBorders>
              <w:left w:val="single" w:sz="4" w:space="0" w:color="auto"/>
            </w:tcBorders>
            <w:shd w:val="clear" w:color="auto" w:fill="auto"/>
          </w:tcPr>
          <w:p w14:paraId="4338C98C"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498DC2B" w14:textId="77777777" w:rsidR="00971AA2" w:rsidRPr="00B71532" w:rsidRDefault="00971AA2" w:rsidP="00971A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418" w:type="dxa"/>
            <w:tcBorders>
              <w:right w:val="single" w:sz="4" w:space="0" w:color="auto"/>
            </w:tcBorders>
            <w:shd w:val="clear" w:color="auto" w:fill="auto"/>
          </w:tcPr>
          <w:p w14:paraId="2743556F"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76" w:type="dxa"/>
            <w:tcBorders>
              <w:left w:val="single" w:sz="4" w:space="0" w:color="auto"/>
            </w:tcBorders>
            <w:shd w:val="clear" w:color="auto" w:fill="auto"/>
          </w:tcPr>
          <w:p w14:paraId="5D3147E2"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right w:val="single" w:sz="4" w:space="0" w:color="auto"/>
            </w:tcBorders>
            <w:shd w:val="clear" w:color="auto" w:fill="auto"/>
          </w:tcPr>
          <w:p w14:paraId="469F8AA8"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1973BE6" w14:textId="77777777" w:rsidR="00971AA2" w:rsidRPr="00B71532" w:rsidRDefault="00971AA2" w:rsidP="00971A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p w14:paraId="51E1E3D6" w14:textId="77777777" w:rsidR="00971AA2" w:rsidRPr="00B71532" w:rsidRDefault="00971AA2" w:rsidP="00971A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275" w:type="dxa"/>
            <w:tcBorders>
              <w:left w:val="single" w:sz="4" w:space="0" w:color="auto"/>
            </w:tcBorders>
            <w:shd w:val="clear" w:color="auto" w:fill="auto"/>
          </w:tcPr>
          <w:p w14:paraId="61EE5731"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right w:val="single" w:sz="4" w:space="0" w:color="auto"/>
            </w:tcBorders>
            <w:shd w:val="clear" w:color="auto" w:fill="auto"/>
          </w:tcPr>
          <w:p w14:paraId="0F93D376"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76" w:type="dxa"/>
            <w:tcBorders>
              <w:left w:val="single" w:sz="4" w:space="0" w:color="auto"/>
            </w:tcBorders>
            <w:shd w:val="clear" w:color="auto" w:fill="auto"/>
          </w:tcPr>
          <w:p w14:paraId="3524157B"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4" w:type="dxa"/>
            <w:tcBorders>
              <w:right w:val="single" w:sz="4" w:space="0" w:color="auto"/>
            </w:tcBorders>
            <w:shd w:val="clear" w:color="auto" w:fill="auto"/>
          </w:tcPr>
          <w:p w14:paraId="4458F1B1"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76" w:type="dxa"/>
            <w:tcBorders>
              <w:left w:val="single" w:sz="4" w:space="0" w:color="auto"/>
            </w:tcBorders>
          </w:tcPr>
          <w:p w14:paraId="071B9AF4"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76" w:type="dxa"/>
          </w:tcPr>
          <w:p w14:paraId="231D9CE6" w14:textId="77777777" w:rsidR="00971AA2" w:rsidRPr="00B71532" w:rsidRDefault="00971AA2" w:rsidP="00971AA2">
            <w:pPr>
              <w:pStyle w:val="Tablebodycopy"/>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71AA2" w:rsidRPr="007C7AEA" w14:paraId="3585B3C0" w14:textId="4218E4E4" w:rsidTr="00E05811">
        <w:trPr>
          <w:trHeight w:hRule="exact" w:val="608"/>
        </w:trPr>
        <w:tc>
          <w:tcPr>
            <w:cnfStyle w:val="001000000000" w:firstRow="0" w:lastRow="0" w:firstColumn="1" w:lastColumn="0" w:oddVBand="0" w:evenVBand="0" w:oddHBand="0" w:evenHBand="0" w:firstRowFirstColumn="0" w:firstRowLastColumn="0" w:lastRowFirstColumn="0" w:lastRowLastColumn="0"/>
            <w:tcW w:w="13325" w:type="dxa"/>
            <w:gridSpan w:val="10"/>
            <w:shd w:val="clear" w:color="auto" w:fill="002060"/>
          </w:tcPr>
          <w:p w14:paraId="25D1E111" w14:textId="27F1525E" w:rsidR="00971AA2" w:rsidRPr="00B71532" w:rsidRDefault="00971AA2" w:rsidP="00971AA2">
            <w:pPr>
              <w:pStyle w:val="Tablebodycopy"/>
              <w:rPr>
                <w:rFonts w:asciiTheme="minorHAnsi" w:hAnsiTheme="minorHAnsi" w:cstheme="minorHAnsi"/>
                <w:color w:val="FFFFFF" w:themeColor="background1"/>
              </w:rPr>
            </w:pPr>
            <w:r w:rsidRPr="00B71532">
              <w:rPr>
                <w:rFonts w:asciiTheme="minorHAnsi" w:hAnsiTheme="minorHAnsi" w:cstheme="minorHAnsi"/>
                <w:b w:val="0"/>
                <w:bCs w:val="0"/>
                <w:i/>
                <w:iCs/>
                <w:color w:val="FFFFFF" w:themeColor="background1"/>
              </w:rPr>
              <w:t>Metro/regional – broad occupation groups</w:t>
            </w:r>
          </w:p>
        </w:tc>
        <w:tc>
          <w:tcPr>
            <w:tcW w:w="1276" w:type="dxa"/>
            <w:shd w:val="clear" w:color="auto" w:fill="002060"/>
          </w:tcPr>
          <w:p w14:paraId="5011E7A7" w14:textId="77777777" w:rsidR="00971AA2" w:rsidRPr="00B71532" w:rsidRDefault="00971AA2" w:rsidP="00971AA2">
            <w:pPr>
              <w:pStyle w:val="Tablebodycopy"/>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r>
      <w:tr w:rsidR="00971AA2" w:rsidRPr="00C57C1A" w14:paraId="36C3D5FC" w14:textId="59F0CFED" w:rsidTr="00E05811">
        <w:trPr>
          <w:cnfStyle w:val="000000100000" w:firstRow="0" w:lastRow="0" w:firstColumn="0" w:lastColumn="0" w:oddVBand="0" w:evenVBand="0" w:oddHBand="1"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4601" w:type="dxa"/>
            <w:gridSpan w:val="11"/>
            <w:tcBorders>
              <w:left w:val="single" w:sz="4" w:space="0" w:color="auto"/>
            </w:tcBorders>
            <w:shd w:val="clear" w:color="auto" w:fill="D9D9D9" w:themeFill="background1" w:themeFillShade="D9"/>
          </w:tcPr>
          <w:p w14:paraId="0665A446" w14:textId="10D030E3" w:rsidR="00971AA2" w:rsidRPr="00B71532" w:rsidRDefault="00971AA2" w:rsidP="00971AA2">
            <w:pPr>
              <w:pStyle w:val="Tablebodycopy"/>
              <w:rPr>
                <w:rFonts w:asciiTheme="minorHAnsi" w:hAnsiTheme="minorHAnsi" w:cstheme="minorHAnsi"/>
              </w:rPr>
            </w:pPr>
            <w:r w:rsidRPr="00B71532">
              <w:rPr>
                <w:rFonts w:asciiTheme="minorHAnsi" w:hAnsiTheme="minorHAnsi" w:cstheme="minorHAnsi"/>
                <w:b w:val="0"/>
                <w:bCs w:val="0"/>
              </w:rPr>
              <w:t>Professionals</w:t>
            </w:r>
          </w:p>
        </w:tc>
      </w:tr>
      <w:tr w:rsidR="00AE1C31" w:rsidRPr="00C57C1A" w14:paraId="6088479E" w14:textId="045BB77F" w:rsidTr="0030243C">
        <w:trPr>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11F4E91C"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Metro</w:t>
            </w:r>
          </w:p>
        </w:tc>
        <w:tc>
          <w:tcPr>
            <w:tcW w:w="0" w:type="dxa"/>
            <w:tcBorders>
              <w:left w:val="single" w:sz="4" w:space="0" w:color="auto"/>
            </w:tcBorders>
            <w:shd w:val="clear" w:color="auto" w:fill="auto"/>
            <w:vAlign w:val="bottom"/>
          </w:tcPr>
          <w:p w14:paraId="7B9F925D" w14:textId="49B47AC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67.2%</w:t>
            </w:r>
          </w:p>
        </w:tc>
        <w:tc>
          <w:tcPr>
            <w:tcW w:w="0" w:type="dxa"/>
            <w:tcBorders>
              <w:right w:val="single" w:sz="4" w:space="0" w:color="auto"/>
            </w:tcBorders>
            <w:shd w:val="clear" w:color="auto" w:fill="auto"/>
            <w:vAlign w:val="bottom"/>
          </w:tcPr>
          <w:p w14:paraId="33BEE6A8" w14:textId="02AC6E8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+1.2% pts</w:t>
            </w:r>
          </w:p>
        </w:tc>
        <w:tc>
          <w:tcPr>
            <w:tcW w:w="0" w:type="dxa"/>
            <w:tcBorders>
              <w:left w:val="single" w:sz="4" w:space="0" w:color="auto"/>
            </w:tcBorders>
            <w:shd w:val="clear" w:color="auto" w:fill="auto"/>
            <w:vAlign w:val="bottom"/>
          </w:tcPr>
          <w:p w14:paraId="3DA39206" w14:textId="7BE5719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21.5</w:t>
            </w:r>
          </w:p>
        </w:tc>
        <w:tc>
          <w:tcPr>
            <w:tcW w:w="0" w:type="dxa"/>
            <w:tcBorders>
              <w:right w:val="single" w:sz="4" w:space="0" w:color="auto"/>
            </w:tcBorders>
            <w:shd w:val="clear" w:color="auto" w:fill="auto"/>
            <w:vAlign w:val="bottom"/>
          </w:tcPr>
          <w:p w14:paraId="4725C599" w14:textId="4C2BA6F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+1.0</w:t>
            </w:r>
          </w:p>
        </w:tc>
        <w:tc>
          <w:tcPr>
            <w:tcW w:w="0" w:type="dxa"/>
            <w:tcBorders>
              <w:left w:val="single" w:sz="4" w:space="0" w:color="auto"/>
            </w:tcBorders>
            <w:shd w:val="clear" w:color="auto" w:fill="auto"/>
            <w:vAlign w:val="bottom"/>
          </w:tcPr>
          <w:p w14:paraId="0F1A5B1F" w14:textId="42AB0B30"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8.7</w:t>
            </w:r>
          </w:p>
        </w:tc>
        <w:tc>
          <w:tcPr>
            <w:tcW w:w="0" w:type="dxa"/>
            <w:tcBorders>
              <w:right w:val="single" w:sz="4" w:space="0" w:color="auto"/>
            </w:tcBorders>
            <w:shd w:val="clear" w:color="auto" w:fill="auto"/>
            <w:vAlign w:val="bottom"/>
          </w:tcPr>
          <w:p w14:paraId="01267441" w14:textId="40496D8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+0.4</w:t>
            </w:r>
          </w:p>
        </w:tc>
        <w:tc>
          <w:tcPr>
            <w:tcW w:w="0" w:type="dxa"/>
            <w:tcBorders>
              <w:left w:val="single" w:sz="4" w:space="0" w:color="auto"/>
            </w:tcBorders>
            <w:shd w:val="clear" w:color="auto" w:fill="auto"/>
            <w:vAlign w:val="bottom"/>
          </w:tcPr>
          <w:p w14:paraId="3B4699BC" w14:textId="42EB069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3.0</w:t>
            </w:r>
          </w:p>
        </w:tc>
        <w:tc>
          <w:tcPr>
            <w:tcW w:w="0" w:type="dxa"/>
            <w:tcBorders>
              <w:right w:val="single" w:sz="4" w:space="0" w:color="auto"/>
            </w:tcBorders>
            <w:shd w:val="clear" w:color="auto" w:fill="auto"/>
            <w:vAlign w:val="bottom"/>
          </w:tcPr>
          <w:p w14:paraId="1E849D03" w14:textId="51DABC88"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031BA">
              <w:rPr>
                <w:rFonts w:cs="Arial"/>
                <w:color w:val="000000"/>
              </w:rPr>
              <w:t xml:space="preserve"> +0.1</w:t>
            </w:r>
          </w:p>
        </w:tc>
        <w:tc>
          <w:tcPr>
            <w:tcW w:w="0" w:type="dxa"/>
            <w:tcBorders>
              <w:left w:val="single" w:sz="4" w:space="0" w:color="auto"/>
            </w:tcBorders>
            <w:vAlign w:val="bottom"/>
          </w:tcPr>
          <w:p w14:paraId="52179707" w14:textId="76987E76"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60B9E">
              <w:t>65.7%</w:t>
            </w:r>
          </w:p>
        </w:tc>
        <w:tc>
          <w:tcPr>
            <w:tcW w:w="0" w:type="dxa"/>
            <w:vAlign w:val="bottom"/>
          </w:tcPr>
          <w:p w14:paraId="4D9B411A" w14:textId="53386615"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60B9E">
              <w:t>+0.7% pts</w:t>
            </w:r>
          </w:p>
        </w:tc>
      </w:tr>
      <w:tr w:rsidR="00AE1C31" w:rsidRPr="00C57C1A" w14:paraId="46200B48" w14:textId="581D649A" w:rsidTr="0030243C">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673055D5"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Regional</w:t>
            </w:r>
          </w:p>
        </w:tc>
        <w:tc>
          <w:tcPr>
            <w:tcW w:w="0" w:type="dxa"/>
            <w:tcBorders>
              <w:left w:val="single" w:sz="4" w:space="0" w:color="auto"/>
            </w:tcBorders>
            <w:shd w:val="clear" w:color="auto" w:fill="auto"/>
            <w:vAlign w:val="bottom"/>
          </w:tcPr>
          <w:p w14:paraId="4459B9A0" w14:textId="55FADA0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53.6%</w:t>
            </w:r>
          </w:p>
        </w:tc>
        <w:tc>
          <w:tcPr>
            <w:tcW w:w="0" w:type="dxa"/>
            <w:tcBorders>
              <w:right w:val="single" w:sz="4" w:space="0" w:color="auto"/>
            </w:tcBorders>
            <w:shd w:val="clear" w:color="auto" w:fill="auto"/>
            <w:vAlign w:val="bottom"/>
          </w:tcPr>
          <w:p w14:paraId="41330285" w14:textId="6FDC1FC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+0.2% pts</w:t>
            </w:r>
          </w:p>
        </w:tc>
        <w:tc>
          <w:tcPr>
            <w:tcW w:w="0" w:type="dxa"/>
            <w:tcBorders>
              <w:left w:val="single" w:sz="4" w:space="0" w:color="auto"/>
            </w:tcBorders>
            <w:shd w:val="clear" w:color="auto" w:fill="auto"/>
            <w:vAlign w:val="bottom"/>
          </w:tcPr>
          <w:p w14:paraId="5CF48886" w14:textId="6DBF9CCC"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10.7</w:t>
            </w:r>
          </w:p>
        </w:tc>
        <w:tc>
          <w:tcPr>
            <w:tcW w:w="0" w:type="dxa"/>
            <w:tcBorders>
              <w:right w:val="single" w:sz="4" w:space="0" w:color="auto"/>
            </w:tcBorders>
            <w:shd w:val="clear" w:color="auto" w:fill="auto"/>
            <w:vAlign w:val="bottom"/>
          </w:tcPr>
          <w:p w14:paraId="2C265F36" w14:textId="76C07A2F"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+0.7</w:t>
            </w:r>
          </w:p>
        </w:tc>
        <w:tc>
          <w:tcPr>
            <w:tcW w:w="0" w:type="dxa"/>
            <w:tcBorders>
              <w:left w:val="single" w:sz="4" w:space="0" w:color="auto"/>
            </w:tcBorders>
            <w:shd w:val="clear" w:color="auto" w:fill="auto"/>
            <w:vAlign w:val="bottom"/>
          </w:tcPr>
          <w:p w14:paraId="571F6EFC" w14:textId="46CECE9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4.6</w:t>
            </w:r>
          </w:p>
        </w:tc>
        <w:tc>
          <w:tcPr>
            <w:tcW w:w="0" w:type="dxa"/>
            <w:tcBorders>
              <w:right w:val="single" w:sz="4" w:space="0" w:color="auto"/>
            </w:tcBorders>
            <w:shd w:val="clear" w:color="auto" w:fill="auto"/>
            <w:vAlign w:val="bottom"/>
          </w:tcPr>
          <w:p w14:paraId="6BF1A79D" w14:textId="1F6F16B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+0.5</w:t>
            </w:r>
          </w:p>
        </w:tc>
        <w:tc>
          <w:tcPr>
            <w:tcW w:w="0" w:type="dxa"/>
            <w:tcBorders>
              <w:left w:val="single" w:sz="4" w:space="0" w:color="auto"/>
            </w:tcBorders>
            <w:shd w:val="clear" w:color="auto" w:fill="auto"/>
            <w:vAlign w:val="bottom"/>
          </w:tcPr>
          <w:p w14:paraId="30B82BB8" w14:textId="2B78E2B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1.7</w:t>
            </w:r>
          </w:p>
        </w:tc>
        <w:tc>
          <w:tcPr>
            <w:tcW w:w="0" w:type="dxa"/>
            <w:tcBorders>
              <w:right w:val="single" w:sz="4" w:space="0" w:color="auto"/>
            </w:tcBorders>
            <w:shd w:val="clear" w:color="auto" w:fill="auto"/>
            <w:vAlign w:val="bottom"/>
          </w:tcPr>
          <w:p w14:paraId="24720B16" w14:textId="6409BAE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E031BA">
              <w:rPr>
                <w:rFonts w:cs="Arial"/>
                <w:color w:val="000000"/>
              </w:rPr>
              <w:t xml:space="preserve"> -0.0</w:t>
            </w:r>
          </w:p>
        </w:tc>
        <w:tc>
          <w:tcPr>
            <w:tcW w:w="0" w:type="dxa"/>
            <w:tcBorders>
              <w:left w:val="single" w:sz="4" w:space="0" w:color="auto"/>
            </w:tcBorders>
            <w:shd w:val="clear" w:color="auto" w:fill="auto"/>
            <w:vAlign w:val="bottom"/>
          </w:tcPr>
          <w:p w14:paraId="07D69812" w14:textId="35B11F2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F60B9E">
              <w:t>63.5%</w:t>
            </w:r>
          </w:p>
        </w:tc>
        <w:tc>
          <w:tcPr>
            <w:tcW w:w="0" w:type="dxa"/>
            <w:shd w:val="clear" w:color="auto" w:fill="auto"/>
            <w:vAlign w:val="bottom"/>
          </w:tcPr>
          <w:p w14:paraId="7AA93FD5" w14:textId="6704E7BE"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F60B9E">
              <w:t>+5.5% pts</w:t>
            </w:r>
          </w:p>
        </w:tc>
      </w:tr>
      <w:tr w:rsidR="00971AA2" w:rsidRPr="00C57C1A" w14:paraId="137BDD7A" w14:textId="4A02D10E" w:rsidTr="00E05811">
        <w:trPr>
          <w:trHeight w:hRule="exact" w:val="354"/>
        </w:trPr>
        <w:tc>
          <w:tcPr>
            <w:cnfStyle w:val="001000000000" w:firstRow="0" w:lastRow="0" w:firstColumn="1" w:lastColumn="0" w:oddVBand="0" w:evenVBand="0" w:oddHBand="0" w:evenHBand="0" w:firstRowFirstColumn="0" w:firstRowLastColumn="0" w:lastRowFirstColumn="0" w:lastRowLastColumn="0"/>
            <w:tcW w:w="14601" w:type="dxa"/>
            <w:gridSpan w:val="11"/>
            <w:tcBorders>
              <w:left w:val="single" w:sz="4" w:space="0" w:color="auto"/>
            </w:tcBorders>
            <w:shd w:val="clear" w:color="auto" w:fill="D9D9D9" w:themeFill="background1" w:themeFillShade="D9"/>
          </w:tcPr>
          <w:p w14:paraId="691AD788" w14:textId="2C5CE778" w:rsidR="00971AA2" w:rsidRPr="00B71532" w:rsidRDefault="00971AA2" w:rsidP="00971AA2">
            <w:pPr>
              <w:pStyle w:val="Tablebodycopy"/>
              <w:rPr>
                <w:rFonts w:asciiTheme="minorHAnsi" w:hAnsiTheme="minorHAnsi" w:cstheme="minorHAnsi"/>
              </w:rPr>
            </w:pPr>
            <w:r w:rsidRPr="00B71532">
              <w:rPr>
                <w:rFonts w:asciiTheme="minorHAnsi" w:hAnsiTheme="minorHAnsi" w:cstheme="minorHAnsi"/>
                <w:b w:val="0"/>
                <w:bCs w:val="0"/>
              </w:rPr>
              <w:t>Technicians and Trades Workers</w:t>
            </w:r>
          </w:p>
        </w:tc>
      </w:tr>
      <w:tr w:rsidR="00AE1C31" w:rsidRPr="00C57C1A" w14:paraId="3B708D95" w14:textId="45CB6741" w:rsidTr="0030243C">
        <w:trPr>
          <w:cnfStyle w:val="000000100000" w:firstRow="0" w:lastRow="0" w:firstColumn="0" w:lastColumn="0" w:oddVBand="0" w:evenVBand="0" w:oddHBand="1"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11EC56DB"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Metro</w:t>
            </w:r>
          </w:p>
        </w:tc>
        <w:tc>
          <w:tcPr>
            <w:tcW w:w="0" w:type="dxa"/>
            <w:tcBorders>
              <w:left w:val="single" w:sz="4" w:space="0" w:color="auto"/>
            </w:tcBorders>
            <w:shd w:val="clear" w:color="auto" w:fill="auto"/>
            <w:vAlign w:val="bottom"/>
          </w:tcPr>
          <w:p w14:paraId="32CCD89D" w14:textId="3080139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49.6%</w:t>
            </w:r>
          </w:p>
        </w:tc>
        <w:tc>
          <w:tcPr>
            <w:tcW w:w="0" w:type="dxa"/>
            <w:tcBorders>
              <w:right w:val="single" w:sz="4" w:space="0" w:color="auto"/>
            </w:tcBorders>
            <w:shd w:val="clear" w:color="auto" w:fill="auto"/>
            <w:vAlign w:val="bottom"/>
          </w:tcPr>
          <w:p w14:paraId="779EDCB1" w14:textId="2A38D0B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+0.2% pts</w:t>
            </w:r>
          </w:p>
        </w:tc>
        <w:tc>
          <w:tcPr>
            <w:tcW w:w="0" w:type="dxa"/>
            <w:tcBorders>
              <w:left w:val="single" w:sz="4" w:space="0" w:color="auto"/>
            </w:tcBorders>
            <w:shd w:val="clear" w:color="auto" w:fill="auto"/>
            <w:vAlign w:val="bottom"/>
          </w:tcPr>
          <w:p w14:paraId="24857474" w14:textId="2E82ACA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15.6</w:t>
            </w:r>
          </w:p>
        </w:tc>
        <w:tc>
          <w:tcPr>
            <w:tcW w:w="0" w:type="dxa"/>
            <w:tcBorders>
              <w:right w:val="single" w:sz="4" w:space="0" w:color="auto"/>
            </w:tcBorders>
            <w:shd w:val="clear" w:color="auto" w:fill="auto"/>
            <w:vAlign w:val="bottom"/>
          </w:tcPr>
          <w:p w14:paraId="2ED14D40" w14:textId="4D51F47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+0.7</w:t>
            </w:r>
          </w:p>
        </w:tc>
        <w:tc>
          <w:tcPr>
            <w:tcW w:w="0" w:type="dxa"/>
            <w:tcBorders>
              <w:left w:val="single" w:sz="4" w:space="0" w:color="auto"/>
            </w:tcBorders>
            <w:shd w:val="clear" w:color="auto" w:fill="auto"/>
            <w:vAlign w:val="bottom"/>
          </w:tcPr>
          <w:p w14:paraId="2E8D5230" w14:textId="34FC2B6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4.2</w:t>
            </w:r>
          </w:p>
        </w:tc>
        <w:tc>
          <w:tcPr>
            <w:tcW w:w="0" w:type="dxa"/>
            <w:tcBorders>
              <w:right w:val="single" w:sz="4" w:space="0" w:color="auto"/>
            </w:tcBorders>
            <w:shd w:val="clear" w:color="auto" w:fill="auto"/>
            <w:vAlign w:val="bottom"/>
          </w:tcPr>
          <w:p w14:paraId="7E96CF47" w14:textId="6E7D5DA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tcBorders>
            <w:shd w:val="clear" w:color="auto" w:fill="auto"/>
            <w:vAlign w:val="bottom"/>
          </w:tcPr>
          <w:p w14:paraId="7A9AE0CF" w14:textId="3739B5C6"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1.9</w:t>
            </w:r>
          </w:p>
        </w:tc>
        <w:tc>
          <w:tcPr>
            <w:tcW w:w="0" w:type="dxa"/>
            <w:tcBorders>
              <w:right w:val="single" w:sz="4" w:space="0" w:color="auto"/>
            </w:tcBorders>
            <w:shd w:val="clear" w:color="auto" w:fill="auto"/>
            <w:vAlign w:val="bottom"/>
          </w:tcPr>
          <w:p w14:paraId="22AF5585" w14:textId="4A2E320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tcBorders>
            <w:shd w:val="clear" w:color="auto" w:fill="auto"/>
            <w:vAlign w:val="bottom"/>
          </w:tcPr>
          <w:p w14:paraId="52C920A5" w14:textId="423B564A"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FF0000"/>
              </w:rPr>
            </w:pPr>
            <w:r w:rsidRPr="00260019">
              <w:t>54.5%</w:t>
            </w:r>
          </w:p>
        </w:tc>
        <w:tc>
          <w:tcPr>
            <w:tcW w:w="0" w:type="dxa"/>
            <w:shd w:val="clear" w:color="auto" w:fill="auto"/>
            <w:vAlign w:val="bottom"/>
          </w:tcPr>
          <w:p w14:paraId="27450334" w14:textId="796A2ECB"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FF0000"/>
              </w:rPr>
            </w:pPr>
            <w:r w:rsidRPr="00260019">
              <w:t>+0.5% pts</w:t>
            </w:r>
          </w:p>
        </w:tc>
      </w:tr>
      <w:tr w:rsidR="00AE1C31" w:rsidRPr="00C57C1A" w14:paraId="699B60B8" w14:textId="1D98AC86" w:rsidTr="0030243C">
        <w:trPr>
          <w:trHeight w:hRule="exact" w:val="438"/>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67F464CB"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Regional</w:t>
            </w:r>
          </w:p>
        </w:tc>
        <w:tc>
          <w:tcPr>
            <w:tcW w:w="0" w:type="dxa"/>
            <w:tcBorders>
              <w:left w:val="single" w:sz="4" w:space="0" w:color="auto"/>
            </w:tcBorders>
            <w:shd w:val="clear" w:color="auto" w:fill="auto"/>
            <w:vAlign w:val="bottom"/>
          </w:tcPr>
          <w:p w14:paraId="25CBAD85" w14:textId="752AC70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47.3%</w:t>
            </w:r>
          </w:p>
        </w:tc>
        <w:tc>
          <w:tcPr>
            <w:tcW w:w="0" w:type="dxa"/>
            <w:tcBorders>
              <w:right w:val="single" w:sz="4" w:space="0" w:color="auto"/>
            </w:tcBorders>
            <w:shd w:val="clear" w:color="auto" w:fill="auto"/>
            <w:vAlign w:val="bottom"/>
          </w:tcPr>
          <w:p w14:paraId="11CC7EC4" w14:textId="2E5E702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+0.5% pts</w:t>
            </w:r>
          </w:p>
        </w:tc>
        <w:tc>
          <w:tcPr>
            <w:tcW w:w="0" w:type="dxa"/>
            <w:tcBorders>
              <w:left w:val="single" w:sz="4" w:space="0" w:color="auto"/>
            </w:tcBorders>
            <w:shd w:val="clear" w:color="auto" w:fill="auto"/>
            <w:vAlign w:val="bottom"/>
          </w:tcPr>
          <w:p w14:paraId="6D27E890" w14:textId="12886FAE"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8.9</w:t>
            </w:r>
          </w:p>
        </w:tc>
        <w:tc>
          <w:tcPr>
            <w:tcW w:w="0" w:type="dxa"/>
            <w:tcBorders>
              <w:right w:val="single" w:sz="4" w:space="0" w:color="auto"/>
            </w:tcBorders>
            <w:shd w:val="clear" w:color="auto" w:fill="auto"/>
            <w:vAlign w:val="bottom"/>
          </w:tcPr>
          <w:p w14:paraId="2F11C178" w14:textId="51F283C3"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+0.3</w:t>
            </w:r>
          </w:p>
        </w:tc>
        <w:tc>
          <w:tcPr>
            <w:tcW w:w="0" w:type="dxa"/>
            <w:tcBorders>
              <w:left w:val="single" w:sz="4" w:space="0" w:color="auto"/>
            </w:tcBorders>
            <w:shd w:val="clear" w:color="auto" w:fill="auto"/>
            <w:vAlign w:val="bottom"/>
          </w:tcPr>
          <w:p w14:paraId="5737D476" w14:textId="5AD3207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2.4</w:t>
            </w:r>
          </w:p>
        </w:tc>
        <w:tc>
          <w:tcPr>
            <w:tcW w:w="0" w:type="dxa"/>
            <w:tcBorders>
              <w:right w:val="single" w:sz="4" w:space="0" w:color="auto"/>
            </w:tcBorders>
            <w:shd w:val="clear" w:color="auto" w:fill="auto"/>
            <w:vAlign w:val="bottom"/>
          </w:tcPr>
          <w:p w14:paraId="13DE91BB" w14:textId="4317BCE2"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auto"/>
            <w:vAlign w:val="bottom"/>
          </w:tcPr>
          <w:p w14:paraId="5C8964C2" w14:textId="633D7526"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1.4</w:t>
            </w:r>
          </w:p>
        </w:tc>
        <w:tc>
          <w:tcPr>
            <w:tcW w:w="0" w:type="dxa"/>
            <w:tcBorders>
              <w:right w:val="single" w:sz="4" w:space="0" w:color="auto"/>
            </w:tcBorders>
            <w:shd w:val="clear" w:color="auto" w:fill="auto"/>
            <w:vAlign w:val="bottom"/>
          </w:tcPr>
          <w:p w14:paraId="1DEB5EAA" w14:textId="4BCBFD8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vAlign w:val="bottom"/>
          </w:tcPr>
          <w:p w14:paraId="6A273A91" w14:textId="799220B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FF0000"/>
              </w:rPr>
            </w:pPr>
            <w:r w:rsidRPr="00260019">
              <w:t>44.3%</w:t>
            </w:r>
          </w:p>
        </w:tc>
        <w:tc>
          <w:tcPr>
            <w:tcW w:w="0" w:type="dxa"/>
            <w:vAlign w:val="bottom"/>
          </w:tcPr>
          <w:p w14:paraId="051F40DD" w14:textId="75FF3B1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color w:val="FF0000"/>
              </w:rPr>
            </w:pPr>
            <w:r w:rsidRPr="00260019">
              <w:t>+4.6% pts</w:t>
            </w:r>
          </w:p>
        </w:tc>
      </w:tr>
      <w:tr w:rsidR="00971AA2" w:rsidRPr="00C57C1A" w14:paraId="457B3A75" w14:textId="1B0809E5" w:rsidTr="00E05811">
        <w:trPr>
          <w:cnfStyle w:val="000000100000" w:firstRow="0" w:lastRow="0" w:firstColumn="0" w:lastColumn="0" w:oddVBand="0" w:evenVBand="0" w:oddHBand="1"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4601" w:type="dxa"/>
            <w:gridSpan w:val="11"/>
            <w:shd w:val="clear" w:color="auto" w:fill="D9D9D9" w:themeFill="background1" w:themeFillShade="D9"/>
          </w:tcPr>
          <w:p w14:paraId="1E706518" w14:textId="38360222" w:rsidR="00971AA2" w:rsidRPr="00C04A0B" w:rsidRDefault="00971AA2" w:rsidP="009E6EE8">
            <w:pPr>
              <w:pStyle w:val="Tablebodycopy"/>
              <w:rPr>
                <w:rFonts w:cs="Arial"/>
              </w:rPr>
            </w:pPr>
            <w:r w:rsidRPr="00C04A0B">
              <w:rPr>
                <w:rFonts w:cs="Arial"/>
                <w:b w:val="0"/>
                <w:bCs w:val="0"/>
              </w:rPr>
              <w:lastRenderedPageBreak/>
              <w:t>Community and Personal Service Workers</w:t>
            </w:r>
          </w:p>
        </w:tc>
      </w:tr>
      <w:tr w:rsidR="00AE1C31" w:rsidRPr="00C57C1A" w14:paraId="390277EE" w14:textId="58E30775" w:rsidTr="0030243C">
        <w:trPr>
          <w:trHeight w:hRule="exact" w:val="354"/>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237E7C4A"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Metro</w:t>
            </w:r>
          </w:p>
        </w:tc>
        <w:tc>
          <w:tcPr>
            <w:tcW w:w="0" w:type="dxa"/>
            <w:tcBorders>
              <w:left w:val="single" w:sz="4" w:space="0" w:color="auto"/>
            </w:tcBorders>
            <w:shd w:val="clear" w:color="auto" w:fill="auto"/>
            <w:vAlign w:val="bottom"/>
          </w:tcPr>
          <w:p w14:paraId="4672D7EF" w14:textId="1DD4947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66.9%</w:t>
            </w:r>
          </w:p>
        </w:tc>
        <w:tc>
          <w:tcPr>
            <w:tcW w:w="0" w:type="dxa"/>
            <w:tcBorders>
              <w:right w:val="single" w:sz="4" w:space="0" w:color="auto"/>
            </w:tcBorders>
            <w:shd w:val="clear" w:color="auto" w:fill="auto"/>
            <w:vAlign w:val="bottom"/>
          </w:tcPr>
          <w:p w14:paraId="3ED2B661" w14:textId="4911111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+1.4% pts</w:t>
            </w:r>
          </w:p>
        </w:tc>
        <w:tc>
          <w:tcPr>
            <w:tcW w:w="0" w:type="dxa"/>
            <w:tcBorders>
              <w:left w:val="single" w:sz="4" w:space="0" w:color="auto"/>
            </w:tcBorders>
            <w:shd w:val="clear" w:color="auto" w:fill="auto"/>
            <w:vAlign w:val="bottom"/>
          </w:tcPr>
          <w:p w14:paraId="34AB76D0" w14:textId="16269F6A"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15.7</w:t>
            </w:r>
          </w:p>
        </w:tc>
        <w:tc>
          <w:tcPr>
            <w:tcW w:w="0" w:type="dxa"/>
            <w:tcBorders>
              <w:right w:val="single" w:sz="4" w:space="0" w:color="auto"/>
            </w:tcBorders>
            <w:shd w:val="clear" w:color="auto" w:fill="auto"/>
            <w:vAlign w:val="bottom"/>
          </w:tcPr>
          <w:p w14:paraId="30F9DFA8" w14:textId="3DD5714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+1.5</w:t>
            </w:r>
          </w:p>
        </w:tc>
        <w:tc>
          <w:tcPr>
            <w:tcW w:w="0" w:type="dxa"/>
            <w:tcBorders>
              <w:left w:val="single" w:sz="4" w:space="0" w:color="auto"/>
            </w:tcBorders>
            <w:shd w:val="clear" w:color="auto" w:fill="auto"/>
            <w:vAlign w:val="bottom"/>
          </w:tcPr>
          <w:p w14:paraId="7D05FE8D" w14:textId="69818451"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5.0</w:t>
            </w:r>
          </w:p>
        </w:tc>
        <w:tc>
          <w:tcPr>
            <w:tcW w:w="0" w:type="dxa"/>
            <w:tcBorders>
              <w:right w:val="single" w:sz="4" w:space="0" w:color="auto"/>
            </w:tcBorders>
            <w:shd w:val="clear" w:color="auto" w:fill="auto"/>
            <w:vAlign w:val="bottom"/>
          </w:tcPr>
          <w:p w14:paraId="6A037536" w14:textId="1E7DDA18"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+0.5</w:t>
            </w:r>
          </w:p>
        </w:tc>
        <w:tc>
          <w:tcPr>
            <w:tcW w:w="0" w:type="dxa"/>
            <w:tcBorders>
              <w:left w:val="single" w:sz="4" w:space="0" w:color="auto"/>
            </w:tcBorders>
            <w:shd w:val="clear" w:color="auto" w:fill="auto"/>
            <w:vAlign w:val="bottom"/>
          </w:tcPr>
          <w:p w14:paraId="21B47A8D" w14:textId="603D2577"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2.8</w:t>
            </w:r>
          </w:p>
        </w:tc>
        <w:tc>
          <w:tcPr>
            <w:tcW w:w="0" w:type="dxa"/>
            <w:tcBorders>
              <w:right w:val="single" w:sz="4" w:space="0" w:color="auto"/>
            </w:tcBorders>
            <w:shd w:val="clear" w:color="auto" w:fill="auto"/>
            <w:vAlign w:val="bottom"/>
          </w:tcPr>
          <w:p w14:paraId="23CE3636" w14:textId="572DEE69"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E031BA">
              <w:rPr>
                <w:rFonts w:cs="Arial"/>
                <w:color w:val="000000"/>
              </w:rPr>
              <w:t xml:space="preserve"> -0.0</w:t>
            </w:r>
          </w:p>
        </w:tc>
        <w:tc>
          <w:tcPr>
            <w:tcW w:w="0" w:type="dxa"/>
            <w:tcBorders>
              <w:left w:val="single" w:sz="4" w:space="0" w:color="auto"/>
            </w:tcBorders>
            <w:vAlign w:val="bottom"/>
          </w:tcPr>
          <w:p w14:paraId="378EC4B2" w14:textId="5B8ADD5C"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B6002B">
              <w:t>44.3%</w:t>
            </w:r>
          </w:p>
        </w:tc>
        <w:tc>
          <w:tcPr>
            <w:tcW w:w="0" w:type="dxa"/>
            <w:vAlign w:val="bottom"/>
          </w:tcPr>
          <w:p w14:paraId="18A2071F" w14:textId="795B03EF" w:rsidR="0030243C" w:rsidRPr="00E031BA" w:rsidRDefault="0030243C" w:rsidP="0030243C">
            <w:pPr>
              <w:pStyle w:val="Tablebodycopy"/>
              <w:jc w:val="right"/>
              <w:cnfStyle w:val="000000000000" w:firstRow="0" w:lastRow="0" w:firstColumn="0" w:lastColumn="0" w:oddVBand="0" w:evenVBand="0" w:oddHBand="0" w:evenHBand="0" w:firstRowFirstColumn="0" w:firstRowLastColumn="0" w:lastRowFirstColumn="0" w:lastRowLastColumn="0"/>
              <w:rPr>
                <w:rFonts w:cs="Arial"/>
              </w:rPr>
            </w:pPr>
            <w:r w:rsidRPr="00B6002B">
              <w:t>+6.9% pts</w:t>
            </w:r>
          </w:p>
        </w:tc>
      </w:tr>
      <w:tr w:rsidR="00AE1C31" w:rsidRPr="00C57C1A" w14:paraId="6BA55519" w14:textId="1AF7EE28" w:rsidTr="0030243C">
        <w:trPr>
          <w:cnfStyle w:val="000000100000" w:firstRow="0" w:lastRow="0" w:firstColumn="0" w:lastColumn="0" w:oddVBand="0" w:evenVBand="0" w:oddHBand="1" w:evenHBand="0" w:firstRowFirstColumn="0" w:firstRowLastColumn="0" w:lastRowFirstColumn="0" w:lastRowLastColumn="0"/>
          <w:trHeight w:hRule="exact" w:val="426"/>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shd w:val="clear" w:color="auto" w:fill="auto"/>
          </w:tcPr>
          <w:p w14:paraId="2EBFB5C9" w14:textId="77777777" w:rsidR="0030243C" w:rsidRPr="00B71532" w:rsidRDefault="0030243C" w:rsidP="0030243C">
            <w:pPr>
              <w:pStyle w:val="Tablebodycopy"/>
              <w:rPr>
                <w:rFonts w:asciiTheme="minorHAnsi" w:hAnsiTheme="minorHAnsi" w:cstheme="minorHAnsi"/>
              </w:rPr>
            </w:pPr>
            <w:r w:rsidRPr="00B71532">
              <w:rPr>
                <w:rFonts w:asciiTheme="minorHAnsi" w:hAnsiTheme="minorHAnsi" w:cstheme="minorHAnsi"/>
                <w:b w:val="0"/>
                <w:bCs w:val="0"/>
              </w:rPr>
              <w:t>Regional</w:t>
            </w:r>
          </w:p>
        </w:tc>
        <w:tc>
          <w:tcPr>
            <w:tcW w:w="0" w:type="dxa"/>
            <w:tcBorders>
              <w:left w:val="single" w:sz="4" w:space="0" w:color="auto"/>
            </w:tcBorders>
            <w:shd w:val="clear" w:color="auto" w:fill="auto"/>
            <w:vAlign w:val="bottom"/>
          </w:tcPr>
          <w:p w14:paraId="0BADAF13" w14:textId="6AA05CE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69.0%</w:t>
            </w:r>
          </w:p>
        </w:tc>
        <w:tc>
          <w:tcPr>
            <w:tcW w:w="0" w:type="dxa"/>
            <w:tcBorders>
              <w:right w:val="single" w:sz="4" w:space="0" w:color="auto"/>
            </w:tcBorders>
            <w:shd w:val="clear" w:color="auto" w:fill="auto"/>
            <w:vAlign w:val="bottom"/>
          </w:tcPr>
          <w:p w14:paraId="21221138" w14:textId="39B1F33D"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+2.3% pts</w:t>
            </w:r>
          </w:p>
        </w:tc>
        <w:tc>
          <w:tcPr>
            <w:tcW w:w="0" w:type="dxa"/>
            <w:tcBorders>
              <w:left w:val="single" w:sz="4" w:space="0" w:color="auto"/>
            </w:tcBorders>
            <w:shd w:val="clear" w:color="auto" w:fill="auto"/>
            <w:vAlign w:val="bottom"/>
          </w:tcPr>
          <w:p w14:paraId="32FB565B" w14:textId="2BEECFF0"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9.6</w:t>
            </w:r>
          </w:p>
        </w:tc>
        <w:tc>
          <w:tcPr>
            <w:tcW w:w="0" w:type="dxa"/>
            <w:tcBorders>
              <w:right w:val="single" w:sz="4" w:space="0" w:color="auto"/>
            </w:tcBorders>
            <w:shd w:val="clear" w:color="auto" w:fill="auto"/>
            <w:vAlign w:val="bottom"/>
          </w:tcPr>
          <w:p w14:paraId="6F2C9FB2" w14:textId="76C1EDA1"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+1.3</w:t>
            </w:r>
          </w:p>
        </w:tc>
        <w:tc>
          <w:tcPr>
            <w:tcW w:w="0" w:type="dxa"/>
            <w:tcBorders>
              <w:left w:val="single" w:sz="4" w:space="0" w:color="auto"/>
            </w:tcBorders>
            <w:shd w:val="clear" w:color="auto" w:fill="auto"/>
            <w:vAlign w:val="bottom"/>
          </w:tcPr>
          <w:p w14:paraId="1DF76A2D" w14:textId="36415CD4"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3.0</w:t>
            </w:r>
          </w:p>
        </w:tc>
        <w:tc>
          <w:tcPr>
            <w:tcW w:w="0" w:type="dxa"/>
            <w:tcBorders>
              <w:right w:val="single" w:sz="4" w:space="0" w:color="auto"/>
            </w:tcBorders>
            <w:shd w:val="clear" w:color="auto" w:fill="auto"/>
            <w:vAlign w:val="bottom"/>
          </w:tcPr>
          <w:p w14:paraId="37B0F33A" w14:textId="13E9D53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+0.3</w:t>
            </w:r>
          </w:p>
        </w:tc>
        <w:tc>
          <w:tcPr>
            <w:tcW w:w="0" w:type="dxa"/>
            <w:tcBorders>
              <w:left w:val="single" w:sz="4" w:space="0" w:color="auto"/>
            </w:tcBorders>
            <w:shd w:val="clear" w:color="auto" w:fill="auto"/>
            <w:vAlign w:val="bottom"/>
          </w:tcPr>
          <w:p w14:paraId="1A6FB85D" w14:textId="3C704EA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1.9</w:t>
            </w:r>
          </w:p>
        </w:tc>
        <w:tc>
          <w:tcPr>
            <w:tcW w:w="0" w:type="dxa"/>
            <w:tcBorders>
              <w:right w:val="single" w:sz="4" w:space="0" w:color="auto"/>
            </w:tcBorders>
            <w:shd w:val="clear" w:color="auto" w:fill="auto"/>
            <w:vAlign w:val="bottom"/>
          </w:tcPr>
          <w:p w14:paraId="4B00756B" w14:textId="251CDF77"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rPr>
            </w:pPr>
            <w:r w:rsidRPr="00E031BA">
              <w:rPr>
                <w:rFonts w:cs="Arial"/>
                <w:color w:val="000000"/>
              </w:rPr>
              <w:t xml:space="preserve"> -0.1</w:t>
            </w:r>
          </w:p>
        </w:tc>
        <w:tc>
          <w:tcPr>
            <w:tcW w:w="0" w:type="dxa"/>
            <w:tcBorders>
              <w:left w:val="single" w:sz="4" w:space="0" w:color="auto"/>
            </w:tcBorders>
            <w:shd w:val="clear" w:color="auto" w:fill="auto"/>
            <w:vAlign w:val="bottom"/>
          </w:tcPr>
          <w:p w14:paraId="16E40748" w14:textId="33B2EF25"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FF0000"/>
              </w:rPr>
            </w:pPr>
            <w:r w:rsidRPr="00B6002B">
              <w:t>36.5%</w:t>
            </w:r>
          </w:p>
        </w:tc>
        <w:tc>
          <w:tcPr>
            <w:tcW w:w="0" w:type="dxa"/>
            <w:shd w:val="clear" w:color="auto" w:fill="auto"/>
            <w:vAlign w:val="bottom"/>
          </w:tcPr>
          <w:p w14:paraId="3478295B" w14:textId="728D3A13" w:rsidR="0030243C" w:rsidRPr="00E031BA" w:rsidRDefault="0030243C" w:rsidP="0030243C">
            <w:pPr>
              <w:pStyle w:val="Tablebodycopy"/>
              <w:jc w:val="right"/>
              <w:cnfStyle w:val="000000100000" w:firstRow="0" w:lastRow="0" w:firstColumn="0" w:lastColumn="0" w:oddVBand="0" w:evenVBand="0" w:oddHBand="1" w:evenHBand="0" w:firstRowFirstColumn="0" w:firstRowLastColumn="0" w:lastRowFirstColumn="0" w:lastRowLastColumn="0"/>
              <w:rPr>
                <w:rFonts w:cs="Arial"/>
                <w:color w:val="FF0000"/>
              </w:rPr>
            </w:pPr>
            <w:r w:rsidRPr="00B6002B">
              <w:t>+9.0% pts</w:t>
            </w:r>
          </w:p>
        </w:tc>
      </w:tr>
    </w:tbl>
    <w:p w14:paraId="6C1E18AE" w14:textId="3F470377" w:rsidR="00A00179" w:rsidRPr="00A00179" w:rsidRDefault="00A00179" w:rsidP="00D62800">
      <w:pPr>
        <w:pStyle w:val="Source"/>
        <w:rPr>
          <w:sz w:val="24"/>
          <w:szCs w:val="24"/>
        </w:rPr>
      </w:pPr>
      <w:r w:rsidRPr="00A00179">
        <w:t xml:space="preserve">Source: Jobs and Skills Australia, Survey of Employers who Recently Advertised (SERA), </w:t>
      </w:r>
      <w:r w:rsidR="00E77E76">
        <w:t>Dec</w:t>
      </w:r>
      <w:r w:rsidR="00E77E76" w:rsidRPr="00A00179">
        <w:t xml:space="preserve">ember </w:t>
      </w:r>
      <w:r w:rsidRPr="00A00179">
        <w:t xml:space="preserve">2023 quarter. </w:t>
      </w:r>
    </w:p>
    <w:p w14:paraId="2F196872" w14:textId="77777777" w:rsidR="008E7531" w:rsidRDefault="008E7531" w:rsidP="007866FA">
      <w:pPr>
        <w:sectPr w:rsidR="008E7531" w:rsidSect="001F20A7">
          <w:pgSz w:w="16838" w:h="11906" w:orient="landscape"/>
          <w:pgMar w:top="1440" w:right="1103" w:bottom="1440" w:left="1134" w:header="0" w:footer="539" w:gutter="0"/>
          <w:cols w:space="708"/>
          <w:titlePg/>
          <w:docGrid w:linePitch="360"/>
        </w:sectPr>
      </w:pPr>
    </w:p>
    <w:p w14:paraId="19444403" w14:textId="1CC94580" w:rsidR="008E7531" w:rsidRDefault="005D14CA" w:rsidP="005D14CA">
      <w:pPr>
        <w:pStyle w:val="Heading1"/>
      </w:pPr>
      <w:bookmarkStart w:id="28" w:name="_Toc159421602"/>
      <w:r>
        <w:lastRenderedPageBreak/>
        <w:t xml:space="preserve">Explanatory </w:t>
      </w:r>
      <w:r w:rsidR="008E7531" w:rsidRPr="005D14CA">
        <w:t>Notes</w:t>
      </w:r>
      <w:bookmarkEnd w:id="28"/>
    </w:p>
    <w:p w14:paraId="0B8612A5" w14:textId="77777777" w:rsidR="002E52BB" w:rsidRDefault="00901F09" w:rsidP="00812B6B">
      <w:pPr>
        <w:pStyle w:val="ListBullet"/>
        <w:numPr>
          <w:ilvl w:val="0"/>
          <w:numId w:val="0"/>
        </w:numPr>
      </w:pPr>
      <w:r>
        <w:t>The Survey of Employers who have Recently Advertised (SERA)</w:t>
      </w:r>
      <w:r w:rsidR="0001631E">
        <w:t xml:space="preserve"> </w:t>
      </w:r>
      <w:r w:rsidR="00812B6B">
        <w:t xml:space="preserve">is designed for the specific purpose of assessing occupational shortages for skilled occupations and provides a direct measure of the employer experience when recruiting. </w:t>
      </w:r>
      <w:r>
        <w:t xml:space="preserve">The survey receives around 2,000 responses each quarter from employers who have advertised vacancies online. </w:t>
      </w:r>
      <w:r w:rsidR="00B209D8">
        <w:t xml:space="preserve">Only those occupations with a sufficient quarterly sample size are included for analysis in this report to ensure data changes are more reflective of labour market developments. </w:t>
      </w:r>
    </w:p>
    <w:p w14:paraId="1264BF9D" w14:textId="3F8FD777" w:rsidR="00812B6B" w:rsidRDefault="00B209D8" w:rsidP="00812B6B">
      <w:pPr>
        <w:pStyle w:val="ListBullet"/>
        <w:numPr>
          <w:ilvl w:val="0"/>
          <w:numId w:val="0"/>
        </w:numPr>
      </w:pPr>
      <w:r>
        <w:t>The survey</w:t>
      </w:r>
      <w:r w:rsidR="00812B6B">
        <w:t xml:space="preserve"> covers occupations, as defined by </w:t>
      </w:r>
      <w:hyperlink r:id="rId28" w:history="1">
        <w:r w:rsidR="00812B6B" w:rsidRPr="00F075C3">
          <w:rPr>
            <w:rStyle w:val="Hyperlink"/>
          </w:rPr>
          <w:t>Australian and New Zealand Standard Classification of Occupations</w:t>
        </w:r>
      </w:hyperlink>
      <w:r w:rsidR="00812B6B">
        <w:rPr>
          <w:rStyle w:val="Hyperlink"/>
        </w:rPr>
        <w:t xml:space="preserve">, </w:t>
      </w:r>
      <w:r w:rsidR="00812B6B">
        <w:t>generally requiring a university degree, trade apprenticeship or Certificate III or Certificate IV. As a result, the survey outcomes are reflective of occupations requiring post-school education</w:t>
      </w:r>
      <w:r w:rsidR="0090720C">
        <w:t xml:space="preserve"> and training</w:t>
      </w:r>
      <w:r w:rsidR="00812B6B">
        <w:t>.</w:t>
      </w:r>
      <w:r w:rsidR="00812B6B" w:rsidRPr="00812B6B">
        <w:t xml:space="preserve"> </w:t>
      </w:r>
    </w:p>
    <w:p w14:paraId="0DF726B8" w14:textId="7AE24912" w:rsidR="00901F09" w:rsidRDefault="00901F09" w:rsidP="00901F09">
      <w:r>
        <w:t xml:space="preserve">The fill rate is </w:t>
      </w:r>
      <w:r w:rsidR="00DE1F83">
        <w:t xml:space="preserve">used as a </w:t>
      </w:r>
      <w:r>
        <w:t xml:space="preserve">proxy for identifying occupations that may be in shortage: lower fill rates generally imply greater employer difficulties filling vacant positions. In contrast, higher fill rates suggest fewer challenges and in general, imply a lower likelihood of shortage. </w:t>
      </w:r>
    </w:p>
    <w:p w14:paraId="5D950C60" w14:textId="31278C5D" w:rsidR="00901F09" w:rsidRDefault="00901F09" w:rsidP="00901F09">
      <w:r>
        <w:t xml:space="preserve">Additional metrics collected in SERA </w:t>
      </w:r>
      <w:r w:rsidR="001B60CE">
        <w:t>include</w:t>
      </w:r>
      <w:r>
        <w:t xml:space="preserve"> applicants on a per vacancy basis; the average number of total applicants; qualified applicants; suitable applicants; and the average years of labour market experience sought by employers (for definitions, refer to the</w:t>
      </w:r>
      <w:r w:rsidR="00AB7764">
        <w:t xml:space="preserve"> following section</w:t>
      </w:r>
      <w:r>
        <w:t xml:space="preserve">). Movements in these variables add context to changes in fill rates over time. </w:t>
      </w:r>
    </w:p>
    <w:p w14:paraId="095326EE" w14:textId="3C9CCBB1" w:rsidR="008E7531" w:rsidRDefault="008E7531" w:rsidP="007F35F8">
      <w:pPr>
        <w:pStyle w:val="ListBullet"/>
        <w:numPr>
          <w:ilvl w:val="0"/>
          <w:numId w:val="0"/>
        </w:numPr>
      </w:pPr>
      <w:r>
        <w:t xml:space="preserve">Data found in Skilled Shortage Quarterly is not an indicator of occupations appearing on the 2023 </w:t>
      </w:r>
      <w:r w:rsidR="005D14CA">
        <w:t>Skills Priority List (</w:t>
      </w:r>
      <w:r>
        <w:t>SPL</w:t>
      </w:r>
      <w:r w:rsidR="005D14CA">
        <w:t>)</w:t>
      </w:r>
      <w:r>
        <w:t xml:space="preserve">. </w:t>
      </w:r>
    </w:p>
    <w:p w14:paraId="5E6AA345" w14:textId="56922C23" w:rsidR="00B23D6D" w:rsidRDefault="008E7531" w:rsidP="007F35F8">
      <w:pPr>
        <w:pStyle w:val="ListBullet"/>
        <w:numPr>
          <w:ilvl w:val="0"/>
          <w:numId w:val="0"/>
        </w:numPr>
      </w:pPr>
      <w:r>
        <w:t xml:space="preserve">Caution should be exercised </w:t>
      </w:r>
      <w:r w:rsidR="005D14CA">
        <w:t xml:space="preserve">when interpreting </w:t>
      </w:r>
      <w:r>
        <w:t>data for Tasmania, the Northern Territory and the Australian Capital Territory given lower sample sizes.</w:t>
      </w:r>
      <w:r w:rsidR="00B23D6D">
        <w:t xml:space="preserve"> </w:t>
      </w:r>
    </w:p>
    <w:p w14:paraId="0E85B544" w14:textId="28030476" w:rsidR="005D14CA" w:rsidRDefault="005D14CA" w:rsidP="007F35F8">
      <w:pPr>
        <w:pStyle w:val="Heading2"/>
      </w:pPr>
      <w:bookmarkStart w:id="29" w:name="_Toc159421603"/>
      <w:r>
        <w:t>Definitions</w:t>
      </w:r>
      <w:r w:rsidR="00120794">
        <w:t xml:space="preserve"> of metrics</w:t>
      </w:r>
      <w:bookmarkEnd w:id="29"/>
    </w:p>
    <w:p w14:paraId="49FB9E8D" w14:textId="34F7338B" w:rsidR="005D14CA" w:rsidRPr="00BA38A0" w:rsidRDefault="00C82781" w:rsidP="00BA38A0">
      <w:r w:rsidRPr="00527111">
        <w:rPr>
          <w:rStyle w:val="Strong"/>
        </w:rPr>
        <w:t>The f</w:t>
      </w:r>
      <w:r w:rsidR="005D14CA" w:rsidRPr="00527111">
        <w:rPr>
          <w:rStyle w:val="Strong"/>
        </w:rPr>
        <w:t>ill rate</w:t>
      </w:r>
      <w:r>
        <w:t xml:space="preserve"> is t</w:t>
      </w:r>
      <w:r w:rsidR="00D344F4">
        <w:t xml:space="preserve">he </w:t>
      </w:r>
      <w:r w:rsidR="0026210A">
        <w:t xml:space="preserve">percentage of </w:t>
      </w:r>
      <w:r w:rsidR="00BE2841">
        <w:t>vacancies</w:t>
      </w:r>
      <w:r w:rsidR="00530635">
        <w:t xml:space="preserve"> </w:t>
      </w:r>
      <w:r w:rsidR="00BE2841">
        <w:t xml:space="preserve">employers advertised </w:t>
      </w:r>
      <w:r w:rsidR="001E5900">
        <w:t>that were filled</w:t>
      </w:r>
      <w:r w:rsidR="00BE2841">
        <w:t>.</w:t>
      </w:r>
      <w:r w:rsidR="001E5900">
        <w:t xml:space="preserve"> The metric is calculated by </w:t>
      </w:r>
      <w:r w:rsidR="00431495">
        <w:t xml:space="preserve">dividing the number of filled vacancies by total advertised vacancies. </w:t>
      </w:r>
    </w:p>
    <w:p w14:paraId="43F5429A" w14:textId="4DB1E833" w:rsidR="005D14CA" w:rsidRDefault="001D7F12" w:rsidP="005D14CA">
      <w:r w:rsidRPr="00527111">
        <w:rPr>
          <w:rStyle w:val="Strong"/>
        </w:rPr>
        <w:t xml:space="preserve">The </w:t>
      </w:r>
      <w:r w:rsidR="00513FC7" w:rsidRPr="00527111">
        <w:rPr>
          <w:rStyle w:val="Strong"/>
        </w:rPr>
        <w:t>a</w:t>
      </w:r>
      <w:r w:rsidR="00BE2841" w:rsidRPr="00527111">
        <w:rPr>
          <w:rStyle w:val="Strong"/>
        </w:rPr>
        <w:t>verage number of a</w:t>
      </w:r>
      <w:r w:rsidR="006C0E45" w:rsidRPr="00527111">
        <w:rPr>
          <w:rStyle w:val="Strong"/>
        </w:rPr>
        <w:t xml:space="preserve">pplicants </w:t>
      </w:r>
      <w:r w:rsidR="005D14CA" w:rsidRPr="00527111">
        <w:rPr>
          <w:rStyle w:val="Strong"/>
        </w:rPr>
        <w:t>per vacancy</w:t>
      </w:r>
      <w:r w:rsidR="005D14CA">
        <w:t xml:space="preserve"> </w:t>
      </w:r>
      <w:r w:rsidR="00E75656">
        <w:t xml:space="preserve">is calculated as the sum of the number of applicants </w:t>
      </w:r>
      <w:r w:rsidR="005D5E4A">
        <w:t xml:space="preserve">divided by </w:t>
      </w:r>
      <w:r w:rsidR="00E75656">
        <w:t>the sum of</w:t>
      </w:r>
      <w:r w:rsidR="00CD13AB">
        <w:t xml:space="preserve"> </w:t>
      </w:r>
      <w:r w:rsidR="005D5E4A">
        <w:t xml:space="preserve">advertised </w:t>
      </w:r>
      <w:r w:rsidR="00E75656">
        <w:t xml:space="preserve">vacancies. </w:t>
      </w:r>
    </w:p>
    <w:p w14:paraId="6273429A" w14:textId="6B212DDF" w:rsidR="006C0E45" w:rsidRDefault="001B3FAC" w:rsidP="005D14CA">
      <w:r w:rsidRPr="00527111">
        <w:rPr>
          <w:rStyle w:val="Strong"/>
        </w:rPr>
        <w:t xml:space="preserve">The </w:t>
      </w:r>
      <w:r w:rsidR="00513FC7" w:rsidRPr="00527111">
        <w:rPr>
          <w:rStyle w:val="Strong"/>
        </w:rPr>
        <w:t>a</w:t>
      </w:r>
      <w:r w:rsidR="00BE2841" w:rsidRPr="00527111">
        <w:rPr>
          <w:rStyle w:val="Strong"/>
        </w:rPr>
        <w:t xml:space="preserve">verage number of </w:t>
      </w:r>
      <w:r w:rsidR="005D14CA" w:rsidRPr="00527111">
        <w:rPr>
          <w:rStyle w:val="Strong"/>
        </w:rPr>
        <w:t>qualified applicants</w:t>
      </w:r>
      <w:r w:rsidR="00BE2841" w:rsidRPr="00527111">
        <w:rPr>
          <w:rStyle w:val="Strong"/>
        </w:rPr>
        <w:t xml:space="preserve"> per vacancy</w:t>
      </w:r>
      <w:r w:rsidR="00E75656" w:rsidRPr="00E75656">
        <w:t xml:space="preserve"> </w:t>
      </w:r>
      <w:r w:rsidR="00E75656">
        <w:t xml:space="preserve">is calculated as the sum of the number of qualified applicants </w:t>
      </w:r>
      <w:r>
        <w:t xml:space="preserve">divided by the </w:t>
      </w:r>
      <w:r w:rsidR="00E75656">
        <w:t xml:space="preserve">sum of </w:t>
      </w:r>
      <w:r>
        <w:t xml:space="preserve">advertised </w:t>
      </w:r>
      <w:r w:rsidR="00E75656">
        <w:t xml:space="preserve">vacancies. </w:t>
      </w:r>
      <w:r w:rsidR="00C71879" w:rsidRPr="00195CA0">
        <w:t>Q</w:t>
      </w:r>
      <w:r w:rsidR="00E75656" w:rsidRPr="00195CA0">
        <w:t xml:space="preserve">ualified </w:t>
      </w:r>
      <w:r w:rsidR="00E75656">
        <w:t xml:space="preserve">applicants are the applicants who are assessed by employers </w:t>
      </w:r>
      <w:r w:rsidR="00195CA0">
        <w:t xml:space="preserve">as meeting </w:t>
      </w:r>
      <w:r w:rsidR="00E75656">
        <w:t>the required qualification criteria of a</w:t>
      </w:r>
      <w:r w:rsidR="00195CA0">
        <w:t>n advertised</w:t>
      </w:r>
      <w:r w:rsidR="00E75656">
        <w:t xml:space="preserve"> vacancy.</w:t>
      </w:r>
      <w:r w:rsidR="00CD13AB">
        <w:t xml:space="preserve"> </w:t>
      </w:r>
    </w:p>
    <w:p w14:paraId="61956DAE" w14:textId="6F039E66" w:rsidR="006C0E45" w:rsidRDefault="00513FC7" w:rsidP="005D14CA">
      <w:r w:rsidRPr="00527111">
        <w:rPr>
          <w:rStyle w:val="Strong"/>
        </w:rPr>
        <w:t>The a</w:t>
      </w:r>
      <w:r w:rsidR="00BE2841" w:rsidRPr="00527111">
        <w:rPr>
          <w:rStyle w:val="Strong"/>
        </w:rPr>
        <w:t xml:space="preserve">verage number of </w:t>
      </w:r>
      <w:r w:rsidR="005D14CA" w:rsidRPr="00527111">
        <w:rPr>
          <w:rStyle w:val="Strong"/>
        </w:rPr>
        <w:t>suitable applicants</w:t>
      </w:r>
      <w:r w:rsidR="00BE2841" w:rsidRPr="00527111">
        <w:rPr>
          <w:rStyle w:val="Strong"/>
        </w:rPr>
        <w:t xml:space="preserve"> per vacancy</w:t>
      </w:r>
      <w:r w:rsidR="00E75656">
        <w:t xml:space="preserve"> is calculated as the sum of the number of suitable applicants </w:t>
      </w:r>
      <w:r w:rsidR="00E96575">
        <w:t xml:space="preserve">divided by </w:t>
      </w:r>
      <w:r w:rsidR="00E75656">
        <w:t xml:space="preserve">the sum of </w:t>
      </w:r>
      <w:r w:rsidR="00E96575">
        <w:t xml:space="preserve">advertised </w:t>
      </w:r>
      <w:r w:rsidR="00E75656">
        <w:t xml:space="preserve">vacancies. Suitable applicants are those who are deemed by employers to be suitable for the job advertised. </w:t>
      </w:r>
    </w:p>
    <w:p w14:paraId="11847787" w14:textId="56D70B7E" w:rsidR="005D14CA" w:rsidRDefault="003521E4" w:rsidP="007F35F8">
      <w:r w:rsidRPr="00527111">
        <w:rPr>
          <w:rStyle w:val="Strong"/>
        </w:rPr>
        <w:t>The a</w:t>
      </w:r>
      <w:r w:rsidR="005D14CA" w:rsidRPr="00527111">
        <w:rPr>
          <w:rStyle w:val="Strong"/>
        </w:rPr>
        <w:t>verage years of labour market experience</w:t>
      </w:r>
      <w:r w:rsidR="005D14CA">
        <w:t xml:space="preserve"> sought by</w:t>
      </w:r>
      <w:r w:rsidR="006C0E45">
        <w:t xml:space="preserve"> employer</w:t>
      </w:r>
      <w:r w:rsidR="003069E7">
        <w:t xml:space="preserve"> is t</w:t>
      </w:r>
      <w:r w:rsidR="00CD13AB" w:rsidRPr="00CD13AB">
        <w:t xml:space="preserve">he average number of years that employers require applicants </w:t>
      </w:r>
      <w:r w:rsidR="003069E7">
        <w:t xml:space="preserve">to </w:t>
      </w:r>
      <w:r w:rsidR="00CD13AB" w:rsidRPr="00CD13AB">
        <w:t>have spent in relevant occupation</w:t>
      </w:r>
      <w:r w:rsidR="00413AAA">
        <w:t>s</w:t>
      </w:r>
      <w:r w:rsidR="00CD13AB" w:rsidRPr="00CD13AB">
        <w:t xml:space="preserve"> and </w:t>
      </w:r>
      <w:r w:rsidR="00413AAA">
        <w:t xml:space="preserve">is </w:t>
      </w:r>
      <w:r w:rsidR="00CD13AB" w:rsidRPr="00CD13AB">
        <w:t>calculated as the mean of the years required per employer.</w:t>
      </w:r>
    </w:p>
    <w:p w14:paraId="7A7C25CF" w14:textId="6E981DC3" w:rsidR="0097233E" w:rsidRDefault="00825BE1" w:rsidP="007F35F8">
      <w:r w:rsidRPr="00527111">
        <w:rPr>
          <w:rStyle w:val="Strong"/>
        </w:rPr>
        <w:t>Metropolitan area</w:t>
      </w:r>
      <w:r w:rsidR="00BE2841">
        <w:t xml:space="preserve"> refers to </w:t>
      </w:r>
      <w:r w:rsidR="0090720C">
        <w:t>C</w:t>
      </w:r>
      <w:r w:rsidR="00D96134">
        <w:t xml:space="preserve">apital </w:t>
      </w:r>
      <w:r w:rsidR="0090720C">
        <w:t>C</w:t>
      </w:r>
      <w:r w:rsidR="00D96134">
        <w:t>ity</w:t>
      </w:r>
      <w:r w:rsidR="00BB6051">
        <w:t xml:space="preserve">, while </w:t>
      </w:r>
      <w:proofErr w:type="gramStart"/>
      <w:r w:rsidR="00BB6051" w:rsidRPr="00527111">
        <w:rPr>
          <w:rStyle w:val="Strong"/>
        </w:rPr>
        <w:t>Regional</w:t>
      </w:r>
      <w:proofErr w:type="gramEnd"/>
      <w:r w:rsidR="00BB6051" w:rsidRPr="00527111">
        <w:rPr>
          <w:rStyle w:val="Strong"/>
        </w:rPr>
        <w:t xml:space="preserve"> area</w:t>
      </w:r>
      <w:r w:rsidR="00BB6051">
        <w:t xml:space="preserve"> refers to </w:t>
      </w:r>
      <w:r w:rsidR="0090720C">
        <w:t>R</w:t>
      </w:r>
      <w:r w:rsidR="00BB6051">
        <w:t xml:space="preserve">est of </w:t>
      </w:r>
      <w:r w:rsidR="0090720C">
        <w:t>S</w:t>
      </w:r>
      <w:r w:rsidR="00BB6051">
        <w:t>tate</w:t>
      </w:r>
      <w:r w:rsidR="0090720C">
        <w:t xml:space="preserve"> locations</w:t>
      </w:r>
      <w:r w:rsidR="00BE2841">
        <w:t xml:space="preserve">. </w:t>
      </w:r>
      <w:r w:rsidR="0097233E">
        <w:t xml:space="preserve">Capital </w:t>
      </w:r>
      <w:r w:rsidR="0090720C">
        <w:t>C</w:t>
      </w:r>
      <w:r w:rsidR="0097233E">
        <w:t xml:space="preserve">ity and </w:t>
      </w:r>
      <w:r w:rsidR="0090720C">
        <w:t>R</w:t>
      </w:r>
      <w:r w:rsidR="0097233E">
        <w:t xml:space="preserve">est of </w:t>
      </w:r>
      <w:r w:rsidR="0090720C">
        <w:t>S</w:t>
      </w:r>
      <w:r w:rsidR="0097233E">
        <w:t xml:space="preserve">tate areas are defined by the </w:t>
      </w:r>
      <w:hyperlink r:id="rId29" w:history="1">
        <w:r w:rsidR="0097233E" w:rsidRPr="00120794">
          <w:rPr>
            <w:rStyle w:val="Hyperlink"/>
          </w:rPr>
          <w:t xml:space="preserve">Australian Statistical Geography Standard (ASGS): Volume 1 </w:t>
        </w:r>
        <w:r w:rsidR="001B1097" w:rsidRPr="00120794">
          <w:rPr>
            <w:rStyle w:val="Hyperlink"/>
          </w:rPr>
          <w:t>–</w:t>
        </w:r>
        <w:r w:rsidR="0097233E" w:rsidRPr="00120794">
          <w:rPr>
            <w:rStyle w:val="Hyperlink"/>
          </w:rPr>
          <w:t xml:space="preserve"> Main Structure and Greater Capital City Statistical Areas</w:t>
        </w:r>
      </w:hyperlink>
      <w:r w:rsidR="0097233E">
        <w:t>, July 2016</w:t>
      </w:r>
      <w:r w:rsidR="00FD6E6C">
        <w:t>.</w:t>
      </w:r>
    </w:p>
    <w:p w14:paraId="0AC63D66" w14:textId="4E4E98FF" w:rsidR="003C1677" w:rsidRDefault="00DB3F2D" w:rsidP="007F35F8">
      <w:r w:rsidRPr="00527111">
        <w:rPr>
          <w:rStyle w:val="Strong"/>
        </w:rPr>
        <w:t>Suitability gap</w:t>
      </w:r>
      <w:r>
        <w:rPr>
          <w:b/>
          <w:bCs/>
        </w:rPr>
        <w:t xml:space="preserve"> </w:t>
      </w:r>
      <w:r>
        <w:t xml:space="preserve">is the difference between </w:t>
      </w:r>
      <w:r w:rsidR="00297D58">
        <w:t xml:space="preserve">the </w:t>
      </w:r>
      <w:r w:rsidR="00501632">
        <w:t xml:space="preserve">average number of qualified applicants per vacancy and the average number of suitable applicants per vacancy. </w:t>
      </w:r>
      <w:r w:rsidR="00297D58">
        <w:t xml:space="preserve">A suitability gap </w:t>
      </w:r>
      <w:r w:rsidR="00297D58">
        <w:lastRenderedPageBreak/>
        <w:t xml:space="preserve">greater than zero would mean that </w:t>
      </w:r>
      <w:r w:rsidR="00C77D48">
        <w:t>there are fewer suitable applicants than qualified applicants</w:t>
      </w:r>
      <w:r w:rsidR="002876E2">
        <w:t xml:space="preserve">. </w:t>
      </w:r>
    </w:p>
    <w:p w14:paraId="47F277EF" w14:textId="556EBFC0" w:rsidR="003C1677" w:rsidRPr="006D009D" w:rsidRDefault="003C1677" w:rsidP="003C1677">
      <w:r w:rsidRPr="006D009D">
        <w:t xml:space="preserve">For more information, contact </w:t>
      </w:r>
      <w:hyperlink r:id="rId30" w:history="1">
        <w:r w:rsidR="006D009D" w:rsidRPr="006D009D">
          <w:rPr>
            <w:rStyle w:val="Hyperlink"/>
            <w:lang w:val="en-US" w:eastAsia="en-AU"/>
          </w:rPr>
          <w:t>SkillsPriorityList@jobsandskills.gov.au</w:t>
        </w:r>
      </w:hyperlink>
      <w:r w:rsidR="006D009D" w:rsidRPr="006D009D">
        <w:rPr>
          <w:lang w:val="en-US" w:eastAsia="en-AU"/>
        </w:rPr>
        <w:t>.</w:t>
      </w:r>
    </w:p>
    <w:p w14:paraId="15197364" w14:textId="0F52693C" w:rsidR="006D009D" w:rsidRPr="006D009D" w:rsidRDefault="006D009D" w:rsidP="003C1677">
      <w:r w:rsidRPr="006D009D">
        <w:t xml:space="preserve">Please refer to </w:t>
      </w:r>
      <w:hyperlink r:id="rId31" w:history="1">
        <w:r w:rsidRPr="006D009D">
          <w:rPr>
            <w:rStyle w:val="Hyperlink"/>
          </w:rPr>
          <w:t>Skills Shortages Analysis | Jobs and Skills Australia</w:t>
        </w:r>
      </w:hyperlink>
      <w:r w:rsidRPr="006D009D">
        <w:t xml:space="preserve"> for the 2023 SPL key findings reports, stakeholder submission snapshot, methodology paper and data. </w:t>
      </w:r>
    </w:p>
    <w:p w14:paraId="7A4746A3" w14:textId="0C6C7BC1" w:rsidR="003C1677" w:rsidRPr="00DB3F2D" w:rsidRDefault="003C1677" w:rsidP="003C1677">
      <w:pPr>
        <w:rPr>
          <w:b/>
          <w:bCs/>
        </w:rPr>
      </w:pPr>
    </w:p>
    <w:sectPr w:rsidR="003C1677" w:rsidRPr="00DB3F2D" w:rsidSect="001F20A7">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D7C0" w14:textId="77777777" w:rsidR="001F20A7" w:rsidRDefault="001F20A7" w:rsidP="008C0056">
      <w:r>
        <w:separator/>
      </w:r>
    </w:p>
  </w:endnote>
  <w:endnote w:type="continuationSeparator" w:id="0">
    <w:p w14:paraId="771F0FF6" w14:textId="77777777" w:rsidR="001F20A7" w:rsidRDefault="001F20A7" w:rsidP="008C0056">
      <w:r>
        <w:continuationSeparator/>
      </w:r>
    </w:p>
  </w:endnote>
  <w:endnote w:type="continuationNotice" w:id="1">
    <w:p w14:paraId="08FCA8CB" w14:textId="77777777" w:rsidR="001F20A7" w:rsidRDefault="001F20A7"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053515"/>
      <w:docPartObj>
        <w:docPartGallery w:val="Page Numbers (Bottom of Page)"/>
        <w:docPartUnique/>
      </w:docPartObj>
    </w:sdtPr>
    <w:sdtEndPr>
      <w:rPr>
        <w:noProof/>
      </w:rPr>
    </w:sdtEndPr>
    <w:sdtContent>
      <w:p w14:paraId="49943737" w14:textId="0DE562CA" w:rsidR="00D34F94" w:rsidRDefault="00D34F94" w:rsidP="00D80387">
        <w:pPr>
          <w:pStyle w:val="Footer"/>
          <w:tabs>
            <w:tab w:val="clear" w:pos="9026"/>
            <w:tab w:val="right" w:pos="14175"/>
          </w:tabs>
        </w:pPr>
        <w:r w:rsidRPr="00991526">
          <w:t xml:space="preserve">Jobs and Skills Australia – </w:t>
        </w:r>
        <w:sdt>
          <w:sdtPr>
            <w:alias w:val="Title"/>
            <w:tag w:val=""/>
            <w:id w:val="-1056470111"/>
            <w:placeholder>
              <w:docPart w:val="50B830F55D324E65AA7A1CD79CCEB595"/>
            </w:placeholder>
            <w:dataBinding w:prefixMappings="xmlns:ns0='http://purl.org/dc/elements/1.1/' xmlns:ns1='http://schemas.openxmlformats.org/package/2006/metadata/core-properties' " w:xpath="/ns1:coreProperties[1]/ns0:title[1]" w:storeItemID="{6C3C8BC8-F283-45AE-878A-BAB7291924A1}"/>
            <w:text/>
          </w:sdtPr>
          <w:sdtEndPr/>
          <w:sdtContent>
            <w:r>
              <w:t>Skills Shortage Quarterly</w:t>
            </w:r>
          </w:sdtContent>
        </w:sdt>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FC3A" w14:textId="5E9E12B5" w:rsidR="00DF1E2C" w:rsidRDefault="00DF1E2C">
    <w:pPr>
      <w:pStyle w:val="Footer"/>
      <w:jc w:val="right"/>
    </w:pPr>
  </w:p>
  <w:sdt>
    <w:sdtPr>
      <w:id w:val="247469619"/>
      <w:docPartObj>
        <w:docPartGallery w:val="Page Numbers (Bottom of Page)"/>
        <w:docPartUnique/>
      </w:docPartObj>
    </w:sdtPr>
    <w:sdtEndPr>
      <w:rPr>
        <w:noProof/>
      </w:rPr>
    </w:sdtEndPr>
    <w:sdtContent>
      <w:p w14:paraId="111650F1" w14:textId="65D2309E" w:rsidR="576AB269" w:rsidRDefault="00D80387" w:rsidP="00375336">
        <w:pPr>
          <w:pStyle w:val="Footer"/>
          <w:tabs>
            <w:tab w:val="clear" w:pos="9026"/>
            <w:tab w:val="right" w:pos="14175"/>
          </w:tabs>
        </w:pPr>
        <w:r w:rsidRPr="00991526">
          <w:t xml:space="preserve">Jobs and Skills Australia – </w:t>
        </w:r>
        <w:sdt>
          <w:sdtPr>
            <w:alias w:val="Title"/>
            <w:tag w:val=""/>
            <w:id w:val="-270403989"/>
            <w:placeholder>
              <w:docPart w:val="D975B91F187946B5AB69B11B19436059"/>
            </w:placeholder>
            <w:dataBinding w:prefixMappings="xmlns:ns0='http://purl.org/dc/elements/1.1/' xmlns:ns1='http://schemas.openxmlformats.org/package/2006/metadata/core-properties' " w:xpath="/ns1:coreProperties[1]/ns0:title[1]" w:storeItemID="{6C3C8BC8-F283-45AE-878A-BAB7291924A1}"/>
            <w:text/>
          </w:sdtPr>
          <w:sdtEndPr/>
          <w:sdtContent>
            <w:r>
              <w:t>Skills Shortage Quarterly</w:t>
            </w:r>
          </w:sdtContent>
        </w:sdt>
        <w:r>
          <w:tab/>
        </w:r>
        <w:r w:rsidRPr="00991526">
          <w:fldChar w:fldCharType="begin"/>
        </w:r>
        <w:r w:rsidRPr="00991526">
          <w:instrText xml:space="preserve"> PAGE   \* MERGEFORMAT </w:instrText>
        </w:r>
        <w:r w:rsidRPr="00991526">
          <w:fldChar w:fldCharType="separate"/>
        </w:r>
        <w:r>
          <w:t>12</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01B0" w14:textId="77777777" w:rsidR="001F20A7" w:rsidRDefault="001F20A7" w:rsidP="008C0056">
      <w:r>
        <w:separator/>
      </w:r>
    </w:p>
  </w:footnote>
  <w:footnote w:type="continuationSeparator" w:id="0">
    <w:p w14:paraId="1DBE930A" w14:textId="77777777" w:rsidR="001F20A7" w:rsidRDefault="001F20A7" w:rsidP="008C0056">
      <w:r>
        <w:continuationSeparator/>
      </w:r>
    </w:p>
  </w:footnote>
  <w:footnote w:type="continuationNotice" w:id="1">
    <w:p w14:paraId="490766E6" w14:textId="77777777" w:rsidR="001F20A7" w:rsidRDefault="001F20A7" w:rsidP="008C0056"/>
  </w:footnote>
  <w:footnote w:id="2">
    <w:p w14:paraId="18FD8A77" w14:textId="44181C8A" w:rsidR="00472F31" w:rsidRDefault="00472F31" w:rsidP="00472F31">
      <w:pPr>
        <w:pStyle w:val="FootnoteText"/>
      </w:pPr>
      <w:r>
        <w:rPr>
          <w:rStyle w:val="FootnoteReference"/>
        </w:rPr>
        <w:footnoteRef/>
      </w:r>
      <w:r>
        <w:t xml:space="preserve"> </w:t>
      </w:r>
      <w:r w:rsidR="00FB0FB1" w:rsidRPr="00FB0FB1">
        <w:rPr>
          <w:sz w:val="16"/>
          <w:szCs w:val="16"/>
        </w:rPr>
        <w:t xml:space="preserve">Note that in this report, we have changed our methodology to calculate the fill rate and other metrics such as applicants, qualified applicants and suitable applicants per vacancy using 12 months of data leading to the latest quarter. Using a rolling annual period as opposed to the latest quarter itself removes the impact of data volatility attributable to SERA sampling, whereby concentrations of sampling with respect to different occupational major groups can occur at different times of </w:t>
      </w:r>
      <w:r w:rsidR="00226D45">
        <w:rPr>
          <w:sz w:val="16"/>
          <w:szCs w:val="16"/>
        </w:rPr>
        <w:t>a</w:t>
      </w:r>
      <w:r w:rsidR="00FB0FB1" w:rsidRPr="00FB0FB1">
        <w:rPr>
          <w:sz w:val="16"/>
          <w:szCs w:val="16"/>
        </w:rPr>
        <w:t xml:space="preserve"> year.</w:t>
      </w:r>
    </w:p>
  </w:footnote>
  <w:footnote w:id="3">
    <w:p w14:paraId="00FC2099" w14:textId="3F7DEF53" w:rsidR="008A0771" w:rsidRDefault="008A0771">
      <w:pPr>
        <w:pStyle w:val="FootnoteText"/>
      </w:pPr>
      <w:r>
        <w:rPr>
          <w:rStyle w:val="FootnoteReference"/>
        </w:rPr>
        <w:footnoteRef/>
      </w:r>
      <w:r>
        <w:t xml:space="preserve"> </w:t>
      </w:r>
      <w:r w:rsidRPr="00236A7E">
        <w:rPr>
          <w:sz w:val="16"/>
          <w:szCs w:val="16"/>
        </w:rPr>
        <w:t>Note that in this report, we have changed the measure of suitability gap to percentages which is the difference between the number of qualified applicants and suitable applicants</w:t>
      </w:r>
      <w:r w:rsidR="00FC68D0">
        <w:rPr>
          <w:sz w:val="16"/>
          <w:szCs w:val="16"/>
        </w:rPr>
        <w:t>,</w:t>
      </w:r>
      <w:r w:rsidRPr="00236A7E">
        <w:rPr>
          <w:sz w:val="16"/>
          <w:szCs w:val="16"/>
        </w:rPr>
        <w:t xml:space="preserve"> both at per vacancy base, as a </w:t>
      </w:r>
      <w:r>
        <w:rPr>
          <w:sz w:val="16"/>
          <w:szCs w:val="16"/>
        </w:rPr>
        <w:t xml:space="preserve">proportion </w:t>
      </w:r>
      <w:r w:rsidRPr="00236A7E">
        <w:rPr>
          <w:sz w:val="16"/>
          <w:szCs w:val="16"/>
        </w:rPr>
        <w:t xml:space="preserve">of the number of qualified applicants per vacancy. </w:t>
      </w:r>
      <w:r w:rsidR="004255A3">
        <w:rPr>
          <w:sz w:val="16"/>
          <w:szCs w:val="16"/>
        </w:rPr>
        <w:t>Compared with the previous measure used, t</w:t>
      </w:r>
      <w:r w:rsidRPr="00236A7E">
        <w:rPr>
          <w:sz w:val="16"/>
          <w:szCs w:val="16"/>
        </w:rPr>
        <w:t>h</w:t>
      </w:r>
      <w:r>
        <w:rPr>
          <w:sz w:val="16"/>
          <w:szCs w:val="16"/>
        </w:rPr>
        <w:t xml:space="preserve">is new measure </w:t>
      </w:r>
      <w:r w:rsidR="00FC68D0">
        <w:rPr>
          <w:sz w:val="16"/>
          <w:szCs w:val="16"/>
        </w:rPr>
        <w:t>is more user friendly, easier to interpret</w:t>
      </w:r>
      <w:r w:rsidR="00C17744">
        <w:rPr>
          <w:sz w:val="16"/>
          <w:szCs w:val="16"/>
        </w:rPr>
        <w:t xml:space="preserve"> </w:t>
      </w:r>
      <w:r w:rsidR="004255A3">
        <w:rPr>
          <w:sz w:val="16"/>
          <w:szCs w:val="16"/>
        </w:rPr>
        <w:t xml:space="preserve">particularly when tracking changes over time. </w:t>
      </w:r>
      <w:r w:rsidR="00C17744">
        <w:rPr>
          <w:sz w:val="16"/>
          <w:szCs w:val="16"/>
        </w:rPr>
        <w:t>Moreover</w:t>
      </w:r>
      <w:r w:rsidR="00FC68D0">
        <w:rPr>
          <w:sz w:val="16"/>
          <w:szCs w:val="16"/>
        </w:rPr>
        <w:t xml:space="preserve">, </w:t>
      </w:r>
      <w:r w:rsidR="004255A3">
        <w:rPr>
          <w:sz w:val="16"/>
          <w:szCs w:val="16"/>
        </w:rPr>
        <w:t xml:space="preserve">it is </w:t>
      </w:r>
      <w:r w:rsidR="00C17744">
        <w:rPr>
          <w:sz w:val="16"/>
          <w:szCs w:val="16"/>
        </w:rPr>
        <w:t xml:space="preserve">less subject to the impact from </w:t>
      </w:r>
      <w:r w:rsidR="00FC68D0">
        <w:rPr>
          <w:sz w:val="16"/>
          <w:szCs w:val="16"/>
        </w:rPr>
        <w:t xml:space="preserve">changes in the number of qualified applicants per vacancy. </w:t>
      </w:r>
    </w:p>
  </w:footnote>
  <w:footnote w:id="4">
    <w:p w14:paraId="60975E75" w14:textId="4F6CBA93" w:rsidR="00DB1E97" w:rsidRDefault="00DB1E97">
      <w:pPr>
        <w:pStyle w:val="FootnoteText"/>
      </w:pPr>
      <w:r>
        <w:rPr>
          <w:rStyle w:val="FootnoteReference"/>
        </w:rPr>
        <w:footnoteRef/>
      </w:r>
      <w:r>
        <w:t xml:space="preserve"> </w:t>
      </w:r>
      <w:r>
        <w:rPr>
          <w:sz w:val="16"/>
          <w:szCs w:val="16"/>
        </w:rPr>
        <w:t>As reported in previous editions of the Skill Shortage Quarterly reports, t</w:t>
      </w:r>
      <w:r w:rsidRPr="00DB1E97">
        <w:rPr>
          <w:sz w:val="16"/>
          <w:szCs w:val="16"/>
        </w:rPr>
        <w:t>he persistent</w:t>
      </w:r>
      <w:r>
        <w:rPr>
          <w:sz w:val="16"/>
          <w:szCs w:val="16"/>
        </w:rPr>
        <w:t xml:space="preserve"> and</w:t>
      </w:r>
      <w:r w:rsidRPr="00DB1E97">
        <w:rPr>
          <w:sz w:val="16"/>
          <w:szCs w:val="16"/>
        </w:rPr>
        <w:t xml:space="preserve"> </w:t>
      </w:r>
      <w:r>
        <w:rPr>
          <w:sz w:val="16"/>
          <w:szCs w:val="16"/>
        </w:rPr>
        <w:t xml:space="preserve">wide </w:t>
      </w:r>
      <w:r w:rsidRPr="00DB1E97">
        <w:rPr>
          <w:sz w:val="16"/>
          <w:szCs w:val="16"/>
        </w:rPr>
        <w:t xml:space="preserve">suitability gap for Skill Level 1 occupations may be due to megatrends shaping the economy. Technology–driven changes in business processes and the net zero transformation of the economy could be raising employers’ demand for </w:t>
      </w:r>
      <w:r>
        <w:rPr>
          <w:sz w:val="16"/>
          <w:szCs w:val="16"/>
        </w:rPr>
        <w:t xml:space="preserve">certain skills and experiences over and above </w:t>
      </w:r>
      <w:r w:rsidR="00BB4F44">
        <w:rPr>
          <w:sz w:val="16"/>
          <w:szCs w:val="16"/>
        </w:rPr>
        <w:t xml:space="preserve">those </w:t>
      </w:r>
      <w:r>
        <w:rPr>
          <w:sz w:val="16"/>
          <w:szCs w:val="16"/>
        </w:rPr>
        <w:t>provided by qualifications.</w:t>
      </w:r>
    </w:p>
  </w:footnote>
  <w:footnote w:id="5">
    <w:p w14:paraId="0F12DC0D" w14:textId="34F4D8EF" w:rsidR="00AD1B91" w:rsidRDefault="00AD1B91">
      <w:pPr>
        <w:pStyle w:val="FootnoteText"/>
      </w:pPr>
      <w:r>
        <w:rPr>
          <w:rStyle w:val="FootnoteReference"/>
        </w:rPr>
        <w:footnoteRef/>
      </w:r>
      <w:r>
        <w:t xml:space="preserve"> </w:t>
      </w:r>
      <w:r>
        <w:rPr>
          <w:sz w:val="16"/>
          <w:szCs w:val="16"/>
        </w:rPr>
        <w:t>As mentioned in previous reports, t</w:t>
      </w:r>
      <w:r w:rsidRPr="00AD1B91">
        <w:rPr>
          <w:sz w:val="16"/>
          <w:szCs w:val="16"/>
        </w:rPr>
        <w:t>he magnitude of the suitability gap for these sub-major groups may signify that the acquisition of skills occurs to a greater extent through on–the–job–learning. This is reinforced by the fact that these occupations have relatively higher average years of relevant labour market experience required from applicants (more than 3.7 years) than other occupations.</w:t>
      </w:r>
    </w:p>
  </w:footnote>
  <w:footnote w:id="6">
    <w:p w14:paraId="73878F02" w14:textId="0D9FAB92" w:rsidR="00F53F38" w:rsidRDefault="00F53F38">
      <w:pPr>
        <w:pStyle w:val="FootnoteText"/>
      </w:pPr>
      <w:r>
        <w:rPr>
          <w:rStyle w:val="FootnoteReference"/>
        </w:rPr>
        <w:footnoteRef/>
      </w:r>
      <w:r>
        <w:t xml:space="preserve"> </w:t>
      </w:r>
      <w:r w:rsidRPr="00F53F38">
        <w:rPr>
          <w:sz w:val="16"/>
          <w:szCs w:val="16"/>
        </w:rPr>
        <w:t>The only exception is Automotive and Engineering Trades and Engineering, ICT and Science Technicians, which had higher suitability gaps of 61.4% and 59.8% respectively</w:t>
      </w:r>
      <w:r>
        <w:rPr>
          <w:sz w:val="16"/>
          <w:szCs w:val="16"/>
        </w:rPr>
        <w:t xml:space="preserve">. </w:t>
      </w:r>
      <w:r w:rsidRPr="00F53F38">
        <w:rPr>
          <w:sz w:val="16"/>
          <w:szCs w:val="16"/>
        </w:rPr>
        <w:t xml:space="preserve">For both occupation groups, the gap has averaged over 55% in the last two years, and employers’ experience requirements of applicants for these occupation groups were also extensive at almost 3 years. </w:t>
      </w:r>
      <w:proofErr w:type="gramStart"/>
      <w:r w:rsidRPr="00F53F38">
        <w:rPr>
          <w:sz w:val="16"/>
          <w:szCs w:val="16"/>
        </w:rPr>
        <w:t>Similar to</w:t>
      </w:r>
      <w:proofErr w:type="gramEnd"/>
      <w:r w:rsidRPr="00F53F38">
        <w:rPr>
          <w:sz w:val="16"/>
          <w:szCs w:val="16"/>
        </w:rPr>
        <w:t xml:space="preserve"> Design, Engineering, Science and Transport and ICT Professionals, skills acquisition through on–the–job–learning may also play a key role for Automotive and Engineering Trades and Engineering, ICT and Science Technicians.</w:t>
      </w:r>
    </w:p>
  </w:footnote>
  <w:footnote w:id="7">
    <w:p w14:paraId="244AF8C4" w14:textId="560A82A9" w:rsidR="00C76FDD" w:rsidRDefault="00C76FDD">
      <w:pPr>
        <w:pStyle w:val="FootnoteText"/>
      </w:pPr>
      <w:r>
        <w:rPr>
          <w:rStyle w:val="FootnoteReference"/>
        </w:rPr>
        <w:footnoteRef/>
      </w:r>
      <w:r>
        <w:t xml:space="preserve"> </w:t>
      </w:r>
      <w:r>
        <w:rPr>
          <w:sz w:val="16"/>
          <w:szCs w:val="16"/>
        </w:rPr>
        <w:t>Fi</w:t>
      </w:r>
      <w:r w:rsidRPr="00C76FDD">
        <w:rPr>
          <w:sz w:val="16"/>
          <w:szCs w:val="16"/>
        </w:rPr>
        <w:t xml:space="preserve">ll rates </w:t>
      </w:r>
      <w:r>
        <w:rPr>
          <w:sz w:val="16"/>
          <w:szCs w:val="16"/>
        </w:rPr>
        <w:t>for</w:t>
      </w:r>
      <w:r w:rsidR="00DC1B7D">
        <w:rPr>
          <w:sz w:val="16"/>
          <w:szCs w:val="16"/>
        </w:rPr>
        <w:t xml:space="preserve"> the</w:t>
      </w:r>
      <w:r>
        <w:rPr>
          <w:sz w:val="16"/>
          <w:szCs w:val="16"/>
        </w:rPr>
        <w:t xml:space="preserve"> Sports and Personal Service Group </w:t>
      </w:r>
      <w:r w:rsidRPr="00C76FDD">
        <w:rPr>
          <w:sz w:val="16"/>
          <w:szCs w:val="16"/>
        </w:rPr>
        <w:t>have been consistently low since the occupation was included in the survey in the June quarter 2021. This sub–major group includes a diverse set of occupations such as Beauty Therapists, Fitness Instructors, and Sports Coaches, Instructors and Officials.</w:t>
      </w:r>
    </w:p>
  </w:footnote>
  <w:footnote w:id="8">
    <w:p w14:paraId="7413982D" w14:textId="77777777" w:rsidR="0086738B" w:rsidRDefault="0086738B" w:rsidP="0086738B">
      <w:pPr>
        <w:pStyle w:val="FootnoteText"/>
      </w:pPr>
      <w:r>
        <w:rPr>
          <w:rStyle w:val="FootnoteReference"/>
        </w:rPr>
        <w:footnoteRef/>
      </w:r>
      <w:r>
        <w:t xml:space="preserve"> </w:t>
      </w:r>
      <w:r w:rsidRPr="00C44CDD">
        <w:rPr>
          <w:sz w:val="16"/>
          <w:szCs w:val="16"/>
        </w:rPr>
        <w:t xml:space="preserve">Leal, 2019, </w:t>
      </w:r>
      <w:hyperlink r:id="rId1" w:history="1">
        <w:r w:rsidRPr="00C44CDD">
          <w:rPr>
            <w:rStyle w:val="Hyperlink"/>
            <w:sz w:val="16"/>
            <w:szCs w:val="16"/>
          </w:rPr>
          <w:t>Firm-level insights into skills shortages and wages growth</w:t>
        </w:r>
      </w:hyperlink>
      <w:r w:rsidRPr="00C44CDD">
        <w:rPr>
          <w:sz w:val="16"/>
          <w:szCs w:val="16"/>
        </w:rPr>
        <w:t xml:space="preserve">, RBA Bulletin, March 2019. </w:t>
      </w:r>
    </w:p>
  </w:footnote>
  <w:footnote w:id="9">
    <w:p w14:paraId="40BE8802" w14:textId="77777777" w:rsidR="00CA4C94" w:rsidRPr="009F5F47" w:rsidRDefault="00CA4C94" w:rsidP="00A00179">
      <w:pPr>
        <w:pStyle w:val="FootnoteText"/>
        <w:rPr>
          <w:sz w:val="16"/>
          <w:szCs w:val="16"/>
        </w:rPr>
      </w:pPr>
      <w:r w:rsidRPr="009F5F47">
        <w:rPr>
          <w:rStyle w:val="FootnoteReference"/>
          <w:sz w:val="16"/>
          <w:szCs w:val="16"/>
        </w:rPr>
        <w:footnoteRef/>
      </w:r>
      <w:r w:rsidRPr="009F5F47">
        <w:rPr>
          <w:sz w:val="16"/>
          <w:szCs w:val="16"/>
        </w:rPr>
        <w:t xml:space="preserve"> </w:t>
      </w:r>
      <w:r>
        <w:rPr>
          <w:sz w:val="16"/>
          <w:szCs w:val="16"/>
        </w:rPr>
        <w:t xml:space="preserve">Skill level categories are based on the </w:t>
      </w:r>
      <w:hyperlink r:id="rId2" w:history="1">
        <w:r w:rsidRPr="00A2064B">
          <w:rPr>
            <w:rStyle w:val="Hyperlink"/>
            <w:sz w:val="16"/>
            <w:szCs w:val="16"/>
          </w:rPr>
          <w:t>Australian and New Zealand Standard Classification of Occupations</w:t>
        </w:r>
      </w:hyperlink>
      <w:r>
        <w:rPr>
          <w:sz w:val="16"/>
          <w:szCs w:val="16"/>
        </w:rPr>
        <w:t xml:space="preserve"> (ANZSCO).</w:t>
      </w:r>
    </w:p>
  </w:footnote>
  <w:footnote w:id="10">
    <w:p w14:paraId="68748C2A" w14:textId="77777777" w:rsidR="00B71532" w:rsidRDefault="00B71532" w:rsidP="00A00179">
      <w:pPr>
        <w:pStyle w:val="FootnoteText"/>
      </w:pPr>
      <w:r w:rsidRPr="00321B0F">
        <w:rPr>
          <w:rStyle w:val="FootnoteReference"/>
          <w:sz w:val="16"/>
          <w:szCs w:val="16"/>
        </w:rPr>
        <w:footnoteRef/>
      </w:r>
      <w:r w:rsidRPr="00321B0F">
        <w:rPr>
          <w:sz w:val="16"/>
          <w:szCs w:val="16"/>
        </w:rPr>
        <w:t xml:space="preserve"> Sub-</w:t>
      </w:r>
      <w:r>
        <w:rPr>
          <w:sz w:val="16"/>
          <w:szCs w:val="16"/>
        </w:rPr>
        <w:t>occupations</w:t>
      </w:r>
      <w:r w:rsidRPr="00321B0F">
        <w:rPr>
          <w:sz w:val="16"/>
          <w:szCs w:val="16"/>
        </w:rPr>
        <w:t xml:space="preserve"> are based on the 2-digit ANZSCO level</w:t>
      </w:r>
      <w:r>
        <w:rPr>
          <w:sz w:val="16"/>
          <w:szCs w:val="16"/>
        </w:rPr>
        <w:t xml:space="preserve"> and only includes those with a large enough sample size over the quarter.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656C5"/>
    <w:multiLevelType w:val="hybridMultilevel"/>
    <w:tmpl w:val="0B284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8C629A"/>
    <w:multiLevelType w:val="hybridMultilevel"/>
    <w:tmpl w:val="F244D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585F53"/>
    <w:multiLevelType w:val="multilevel"/>
    <w:tmpl w:val="A3E88540"/>
    <w:name w:val="ListBullets"/>
    <w:lvl w:ilvl="0">
      <w:start w:val="1"/>
      <w:numFmt w:val="bullet"/>
      <w:pStyle w:val="ListBullet"/>
      <w:lvlText w:val="•"/>
      <w:lvlJc w:val="left"/>
      <w:pPr>
        <w:ind w:left="1060" w:hanging="340"/>
      </w:pPr>
      <w:rPr>
        <w:rFonts w:ascii="Calibri" w:hAnsi="Calibri" w:hint="default"/>
        <w:color w:val="auto"/>
      </w:rPr>
    </w:lvl>
    <w:lvl w:ilvl="1">
      <w:start w:val="1"/>
      <w:numFmt w:val="bullet"/>
      <w:pStyle w:val="ListBullet2"/>
      <w:lvlText w:val="–"/>
      <w:lvlJc w:val="left"/>
      <w:pPr>
        <w:ind w:left="1400" w:hanging="340"/>
      </w:pPr>
      <w:rPr>
        <w:rFonts w:ascii="Arial" w:hAnsi="Arial" w:hint="default"/>
        <w:color w:val="auto"/>
      </w:rPr>
    </w:lvl>
    <w:lvl w:ilvl="2">
      <w:start w:val="1"/>
      <w:numFmt w:val="bullet"/>
      <w:pStyle w:val="ListBullet3"/>
      <w:lvlText w:val="○"/>
      <w:lvlJc w:val="left"/>
      <w:pPr>
        <w:ind w:left="1740" w:hanging="340"/>
      </w:pPr>
      <w:rPr>
        <w:rFonts w:ascii="Times New Roman" w:hAnsi="Times New Roman" w:cs="Times New Roman" w:hint="default"/>
        <w:color w:val="auto"/>
      </w:rPr>
    </w:lvl>
    <w:lvl w:ilvl="3">
      <w:start w:val="1"/>
      <w:numFmt w:val="bullet"/>
      <w:pStyle w:val="ListBullet4"/>
      <w:lvlText w:val="•"/>
      <w:lvlJc w:val="left"/>
      <w:pPr>
        <w:ind w:left="2080" w:hanging="340"/>
      </w:pPr>
      <w:rPr>
        <w:rFonts w:ascii="Arial" w:hAnsi="Arial" w:hint="default"/>
        <w:color w:val="auto"/>
      </w:rPr>
    </w:lvl>
    <w:lvl w:ilvl="4">
      <w:start w:val="1"/>
      <w:numFmt w:val="none"/>
      <w:lvlText w:val=""/>
      <w:lvlJc w:val="left"/>
      <w:pPr>
        <w:tabs>
          <w:tab w:val="num" w:pos="2432"/>
        </w:tabs>
        <w:ind w:left="2420" w:hanging="340"/>
      </w:pPr>
      <w:rPr>
        <w:rFonts w:hint="default"/>
      </w:rPr>
    </w:lvl>
    <w:lvl w:ilvl="5">
      <w:start w:val="1"/>
      <w:numFmt w:val="none"/>
      <w:lvlText w:val=""/>
      <w:lvlJc w:val="left"/>
      <w:pPr>
        <w:tabs>
          <w:tab w:val="num" w:pos="2789"/>
        </w:tabs>
        <w:ind w:left="2760" w:hanging="340"/>
      </w:pPr>
      <w:rPr>
        <w:rFonts w:hint="default"/>
      </w:rPr>
    </w:lvl>
    <w:lvl w:ilvl="6">
      <w:start w:val="1"/>
      <w:numFmt w:val="none"/>
      <w:lvlText w:val=""/>
      <w:lvlJc w:val="left"/>
      <w:pPr>
        <w:tabs>
          <w:tab w:val="num" w:pos="3146"/>
        </w:tabs>
        <w:ind w:left="3100" w:hanging="340"/>
      </w:pPr>
      <w:rPr>
        <w:rFonts w:hint="default"/>
      </w:rPr>
    </w:lvl>
    <w:lvl w:ilvl="7">
      <w:start w:val="1"/>
      <w:numFmt w:val="none"/>
      <w:lvlText w:val=""/>
      <w:lvlJc w:val="left"/>
      <w:pPr>
        <w:tabs>
          <w:tab w:val="num" w:pos="3503"/>
        </w:tabs>
        <w:ind w:left="3440" w:hanging="340"/>
      </w:pPr>
      <w:rPr>
        <w:rFonts w:hint="default"/>
      </w:rPr>
    </w:lvl>
    <w:lvl w:ilvl="8">
      <w:start w:val="1"/>
      <w:numFmt w:val="none"/>
      <w:lvlText w:val=""/>
      <w:lvlJc w:val="left"/>
      <w:pPr>
        <w:tabs>
          <w:tab w:val="num" w:pos="3860"/>
        </w:tabs>
        <w:ind w:left="3780" w:hanging="340"/>
      </w:pPr>
      <w:rPr>
        <w:rFonts w:hint="default"/>
      </w:rPr>
    </w:lvl>
  </w:abstractNum>
  <w:abstractNum w:abstractNumId="11"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C4584A"/>
    <w:multiLevelType w:val="hybridMultilevel"/>
    <w:tmpl w:val="C9F8EC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545FA5"/>
    <w:multiLevelType w:val="hybridMultilevel"/>
    <w:tmpl w:val="02085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ED5A47"/>
    <w:multiLevelType w:val="hybridMultilevel"/>
    <w:tmpl w:val="3946B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5A229D"/>
    <w:multiLevelType w:val="hybridMultilevel"/>
    <w:tmpl w:val="34642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BE57114"/>
    <w:multiLevelType w:val="hybridMultilevel"/>
    <w:tmpl w:val="ABEC315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C391A9C"/>
    <w:multiLevelType w:val="hybridMultilevel"/>
    <w:tmpl w:val="01D46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CF40CD"/>
    <w:multiLevelType w:val="hybridMultilevel"/>
    <w:tmpl w:val="58729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3"/>
  </w:num>
  <w:num w:numId="2" w16cid:durableId="1668050683">
    <w:abstractNumId w:val="13"/>
  </w:num>
  <w:num w:numId="3" w16cid:durableId="1683042470">
    <w:abstractNumId w:val="6"/>
  </w:num>
  <w:num w:numId="4" w16cid:durableId="133523604">
    <w:abstractNumId w:val="21"/>
  </w:num>
  <w:num w:numId="5" w16cid:durableId="1994024302">
    <w:abstractNumId w:val="22"/>
  </w:num>
  <w:num w:numId="6" w16cid:durableId="1358852113">
    <w:abstractNumId w:val="12"/>
  </w:num>
  <w:num w:numId="7" w16cid:durableId="2047246184">
    <w:abstractNumId w:val="10"/>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1"/>
  </w:num>
  <w:num w:numId="15" w16cid:durableId="406730085">
    <w:abstractNumId w:val="9"/>
  </w:num>
  <w:num w:numId="16" w16cid:durableId="1388455078">
    <w:abstractNumId w:val="10"/>
  </w:num>
  <w:num w:numId="17" w16cid:durableId="1119447033">
    <w:abstractNumId w:val="8"/>
  </w:num>
  <w:num w:numId="18" w16cid:durableId="1327903040">
    <w:abstractNumId w:val="7"/>
  </w:num>
  <w:num w:numId="19" w16cid:durableId="489442788">
    <w:abstractNumId w:val="17"/>
  </w:num>
  <w:num w:numId="20" w16cid:durableId="1433236834">
    <w:abstractNumId w:val="10"/>
  </w:num>
  <w:num w:numId="21" w16cid:durableId="474638254">
    <w:abstractNumId w:val="15"/>
  </w:num>
  <w:num w:numId="22" w16cid:durableId="1201091333">
    <w:abstractNumId w:val="10"/>
  </w:num>
  <w:num w:numId="23" w16cid:durableId="1899170575">
    <w:abstractNumId w:val="20"/>
  </w:num>
  <w:num w:numId="24" w16cid:durableId="29230574">
    <w:abstractNumId w:val="14"/>
  </w:num>
  <w:num w:numId="25" w16cid:durableId="1797672564">
    <w:abstractNumId w:val="18"/>
  </w:num>
  <w:num w:numId="26" w16cid:durableId="759982790">
    <w:abstractNumId w:val="19"/>
  </w:num>
  <w:num w:numId="27" w16cid:durableId="1908606678">
    <w:abstractNumId w:val="10"/>
  </w:num>
  <w:num w:numId="28" w16cid:durableId="9108486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24C3"/>
    <w:rsid w:val="00003E8E"/>
    <w:rsid w:val="0001063A"/>
    <w:rsid w:val="00015657"/>
    <w:rsid w:val="0001631E"/>
    <w:rsid w:val="000215AF"/>
    <w:rsid w:val="000251B1"/>
    <w:rsid w:val="00025BD0"/>
    <w:rsid w:val="000261A3"/>
    <w:rsid w:val="00032EFE"/>
    <w:rsid w:val="0003316F"/>
    <w:rsid w:val="00037EB9"/>
    <w:rsid w:val="000404CE"/>
    <w:rsid w:val="00040D16"/>
    <w:rsid w:val="0004100D"/>
    <w:rsid w:val="00041073"/>
    <w:rsid w:val="0004189E"/>
    <w:rsid w:val="00042611"/>
    <w:rsid w:val="00046815"/>
    <w:rsid w:val="000516DA"/>
    <w:rsid w:val="00051CBE"/>
    <w:rsid w:val="0005518A"/>
    <w:rsid w:val="000572BD"/>
    <w:rsid w:val="00060294"/>
    <w:rsid w:val="00060C9C"/>
    <w:rsid w:val="000649F3"/>
    <w:rsid w:val="000840FC"/>
    <w:rsid w:val="000933C7"/>
    <w:rsid w:val="0009493A"/>
    <w:rsid w:val="00095E11"/>
    <w:rsid w:val="000A145A"/>
    <w:rsid w:val="000A3A35"/>
    <w:rsid w:val="000A40C7"/>
    <w:rsid w:val="000A4C5A"/>
    <w:rsid w:val="000A64AC"/>
    <w:rsid w:val="000A7F1E"/>
    <w:rsid w:val="000B6324"/>
    <w:rsid w:val="000B6C33"/>
    <w:rsid w:val="000C0BA2"/>
    <w:rsid w:val="000C48C1"/>
    <w:rsid w:val="000C6B25"/>
    <w:rsid w:val="000D0D1A"/>
    <w:rsid w:val="000D1AD8"/>
    <w:rsid w:val="000D4135"/>
    <w:rsid w:val="000D5FCE"/>
    <w:rsid w:val="000D6745"/>
    <w:rsid w:val="000D7398"/>
    <w:rsid w:val="000E38BA"/>
    <w:rsid w:val="000E65E4"/>
    <w:rsid w:val="000E7042"/>
    <w:rsid w:val="000F522F"/>
    <w:rsid w:val="000F5E9D"/>
    <w:rsid w:val="00101FBF"/>
    <w:rsid w:val="0010395C"/>
    <w:rsid w:val="00104350"/>
    <w:rsid w:val="001046B6"/>
    <w:rsid w:val="00106E5E"/>
    <w:rsid w:val="001134ED"/>
    <w:rsid w:val="00113C8B"/>
    <w:rsid w:val="001155AB"/>
    <w:rsid w:val="00116D0F"/>
    <w:rsid w:val="00120794"/>
    <w:rsid w:val="001218D9"/>
    <w:rsid w:val="00123867"/>
    <w:rsid w:val="00123DFA"/>
    <w:rsid w:val="00124D9E"/>
    <w:rsid w:val="00125C36"/>
    <w:rsid w:val="00126AD2"/>
    <w:rsid w:val="001306D6"/>
    <w:rsid w:val="001312A5"/>
    <w:rsid w:val="00131E99"/>
    <w:rsid w:val="00140805"/>
    <w:rsid w:val="00141E84"/>
    <w:rsid w:val="00143208"/>
    <w:rsid w:val="00147DF9"/>
    <w:rsid w:val="00150995"/>
    <w:rsid w:val="00151224"/>
    <w:rsid w:val="001516BF"/>
    <w:rsid w:val="00151A52"/>
    <w:rsid w:val="001534EA"/>
    <w:rsid w:val="00161D47"/>
    <w:rsid w:val="0016343C"/>
    <w:rsid w:val="00164614"/>
    <w:rsid w:val="00165A5F"/>
    <w:rsid w:val="00174A13"/>
    <w:rsid w:val="0017574A"/>
    <w:rsid w:val="00181F66"/>
    <w:rsid w:val="0018209C"/>
    <w:rsid w:val="00186DC1"/>
    <w:rsid w:val="00192BED"/>
    <w:rsid w:val="00194F61"/>
    <w:rsid w:val="00195CA0"/>
    <w:rsid w:val="001A11CA"/>
    <w:rsid w:val="001A22A8"/>
    <w:rsid w:val="001A30E4"/>
    <w:rsid w:val="001A3F3A"/>
    <w:rsid w:val="001B1097"/>
    <w:rsid w:val="001B2185"/>
    <w:rsid w:val="001B3FAC"/>
    <w:rsid w:val="001B60CE"/>
    <w:rsid w:val="001B7035"/>
    <w:rsid w:val="001B7F1C"/>
    <w:rsid w:val="001C0CB2"/>
    <w:rsid w:val="001C0D18"/>
    <w:rsid w:val="001C0F29"/>
    <w:rsid w:val="001C381D"/>
    <w:rsid w:val="001C6BA8"/>
    <w:rsid w:val="001D1BAB"/>
    <w:rsid w:val="001D2EE8"/>
    <w:rsid w:val="001D52EF"/>
    <w:rsid w:val="001D7F12"/>
    <w:rsid w:val="001E4423"/>
    <w:rsid w:val="001E58C4"/>
    <w:rsid w:val="001E5900"/>
    <w:rsid w:val="001E5CB7"/>
    <w:rsid w:val="001E66BB"/>
    <w:rsid w:val="001E7331"/>
    <w:rsid w:val="001F20A7"/>
    <w:rsid w:val="001F36D6"/>
    <w:rsid w:val="001F59D3"/>
    <w:rsid w:val="002011A7"/>
    <w:rsid w:val="00201984"/>
    <w:rsid w:val="00204CE9"/>
    <w:rsid w:val="00206249"/>
    <w:rsid w:val="00211C43"/>
    <w:rsid w:val="00212106"/>
    <w:rsid w:val="002230FE"/>
    <w:rsid w:val="00226D45"/>
    <w:rsid w:val="00232D52"/>
    <w:rsid w:val="00233A75"/>
    <w:rsid w:val="00233C86"/>
    <w:rsid w:val="002358B2"/>
    <w:rsid w:val="00236A7E"/>
    <w:rsid w:val="002370F3"/>
    <w:rsid w:val="0024392D"/>
    <w:rsid w:val="00244550"/>
    <w:rsid w:val="002466FA"/>
    <w:rsid w:val="00246E21"/>
    <w:rsid w:val="00254665"/>
    <w:rsid w:val="00254E15"/>
    <w:rsid w:val="00256F96"/>
    <w:rsid w:val="002618DF"/>
    <w:rsid w:val="00261D00"/>
    <w:rsid w:val="0026210A"/>
    <w:rsid w:val="002633D9"/>
    <w:rsid w:val="00264DBE"/>
    <w:rsid w:val="00274162"/>
    <w:rsid w:val="00275B96"/>
    <w:rsid w:val="00276B5A"/>
    <w:rsid w:val="00280AC6"/>
    <w:rsid w:val="002824C3"/>
    <w:rsid w:val="00286A63"/>
    <w:rsid w:val="002876E2"/>
    <w:rsid w:val="002927DB"/>
    <w:rsid w:val="00292C77"/>
    <w:rsid w:val="002950ED"/>
    <w:rsid w:val="00296166"/>
    <w:rsid w:val="00297D58"/>
    <w:rsid w:val="002A0C58"/>
    <w:rsid w:val="002A4B17"/>
    <w:rsid w:val="002A6625"/>
    <w:rsid w:val="002A6D25"/>
    <w:rsid w:val="002B56AD"/>
    <w:rsid w:val="002C1566"/>
    <w:rsid w:val="002C30E8"/>
    <w:rsid w:val="002D68E2"/>
    <w:rsid w:val="002E0E18"/>
    <w:rsid w:val="002E52BB"/>
    <w:rsid w:val="002E52F4"/>
    <w:rsid w:val="002E5B03"/>
    <w:rsid w:val="002E6E2F"/>
    <w:rsid w:val="002F3EB5"/>
    <w:rsid w:val="002F4A88"/>
    <w:rsid w:val="002F5690"/>
    <w:rsid w:val="002F60F2"/>
    <w:rsid w:val="002F659A"/>
    <w:rsid w:val="0030243C"/>
    <w:rsid w:val="00305AE1"/>
    <w:rsid w:val="003060CC"/>
    <w:rsid w:val="00306575"/>
    <w:rsid w:val="003069E7"/>
    <w:rsid w:val="00306C0E"/>
    <w:rsid w:val="00310CA1"/>
    <w:rsid w:val="00311521"/>
    <w:rsid w:val="003122CC"/>
    <w:rsid w:val="003134B4"/>
    <w:rsid w:val="00313B29"/>
    <w:rsid w:val="00314E27"/>
    <w:rsid w:val="00315EEB"/>
    <w:rsid w:val="00316B5E"/>
    <w:rsid w:val="00316EA2"/>
    <w:rsid w:val="00323B9A"/>
    <w:rsid w:val="003243EC"/>
    <w:rsid w:val="00327AB4"/>
    <w:rsid w:val="003353F1"/>
    <w:rsid w:val="0033752C"/>
    <w:rsid w:val="00340637"/>
    <w:rsid w:val="00344CC0"/>
    <w:rsid w:val="003471D7"/>
    <w:rsid w:val="0035131B"/>
    <w:rsid w:val="003521E4"/>
    <w:rsid w:val="003547A2"/>
    <w:rsid w:val="00354D3A"/>
    <w:rsid w:val="00356D7C"/>
    <w:rsid w:val="003643DB"/>
    <w:rsid w:val="00365140"/>
    <w:rsid w:val="00365A08"/>
    <w:rsid w:val="00366923"/>
    <w:rsid w:val="003708C1"/>
    <w:rsid w:val="00374E1D"/>
    <w:rsid w:val="00375336"/>
    <w:rsid w:val="003764CC"/>
    <w:rsid w:val="00380F7B"/>
    <w:rsid w:val="0038325E"/>
    <w:rsid w:val="00385788"/>
    <w:rsid w:val="00385ABF"/>
    <w:rsid w:val="003870D3"/>
    <w:rsid w:val="0039115D"/>
    <w:rsid w:val="003926FD"/>
    <w:rsid w:val="003A2337"/>
    <w:rsid w:val="003A3F70"/>
    <w:rsid w:val="003A6C69"/>
    <w:rsid w:val="003B474F"/>
    <w:rsid w:val="003B5422"/>
    <w:rsid w:val="003C04E0"/>
    <w:rsid w:val="003C0817"/>
    <w:rsid w:val="003C1677"/>
    <w:rsid w:val="003C2DF1"/>
    <w:rsid w:val="003D48E5"/>
    <w:rsid w:val="003E0796"/>
    <w:rsid w:val="003E0B70"/>
    <w:rsid w:val="003E2939"/>
    <w:rsid w:val="003E3395"/>
    <w:rsid w:val="003E5695"/>
    <w:rsid w:val="003E7B6F"/>
    <w:rsid w:val="003F2E59"/>
    <w:rsid w:val="00413809"/>
    <w:rsid w:val="00413AAA"/>
    <w:rsid w:val="00414A4A"/>
    <w:rsid w:val="00421AD2"/>
    <w:rsid w:val="00422174"/>
    <w:rsid w:val="00422AD4"/>
    <w:rsid w:val="0042518C"/>
    <w:rsid w:val="004255A3"/>
    <w:rsid w:val="00427FFE"/>
    <w:rsid w:val="00430127"/>
    <w:rsid w:val="00431495"/>
    <w:rsid w:val="00431BE4"/>
    <w:rsid w:val="00431BFC"/>
    <w:rsid w:val="0043564E"/>
    <w:rsid w:val="00440C82"/>
    <w:rsid w:val="004440ED"/>
    <w:rsid w:val="004444E0"/>
    <w:rsid w:val="00456446"/>
    <w:rsid w:val="00465736"/>
    <w:rsid w:val="004701DA"/>
    <w:rsid w:val="00472F31"/>
    <w:rsid w:val="004772BA"/>
    <w:rsid w:val="004773D3"/>
    <w:rsid w:val="004813FD"/>
    <w:rsid w:val="004959E6"/>
    <w:rsid w:val="004A0E0D"/>
    <w:rsid w:val="004A1130"/>
    <w:rsid w:val="004A4A99"/>
    <w:rsid w:val="004A4E53"/>
    <w:rsid w:val="004A71C7"/>
    <w:rsid w:val="004B3447"/>
    <w:rsid w:val="004B3998"/>
    <w:rsid w:val="004B5B0F"/>
    <w:rsid w:val="004C12FC"/>
    <w:rsid w:val="004C542A"/>
    <w:rsid w:val="004C705B"/>
    <w:rsid w:val="004D0F14"/>
    <w:rsid w:val="004D1367"/>
    <w:rsid w:val="004D22A5"/>
    <w:rsid w:val="004D3224"/>
    <w:rsid w:val="004D3A08"/>
    <w:rsid w:val="004D3BA2"/>
    <w:rsid w:val="004D599F"/>
    <w:rsid w:val="004D62E0"/>
    <w:rsid w:val="004E0B8B"/>
    <w:rsid w:val="004E0CAC"/>
    <w:rsid w:val="004E3DC1"/>
    <w:rsid w:val="004F2369"/>
    <w:rsid w:val="004F39D1"/>
    <w:rsid w:val="00501632"/>
    <w:rsid w:val="005045D9"/>
    <w:rsid w:val="00506CD7"/>
    <w:rsid w:val="00506F07"/>
    <w:rsid w:val="005104AE"/>
    <w:rsid w:val="005109B7"/>
    <w:rsid w:val="00513C8F"/>
    <w:rsid w:val="00513FC7"/>
    <w:rsid w:val="0051507F"/>
    <w:rsid w:val="005173C9"/>
    <w:rsid w:val="0052057F"/>
    <w:rsid w:val="00523309"/>
    <w:rsid w:val="005240AE"/>
    <w:rsid w:val="00526E30"/>
    <w:rsid w:val="00527111"/>
    <w:rsid w:val="00527630"/>
    <w:rsid w:val="00530635"/>
    <w:rsid w:val="00532929"/>
    <w:rsid w:val="00533BFF"/>
    <w:rsid w:val="005401ED"/>
    <w:rsid w:val="0054042D"/>
    <w:rsid w:val="005411A8"/>
    <w:rsid w:val="00543066"/>
    <w:rsid w:val="00543D06"/>
    <w:rsid w:val="005446B5"/>
    <w:rsid w:val="005449F8"/>
    <w:rsid w:val="00546975"/>
    <w:rsid w:val="005533B5"/>
    <w:rsid w:val="005548DA"/>
    <w:rsid w:val="0055660F"/>
    <w:rsid w:val="005575C0"/>
    <w:rsid w:val="005636B1"/>
    <w:rsid w:val="00567E50"/>
    <w:rsid w:val="005703D9"/>
    <w:rsid w:val="0057143D"/>
    <w:rsid w:val="00572133"/>
    <w:rsid w:val="00573572"/>
    <w:rsid w:val="00581B3A"/>
    <w:rsid w:val="005837BB"/>
    <w:rsid w:val="00584E9E"/>
    <w:rsid w:val="00592584"/>
    <w:rsid w:val="005964AC"/>
    <w:rsid w:val="00597EF7"/>
    <w:rsid w:val="005A0B81"/>
    <w:rsid w:val="005A0BF5"/>
    <w:rsid w:val="005A2862"/>
    <w:rsid w:val="005A369D"/>
    <w:rsid w:val="005A4000"/>
    <w:rsid w:val="005B2318"/>
    <w:rsid w:val="005B31D5"/>
    <w:rsid w:val="005B5A7A"/>
    <w:rsid w:val="005B60AC"/>
    <w:rsid w:val="005B693B"/>
    <w:rsid w:val="005C1000"/>
    <w:rsid w:val="005C4DD7"/>
    <w:rsid w:val="005C5507"/>
    <w:rsid w:val="005C5BF0"/>
    <w:rsid w:val="005C6471"/>
    <w:rsid w:val="005D0AB6"/>
    <w:rsid w:val="005D14CA"/>
    <w:rsid w:val="005D2050"/>
    <w:rsid w:val="005D467D"/>
    <w:rsid w:val="005D4AEC"/>
    <w:rsid w:val="005D5E4A"/>
    <w:rsid w:val="005E18D8"/>
    <w:rsid w:val="005F1E8D"/>
    <w:rsid w:val="006000D3"/>
    <w:rsid w:val="006029D6"/>
    <w:rsid w:val="00602B3F"/>
    <w:rsid w:val="00605459"/>
    <w:rsid w:val="006066C4"/>
    <w:rsid w:val="006109D8"/>
    <w:rsid w:val="00614CBA"/>
    <w:rsid w:val="00621B1E"/>
    <w:rsid w:val="00624FEA"/>
    <w:rsid w:val="006307C1"/>
    <w:rsid w:val="00631632"/>
    <w:rsid w:val="00635255"/>
    <w:rsid w:val="00636EF1"/>
    <w:rsid w:val="006372CC"/>
    <w:rsid w:val="0064002D"/>
    <w:rsid w:val="00642A9A"/>
    <w:rsid w:val="00642C07"/>
    <w:rsid w:val="006450D3"/>
    <w:rsid w:val="00645206"/>
    <w:rsid w:val="00646E7B"/>
    <w:rsid w:val="00647D9B"/>
    <w:rsid w:val="00655BCA"/>
    <w:rsid w:val="00657B09"/>
    <w:rsid w:val="006606E0"/>
    <w:rsid w:val="00662A20"/>
    <w:rsid w:val="006670A4"/>
    <w:rsid w:val="00675349"/>
    <w:rsid w:val="006767AB"/>
    <w:rsid w:val="00677034"/>
    <w:rsid w:val="006801E9"/>
    <w:rsid w:val="00692C25"/>
    <w:rsid w:val="00693165"/>
    <w:rsid w:val="00693BA4"/>
    <w:rsid w:val="00693E00"/>
    <w:rsid w:val="006946C0"/>
    <w:rsid w:val="00696530"/>
    <w:rsid w:val="00697572"/>
    <w:rsid w:val="006A0FEC"/>
    <w:rsid w:val="006A3236"/>
    <w:rsid w:val="006B25DF"/>
    <w:rsid w:val="006B25E4"/>
    <w:rsid w:val="006B59B6"/>
    <w:rsid w:val="006B6C94"/>
    <w:rsid w:val="006C06BF"/>
    <w:rsid w:val="006C0E45"/>
    <w:rsid w:val="006C282B"/>
    <w:rsid w:val="006D009D"/>
    <w:rsid w:val="006D2345"/>
    <w:rsid w:val="006D3281"/>
    <w:rsid w:val="006D7347"/>
    <w:rsid w:val="006D752E"/>
    <w:rsid w:val="006E1136"/>
    <w:rsid w:val="006E3AAA"/>
    <w:rsid w:val="006E64D7"/>
    <w:rsid w:val="006E753E"/>
    <w:rsid w:val="006F1DCD"/>
    <w:rsid w:val="006F32A5"/>
    <w:rsid w:val="006F370E"/>
    <w:rsid w:val="006F43E6"/>
    <w:rsid w:val="006F62D1"/>
    <w:rsid w:val="006F7520"/>
    <w:rsid w:val="00701EEB"/>
    <w:rsid w:val="00702CB5"/>
    <w:rsid w:val="00703260"/>
    <w:rsid w:val="00706431"/>
    <w:rsid w:val="00710DAA"/>
    <w:rsid w:val="007117F1"/>
    <w:rsid w:val="007119BB"/>
    <w:rsid w:val="00711B87"/>
    <w:rsid w:val="00717636"/>
    <w:rsid w:val="007177A7"/>
    <w:rsid w:val="00722729"/>
    <w:rsid w:val="0072281A"/>
    <w:rsid w:val="00723AD8"/>
    <w:rsid w:val="0072616C"/>
    <w:rsid w:val="00730F5A"/>
    <w:rsid w:val="00733217"/>
    <w:rsid w:val="0073513A"/>
    <w:rsid w:val="007371B3"/>
    <w:rsid w:val="007374F9"/>
    <w:rsid w:val="00741A34"/>
    <w:rsid w:val="00746A43"/>
    <w:rsid w:val="007471C5"/>
    <w:rsid w:val="007502B0"/>
    <w:rsid w:val="00752E3B"/>
    <w:rsid w:val="00754AB9"/>
    <w:rsid w:val="00756EE2"/>
    <w:rsid w:val="007621D5"/>
    <w:rsid w:val="007628FD"/>
    <w:rsid w:val="00767C3A"/>
    <w:rsid w:val="00780D02"/>
    <w:rsid w:val="00781D67"/>
    <w:rsid w:val="00782490"/>
    <w:rsid w:val="0078459E"/>
    <w:rsid w:val="007866FA"/>
    <w:rsid w:val="00796320"/>
    <w:rsid w:val="007A0EDC"/>
    <w:rsid w:val="007A3F61"/>
    <w:rsid w:val="007A41D2"/>
    <w:rsid w:val="007A5668"/>
    <w:rsid w:val="007A7572"/>
    <w:rsid w:val="007B0EC1"/>
    <w:rsid w:val="007B100A"/>
    <w:rsid w:val="007B21A5"/>
    <w:rsid w:val="007B2AD6"/>
    <w:rsid w:val="007B2D28"/>
    <w:rsid w:val="007B3938"/>
    <w:rsid w:val="007C2E9F"/>
    <w:rsid w:val="007C4E00"/>
    <w:rsid w:val="007C4E5A"/>
    <w:rsid w:val="007C6AEC"/>
    <w:rsid w:val="007C7AEA"/>
    <w:rsid w:val="007D4ED8"/>
    <w:rsid w:val="007D63F7"/>
    <w:rsid w:val="007D68E4"/>
    <w:rsid w:val="007D799D"/>
    <w:rsid w:val="007D7CFA"/>
    <w:rsid w:val="007E01E3"/>
    <w:rsid w:val="007E392E"/>
    <w:rsid w:val="007E42A7"/>
    <w:rsid w:val="007F35F8"/>
    <w:rsid w:val="007F7DBD"/>
    <w:rsid w:val="008025CA"/>
    <w:rsid w:val="00802F0D"/>
    <w:rsid w:val="00805C7E"/>
    <w:rsid w:val="00806F94"/>
    <w:rsid w:val="0081136A"/>
    <w:rsid w:val="00811B37"/>
    <w:rsid w:val="00812973"/>
    <w:rsid w:val="00812B6B"/>
    <w:rsid w:val="00814D30"/>
    <w:rsid w:val="0082237F"/>
    <w:rsid w:val="00825BE1"/>
    <w:rsid w:val="00830B22"/>
    <w:rsid w:val="00831AC4"/>
    <w:rsid w:val="008355F4"/>
    <w:rsid w:val="00837EDC"/>
    <w:rsid w:val="00840DAA"/>
    <w:rsid w:val="0084197B"/>
    <w:rsid w:val="0084740A"/>
    <w:rsid w:val="00850558"/>
    <w:rsid w:val="00857878"/>
    <w:rsid w:val="00857E1B"/>
    <w:rsid w:val="008634C2"/>
    <w:rsid w:val="00863DC5"/>
    <w:rsid w:val="00864218"/>
    <w:rsid w:val="008647BD"/>
    <w:rsid w:val="00864EEA"/>
    <w:rsid w:val="00865E4F"/>
    <w:rsid w:val="00866663"/>
    <w:rsid w:val="008669D0"/>
    <w:rsid w:val="0086738B"/>
    <w:rsid w:val="00870E3E"/>
    <w:rsid w:val="008725CF"/>
    <w:rsid w:val="00873BE7"/>
    <w:rsid w:val="0087706C"/>
    <w:rsid w:val="0088237E"/>
    <w:rsid w:val="00883041"/>
    <w:rsid w:val="00885309"/>
    <w:rsid w:val="00886A15"/>
    <w:rsid w:val="00891AF4"/>
    <w:rsid w:val="00896AE3"/>
    <w:rsid w:val="008A0771"/>
    <w:rsid w:val="008A0846"/>
    <w:rsid w:val="008A5FD3"/>
    <w:rsid w:val="008A6964"/>
    <w:rsid w:val="008B3E8F"/>
    <w:rsid w:val="008B79C5"/>
    <w:rsid w:val="008C0056"/>
    <w:rsid w:val="008C1B8A"/>
    <w:rsid w:val="008C21E1"/>
    <w:rsid w:val="008C3635"/>
    <w:rsid w:val="008D09A1"/>
    <w:rsid w:val="008D76F6"/>
    <w:rsid w:val="008E749E"/>
    <w:rsid w:val="008E7531"/>
    <w:rsid w:val="008F0D29"/>
    <w:rsid w:val="008F2F17"/>
    <w:rsid w:val="008F2F5C"/>
    <w:rsid w:val="008F5797"/>
    <w:rsid w:val="00901F09"/>
    <w:rsid w:val="009062AE"/>
    <w:rsid w:val="0090720C"/>
    <w:rsid w:val="00912DAC"/>
    <w:rsid w:val="00923B0D"/>
    <w:rsid w:val="0092478E"/>
    <w:rsid w:val="00937A11"/>
    <w:rsid w:val="009417F7"/>
    <w:rsid w:val="009426F3"/>
    <w:rsid w:val="00944861"/>
    <w:rsid w:val="00947BB0"/>
    <w:rsid w:val="009545AC"/>
    <w:rsid w:val="00954B7C"/>
    <w:rsid w:val="00960625"/>
    <w:rsid w:val="00963C9F"/>
    <w:rsid w:val="00963F49"/>
    <w:rsid w:val="0096517C"/>
    <w:rsid w:val="009659ED"/>
    <w:rsid w:val="00966619"/>
    <w:rsid w:val="00967927"/>
    <w:rsid w:val="00970592"/>
    <w:rsid w:val="00971AA2"/>
    <w:rsid w:val="0097233E"/>
    <w:rsid w:val="00973117"/>
    <w:rsid w:val="00983629"/>
    <w:rsid w:val="00983B77"/>
    <w:rsid w:val="00985250"/>
    <w:rsid w:val="009858C3"/>
    <w:rsid w:val="00991526"/>
    <w:rsid w:val="00991DED"/>
    <w:rsid w:val="00997F6C"/>
    <w:rsid w:val="009A0E76"/>
    <w:rsid w:val="009A4706"/>
    <w:rsid w:val="009A5BC4"/>
    <w:rsid w:val="009B0BC5"/>
    <w:rsid w:val="009B152E"/>
    <w:rsid w:val="009B34AC"/>
    <w:rsid w:val="009C3511"/>
    <w:rsid w:val="009C3CB0"/>
    <w:rsid w:val="009C4CA6"/>
    <w:rsid w:val="009C56D1"/>
    <w:rsid w:val="009D1292"/>
    <w:rsid w:val="009D18C2"/>
    <w:rsid w:val="009D5A36"/>
    <w:rsid w:val="009D5AF2"/>
    <w:rsid w:val="009D7B81"/>
    <w:rsid w:val="009E0C4B"/>
    <w:rsid w:val="009E34D5"/>
    <w:rsid w:val="009E4054"/>
    <w:rsid w:val="009E45F5"/>
    <w:rsid w:val="009E638B"/>
    <w:rsid w:val="009E6EE8"/>
    <w:rsid w:val="009F25D9"/>
    <w:rsid w:val="009F32D7"/>
    <w:rsid w:val="009F4D35"/>
    <w:rsid w:val="009F7A5A"/>
    <w:rsid w:val="00A00179"/>
    <w:rsid w:val="00A00814"/>
    <w:rsid w:val="00A00CCD"/>
    <w:rsid w:val="00A0168C"/>
    <w:rsid w:val="00A03C15"/>
    <w:rsid w:val="00A070B7"/>
    <w:rsid w:val="00A13691"/>
    <w:rsid w:val="00A14752"/>
    <w:rsid w:val="00A15E8A"/>
    <w:rsid w:val="00A17126"/>
    <w:rsid w:val="00A17A2D"/>
    <w:rsid w:val="00A25B2C"/>
    <w:rsid w:val="00A3043E"/>
    <w:rsid w:val="00A36734"/>
    <w:rsid w:val="00A369AC"/>
    <w:rsid w:val="00A37189"/>
    <w:rsid w:val="00A43021"/>
    <w:rsid w:val="00A4461A"/>
    <w:rsid w:val="00A450FF"/>
    <w:rsid w:val="00A459DE"/>
    <w:rsid w:val="00A4797F"/>
    <w:rsid w:val="00A502B1"/>
    <w:rsid w:val="00A50D02"/>
    <w:rsid w:val="00A5382E"/>
    <w:rsid w:val="00A5508E"/>
    <w:rsid w:val="00A5756C"/>
    <w:rsid w:val="00A579F0"/>
    <w:rsid w:val="00A62216"/>
    <w:rsid w:val="00A65913"/>
    <w:rsid w:val="00A65E52"/>
    <w:rsid w:val="00A70A4D"/>
    <w:rsid w:val="00A7229C"/>
    <w:rsid w:val="00A73FB4"/>
    <w:rsid w:val="00A74E0F"/>
    <w:rsid w:val="00A80E09"/>
    <w:rsid w:val="00A82967"/>
    <w:rsid w:val="00A8360E"/>
    <w:rsid w:val="00A851E3"/>
    <w:rsid w:val="00A9012A"/>
    <w:rsid w:val="00A91050"/>
    <w:rsid w:val="00A93DF6"/>
    <w:rsid w:val="00A94FF1"/>
    <w:rsid w:val="00AA5771"/>
    <w:rsid w:val="00AB2FCB"/>
    <w:rsid w:val="00AB7764"/>
    <w:rsid w:val="00AC08D2"/>
    <w:rsid w:val="00AC1BEE"/>
    <w:rsid w:val="00AC3E56"/>
    <w:rsid w:val="00AC4BDA"/>
    <w:rsid w:val="00AD0605"/>
    <w:rsid w:val="00AD0C81"/>
    <w:rsid w:val="00AD114A"/>
    <w:rsid w:val="00AD1B91"/>
    <w:rsid w:val="00AD2EBA"/>
    <w:rsid w:val="00AD3853"/>
    <w:rsid w:val="00AD402A"/>
    <w:rsid w:val="00AE1C31"/>
    <w:rsid w:val="00AE1EED"/>
    <w:rsid w:val="00AE40ED"/>
    <w:rsid w:val="00AE68CA"/>
    <w:rsid w:val="00AF2783"/>
    <w:rsid w:val="00AF3972"/>
    <w:rsid w:val="00AF57B3"/>
    <w:rsid w:val="00AF6426"/>
    <w:rsid w:val="00B04E3B"/>
    <w:rsid w:val="00B10FC9"/>
    <w:rsid w:val="00B11937"/>
    <w:rsid w:val="00B12498"/>
    <w:rsid w:val="00B209D8"/>
    <w:rsid w:val="00B21E09"/>
    <w:rsid w:val="00B23D6D"/>
    <w:rsid w:val="00B2651A"/>
    <w:rsid w:val="00B26B5F"/>
    <w:rsid w:val="00B26C3D"/>
    <w:rsid w:val="00B275AC"/>
    <w:rsid w:val="00B27734"/>
    <w:rsid w:val="00B27E93"/>
    <w:rsid w:val="00B310FD"/>
    <w:rsid w:val="00B31106"/>
    <w:rsid w:val="00B32201"/>
    <w:rsid w:val="00B32D27"/>
    <w:rsid w:val="00B359ED"/>
    <w:rsid w:val="00B366DB"/>
    <w:rsid w:val="00B37667"/>
    <w:rsid w:val="00B44B46"/>
    <w:rsid w:val="00B44BFF"/>
    <w:rsid w:val="00B47507"/>
    <w:rsid w:val="00B5117D"/>
    <w:rsid w:val="00B532DB"/>
    <w:rsid w:val="00B545CC"/>
    <w:rsid w:val="00B54794"/>
    <w:rsid w:val="00B55337"/>
    <w:rsid w:val="00B571C1"/>
    <w:rsid w:val="00B62190"/>
    <w:rsid w:val="00B71532"/>
    <w:rsid w:val="00B72A6C"/>
    <w:rsid w:val="00B72B74"/>
    <w:rsid w:val="00B74393"/>
    <w:rsid w:val="00B90273"/>
    <w:rsid w:val="00B93119"/>
    <w:rsid w:val="00B94111"/>
    <w:rsid w:val="00B94F0A"/>
    <w:rsid w:val="00B95FED"/>
    <w:rsid w:val="00B96805"/>
    <w:rsid w:val="00B9780D"/>
    <w:rsid w:val="00B978EF"/>
    <w:rsid w:val="00B97F00"/>
    <w:rsid w:val="00BA18F6"/>
    <w:rsid w:val="00BA239A"/>
    <w:rsid w:val="00BA38A0"/>
    <w:rsid w:val="00BA4854"/>
    <w:rsid w:val="00BB2ACB"/>
    <w:rsid w:val="00BB4F44"/>
    <w:rsid w:val="00BB5AED"/>
    <w:rsid w:val="00BB6051"/>
    <w:rsid w:val="00BB6895"/>
    <w:rsid w:val="00BC4672"/>
    <w:rsid w:val="00BD2CB4"/>
    <w:rsid w:val="00BD5583"/>
    <w:rsid w:val="00BE0FFD"/>
    <w:rsid w:val="00BE13B4"/>
    <w:rsid w:val="00BE2841"/>
    <w:rsid w:val="00BE2AB7"/>
    <w:rsid w:val="00BE4587"/>
    <w:rsid w:val="00BE5400"/>
    <w:rsid w:val="00BE6076"/>
    <w:rsid w:val="00BE68F3"/>
    <w:rsid w:val="00BF0F45"/>
    <w:rsid w:val="00BF1137"/>
    <w:rsid w:val="00BF3528"/>
    <w:rsid w:val="00BF4844"/>
    <w:rsid w:val="00BF6EE3"/>
    <w:rsid w:val="00C03955"/>
    <w:rsid w:val="00C03CDB"/>
    <w:rsid w:val="00C04A0B"/>
    <w:rsid w:val="00C051C3"/>
    <w:rsid w:val="00C064DB"/>
    <w:rsid w:val="00C10130"/>
    <w:rsid w:val="00C112E8"/>
    <w:rsid w:val="00C17744"/>
    <w:rsid w:val="00C20B19"/>
    <w:rsid w:val="00C2620F"/>
    <w:rsid w:val="00C26EE0"/>
    <w:rsid w:val="00C27FFB"/>
    <w:rsid w:val="00C337DD"/>
    <w:rsid w:val="00C35B1A"/>
    <w:rsid w:val="00C40E20"/>
    <w:rsid w:val="00C43378"/>
    <w:rsid w:val="00C45BE1"/>
    <w:rsid w:val="00C51E32"/>
    <w:rsid w:val="00C60137"/>
    <w:rsid w:val="00C6156A"/>
    <w:rsid w:val="00C61A79"/>
    <w:rsid w:val="00C63558"/>
    <w:rsid w:val="00C6447C"/>
    <w:rsid w:val="00C71879"/>
    <w:rsid w:val="00C71932"/>
    <w:rsid w:val="00C744AE"/>
    <w:rsid w:val="00C76FDD"/>
    <w:rsid w:val="00C77D48"/>
    <w:rsid w:val="00C802FD"/>
    <w:rsid w:val="00C8247A"/>
    <w:rsid w:val="00C82781"/>
    <w:rsid w:val="00C83032"/>
    <w:rsid w:val="00C83737"/>
    <w:rsid w:val="00C84B60"/>
    <w:rsid w:val="00C84FC9"/>
    <w:rsid w:val="00C9127C"/>
    <w:rsid w:val="00C91F4E"/>
    <w:rsid w:val="00C9309E"/>
    <w:rsid w:val="00C96B0F"/>
    <w:rsid w:val="00C97B37"/>
    <w:rsid w:val="00CA4C94"/>
    <w:rsid w:val="00CB65B3"/>
    <w:rsid w:val="00CC1BBD"/>
    <w:rsid w:val="00CC4C9C"/>
    <w:rsid w:val="00CD0493"/>
    <w:rsid w:val="00CD13AB"/>
    <w:rsid w:val="00CD1F0F"/>
    <w:rsid w:val="00CD1F19"/>
    <w:rsid w:val="00CD6C87"/>
    <w:rsid w:val="00CE03A4"/>
    <w:rsid w:val="00CE1816"/>
    <w:rsid w:val="00CE31D4"/>
    <w:rsid w:val="00CE3FC2"/>
    <w:rsid w:val="00CE50C3"/>
    <w:rsid w:val="00CE6EEC"/>
    <w:rsid w:val="00CE71A4"/>
    <w:rsid w:val="00CF0AA4"/>
    <w:rsid w:val="00CF277F"/>
    <w:rsid w:val="00CF78B0"/>
    <w:rsid w:val="00D02964"/>
    <w:rsid w:val="00D03812"/>
    <w:rsid w:val="00D045C6"/>
    <w:rsid w:val="00D048F7"/>
    <w:rsid w:val="00D05054"/>
    <w:rsid w:val="00D10911"/>
    <w:rsid w:val="00D125F6"/>
    <w:rsid w:val="00D12938"/>
    <w:rsid w:val="00D16D2C"/>
    <w:rsid w:val="00D172F1"/>
    <w:rsid w:val="00D21F38"/>
    <w:rsid w:val="00D22E10"/>
    <w:rsid w:val="00D238E3"/>
    <w:rsid w:val="00D241DE"/>
    <w:rsid w:val="00D26A23"/>
    <w:rsid w:val="00D276F7"/>
    <w:rsid w:val="00D31218"/>
    <w:rsid w:val="00D31FDA"/>
    <w:rsid w:val="00D344F4"/>
    <w:rsid w:val="00D34F94"/>
    <w:rsid w:val="00D4055A"/>
    <w:rsid w:val="00D4302A"/>
    <w:rsid w:val="00D436E8"/>
    <w:rsid w:val="00D46146"/>
    <w:rsid w:val="00D477CC"/>
    <w:rsid w:val="00D47C05"/>
    <w:rsid w:val="00D500BB"/>
    <w:rsid w:val="00D53832"/>
    <w:rsid w:val="00D5545C"/>
    <w:rsid w:val="00D56072"/>
    <w:rsid w:val="00D568E1"/>
    <w:rsid w:val="00D56B38"/>
    <w:rsid w:val="00D62800"/>
    <w:rsid w:val="00D658D0"/>
    <w:rsid w:val="00D65FC3"/>
    <w:rsid w:val="00D70F8A"/>
    <w:rsid w:val="00D71EFE"/>
    <w:rsid w:val="00D73EA4"/>
    <w:rsid w:val="00D76761"/>
    <w:rsid w:val="00D76E72"/>
    <w:rsid w:val="00D80387"/>
    <w:rsid w:val="00D82891"/>
    <w:rsid w:val="00D82A46"/>
    <w:rsid w:val="00D8323E"/>
    <w:rsid w:val="00D839ED"/>
    <w:rsid w:val="00D84775"/>
    <w:rsid w:val="00D8583A"/>
    <w:rsid w:val="00D92118"/>
    <w:rsid w:val="00D93C1A"/>
    <w:rsid w:val="00D96023"/>
    <w:rsid w:val="00D96134"/>
    <w:rsid w:val="00D96A1E"/>
    <w:rsid w:val="00D97C82"/>
    <w:rsid w:val="00DA0C5D"/>
    <w:rsid w:val="00DA1CDC"/>
    <w:rsid w:val="00DA2091"/>
    <w:rsid w:val="00DA6CC0"/>
    <w:rsid w:val="00DB013D"/>
    <w:rsid w:val="00DB0916"/>
    <w:rsid w:val="00DB1E97"/>
    <w:rsid w:val="00DB3BB4"/>
    <w:rsid w:val="00DB3F2D"/>
    <w:rsid w:val="00DB480A"/>
    <w:rsid w:val="00DC1B7D"/>
    <w:rsid w:val="00DC2CB0"/>
    <w:rsid w:val="00DC3860"/>
    <w:rsid w:val="00DC5C5E"/>
    <w:rsid w:val="00DC69D9"/>
    <w:rsid w:val="00DC6A05"/>
    <w:rsid w:val="00DC6BC0"/>
    <w:rsid w:val="00DD1B06"/>
    <w:rsid w:val="00DD32CF"/>
    <w:rsid w:val="00DD4A34"/>
    <w:rsid w:val="00DD6487"/>
    <w:rsid w:val="00DD7B05"/>
    <w:rsid w:val="00DE0A4B"/>
    <w:rsid w:val="00DE1F83"/>
    <w:rsid w:val="00DE251A"/>
    <w:rsid w:val="00DE3799"/>
    <w:rsid w:val="00DE4605"/>
    <w:rsid w:val="00DF12AB"/>
    <w:rsid w:val="00DF1D48"/>
    <w:rsid w:val="00DF1E2C"/>
    <w:rsid w:val="00E00D07"/>
    <w:rsid w:val="00E031BA"/>
    <w:rsid w:val="00E05811"/>
    <w:rsid w:val="00E062EE"/>
    <w:rsid w:val="00E1204C"/>
    <w:rsid w:val="00E140CF"/>
    <w:rsid w:val="00E144B2"/>
    <w:rsid w:val="00E14802"/>
    <w:rsid w:val="00E148F7"/>
    <w:rsid w:val="00E14ED5"/>
    <w:rsid w:val="00E168B2"/>
    <w:rsid w:val="00E21A5F"/>
    <w:rsid w:val="00E248EE"/>
    <w:rsid w:val="00E24D96"/>
    <w:rsid w:val="00E255B8"/>
    <w:rsid w:val="00E31151"/>
    <w:rsid w:val="00E321B9"/>
    <w:rsid w:val="00E32512"/>
    <w:rsid w:val="00E419B6"/>
    <w:rsid w:val="00E465CB"/>
    <w:rsid w:val="00E47E48"/>
    <w:rsid w:val="00E50F9D"/>
    <w:rsid w:val="00E5518A"/>
    <w:rsid w:val="00E5669D"/>
    <w:rsid w:val="00E56D6D"/>
    <w:rsid w:val="00E570C0"/>
    <w:rsid w:val="00E57ACE"/>
    <w:rsid w:val="00E57B52"/>
    <w:rsid w:val="00E61856"/>
    <w:rsid w:val="00E61ADA"/>
    <w:rsid w:val="00E64C52"/>
    <w:rsid w:val="00E660F6"/>
    <w:rsid w:val="00E72AEF"/>
    <w:rsid w:val="00E7418D"/>
    <w:rsid w:val="00E75656"/>
    <w:rsid w:val="00E77E76"/>
    <w:rsid w:val="00E80980"/>
    <w:rsid w:val="00E8267C"/>
    <w:rsid w:val="00E82EEB"/>
    <w:rsid w:val="00E8392F"/>
    <w:rsid w:val="00E85606"/>
    <w:rsid w:val="00E87D12"/>
    <w:rsid w:val="00E9585A"/>
    <w:rsid w:val="00E96575"/>
    <w:rsid w:val="00E97F1F"/>
    <w:rsid w:val="00EA04CB"/>
    <w:rsid w:val="00EA0576"/>
    <w:rsid w:val="00EA1DAA"/>
    <w:rsid w:val="00EA5604"/>
    <w:rsid w:val="00EA7B3A"/>
    <w:rsid w:val="00EB608E"/>
    <w:rsid w:val="00EB6B00"/>
    <w:rsid w:val="00EB6B22"/>
    <w:rsid w:val="00EC3AC5"/>
    <w:rsid w:val="00EC5418"/>
    <w:rsid w:val="00ED1D58"/>
    <w:rsid w:val="00ED2051"/>
    <w:rsid w:val="00ED28EB"/>
    <w:rsid w:val="00ED538C"/>
    <w:rsid w:val="00ED57D2"/>
    <w:rsid w:val="00ED6B04"/>
    <w:rsid w:val="00EE1839"/>
    <w:rsid w:val="00EE445F"/>
    <w:rsid w:val="00EE49FB"/>
    <w:rsid w:val="00EE7DB7"/>
    <w:rsid w:val="00EF44C9"/>
    <w:rsid w:val="00EF62A7"/>
    <w:rsid w:val="00F01D0D"/>
    <w:rsid w:val="00F01D6B"/>
    <w:rsid w:val="00F06BC4"/>
    <w:rsid w:val="00F075C3"/>
    <w:rsid w:val="00F10A19"/>
    <w:rsid w:val="00F11DE4"/>
    <w:rsid w:val="00F11E30"/>
    <w:rsid w:val="00F154E4"/>
    <w:rsid w:val="00F17AA1"/>
    <w:rsid w:val="00F2332D"/>
    <w:rsid w:val="00F2586E"/>
    <w:rsid w:val="00F32D7A"/>
    <w:rsid w:val="00F40DA7"/>
    <w:rsid w:val="00F43668"/>
    <w:rsid w:val="00F4374D"/>
    <w:rsid w:val="00F47A0B"/>
    <w:rsid w:val="00F53F38"/>
    <w:rsid w:val="00F5652B"/>
    <w:rsid w:val="00F61B23"/>
    <w:rsid w:val="00F62234"/>
    <w:rsid w:val="00F627D7"/>
    <w:rsid w:val="00F63A09"/>
    <w:rsid w:val="00F63A24"/>
    <w:rsid w:val="00F66368"/>
    <w:rsid w:val="00F739F5"/>
    <w:rsid w:val="00F7579F"/>
    <w:rsid w:val="00F82130"/>
    <w:rsid w:val="00F8257B"/>
    <w:rsid w:val="00F90912"/>
    <w:rsid w:val="00F919D2"/>
    <w:rsid w:val="00F965FE"/>
    <w:rsid w:val="00F97459"/>
    <w:rsid w:val="00F97B7E"/>
    <w:rsid w:val="00F97CC9"/>
    <w:rsid w:val="00FA1957"/>
    <w:rsid w:val="00FA46C5"/>
    <w:rsid w:val="00FB0FB1"/>
    <w:rsid w:val="00FB0FDE"/>
    <w:rsid w:val="00FB3B1A"/>
    <w:rsid w:val="00FB5602"/>
    <w:rsid w:val="00FC25C0"/>
    <w:rsid w:val="00FC68D0"/>
    <w:rsid w:val="00FD1FBC"/>
    <w:rsid w:val="00FD6E6C"/>
    <w:rsid w:val="00FE1090"/>
    <w:rsid w:val="00FE5CA8"/>
    <w:rsid w:val="00FE62AF"/>
    <w:rsid w:val="00FE6C70"/>
    <w:rsid w:val="00FE7D23"/>
    <w:rsid w:val="00FF083C"/>
    <w:rsid w:val="00FF53A9"/>
    <w:rsid w:val="576AB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E98BE6EB-49E7-4CC3-AB59-6C8BC99E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styleId="FootnoteText">
    <w:name w:val="footnote text"/>
    <w:basedOn w:val="Normal"/>
    <w:link w:val="FootnoteTextChar"/>
    <w:uiPriority w:val="99"/>
    <w:unhideWhenUsed/>
    <w:rsid w:val="00E64C52"/>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E64C52"/>
    <w:rPr>
      <w:rFonts w:ascii="Arial" w:hAnsi="Arial"/>
      <w:color w:val="000000" w:themeColor="text1"/>
      <w:sz w:val="20"/>
      <w:szCs w:val="20"/>
    </w:rPr>
  </w:style>
  <w:style w:type="character" w:styleId="FootnoteReference">
    <w:name w:val="footnote reference"/>
    <w:basedOn w:val="DefaultParagraphFont"/>
    <w:uiPriority w:val="99"/>
    <w:semiHidden/>
    <w:unhideWhenUsed/>
    <w:rsid w:val="00E64C52"/>
    <w:rPr>
      <w:vertAlign w:val="superscript"/>
    </w:rPr>
  </w:style>
  <w:style w:type="paragraph" w:customStyle="1" w:styleId="Tableheader">
    <w:name w:val="Table header"/>
    <w:basedOn w:val="Normal"/>
    <w:qFormat/>
    <w:rsid w:val="00A00179"/>
    <w:pPr>
      <w:spacing w:before="120" w:after="120" w:line="240" w:lineRule="auto"/>
    </w:pPr>
    <w:rPr>
      <w:b/>
      <w:color w:val="FFFFFF" w:themeColor="background1"/>
      <w:lang w:val="en-US"/>
    </w:rPr>
  </w:style>
  <w:style w:type="paragraph" w:customStyle="1" w:styleId="Tablebodycopy">
    <w:name w:val="Table body copy"/>
    <w:basedOn w:val="Normal"/>
    <w:qFormat/>
    <w:rsid w:val="00A00179"/>
    <w:pPr>
      <w:spacing w:before="120" w:after="120" w:line="240" w:lineRule="auto"/>
    </w:pPr>
    <w:rPr>
      <w:color w:val="000000" w:themeColor="text1"/>
      <w:lang w:val="en-US"/>
    </w:rPr>
  </w:style>
  <w:style w:type="paragraph" w:styleId="Revision">
    <w:name w:val="Revision"/>
    <w:hidden/>
    <w:uiPriority w:val="99"/>
    <w:semiHidden/>
    <w:rsid w:val="00C10130"/>
    <w:pPr>
      <w:spacing w:after="0" w:line="240" w:lineRule="auto"/>
    </w:pPr>
    <w:rPr>
      <w:rFonts w:ascii="Arial" w:hAnsi="Arial"/>
    </w:rPr>
  </w:style>
  <w:style w:type="character" w:styleId="FollowedHyperlink">
    <w:name w:val="FollowedHyperlink"/>
    <w:basedOn w:val="DefaultParagraphFont"/>
    <w:uiPriority w:val="99"/>
    <w:semiHidden/>
    <w:unhideWhenUsed/>
    <w:rsid w:val="006D009D"/>
    <w:rPr>
      <w:color w:val="4B0885" w:themeColor="followedHyperlink"/>
      <w:u w:val="single"/>
    </w:rPr>
  </w:style>
  <w:style w:type="paragraph" w:styleId="NormalWeb">
    <w:name w:val="Normal (Web)"/>
    <w:basedOn w:val="Normal"/>
    <w:uiPriority w:val="99"/>
    <w:semiHidden/>
    <w:unhideWhenUsed/>
    <w:rsid w:val="004A71C7"/>
    <w:pPr>
      <w:spacing w:before="100" w:beforeAutospacing="1"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9938">
      <w:bodyDiv w:val="1"/>
      <w:marLeft w:val="0"/>
      <w:marRight w:val="0"/>
      <w:marTop w:val="0"/>
      <w:marBottom w:val="0"/>
      <w:divBdr>
        <w:top w:val="none" w:sz="0" w:space="0" w:color="auto"/>
        <w:left w:val="none" w:sz="0" w:space="0" w:color="auto"/>
        <w:bottom w:val="none" w:sz="0" w:space="0" w:color="auto"/>
        <w:right w:val="none" w:sz="0" w:space="0" w:color="auto"/>
      </w:divBdr>
    </w:div>
    <w:div w:id="159807825">
      <w:bodyDiv w:val="1"/>
      <w:marLeft w:val="0"/>
      <w:marRight w:val="0"/>
      <w:marTop w:val="0"/>
      <w:marBottom w:val="0"/>
      <w:divBdr>
        <w:top w:val="none" w:sz="0" w:space="0" w:color="auto"/>
        <w:left w:val="none" w:sz="0" w:space="0" w:color="auto"/>
        <w:bottom w:val="none" w:sz="0" w:space="0" w:color="auto"/>
        <w:right w:val="none" w:sz="0" w:space="0" w:color="auto"/>
      </w:divBdr>
    </w:div>
    <w:div w:id="223613721">
      <w:bodyDiv w:val="1"/>
      <w:marLeft w:val="0"/>
      <w:marRight w:val="0"/>
      <w:marTop w:val="0"/>
      <w:marBottom w:val="0"/>
      <w:divBdr>
        <w:top w:val="none" w:sz="0" w:space="0" w:color="auto"/>
        <w:left w:val="none" w:sz="0" w:space="0" w:color="auto"/>
        <w:bottom w:val="none" w:sz="0" w:space="0" w:color="auto"/>
        <w:right w:val="none" w:sz="0" w:space="0" w:color="auto"/>
      </w:divBdr>
    </w:div>
    <w:div w:id="265233939">
      <w:bodyDiv w:val="1"/>
      <w:marLeft w:val="0"/>
      <w:marRight w:val="0"/>
      <w:marTop w:val="0"/>
      <w:marBottom w:val="0"/>
      <w:divBdr>
        <w:top w:val="none" w:sz="0" w:space="0" w:color="auto"/>
        <w:left w:val="none" w:sz="0" w:space="0" w:color="auto"/>
        <w:bottom w:val="none" w:sz="0" w:space="0" w:color="auto"/>
        <w:right w:val="none" w:sz="0" w:space="0" w:color="auto"/>
      </w:divBdr>
    </w:div>
    <w:div w:id="386994094">
      <w:bodyDiv w:val="1"/>
      <w:marLeft w:val="0"/>
      <w:marRight w:val="0"/>
      <w:marTop w:val="0"/>
      <w:marBottom w:val="0"/>
      <w:divBdr>
        <w:top w:val="none" w:sz="0" w:space="0" w:color="auto"/>
        <w:left w:val="none" w:sz="0" w:space="0" w:color="auto"/>
        <w:bottom w:val="none" w:sz="0" w:space="0" w:color="auto"/>
        <w:right w:val="none" w:sz="0" w:space="0" w:color="auto"/>
      </w:divBdr>
    </w:div>
    <w:div w:id="574826291">
      <w:bodyDiv w:val="1"/>
      <w:marLeft w:val="0"/>
      <w:marRight w:val="0"/>
      <w:marTop w:val="0"/>
      <w:marBottom w:val="0"/>
      <w:divBdr>
        <w:top w:val="none" w:sz="0" w:space="0" w:color="auto"/>
        <w:left w:val="none" w:sz="0" w:space="0" w:color="auto"/>
        <w:bottom w:val="none" w:sz="0" w:space="0" w:color="auto"/>
        <w:right w:val="none" w:sz="0" w:space="0" w:color="auto"/>
      </w:divBdr>
    </w:div>
    <w:div w:id="797533662">
      <w:bodyDiv w:val="1"/>
      <w:marLeft w:val="0"/>
      <w:marRight w:val="0"/>
      <w:marTop w:val="0"/>
      <w:marBottom w:val="0"/>
      <w:divBdr>
        <w:top w:val="none" w:sz="0" w:space="0" w:color="auto"/>
        <w:left w:val="none" w:sz="0" w:space="0" w:color="auto"/>
        <w:bottom w:val="none" w:sz="0" w:space="0" w:color="auto"/>
        <w:right w:val="none" w:sz="0" w:space="0" w:color="auto"/>
      </w:divBdr>
    </w:div>
    <w:div w:id="1088891661">
      <w:bodyDiv w:val="1"/>
      <w:marLeft w:val="0"/>
      <w:marRight w:val="0"/>
      <w:marTop w:val="0"/>
      <w:marBottom w:val="0"/>
      <w:divBdr>
        <w:top w:val="none" w:sz="0" w:space="0" w:color="auto"/>
        <w:left w:val="none" w:sz="0" w:space="0" w:color="auto"/>
        <w:bottom w:val="none" w:sz="0" w:space="0" w:color="auto"/>
        <w:right w:val="none" w:sz="0" w:space="0" w:color="auto"/>
      </w:divBdr>
    </w:div>
    <w:div w:id="1115103677">
      <w:bodyDiv w:val="1"/>
      <w:marLeft w:val="0"/>
      <w:marRight w:val="0"/>
      <w:marTop w:val="0"/>
      <w:marBottom w:val="0"/>
      <w:divBdr>
        <w:top w:val="none" w:sz="0" w:space="0" w:color="auto"/>
        <w:left w:val="none" w:sz="0" w:space="0" w:color="auto"/>
        <w:bottom w:val="none" w:sz="0" w:space="0" w:color="auto"/>
        <w:right w:val="none" w:sz="0" w:space="0" w:color="auto"/>
      </w:divBdr>
    </w:div>
    <w:div w:id="1399548599">
      <w:bodyDiv w:val="1"/>
      <w:marLeft w:val="0"/>
      <w:marRight w:val="0"/>
      <w:marTop w:val="0"/>
      <w:marBottom w:val="0"/>
      <w:divBdr>
        <w:top w:val="none" w:sz="0" w:space="0" w:color="auto"/>
        <w:left w:val="none" w:sz="0" w:space="0" w:color="auto"/>
        <w:bottom w:val="none" w:sz="0" w:space="0" w:color="auto"/>
        <w:right w:val="none" w:sz="0" w:space="0" w:color="auto"/>
      </w:divBdr>
    </w:div>
    <w:div w:id="1523543544">
      <w:bodyDiv w:val="1"/>
      <w:marLeft w:val="0"/>
      <w:marRight w:val="0"/>
      <w:marTop w:val="0"/>
      <w:marBottom w:val="0"/>
      <w:divBdr>
        <w:top w:val="none" w:sz="0" w:space="0" w:color="auto"/>
        <w:left w:val="none" w:sz="0" w:space="0" w:color="auto"/>
        <w:bottom w:val="none" w:sz="0" w:space="0" w:color="auto"/>
        <w:right w:val="none" w:sz="0" w:space="0" w:color="auto"/>
      </w:divBdr>
    </w:div>
    <w:div w:id="15668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hart" Target="charts/chart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header" Target="header4.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4.xml"/><Relationship Id="rId29" Type="http://schemas.openxmlformats.org/officeDocument/2006/relationships/hyperlink" Target="https://www.abs.gov.au/ausstats/abs@.nsf/mf/1270.0.55.0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chart" Target="charts/chart7.xml"/><Relationship Id="rId28" Type="http://schemas.openxmlformats.org/officeDocument/2006/relationships/hyperlink" Target="https://www.abs.gov.au/statistics/classifications/anzsco-australian-and-new-zealand-standard-classification-occupations/latest-release" TargetMode="Externa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hyperlink" Target="https://www.jobsandskills.gov.au/data/skills-shortages-analy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hyperlink" Target="https://www.jobsandskills.gov.au/sites/default/files/2023-10/2023%20SPL%20Key%20Findings%20Report.pdf" TargetMode="External"/><Relationship Id="rId30" Type="http://schemas.openxmlformats.org/officeDocument/2006/relationships/hyperlink" Target="mailto:SkillsPriorityList@jobsandskills.gov.au"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classifications/anzsco-australian-and-new-zealand-standard-classification-occupations/latest-release" TargetMode="External"/><Relationship Id="rId1" Type="http://schemas.openxmlformats.org/officeDocument/2006/relationships/hyperlink" Target="https://www.rba.gov.au/publications/bulletin/2019/mar/pdf/firm-level-insights-into-skills-shortages-and-wages-growth.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Q2\Data\SSQ%20Dec%202023%20_rolling%20averages_FOR%20CHECK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Q2\Data\SSQ%20Dec%202023%20_rolling%20averages_FOR%20CHECK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Q2\Data\SSQ%20Dec%202023%20_rolling%20averages_suitability%20gap_for%20checki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Q2\Data\SSQ%20Dec%202023%20_rolling%20averages_CHECK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Q2\Data\SSQ%20Dec%202023%20_rolling%20averages_CHECK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Q2\Data\SSQ%20Dec%202023%20_rolling%20averages_FOR%20CHECKIN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Q2\Data\SSQ%20Dec%202023%20_rolling%20averages_CHECKED.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068747804162277"/>
          <c:y val="0.17718040621266429"/>
          <c:w val="0.7536957240581148"/>
          <c:h val="0.6238741662668511"/>
        </c:manualLayout>
      </c:layout>
      <c:lineChart>
        <c:grouping val="standard"/>
        <c:varyColors val="0"/>
        <c:ser>
          <c:idx val="0"/>
          <c:order val="0"/>
          <c:tx>
            <c:strRef>
              <c:f>'Table 1 n Figure 1'!$B$1</c:f>
              <c:strCache>
                <c:ptCount val="1"/>
                <c:pt idx="0">
                  <c:v>Fill rate (%)</c:v>
                </c:pt>
              </c:strCache>
            </c:strRef>
          </c:tx>
          <c:spPr>
            <a:ln w="28575" cap="rnd">
              <a:solidFill>
                <a:schemeClr val="accent1"/>
              </a:solidFill>
              <a:round/>
            </a:ln>
            <a:effectLst/>
          </c:spPr>
          <c:marker>
            <c:symbol val="none"/>
          </c:marker>
          <c:cat>
            <c:numRef>
              <c:f>'Table 1 n Figure 1'!$A$11:$A$19</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'Table 1 n Figure 1'!$B$11:$B$19</c:f>
              <c:numCache>
                <c:formatCode>0.0%</c:formatCode>
                <c:ptCount val="9"/>
                <c:pt idx="0">
                  <c:v>0.59665212358650166</c:v>
                </c:pt>
                <c:pt idx="1">
                  <c:v>0.597111858190709</c:v>
                </c:pt>
                <c:pt idx="2">
                  <c:v>0.5951591277962035</c:v>
                </c:pt>
                <c:pt idx="3">
                  <c:v>0.58049609242269795</c:v>
                </c:pt>
                <c:pt idx="4">
                  <c:v>0.58494758036520167</c:v>
                </c:pt>
                <c:pt idx="5">
                  <c:v>0.60165916760404947</c:v>
                </c:pt>
                <c:pt idx="6">
                  <c:v>0.61367775005058345</c:v>
                </c:pt>
                <c:pt idx="7">
                  <c:v>0.62063436737539213</c:v>
                </c:pt>
                <c:pt idx="8">
                  <c:v>0.63565325348718327</c:v>
                </c:pt>
              </c:numCache>
            </c:numRef>
          </c:val>
          <c:smooth val="0"/>
          <c:extLst>
            <c:ext xmlns:c16="http://schemas.microsoft.com/office/drawing/2014/chart" uri="{C3380CC4-5D6E-409C-BE32-E72D297353CC}">
              <c16:uniqueId val="{00000000-4487-4B64-A988-579D7F3D0C97}"/>
            </c:ext>
          </c:extLst>
        </c:ser>
        <c:dLbls>
          <c:showLegendKey val="0"/>
          <c:showVal val="0"/>
          <c:showCatName val="0"/>
          <c:showSerName val="0"/>
          <c:showPercent val="0"/>
          <c:showBubbleSize val="0"/>
        </c:dLbls>
        <c:smooth val="0"/>
        <c:axId val="768192255"/>
        <c:axId val="1417248719"/>
      </c:lineChart>
      <c:dateAx>
        <c:axId val="768192255"/>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417248719"/>
        <c:crosses val="autoZero"/>
        <c:auto val="1"/>
        <c:lblOffset val="100"/>
        <c:baseTimeUnit val="months"/>
      </c:dateAx>
      <c:valAx>
        <c:axId val="1417248719"/>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7681922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017403757593185"/>
          <c:y val="2.8288543140028287E-2"/>
        </c:manualLayout>
      </c:layout>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'Table 1 n Figure 1'!$C$1</c:f>
              <c:strCache>
                <c:ptCount val="1"/>
                <c:pt idx="0">
                  <c:v>Applicants per vacancy (no.)</c:v>
                </c:pt>
              </c:strCache>
            </c:strRef>
          </c:tx>
          <c:spPr>
            <a:ln w="28575" cap="rnd">
              <a:solidFill>
                <a:schemeClr val="accent1"/>
              </a:solidFill>
              <a:round/>
            </a:ln>
            <a:effectLst/>
          </c:spPr>
          <c:marker>
            <c:symbol val="none"/>
          </c:marker>
          <c:cat>
            <c:numRef>
              <c:f>'Table 1 n Figure 1'!$A$11:$A$19</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'Table 1 n Figure 1'!$C$11:$C$19</c:f>
              <c:numCache>
                <c:formatCode>0.0</c:formatCode>
                <c:ptCount val="9"/>
                <c:pt idx="0">
                  <c:v>13.668862968569139</c:v>
                </c:pt>
                <c:pt idx="1">
                  <c:v>13.37973716381418</c:v>
                </c:pt>
                <c:pt idx="2">
                  <c:v>13.431091666078611</c:v>
                </c:pt>
                <c:pt idx="3">
                  <c:v>13.062589194699287</c:v>
                </c:pt>
                <c:pt idx="4">
                  <c:v>13.56085537735194</c:v>
                </c:pt>
                <c:pt idx="5">
                  <c:v>14.66310461192351</c:v>
                </c:pt>
                <c:pt idx="6">
                  <c:v>15.982801645646456</c:v>
                </c:pt>
                <c:pt idx="7">
                  <c:v>17.007598466364588</c:v>
                </c:pt>
                <c:pt idx="8">
                  <c:v>18.134667348280143</c:v>
                </c:pt>
              </c:numCache>
            </c:numRef>
          </c:val>
          <c:smooth val="0"/>
          <c:extLst>
            <c:ext xmlns:c16="http://schemas.microsoft.com/office/drawing/2014/chart" uri="{C3380CC4-5D6E-409C-BE32-E72D297353CC}">
              <c16:uniqueId val="{00000000-49C0-47A8-8DF3-DE152CA36EDA}"/>
            </c:ext>
          </c:extLst>
        </c:ser>
        <c:dLbls>
          <c:showLegendKey val="0"/>
          <c:showVal val="0"/>
          <c:showCatName val="0"/>
          <c:showSerName val="0"/>
          <c:showPercent val="0"/>
          <c:showBubbleSize val="0"/>
        </c:dLbls>
        <c:smooth val="0"/>
        <c:axId val="995271119"/>
        <c:axId val="1076672175"/>
      </c:lineChart>
      <c:dateAx>
        <c:axId val="995271119"/>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076672175"/>
        <c:crosses val="autoZero"/>
        <c:auto val="1"/>
        <c:lblOffset val="100"/>
        <c:baseTimeUnit val="months"/>
      </c:dateAx>
      <c:valAx>
        <c:axId val="1076672175"/>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952711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'Table 1 n Figure 1'!$F$1</c:f>
              <c:strCache>
                <c:ptCount val="1"/>
                <c:pt idx="0">
                  <c:v>Suitability gap (%)</c:v>
                </c:pt>
              </c:strCache>
            </c:strRef>
          </c:tx>
          <c:spPr>
            <a:ln w="28575" cap="rnd">
              <a:solidFill>
                <a:schemeClr val="accent1"/>
              </a:solidFill>
              <a:round/>
            </a:ln>
            <a:effectLst/>
          </c:spPr>
          <c:marker>
            <c:symbol val="none"/>
          </c:marker>
          <c:cat>
            <c:numRef>
              <c:f>'Table 1 n Figure 1'!$A$11:$A$19</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'Table 1 n Figure 1'!$F$11:$F$19</c:f>
              <c:numCache>
                <c:formatCode>0.0%</c:formatCode>
                <c:ptCount val="9"/>
                <c:pt idx="0">
                  <c:v>0.52343231776903587</c:v>
                </c:pt>
                <c:pt idx="1">
                  <c:v>0.53640746788131655</c:v>
                </c:pt>
                <c:pt idx="2">
                  <c:v>0.53826638899767576</c:v>
                </c:pt>
                <c:pt idx="3">
                  <c:v>0.54408236099626817</c:v>
                </c:pt>
                <c:pt idx="4">
                  <c:v>0.53528020019272049</c:v>
                </c:pt>
                <c:pt idx="5">
                  <c:v>0.52272844822614184</c:v>
                </c:pt>
                <c:pt idx="6">
                  <c:v>0.53666926465199905</c:v>
                </c:pt>
                <c:pt idx="7">
                  <c:v>0.54751956130181501</c:v>
                </c:pt>
                <c:pt idx="8">
                  <c:v>0.56325169393152819</c:v>
                </c:pt>
              </c:numCache>
            </c:numRef>
          </c:val>
          <c:smooth val="0"/>
          <c:extLst>
            <c:ext xmlns:c16="http://schemas.microsoft.com/office/drawing/2014/chart" uri="{C3380CC4-5D6E-409C-BE32-E72D297353CC}">
              <c16:uniqueId val="{00000000-B5DB-4F7E-B3D0-D01AC1EBD90C}"/>
            </c:ext>
          </c:extLst>
        </c:ser>
        <c:dLbls>
          <c:showLegendKey val="0"/>
          <c:showVal val="0"/>
          <c:showCatName val="0"/>
          <c:showSerName val="0"/>
          <c:showPercent val="0"/>
          <c:showBubbleSize val="0"/>
        </c:dLbls>
        <c:smooth val="0"/>
        <c:axId val="995293679"/>
        <c:axId val="992494591"/>
      </c:lineChart>
      <c:dateAx>
        <c:axId val="995293679"/>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92494591"/>
        <c:crosses val="autoZero"/>
        <c:auto val="1"/>
        <c:lblOffset val="100"/>
        <c:baseTimeUnit val="months"/>
        <c:majorUnit val="3"/>
        <c:majorTimeUnit val="months"/>
      </c:dateAx>
      <c:valAx>
        <c:axId val="992494591"/>
        <c:scaling>
          <c:orientation val="minMax"/>
          <c:max val="0.60000000000000009"/>
          <c:min val="0.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95293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712771368695191E-2"/>
          <c:y val="3.844475604932944E-2"/>
          <c:w val="0.69506775763959361"/>
          <c:h val="0.89767087333261419"/>
        </c:manualLayout>
      </c:layout>
      <c:lineChart>
        <c:grouping val="standard"/>
        <c:varyColors val="0"/>
        <c:ser>
          <c:idx val="1"/>
          <c:order val="1"/>
          <c:tx>
            <c:strRef>
              <c:f>'Figure 2'!$C$5</c:f>
              <c:strCache>
                <c:ptCount val="1"/>
                <c:pt idx="0">
                  <c:v>Recruitment difficulty (REOS) - monthly (LHS)</c:v>
                </c:pt>
              </c:strCache>
            </c:strRef>
          </c:tx>
          <c:spPr>
            <a:ln w="28575" cap="rnd">
              <a:solidFill>
                <a:srgbClr val="012749"/>
              </a:solidFill>
              <a:round/>
            </a:ln>
            <a:effectLst/>
          </c:spPr>
          <c:marker>
            <c:symbol val="none"/>
          </c:marker>
          <c:cat>
            <c:numRef>
              <c:f>'Figure 2'!$A$6:$A$30</c:f>
              <c:numCache>
                <c:formatCode>mmm\-yy</c:formatCode>
                <c:ptCount val="25"/>
                <c:pt idx="0">
                  <c:v>44531</c:v>
                </c:pt>
                <c:pt idx="1">
                  <c:v>44562</c:v>
                </c:pt>
                <c:pt idx="2">
                  <c:v>44593</c:v>
                </c:pt>
                <c:pt idx="3">
                  <c:v>44621</c:v>
                </c:pt>
                <c:pt idx="4">
                  <c:v>44652</c:v>
                </c:pt>
                <c:pt idx="5">
                  <c:v>44682</c:v>
                </c:pt>
                <c:pt idx="6">
                  <c:v>44713</c:v>
                </c:pt>
                <c:pt idx="7">
                  <c:v>44743</c:v>
                </c:pt>
                <c:pt idx="8">
                  <c:v>44774</c:v>
                </c:pt>
                <c:pt idx="9">
                  <c:v>44805</c:v>
                </c:pt>
                <c:pt idx="10">
                  <c:v>44835</c:v>
                </c:pt>
                <c:pt idx="11">
                  <c:v>44866</c:v>
                </c:pt>
                <c:pt idx="12">
                  <c:v>44896</c:v>
                </c:pt>
                <c:pt idx="13">
                  <c:v>44927</c:v>
                </c:pt>
                <c:pt idx="14">
                  <c:v>44958</c:v>
                </c:pt>
                <c:pt idx="15">
                  <c:v>44986</c:v>
                </c:pt>
                <c:pt idx="16">
                  <c:v>45017</c:v>
                </c:pt>
                <c:pt idx="17">
                  <c:v>45047</c:v>
                </c:pt>
                <c:pt idx="18">
                  <c:v>45078</c:v>
                </c:pt>
                <c:pt idx="19">
                  <c:v>45108</c:v>
                </c:pt>
                <c:pt idx="20">
                  <c:v>45139</c:v>
                </c:pt>
                <c:pt idx="21">
                  <c:v>45170</c:v>
                </c:pt>
                <c:pt idx="22">
                  <c:v>45200</c:v>
                </c:pt>
                <c:pt idx="23">
                  <c:v>45231</c:v>
                </c:pt>
                <c:pt idx="24">
                  <c:v>45261</c:v>
                </c:pt>
              </c:numCache>
            </c:numRef>
          </c:cat>
          <c:val>
            <c:numRef>
              <c:f>'Figure 2'!$C$6:$C$30</c:f>
              <c:numCache>
                <c:formatCode>0%</c:formatCode>
                <c:ptCount val="25"/>
                <c:pt idx="0">
                  <c:v>0.56999999999999995</c:v>
                </c:pt>
                <c:pt idx="1">
                  <c:v>0.68</c:v>
                </c:pt>
                <c:pt idx="2">
                  <c:v>0.64</c:v>
                </c:pt>
                <c:pt idx="3">
                  <c:v>0.64</c:v>
                </c:pt>
                <c:pt idx="4">
                  <c:v>0.64</c:v>
                </c:pt>
                <c:pt idx="5">
                  <c:v>0.68</c:v>
                </c:pt>
                <c:pt idx="6">
                  <c:v>0.67</c:v>
                </c:pt>
                <c:pt idx="7">
                  <c:v>0.75</c:v>
                </c:pt>
                <c:pt idx="8">
                  <c:v>0.74</c:v>
                </c:pt>
                <c:pt idx="9">
                  <c:v>0.67</c:v>
                </c:pt>
                <c:pt idx="10">
                  <c:v>0.7</c:v>
                </c:pt>
                <c:pt idx="11">
                  <c:v>0.69</c:v>
                </c:pt>
                <c:pt idx="12">
                  <c:v>0.65</c:v>
                </c:pt>
                <c:pt idx="13">
                  <c:v>0.56000000000000005</c:v>
                </c:pt>
                <c:pt idx="14">
                  <c:v>0.61</c:v>
                </c:pt>
                <c:pt idx="15">
                  <c:v>0.64</c:v>
                </c:pt>
                <c:pt idx="16">
                  <c:v>0.62</c:v>
                </c:pt>
                <c:pt idx="17">
                  <c:v>0.67</c:v>
                </c:pt>
                <c:pt idx="18">
                  <c:v>0.63</c:v>
                </c:pt>
                <c:pt idx="19">
                  <c:v>0.59</c:v>
                </c:pt>
                <c:pt idx="20">
                  <c:v>0.61</c:v>
                </c:pt>
                <c:pt idx="21">
                  <c:v>0.59</c:v>
                </c:pt>
                <c:pt idx="22">
                  <c:v>0.56000000000000005</c:v>
                </c:pt>
                <c:pt idx="23">
                  <c:v>0.56000000000000005</c:v>
                </c:pt>
                <c:pt idx="24">
                  <c:v>0.51</c:v>
                </c:pt>
              </c:numCache>
            </c:numRef>
          </c:val>
          <c:smooth val="0"/>
          <c:extLst>
            <c:ext xmlns:c16="http://schemas.microsoft.com/office/drawing/2014/chart" uri="{C3380CC4-5D6E-409C-BE32-E72D297353CC}">
              <c16:uniqueId val="{00000000-2401-4708-9419-9047615C97E9}"/>
            </c:ext>
          </c:extLst>
        </c:ser>
        <c:ser>
          <c:idx val="2"/>
          <c:order val="2"/>
          <c:tx>
            <c:strRef>
              <c:f>'Figure 2'!$D$5</c:f>
              <c:strCache>
                <c:ptCount val="1"/>
                <c:pt idx="0">
                  <c:v>Fill rate (SERA) - quarterly (LHS)</c:v>
                </c:pt>
              </c:strCache>
            </c:strRef>
          </c:tx>
          <c:spPr>
            <a:ln w="28575" cap="rnd">
              <a:solidFill>
                <a:srgbClr val="6929C4"/>
              </a:solidFill>
              <a:round/>
            </a:ln>
            <a:effectLst/>
          </c:spPr>
          <c:marker>
            <c:symbol val="none"/>
          </c:marker>
          <c:cat>
            <c:numRef>
              <c:f>'Figure 2'!$A$6:$A$30</c:f>
              <c:numCache>
                <c:formatCode>mmm\-yy</c:formatCode>
                <c:ptCount val="25"/>
                <c:pt idx="0">
                  <c:v>44531</c:v>
                </c:pt>
                <c:pt idx="1">
                  <c:v>44562</c:v>
                </c:pt>
                <c:pt idx="2">
                  <c:v>44593</c:v>
                </c:pt>
                <c:pt idx="3">
                  <c:v>44621</c:v>
                </c:pt>
                <c:pt idx="4">
                  <c:v>44652</c:v>
                </c:pt>
                <c:pt idx="5">
                  <c:v>44682</c:v>
                </c:pt>
                <c:pt idx="6">
                  <c:v>44713</c:v>
                </c:pt>
                <c:pt idx="7">
                  <c:v>44743</c:v>
                </c:pt>
                <c:pt idx="8">
                  <c:v>44774</c:v>
                </c:pt>
                <c:pt idx="9">
                  <c:v>44805</c:v>
                </c:pt>
                <c:pt idx="10">
                  <c:v>44835</c:v>
                </c:pt>
                <c:pt idx="11">
                  <c:v>44866</c:v>
                </c:pt>
                <c:pt idx="12">
                  <c:v>44896</c:v>
                </c:pt>
                <c:pt idx="13">
                  <c:v>44927</c:v>
                </c:pt>
                <c:pt idx="14">
                  <c:v>44958</c:v>
                </c:pt>
                <c:pt idx="15">
                  <c:v>44986</c:v>
                </c:pt>
                <c:pt idx="16">
                  <c:v>45017</c:v>
                </c:pt>
                <c:pt idx="17">
                  <c:v>45047</c:v>
                </c:pt>
                <c:pt idx="18">
                  <c:v>45078</c:v>
                </c:pt>
                <c:pt idx="19">
                  <c:v>45108</c:v>
                </c:pt>
                <c:pt idx="20">
                  <c:v>45139</c:v>
                </c:pt>
                <c:pt idx="21">
                  <c:v>45170</c:v>
                </c:pt>
                <c:pt idx="22">
                  <c:v>45200</c:v>
                </c:pt>
                <c:pt idx="23">
                  <c:v>45231</c:v>
                </c:pt>
                <c:pt idx="24">
                  <c:v>45261</c:v>
                </c:pt>
              </c:numCache>
            </c:numRef>
          </c:cat>
          <c:val>
            <c:numRef>
              <c:f>'Figure 2'!$D$6:$D$30</c:f>
              <c:numCache>
                <c:formatCode>General</c:formatCode>
                <c:ptCount val="25"/>
                <c:pt idx="0" formatCode="0.0%">
                  <c:v>0.59665212358650166</c:v>
                </c:pt>
                <c:pt idx="3" formatCode="0.0%">
                  <c:v>0.597111858190709</c:v>
                </c:pt>
                <c:pt idx="6" formatCode="0.0%">
                  <c:v>0.5951591277962035</c:v>
                </c:pt>
                <c:pt idx="9" formatCode="0.0%">
                  <c:v>0.58049609242269795</c:v>
                </c:pt>
                <c:pt idx="12" formatCode="0.0%">
                  <c:v>0.58494758036520167</c:v>
                </c:pt>
                <c:pt idx="15" formatCode="0.0%">
                  <c:v>0.60165916760404947</c:v>
                </c:pt>
                <c:pt idx="18" formatCode="0.0%">
                  <c:v>0.61367775005058345</c:v>
                </c:pt>
                <c:pt idx="21" formatCode="0.0%">
                  <c:v>0.62063436737539213</c:v>
                </c:pt>
                <c:pt idx="24" formatCode="0.0%">
                  <c:v>0.63565325348718327</c:v>
                </c:pt>
              </c:numCache>
            </c:numRef>
          </c:val>
          <c:smooth val="0"/>
          <c:extLst>
            <c:ext xmlns:c16="http://schemas.microsoft.com/office/drawing/2014/chart" uri="{C3380CC4-5D6E-409C-BE32-E72D297353CC}">
              <c16:uniqueId val="{00000001-2401-4708-9419-9047615C97E9}"/>
            </c:ext>
          </c:extLst>
        </c:ser>
        <c:dLbls>
          <c:showLegendKey val="0"/>
          <c:showVal val="0"/>
          <c:showCatName val="0"/>
          <c:showSerName val="0"/>
          <c:showPercent val="0"/>
          <c:showBubbleSize val="0"/>
        </c:dLbls>
        <c:marker val="1"/>
        <c:smooth val="0"/>
        <c:axId val="932218352"/>
        <c:axId val="932219184"/>
      </c:lineChart>
      <c:lineChart>
        <c:grouping val="standard"/>
        <c:varyColors val="0"/>
        <c:ser>
          <c:idx val="0"/>
          <c:order val="0"/>
          <c:tx>
            <c:strRef>
              <c:f>'Figure 2'!$B$5</c:f>
              <c:strCache>
                <c:ptCount val="1"/>
                <c:pt idx="0">
                  <c:v>Internet vacancies (IVI) - monthly (RHS)</c:v>
                </c:pt>
              </c:strCache>
            </c:strRef>
          </c:tx>
          <c:spPr>
            <a:ln w="28575" cap="rnd">
              <a:solidFill>
                <a:srgbClr val="009D9A"/>
              </a:solidFill>
              <a:round/>
            </a:ln>
            <a:effectLst/>
          </c:spPr>
          <c:marker>
            <c:symbol val="none"/>
          </c:marker>
          <c:cat>
            <c:numRef>
              <c:f>'Figure 2'!$A$6:$A$30</c:f>
              <c:numCache>
                <c:formatCode>mmm\-yy</c:formatCode>
                <c:ptCount val="25"/>
                <c:pt idx="0">
                  <c:v>44531</c:v>
                </c:pt>
                <c:pt idx="1">
                  <c:v>44562</c:v>
                </c:pt>
                <c:pt idx="2">
                  <c:v>44593</c:v>
                </c:pt>
                <c:pt idx="3">
                  <c:v>44621</c:v>
                </c:pt>
                <c:pt idx="4">
                  <c:v>44652</c:v>
                </c:pt>
                <c:pt idx="5">
                  <c:v>44682</c:v>
                </c:pt>
                <c:pt idx="6">
                  <c:v>44713</c:v>
                </c:pt>
                <c:pt idx="7">
                  <c:v>44743</c:v>
                </c:pt>
                <c:pt idx="8">
                  <c:v>44774</c:v>
                </c:pt>
                <c:pt idx="9">
                  <c:v>44805</c:v>
                </c:pt>
                <c:pt idx="10">
                  <c:v>44835</c:v>
                </c:pt>
                <c:pt idx="11">
                  <c:v>44866</c:v>
                </c:pt>
                <c:pt idx="12">
                  <c:v>44896</c:v>
                </c:pt>
                <c:pt idx="13">
                  <c:v>44927</c:v>
                </c:pt>
                <c:pt idx="14">
                  <c:v>44958</c:v>
                </c:pt>
                <c:pt idx="15">
                  <c:v>44986</c:v>
                </c:pt>
                <c:pt idx="16">
                  <c:v>45017</c:v>
                </c:pt>
                <c:pt idx="17">
                  <c:v>45047</c:v>
                </c:pt>
                <c:pt idx="18">
                  <c:v>45078</c:v>
                </c:pt>
                <c:pt idx="19">
                  <c:v>45108</c:v>
                </c:pt>
                <c:pt idx="20">
                  <c:v>45139</c:v>
                </c:pt>
                <c:pt idx="21">
                  <c:v>45170</c:v>
                </c:pt>
                <c:pt idx="22">
                  <c:v>45200</c:v>
                </c:pt>
                <c:pt idx="23">
                  <c:v>45231</c:v>
                </c:pt>
                <c:pt idx="24">
                  <c:v>45261</c:v>
                </c:pt>
              </c:numCache>
            </c:numRef>
          </c:cat>
          <c:val>
            <c:numRef>
              <c:f>'Figure 2'!$B$6:$B$30</c:f>
              <c:numCache>
                <c:formatCode>#,##0</c:formatCode>
                <c:ptCount val="25"/>
                <c:pt idx="0">
                  <c:v>259323</c:v>
                </c:pt>
                <c:pt idx="1">
                  <c:v>268643</c:v>
                </c:pt>
                <c:pt idx="2">
                  <c:v>276932</c:v>
                </c:pt>
                <c:pt idx="3">
                  <c:v>283920</c:v>
                </c:pt>
                <c:pt idx="4">
                  <c:v>289867</c:v>
                </c:pt>
                <c:pt idx="5">
                  <c:v>295294</c:v>
                </c:pt>
                <c:pt idx="6">
                  <c:v>303110</c:v>
                </c:pt>
                <c:pt idx="7">
                  <c:v>292201</c:v>
                </c:pt>
                <c:pt idx="8">
                  <c:v>296078</c:v>
                </c:pt>
                <c:pt idx="9">
                  <c:v>283176</c:v>
                </c:pt>
                <c:pt idx="10">
                  <c:v>286552</c:v>
                </c:pt>
                <c:pt idx="11">
                  <c:v>277759</c:v>
                </c:pt>
                <c:pt idx="12">
                  <c:v>277297</c:v>
                </c:pt>
                <c:pt idx="13">
                  <c:v>281035</c:v>
                </c:pt>
                <c:pt idx="14">
                  <c:v>282239</c:v>
                </c:pt>
                <c:pt idx="15">
                  <c:v>282374</c:v>
                </c:pt>
                <c:pt idx="16">
                  <c:v>290951</c:v>
                </c:pt>
                <c:pt idx="17">
                  <c:v>282630</c:v>
                </c:pt>
                <c:pt idx="18">
                  <c:v>276196</c:v>
                </c:pt>
                <c:pt idx="19">
                  <c:v>279880</c:v>
                </c:pt>
                <c:pt idx="20">
                  <c:v>276854</c:v>
                </c:pt>
                <c:pt idx="21">
                  <c:v>270606</c:v>
                </c:pt>
                <c:pt idx="22">
                  <c:v>259924</c:v>
                </c:pt>
                <c:pt idx="23">
                  <c:v>259185</c:v>
                </c:pt>
                <c:pt idx="24">
                  <c:v>261151</c:v>
                </c:pt>
              </c:numCache>
            </c:numRef>
          </c:val>
          <c:smooth val="0"/>
          <c:extLst>
            <c:ext xmlns:c16="http://schemas.microsoft.com/office/drawing/2014/chart" uri="{C3380CC4-5D6E-409C-BE32-E72D297353CC}">
              <c16:uniqueId val="{00000002-2401-4708-9419-9047615C97E9}"/>
            </c:ext>
          </c:extLst>
        </c:ser>
        <c:dLbls>
          <c:showLegendKey val="0"/>
          <c:showVal val="0"/>
          <c:showCatName val="0"/>
          <c:showSerName val="0"/>
          <c:showPercent val="0"/>
          <c:showBubbleSize val="0"/>
        </c:dLbls>
        <c:marker val="1"/>
        <c:smooth val="0"/>
        <c:axId val="855454288"/>
        <c:axId val="855463856"/>
      </c:lineChart>
      <c:dateAx>
        <c:axId val="93221835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32219184"/>
        <c:crosses val="autoZero"/>
        <c:auto val="1"/>
        <c:lblOffset val="100"/>
        <c:baseTimeUnit val="months"/>
        <c:majorUnit val="3"/>
        <c:majorTimeUnit val="months"/>
      </c:dateAx>
      <c:valAx>
        <c:axId val="932219184"/>
        <c:scaling>
          <c:orientation val="minMax"/>
          <c:min val="0.30000000000000004"/>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32218352"/>
        <c:crosses val="autoZero"/>
        <c:crossBetween val="between"/>
      </c:valAx>
      <c:valAx>
        <c:axId val="855463856"/>
        <c:scaling>
          <c:orientation val="minMax"/>
          <c:max val="350000"/>
          <c:min val="2000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855454288"/>
        <c:crosses val="max"/>
        <c:crossBetween val="between"/>
        <c:majorUnit val="10000"/>
      </c:valAx>
      <c:dateAx>
        <c:axId val="855454288"/>
        <c:scaling>
          <c:orientation val="minMax"/>
        </c:scaling>
        <c:delete val="1"/>
        <c:axPos val="b"/>
        <c:numFmt formatCode="mmm\-yy" sourceLinked="1"/>
        <c:majorTickMark val="out"/>
        <c:minorTickMark val="none"/>
        <c:tickLblPos val="nextTo"/>
        <c:crossAx val="855463856"/>
        <c:crosses val="autoZero"/>
        <c:auto val="1"/>
        <c:lblOffset val="100"/>
        <c:baseTimeUnit val="months"/>
        <c:majorUnit val="1"/>
        <c:minorUnit val="1"/>
      </c:dateAx>
      <c:spPr>
        <a:noFill/>
        <a:ln>
          <a:noFill/>
        </a:ln>
        <a:effectLst/>
      </c:spPr>
    </c:plotArea>
    <c:legend>
      <c:legendPos val="r"/>
      <c:layout>
        <c:manualLayout>
          <c:xMode val="edge"/>
          <c:yMode val="edge"/>
          <c:x val="0.83277799899808613"/>
          <c:y val="0.15086339743725063"/>
          <c:w val="0.14567708400234639"/>
          <c:h val="0.6654859161371584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50671638015119E-2"/>
          <c:y val="4.4008801760352073E-2"/>
          <c:w val="0.60405844184167867"/>
          <c:h val="0.858925170860944"/>
        </c:manualLayout>
      </c:layout>
      <c:lineChart>
        <c:grouping val="standard"/>
        <c:varyColors val="0"/>
        <c:ser>
          <c:idx val="1"/>
          <c:order val="0"/>
          <c:tx>
            <c:strRef>
              <c:f>'Figure 3-5'!$V$4</c:f>
              <c:strCache>
                <c:ptCount val="1"/>
                <c:pt idx="0">
                  <c:v>Business, Human Resource and Marketing Professionals</c:v>
                </c:pt>
              </c:strCache>
            </c:strRef>
          </c:tx>
          <c:spPr>
            <a:ln w="28575" cap="rnd">
              <a:solidFill>
                <a:schemeClr val="accent2"/>
              </a:solidFill>
              <a:round/>
            </a:ln>
            <a:effectLst/>
          </c:spPr>
          <c:marker>
            <c:symbol val="none"/>
          </c:marker>
          <c:cat>
            <c:numRef>
              <c:f>'Figure 3-5'!$U$5:$U$13</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3-5'!$V$5:$V$13</c:f>
              <c:numCache>
                <c:formatCode>0.0%</c:formatCode>
                <c:ptCount val="9"/>
                <c:pt idx="0">
                  <c:v>0.68248175182481752</c:v>
                </c:pt>
                <c:pt idx="1">
                  <c:v>0.68834688346883466</c:v>
                </c:pt>
                <c:pt idx="2">
                  <c:v>0.67316017316017318</c:v>
                </c:pt>
                <c:pt idx="3">
                  <c:v>0.67130620985010703</c:v>
                </c:pt>
                <c:pt idx="4">
                  <c:v>0.6652030735455543</c:v>
                </c:pt>
                <c:pt idx="5">
                  <c:v>0.67209775967413443</c:v>
                </c:pt>
                <c:pt idx="6">
                  <c:v>0.70576540755467199</c:v>
                </c:pt>
                <c:pt idx="7">
                  <c:v>0.71342078708375378</c:v>
                </c:pt>
                <c:pt idx="8">
                  <c:v>0.73985431841831428</c:v>
                </c:pt>
              </c:numCache>
            </c:numRef>
          </c:val>
          <c:smooth val="0"/>
          <c:extLst>
            <c:ext xmlns:c16="http://schemas.microsoft.com/office/drawing/2014/chart" uri="{C3380CC4-5D6E-409C-BE32-E72D297353CC}">
              <c16:uniqueId val="{00000000-6B83-46E6-B169-1B067183AF62}"/>
            </c:ext>
          </c:extLst>
        </c:ser>
        <c:ser>
          <c:idx val="2"/>
          <c:order val="1"/>
          <c:tx>
            <c:strRef>
              <c:f>'Figure 3-5'!$W$4</c:f>
              <c:strCache>
                <c:ptCount val="1"/>
                <c:pt idx="0">
                  <c:v>Design, Engineering, Science and Transport Professionals</c:v>
                </c:pt>
              </c:strCache>
            </c:strRef>
          </c:tx>
          <c:spPr>
            <a:ln w="28575" cap="rnd">
              <a:solidFill>
                <a:schemeClr val="accent3"/>
              </a:solidFill>
              <a:round/>
            </a:ln>
            <a:effectLst/>
          </c:spPr>
          <c:marker>
            <c:symbol val="none"/>
          </c:marker>
          <c:cat>
            <c:numRef>
              <c:f>'Figure 3-5'!$U$5:$U$13</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3-5'!$W$5:$W$13</c:f>
              <c:numCache>
                <c:formatCode>0.0%</c:formatCode>
                <c:ptCount val="9"/>
                <c:pt idx="0">
                  <c:v>0.57265774378585088</c:v>
                </c:pt>
                <c:pt idx="1">
                  <c:v>0.56593406593406592</c:v>
                </c:pt>
                <c:pt idx="2">
                  <c:v>0.58250676284941394</c:v>
                </c:pt>
                <c:pt idx="3">
                  <c:v>0.55603079555175361</c:v>
                </c:pt>
                <c:pt idx="4">
                  <c:v>0.55749128919860624</c:v>
                </c:pt>
                <c:pt idx="5">
                  <c:v>0.57506152584085313</c:v>
                </c:pt>
                <c:pt idx="6">
                  <c:v>0.59668508287292821</c:v>
                </c:pt>
                <c:pt idx="7">
                  <c:v>0.61784511784511786</c:v>
                </c:pt>
                <c:pt idx="8">
                  <c:v>0.63315696649029984</c:v>
                </c:pt>
              </c:numCache>
            </c:numRef>
          </c:val>
          <c:smooth val="0"/>
          <c:extLst>
            <c:ext xmlns:c16="http://schemas.microsoft.com/office/drawing/2014/chart" uri="{C3380CC4-5D6E-409C-BE32-E72D297353CC}">
              <c16:uniqueId val="{00000001-6B83-46E6-B169-1B067183AF62}"/>
            </c:ext>
          </c:extLst>
        </c:ser>
        <c:ser>
          <c:idx val="3"/>
          <c:order val="2"/>
          <c:tx>
            <c:strRef>
              <c:f>'Figure 3-5'!$X$4</c:f>
              <c:strCache>
                <c:ptCount val="1"/>
                <c:pt idx="0">
                  <c:v>Education Professionals</c:v>
                </c:pt>
              </c:strCache>
            </c:strRef>
          </c:tx>
          <c:spPr>
            <a:ln w="28575" cap="rnd">
              <a:solidFill>
                <a:schemeClr val="accent4"/>
              </a:solidFill>
              <a:round/>
            </a:ln>
            <a:effectLst/>
          </c:spPr>
          <c:marker>
            <c:symbol val="none"/>
          </c:marker>
          <c:cat>
            <c:numRef>
              <c:f>'Figure 3-5'!$U$5:$U$13</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3-5'!$X$5:$X$13</c:f>
              <c:numCache>
                <c:formatCode>0.0%</c:formatCode>
                <c:ptCount val="9"/>
                <c:pt idx="0">
                  <c:v>0.8075471698113208</c:v>
                </c:pt>
                <c:pt idx="1">
                  <c:v>0.651685393258427</c:v>
                </c:pt>
                <c:pt idx="2">
                  <c:v>0.62745098039215685</c:v>
                </c:pt>
                <c:pt idx="3">
                  <c:v>0.63719512195121952</c:v>
                </c:pt>
                <c:pt idx="4">
                  <c:v>0.63585434173669464</c:v>
                </c:pt>
                <c:pt idx="5">
                  <c:v>0.68823529411764706</c:v>
                </c:pt>
                <c:pt idx="6">
                  <c:v>0.71122994652406413</c:v>
                </c:pt>
                <c:pt idx="7">
                  <c:v>0.67539267015706805</c:v>
                </c:pt>
                <c:pt idx="8">
                  <c:v>0.65909090909090906</c:v>
                </c:pt>
              </c:numCache>
            </c:numRef>
          </c:val>
          <c:smooth val="0"/>
          <c:extLst>
            <c:ext xmlns:c16="http://schemas.microsoft.com/office/drawing/2014/chart" uri="{C3380CC4-5D6E-409C-BE32-E72D297353CC}">
              <c16:uniqueId val="{00000002-6B83-46E6-B169-1B067183AF62}"/>
            </c:ext>
          </c:extLst>
        </c:ser>
        <c:ser>
          <c:idx val="4"/>
          <c:order val="3"/>
          <c:tx>
            <c:strRef>
              <c:f>'Figure 3-5'!$Y$4</c:f>
              <c:strCache>
                <c:ptCount val="1"/>
                <c:pt idx="0">
                  <c:v>Health Professionals</c:v>
                </c:pt>
              </c:strCache>
            </c:strRef>
          </c:tx>
          <c:spPr>
            <a:ln w="28575" cap="rnd">
              <a:solidFill>
                <a:schemeClr val="accent5"/>
              </a:solidFill>
              <a:round/>
            </a:ln>
            <a:effectLst/>
          </c:spPr>
          <c:marker>
            <c:symbol val="none"/>
          </c:marker>
          <c:cat>
            <c:numRef>
              <c:f>'Figure 3-5'!$U$5:$U$13</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3-5'!$Y$5:$Y$13</c:f>
              <c:numCache>
                <c:formatCode>0.0%</c:formatCode>
                <c:ptCount val="9"/>
                <c:pt idx="0">
                  <c:v>0.54891304347826086</c:v>
                </c:pt>
                <c:pt idx="1">
                  <c:v>0.51479697178251893</c:v>
                </c:pt>
                <c:pt idx="2">
                  <c:v>0.5143504531722054</c:v>
                </c:pt>
                <c:pt idx="3">
                  <c:v>0.48610067618332081</c:v>
                </c:pt>
                <c:pt idx="4">
                  <c:v>0.4959871589085072</c:v>
                </c:pt>
                <c:pt idx="5">
                  <c:v>0.49509366636931312</c:v>
                </c:pt>
                <c:pt idx="6">
                  <c:v>0.48947778643803586</c:v>
                </c:pt>
                <c:pt idx="7">
                  <c:v>0.47581903276131043</c:v>
                </c:pt>
                <c:pt idx="8">
                  <c:v>0.48019017432646594</c:v>
                </c:pt>
              </c:numCache>
            </c:numRef>
          </c:val>
          <c:smooth val="0"/>
          <c:extLst>
            <c:ext xmlns:c16="http://schemas.microsoft.com/office/drawing/2014/chart" uri="{C3380CC4-5D6E-409C-BE32-E72D297353CC}">
              <c16:uniqueId val="{00000003-6B83-46E6-B169-1B067183AF62}"/>
            </c:ext>
          </c:extLst>
        </c:ser>
        <c:ser>
          <c:idx val="5"/>
          <c:order val="4"/>
          <c:tx>
            <c:strRef>
              <c:f>'Figure 3-5'!$Z$4</c:f>
              <c:strCache>
                <c:ptCount val="1"/>
                <c:pt idx="0">
                  <c:v>ICT Professionals</c:v>
                </c:pt>
              </c:strCache>
            </c:strRef>
          </c:tx>
          <c:spPr>
            <a:ln w="28575" cap="rnd">
              <a:solidFill>
                <a:schemeClr val="accent6"/>
              </a:solidFill>
              <a:round/>
            </a:ln>
            <a:effectLst/>
          </c:spPr>
          <c:marker>
            <c:symbol val="none"/>
          </c:marker>
          <c:cat>
            <c:numRef>
              <c:f>'Figure 3-5'!$U$5:$U$13</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3-5'!$Z$5:$Z$13</c:f>
              <c:numCache>
                <c:formatCode>0.0%</c:formatCode>
                <c:ptCount val="9"/>
                <c:pt idx="0">
                  <c:v>0.65943238731218701</c:v>
                </c:pt>
                <c:pt idx="1">
                  <c:v>0.64297800338409472</c:v>
                </c:pt>
                <c:pt idx="2">
                  <c:v>0.62997658079625296</c:v>
                </c:pt>
                <c:pt idx="3">
                  <c:v>0.63244353182751545</c:v>
                </c:pt>
                <c:pt idx="4">
                  <c:v>0.65010351966873703</c:v>
                </c:pt>
                <c:pt idx="5">
                  <c:v>0.71458333333333335</c:v>
                </c:pt>
                <c:pt idx="6">
                  <c:v>0.70532319391634979</c:v>
                </c:pt>
                <c:pt idx="7">
                  <c:v>0.7239263803680982</c:v>
                </c:pt>
                <c:pt idx="8">
                  <c:v>0.73981900452488691</c:v>
                </c:pt>
              </c:numCache>
            </c:numRef>
          </c:val>
          <c:smooth val="0"/>
          <c:extLst>
            <c:ext xmlns:c16="http://schemas.microsoft.com/office/drawing/2014/chart" uri="{C3380CC4-5D6E-409C-BE32-E72D297353CC}">
              <c16:uniqueId val="{00000004-6B83-46E6-B169-1B067183AF62}"/>
            </c:ext>
          </c:extLst>
        </c:ser>
        <c:ser>
          <c:idx val="6"/>
          <c:order val="5"/>
          <c:tx>
            <c:strRef>
              <c:f>'Figure 3-5'!$AA$4</c:f>
              <c:strCache>
                <c:ptCount val="1"/>
                <c:pt idx="0">
                  <c:v>Legal, Social and Welfare Professionals</c:v>
                </c:pt>
              </c:strCache>
            </c:strRef>
          </c:tx>
          <c:spPr>
            <a:ln w="28575" cap="rnd">
              <a:solidFill>
                <a:schemeClr val="accent1">
                  <a:lumMod val="60000"/>
                </a:schemeClr>
              </a:solidFill>
              <a:round/>
            </a:ln>
            <a:effectLst/>
          </c:spPr>
          <c:marker>
            <c:symbol val="none"/>
          </c:marker>
          <c:cat>
            <c:numRef>
              <c:f>'Figure 3-5'!$U$5:$U$13</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3-5'!$AA$5:$AA$13</c:f>
              <c:numCache>
                <c:formatCode>0.0%</c:formatCode>
                <c:ptCount val="9"/>
                <c:pt idx="0">
                  <c:v>0.58634538152610438</c:v>
                </c:pt>
                <c:pt idx="1">
                  <c:v>0.61212121212121207</c:v>
                </c:pt>
                <c:pt idx="2">
                  <c:v>0.62538699690402477</c:v>
                </c:pt>
                <c:pt idx="3">
                  <c:v>0.60433604336043356</c:v>
                </c:pt>
                <c:pt idx="4">
                  <c:v>0.58461538461538465</c:v>
                </c:pt>
                <c:pt idx="5">
                  <c:v>0.58762886597938147</c:v>
                </c:pt>
                <c:pt idx="6">
                  <c:v>0.61152882205513781</c:v>
                </c:pt>
                <c:pt idx="7">
                  <c:v>0.64364640883977897</c:v>
                </c:pt>
                <c:pt idx="8">
                  <c:v>0.6688102893890675</c:v>
                </c:pt>
              </c:numCache>
            </c:numRef>
          </c:val>
          <c:smooth val="0"/>
          <c:extLst>
            <c:ext xmlns:c16="http://schemas.microsoft.com/office/drawing/2014/chart" uri="{C3380CC4-5D6E-409C-BE32-E72D297353CC}">
              <c16:uniqueId val="{00000005-6B83-46E6-B169-1B067183AF62}"/>
            </c:ext>
          </c:extLst>
        </c:ser>
        <c:dLbls>
          <c:showLegendKey val="0"/>
          <c:showVal val="0"/>
          <c:showCatName val="0"/>
          <c:showSerName val="0"/>
          <c:showPercent val="0"/>
          <c:showBubbleSize val="0"/>
        </c:dLbls>
        <c:smooth val="0"/>
        <c:axId val="1434201024"/>
        <c:axId val="1434202272"/>
      </c:lineChart>
      <c:dateAx>
        <c:axId val="143420102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en-US"/>
          </a:p>
        </c:txPr>
        <c:crossAx val="1434202272"/>
        <c:crosses val="autoZero"/>
        <c:auto val="1"/>
        <c:lblOffset val="100"/>
        <c:baseTimeUnit val="months"/>
        <c:majorUnit val="3"/>
        <c:majorTimeUnit val="months"/>
      </c:dateAx>
      <c:valAx>
        <c:axId val="1434202272"/>
        <c:scaling>
          <c:orientation val="minMax"/>
          <c:max val="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1434201024"/>
        <c:crosses val="autoZero"/>
        <c:crossBetween val="between"/>
      </c:valAx>
      <c:spPr>
        <a:noFill/>
        <a:ln>
          <a:noFill/>
        </a:ln>
        <a:effectLst/>
      </c:spPr>
    </c:plotArea>
    <c:legend>
      <c:legendPos val="r"/>
      <c:layout>
        <c:manualLayout>
          <c:xMode val="edge"/>
          <c:yMode val="edge"/>
          <c:x val="0.70433568117302425"/>
          <c:y val="9.411520099295452E-2"/>
          <c:w val="0.282369393056978"/>
          <c:h val="0.7677604812301043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431444767609233E-2"/>
          <c:y val="4.4426494345718902E-2"/>
          <c:w val="0.66183728197281355"/>
          <c:h val="0.89279731087733594"/>
        </c:manualLayout>
      </c:layout>
      <c:lineChart>
        <c:grouping val="standard"/>
        <c:varyColors val="0"/>
        <c:ser>
          <c:idx val="0"/>
          <c:order val="0"/>
          <c:tx>
            <c:strRef>
              <c:f>'Figure 3-5'!$V$18</c:f>
              <c:strCache>
                <c:ptCount val="1"/>
                <c:pt idx="0">
                  <c:v>Engineering, ICT and Science Technicians</c:v>
                </c:pt>
              </c:strCache>
            </c:strRef>
          </c:tx>
          <c:spPr>
            <a:ln w="28575" cap="rnd">
              <a:solidFill>
                <a:schemeClr val="accent1"/>
              </a:solidFill>
              <a:round/>
            </a:ln>
            <a:effectLst/>
          </c:spPr>
          <c:marker>
            <c:symbol val="none"/>
          </c:marker>
          <c:cat>
            <c:numRef>
              <c:f>'Figure 3-5'!$U$19:$U$27</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3-5'!$V$19:$V$27</c:f>
              <c:numCache>
                <c:formatCode>0.0%</c:formatCode>
                <c:ptCount val="9"/>
                <c:pt idx="0">
                  <c:v>0.68588469184890655</c:v>
                </c:pt>
                <c:pt idx="1">
                  <c:v>0.67471590909090906</c:v>
                </c:pt>
                <c:pt idx="2">
                  <c:v>0.65336374002280506</c:v>
                </c:pt>
                <c:pt idx="3">
                  <c:v>0.62729357798165142</c:v>
                </c:pt>
                <c:pt idx="4">
                  <c:v>0.6361607142857143</c:v>
                </c:pt>
                <c:pt idx="5">
                  <c:v>0.65877287405812701</c:v>
                </c:pt>
                <c:pt idx="6">
                  <c:v>0.68571428571428572</c:v>
                </c:pt>
                <c:pt idx="7">
                  <c:v>0.69205298013245031</c:v>
                </c:pt>
                <c:pt idx="8">
                  <c:v>0.69345579793340983</c:v>
                </c:pt>
              </c:numCache>
            </c:numRef>
          </c:val>
          <c:smooth val="0"/>
          <c:extLst>
            <c:ext xmlns:c16="http://schemas.microsoft.com/office/drawing/2014/chart" uri="{C3380CC4-5D6E-409C-BE32-E72D297353CC}">
              <c16:uniqueId val="{00000000-D2B2-472A-8773-BB71DCFA0ABE}"/>
            </c:ext>
          </c:extLst>
        </c:ser>
        <c:ser>
          <c:idx val="1"/>
          <c:order val="1"/>
          <c:tx>
            <c:strRef>
              <c:f>'Figure 3-5'!$W$18</c:f>
              <c:strCache>
                <c:ptCount val="1"/>
                <c:pt idx="0">
                  <c:v>Automotive and Engineering Trades Workers</c:v>
                </c:pt>
              </c:strCache>
            </c:strRef>
          </c:tx>
          <c:spPr>
            <a:ln w="28575" cap="rnd">
              <a:solidFill>
                <a:schemeClr val="accent2"/>
              </a:solidFill>
              <a:round/>
            </a:ln>
            <a:effectLst/>
          </c:spPr>
          <c:marker>
            <c:symbol val="none"/>
          </c:marker>
          <c:cat>
            <c:numRef>
              <c:f>'Figure 3-5'!$U$19:$U$27</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3-5'!$W$19:$W$27</c:f>
              <c:numCache>
                <c:formatCode>0.0%</c:formatCode>
                <c:ptCount val="9"/>
                <c:pt idx="0">
                  <c:v>0.43263157894736842</c:v>
                </c:pt>
                <c:pt idx="1">
                  <c:v>0.36618004866180048</c:v>
                </c:pt>
                <c:pt idx="2">
                  <c:v>0.32435897435897437</c:v>
                </c:pt>
                <c:pt idx="3">
                  <c:v>0.29986962190352023</c:v>
                </c:pt>
                <c:pt idx="4">
                  <c:v>0.29428172942817293</c:v>
                </c:pt>
                <c:pt idx="5">
                  <c:v>0.31741140215716485</c:v>
                </c:pt>
                <c:pt idx="6">
                  <c:v>0.3066860465116279</c:v>
                </c:pt>
                <c:pt idx="7">
                  <c:v>0.32018927444794953</c:v>
                </c:pt>
                <c:pt idx="8">
                  <c:v>0.29659643435980548</c:v>
                </c:pt>
              </c:numCache>
            </c:numRef>
          </c:val>
          <c:smooth val="0"/>
          <c:extLst>
            <c:ext xmlns:c16="http://schemas.microsoft.com/office/drawing/2014/chart" uri="{C3380CC4-5D6E-409C-BE32-E72D297353CC}">
              <c16:uniqueId val="{00000001-D2B2-472A-8773-BB71DCFA0ABE}"/>
            </c:ext>
          </c:extLst>
        </c:ser>
        <c:ser>
          <c:idx val="2"/>
          <c:order val="2"/>
          <c:tx>
            <c:strRef>
              <c:f>'Figure 3-5'!$X$18</c:f>
              <c:strCache>
                <c:ptCount val="1"/>
                <c:pt idx="0">
                  <c:v>Construction Trades Workers</c:v>
                </c:pt>
              </c:strCache>
            </c:strRef>
          </c:tx>
          <c:spPr>
            <a:ln w="28575" cap="rnd">
              <a:solidFill>
                <a:schemeClr val="accent3"/>
              </a:solidFill>
              <a:round/>
            </a:ln>
            <a:effectLst/>
          </c:spPr>
          <c:marker>
            <c:symbol val="none"/>
          </c:marker>
          <c:cat>
            <c:numRef>
              <c:f>'Figure 3-5'!$U$19:$U$27</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3-5'!$X$19:$X$27</c:f>
              <c:numCache>
                <c:formatCode>0.0%</c:formatCode>
                <c:ptCount val="9"/>
                <c:pt idx="0">
                  <c:v>0.46359447004608295</c:v>
                </c:pt>
                <c:pt idx="1">
                  <c:v>0.43606557377049182</c:v>
                </c:pt>
                <c:pt idx="2">
                  <c:v>0.36940298507462688</c:v>
                </c:pt>
                <c:pt idx="3">
                  <c:v>0.32572115384615385</c:v>
                </c:pt>
                <c:pt idx="4">
                  <c:v>0.32283464566929132</c:v>
                </c:pt>
                <c:pt idx="5">
                  <c:v>0.3086053412462908</c:v>
                </c:pt>
                <c:pt idx="6">
                  <c:v>0.32805755395683456</c:v>
                </c:pt>
                <c:pt idx="7">
                  <c:v>0.33603896103896103</c:v>
                </c:pt>
                <c:pt idx="8">
                  <c:v>0.375</c:v>
                </c:pt>
              </c:numCache>
            </c:numRef>
          </c:val>
          <c:smooth val="0"/>
          <c:extLst>
            <c:ext xmlns:c16="http://schemas.microsoft.com/office/drawing/2014/chart" uri="{C3380CC4-5D6E-409C-BE32-E72D297353CC}">
              <c16:uniqueId val="{00000002-D2B2-472A-8773-BB71DCFA0ABE}"/>
            </c:ext>
          </c:extLst>
        </c:ser>
        <c:ser>
          <c:idx val="3"/>
          <c:order val="3"/>
          <c:tx>
            <c:strRef>
              <c:f>'Figure 3-5'!$Y$18</c:f>
              <c:strCache>
                <c:ptCount val="1"/>
                <c:pt idx="0">
                  <c:v>Electrotechnology and Telecommunications Trades Workers</c:v>
                </c:pt>
              </c:strCache>
            </c:strRef>
          </c:tx>
          <c:spPr>
            <a:ln w="28575" cap="rnd">
              <a:solidFill>
                <a:schemeClr val="accent4"/>
              </a:solidFill>
              <a:round/>
            </a:ln>
            <a:effectLst/>
          </c:spPr>
          <c:marker>
            <c:symbol val="none"/>
          </c:marker>
          <c:cat>
            <c:numRef>
              <c:f>'Figure 3-5'!$U$19:$U$27</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3-5'!$Y$19:$Y$27</c:f>
              <c:numCache>
                <c:formatCode>0.0%</c:formatCode>
                <c:ptCount val="9"/>
                <c:pt idx="0">
                  <c:v>0.50390625</c:v>
                </c:pt>
                <c:pt idx="1">
                  <c:v>0.46470588235294119</c:v>
                </c:pt>
                <c:pt idx="2">
                  <c:v>0.41644562334217505</c:v>
                </c:pt>
                <c:pt idx="3">
                  <c:v>0.38095238095238093</c:v>
                </c:pt>
                <c:pt idx="4">
                  <c:v>0.36363636363636365</c:v>
                </c:pt>
                <c:pt idx="5">
                  <c:v>0.35350318471337577</c:v>
                </c:pt>
                <c:pt idx="6">
                  <c:v>0.37037037037037035</c:v>
                </c:pt>
                <c:pt idx="7">
                  <c:v>0.38662790697674421</c:v>
                </c:pt>
                <c:pt idx="8">
                  <c:v>0.37951807228915663</c:v>
                </c:pt>
              </c:numCache>
            </c:numRef>
          </c:val>
          <c:smooth val="0"/>
          <c:extLst>
            <c:ext xmlns:c16="http://schemas.microsoft.com/office/drawing/2014/chart" uri="{C3380CC4-5D6E-409C-BE32-E72D297353CC}">
              <c16:uniqueId val="{00000003-D2B2-472A-8773-BB71DCFA0ABE}"/>
            </c:ext>
          </c:extLst>
        </c:ser>
        <c:ser>
          <c:idx val="4"/>
          <c:order val="4"/>
          <c:tx>
            <c:strRef>
              <c:f>'Figure 3-5'!$Z$18</c:f>
              <c:strCache>
                <c:ptCount val="1"/>
                <c:pt idx="0">
                  <c:v>Food Trades Workers</c:v>
                </c:pt>
              </c:strCache>
            </c:strRef>
          </c:tx>
          <c:spPr>
            <a:ln w="28575" cap="rnd">
              <a:solidFill>
                <a:schemeClr val="accent5"/>
              </a:solidFill>
              <a:round/>
            </a:ln>
            <a:effectLst/>
          </c:spPr>
          <c:marker>
            <c:symbol val="none"/>
          </c:marker>
          <c:cat>
            <c:numRef>
              <c:f>'Figure 3-5'!$U$19:$U$27</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3-5'!$Z$19:$Z$27</c:f>
              <c:numCache>
                <c:formatCode>0.0%</c:formatCode>
                <c:ptCount val="9"/>
                <c:pt idx="0">
                  <c:v>0.62142857142857144</c:v>
                </c:pt>
                <c:pt idx="1">
                  <c:v>0.56849315068493156</c:v>
                </c:pt>
                <c:pt idx="2">
                  <c:v>0.54276315789473684</c:v>
                </c:pt>
                <c:pt idx="3">
                  <c:v>0.5109717868338558</c:v>
                </c:pt>
                <c:pt idx="4">
                  <c:v>0.52365930599369082</c:v>
                </c:pt>
                <c:pt idx="5">
                  <c:v>0.53103448275862064</c:v>
                </c:pt>
                <c:pt idx="6">
                  <c:v>0.5619335347432024</c:v>
                </c:pt>
                <c:pt idx="7">
                  <c:v>0.55757575757575761</c:v>
                </c:pt>
                <c:pt idx="8">
                  <c:v>0.58734939759036142</c:v>
                </c:pt>
              </c:numCache>
            </c:numRef>
          </c:val>
          <c:smooth val="0"/>
          <c:extLst>
            <c:ext xmlns:c16="http://schemas.microsoft.com/office/drawing/2014/chart" uri="{C3380CC4-5D6E-409C-BE32-E72D297353CC}">
              <c16:uniqueId val="{00000004-D2B2-472A-8773-BB71DCFA0ABE}"/>
            </c:ext>
          </c:extLst>
        </c:ser>
        <c:ser>
          <c:idx val="5"/>
          <c:order val="5"/>
          <c:tx>
            <c:strRef>
              <c:f>'Figure 3-5'!$AA$18</c:f>
              <c:strCache>
                <c:ptCount val="1"/>
                <c:pt idx="0">
                  <c:v>Skilled Animal, Agricultural and Horticultural Workers</c:v>
                </c:pt>
              </c:strCache>
            </c:strRef>
          </c:tx>
          <c:spPr>
            <a:ln w="28575" cap="rnd">
              <a:solidFill>
                <a:schemeClr val="accent6"/>
              </a:solidFill>
              <a:round/>
            </a:ln>
            <a:effectLst/>
          </c:spPr>
          <c:marker>
            <c:symbol val="none"/>
          </c:marker>
          <c:cat>
            <c:numRef>
              <c:f>'Figure 3-5'!$U$19:$U$27</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3-5'!$AA$19:$AA$27</c:f>
              <c:numCache>
                <c:formatCode>0.0%</c:formatCode>
                <c:ptCount val="9"/>
                <c:pt idx="0">
                  <c:v>0.44</c:v>
                </c:pt>
                <c:pt idx="1">
                  <c:v>0.4589041095890411</c:v>
                </c:pt>
                <c:pt idx="2">
                  <c:v>0.4175824175824176</c:v>
                </c:pt>
                <c:pt idx="3">
                  <c:v>0.44850498338870431</c:v>
                </c:pt>
                <c:pt idx="4">
                  <c:v>0.53125</c:v>
                </c:pt>
                <c:pt idx="5">
                  <c:v>0.56444444444444442</c:v>
                </c:pt>
                <c:pt idx="6">
                  <c:v>0.53623188405797106</c:v>
                </c:pt>
                <c:pt idx="7">
                  <c:v>0.5053763440860215</c:v>
                </c:pt>
                <c:pt idx="8">
                  <c:v>0.4870848708487085</c:v>
                </c:pt>
              </c:numCache>
            </c:numRef>
          </c:val>
          <c:smooth val="0"/>
          <c:extLst>
            <c:ext xmlns:c16="http://schemas.microsoft.com/office/drawing/2014/chart" uri="{C3380CC4-5D6E-409C-BE32-E72D297353CC}">
              <c16:uniqueId val="{00000005-D2B2-472A-8773-BB71DCFA0ABE}"/>
            </c:ext>
          </c:extLst>
        </c:ser>
        <c:ser>
          <c:idx val="6"/>
          <c:order val="6"/>
          <c:tx>
            <c:strRef>
              <c:f>'Figure 3-5'!$AB$18</c:f>
              <c:strCache>
                <c:ptCount val="1"/>
                <c:pt idx="0">
                  <c:v>Other Technicians and Trades Workers</c:v>
                </c:pt>
              </c:strCache>
            </c:strRef>
          </c:tx>
          <c:spPr>
            <a:ln w="28575" cap="rnd">
              <a:solidFill>
                <a:schemeClr val="accent1">
                  <a:lumMod val="60000"/>
                </a:schemeClr>
              </a:solidFill>
              <a:round/>
            </a:ln>
            <a:effectLst/>
          </c:spPr>
          <c:marker>
            <c:symbol val="none"/>
          </c:marker>
          <c:cat>
            <c:numRef>
              <c:f>'Figure 3-5'!$U$19:$U$27</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3-5'!$AB$19:$AB$27</c:f>
              <c:numCache>
                <c:formatCode>0.0%</c:formatCode>
                <c:ptCount val="9"/>
                <c:pt idx="0">
                  <c:v>0.42279411764705882</c:v>
                </c:pt>
                <c:pt idx="1">
                  <c:v>0.46846846846846846</c:v>
                </c:pt>
                <c:pt idx="2">
                  <c:v>0.45660377358490567</c:v>
                </c:pt>
                <c:pt idx="3">
                  <c:v>0.46619217081850534</c:v>
                </c:pt>
                <c:pt idx="4">
                  <c:v>0.51773049645390068</c:v>
                </c:pt>
                <c:pt idx="5">
                  <c:v>0.52158273381294962</c:v>
                </c:pt>
                <c:pt idx="6">
                  <c:v>0.54671280276816614</c:v>
                </c:pt>
                <c:pt idx="7">
                  <c:v>0.52508361204013376</c:v>
                </c:pt>
                <c:pt idx="8">
                  <c:v>0.52333333333333332</c:v>
                </c:pt>
              </c:numCache>
            </c:numRef>
          </c:val>
          <c:smooth val="0"/>
          <c:extLst>
            <c:ext xmlns:c16="http://schemas.microsoft.com/office/drawing/2014/chart" uri="{C3380CC4-5D6E-409C-BE32-E72D297353CC}">
              <c16:uniqueId val="{00000006-D2B2-472A-8773-BB71DCFA0ABE}"/>
            </c:ext>
          </c:extLst>
        </c:ser>
        <c:dLbls>
          <c:showLegendKey val="0"/>
          <c:showVal val="0"/>
          <c:showCatName val="0"/>
          <c:showSerName val="0"/>
          <c:showPercent val="0"/>
          <c:showBubbleSize val="0"/>
        </c:dLbls>
        <c:smooth val="0"/>
        <c:axId val="1165411552"/>
        <c:axId val="1165416960"/>
      </c:lineChart>
      <c:dateAx>
        <c:axId val="116541155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1165416960"/>
        <c:crosses val="autoZero"/>
        <c:auto val="1"/>
        <c:lblOffset val="100"/>
        <c:baseTimeUnit val="months"/>
        <c:majorUnit val="3"/>
        <c:majorTimeUnit val="months"/>
      </c:dateAx>
      <c:valAx>
        <c:axId val="1165416960"/>
        <c:scaling>
          <c:orientation val="minMax"/>
          <c:max val="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1165411552"/>
        <c:crosses val="autoZero"/>
        <c:crossBetween val="between"/>
      </c:valAx>
      <c:spPr>
        <a:noFill/>
        <a:ln>
          <a:noFill/>
        </a:ln>
        <a:effectLst/>
      </c:spPr>
    </c:plotArea>
    <c:legend>
      <c:legendPos val="r"/>
      <c:layout>
        <c:manualLayout>
          <c:xMode val="edge"/>
          <c:yMode val="edge"/>
          <c:x val="0.73813201058708799"/>
          <c:y val="9.1305827280475246E-2"/>
          <c:w val="0.24857306364291432"/>
          <c:h val="0.8093108010125551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9953070719717E-2"/>
          <c:y val="3.9426523297491037E-2"/>
          <c:w val="0.63685284632307992"/>
          <c:h val="0.89289983913301152"/>
        </c:manualLayout>
      </c:layout>
      <c:lineChart>
        <c:grouping val="standard"/>
        <c:varyColors val="0"/>
        <c:ser>
          <c:idx val="0"/>
          <c:order val="0"/>
          <c:tx>
            <c:strRef>
              <c:f>'Figure 3-5'!$V$33</c:f>
              <c:strCache>
                <c:ptCount val="1"/>
                <c:pt idx="0">
                  <c:v>Health and Welfare Support Workers</c:v>
                </c:pt>
              </c:strCache>
            </c:strRef>
          </c:tx>
          <c:spPr>
            <a:ln w="28575" cap="rnd">
              <a:solidFill>
                <a:schemeClr val="accent1"/>
              </a:solidFill>
              <a:round/>
            </a:ln>
            <a:effectLst/>
          </c:spPr>
          <c:marker>
            <c:symbol val="none"/>
          </c:marker>
          <c:cat>
            <c:numRef>
              <c:f>'Figure 3-5'!$U$34:$U$42</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3-5'!$V$34:$V$42</c:f>
              <c:numCache>
                <c:formatCode>0.0%</c:formatCode>
                <c:ptCount val="9"/>
                <c:pt idx="0">
                  <c:v>0.69970845481049559</c:v>
                </c:pt>
                <c:pt idx="1">
                  <c:v>0.7152173913043478</c:v>
                </c:pt>
                <c:pt idx="2">
                  <c:v>0.67876588021778583</c:v>
                </c:pt>
                <c:pt idx="3">
                  <c:v>0.64694656488549618</c:v>
                </c:pt>
                <c:pt idx="4">
                  <c:v>0.67441860465116277</c:v>
                </c:pt>
                <c:pt idx="5">
                  <c:v>0.64574898785425106</c:v>
                </c:pt>
                <c:pt idx="6">
                  <c:v>0.69498910675381265</c:v>
                </c:pt>
                <c:pt idx="7">
                  <c:v>0.70020964360587001</c:v>
                </c:pt>
                <c:pt idx="8">
                  <c:v>0.71489361702127663</c:v>
                </c:pt>
              </c:numCache>
            </c:numRef>
          </c:val>
          <c:smooth val="0"/>
          <c:extLst>
            <c:ext xmlns:c16="http://schemas.microsoft.com/office/drawing/2014/chart" uri="{C3380CC4-5D6E-409C-BE32-E72D297353CC}">
              <c16:uniqueId val="{00000000-9EE2-41BE-A6E6-DDFA291827CA}"/>
            </c:ext>
          </c:extLst>
        </c:ser>
        <c:ser>
          <c:idx val="1"/>
          <c:order val="1"/>
          <c:tx>
            <c:strRef>
              <c:f>'Figure 3-5'!$W$33</c:f>
              <c:strCache>
                <c:ptCount val="1"/>
                <c:pt idx="0">
                  <c:v>Carers and Aides</c:v>
                </c:pt>
              </c:strCache>
            </c:strRef>
          </c:tx>
          <c:spPr>
            <a:ln w="28575" cap="rnd">
              <a:solidFill>
                <a:schemeClr val="accent2"/>
              </a:solidFill>
              <a:round/>
            </a:ln>
            <a:effectLst/>
          </c:spPr>
          <c:marker>
            <c:symbol val="none"/>
          </c:marker>
          <c:cat>
            <c:numRef>
              <c:f>'Figure 3-5'!$U$34:$U$42</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3-5'!$W$34:$W$42</c:f>
              <c:numCache>
                <c:formatCode>0.0%</c:formatCode>
                <c:ptCount val="9"/>
                <c:pt idx="0">
                  <c:v>0.72693726937269376</c:v>
                </c:pt>
                <c:pt idx="1">
                  <c:v>0.69301712779973645</c:v>
                </c:pt>
                <c:pt idx="2">
                  <c:v>0.68673355629877364</c:v>
                </c:pt>
                <c:pt idx="3">
                  <c:v>0.69117647058823528</c:v>
                </c:pt>
                <c:pt idx="4">
                  <c:v>0.6517857142857143</c:v>
                </c:pt>
                <c:pt idx="5">
                  <c:v>0.6808035714285714</c:v>
                </c:pt>
                <c:pt idx="6">
                  <c:v>0.69142259414225937</c:v>
                </c:pt>
                <c:pt idx="7">
                  <c:v>0.68438538205980071</c:v>
                </c:pt>
                <c:pt idx="8">
                  <c:v>0.71718377088305485</c:v>
                </c:pt>
              </c:numCache>
            </c:numRef>
          </c:val>
          <c:smooth val="0"/>
          <c:extLst>
            <c:ext xmlns:c16="http://schemas.microsoft.com/office/drawing/2014/chart" uri="{C3380CC4-5D6E-409C-BE32-E72D297353CC}">
              <c16:uniqueId val="{00000001-9EE2-41BE-A6E6-DDFA291827CA}"/>
            </c:ext>
          </c:extLst>
        </c:ser>
        <c:ser>
          <c:idx val="2"/>
          <c:order val="2"/>
          <c:tx>
            <c:strRef>
              <c:f>'Figure 3-5'!$X$33</c:f>
              <c:strCache>
                <c:ptCount val="1"/>
                <c:pt idx="0">
                  <c:v>Hospitality Workers</c:v>
                </c:pt>
              </c:strCache>
            </c:strRef>
          </c:tx>
          <c:spPr>
            <a:ln w="28575" cap="rnd">
              <a:solidFill>
                <a:schemeClr val="accent3"/>
              </a:solidFill>
              <a:round/>
            </a:ln>
            <a:effectLst/>
          </c:spPr>
          <c:marker>
            <c:symbol val="none"/>
          </c:marker>
          <c:cat>
            <c:numRef>
              <c:f>'Figure 3-5'!$U$34:$U$42</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3-5'!$X$34:$X$42</c:f>
              <c:numCache>
                <c:formatCode>0.0%</c:formatCode>
                <c:ptCount val="9"/>
                <c:pt idx="0">
                  <c:v>0.68367346938775508</c:v>
                </c:pt>
                <c:pt idx="1">
                  <c:v>0.6858974358974359</c:v>
                </c:pt>
                <c:pt idx="2">
                  <c:v>0.67630057803468213</c:v>
                </c:pt>
                <c:pt idx="3">
                  <c:v>0.70940170940170943</c:v>
                </c:pt>
                <c:pt idx="4">
                  <c:v>0.68195718654434245</c:v>
                </c:pt>
                <c:pt idx="5">
                  <c:v>0.71</c:v>
                </c:pt>
                <c:pt idx="6">
                  <c:v>0.73463687150837986</c:v>
                </c:pt>
                <c:pt idx="7">
                  <c:v>0.74924471299093653</c:v>
                </c:pt>
                <c:pt idx="8">
                  <c:v>0.76219512195121952</c:v>
                </c:pt>
              </c:numCache>
            </c:numRef>
          </c:val>
          <c:smooth val="0"/>
          <c:extLst>
            <c:ext xmlns:c16="http://schemas.microsoft.com/office/drawing/2014/chart" uri="{C3380CC4-5D6E-409C-BE32-E72D297353CC}">
              <c16:uniqueId val="{00000002-9EE2-41BE-A6E6-DDFA291827CA}"/>
            </c:ext>
          </c:extLst>
        </c:ser>
        <c:ser>
          <c:idx val="4"/>
          <c:order val="3"/>
          <c:tx>
            <c:strRef>
              <c:f>'Figure 3-5'!$Y$33</c:f>
              <c:strCache>
                <c:ptCount val="1"/>
                <c:pt idx="0">
                  <c:v>Sports and Personal Service Workers</c:v>
                </c:pt>
              </c:strCache>
            </c:strRef>
          </c:tx>
          <c:spPr>
            <a:ln w="28575" cap="rnd">
              <a:solidFill>
                <a:schemeClr val="accent5"/>
              </a:solidFill>
              <a:round/>
            </a:ln>
            <a:effectLst/>
          </c:spPr>
          <c:marker>
            <c:symbol val="none"/>
          </c:marker>
          <c:cat>
            <c:numRef>
              <c:f>'Figure 3-5'!$U$34:$U$42</c:f>
              <c:numCache>
                <c:formatCode>mmm\-yy</c:formatCode>
                <c:ptCount val="9"/>
                <c:pt idx="0">
                  <c:v>44531</c:v>
                </c:pt>
                <c:pt idx="1">
                  <c:v>44621</c:v>
                </c:pt>
                <c:pt idx="2">
                  <c:v>44713</c:v>
                </c:pt>
                <c:pt idx="3">
                  <c:v>44805</c:v>
                </c:pt>
                <c:pt idx="4">
                  <c:v>44896</c:v>
                </c:pt>
                <c:pt idx="5">
                  <c:v>44986</c:v>
                </c:pt>
                <c:pt idx="6">
                  <c:v>45078</c:v>
                </c:pt>
                <c:pt idx="7">
                  <c:v>45170</c:v>
                </c:pt>
                <c:pt idx="8">
                  <c:v>45261</c:v>
                </c:pt>
              </c:numCache>
            </c:numRef>
          </c:cat>
          <c:val>
            <c:numRef>
              <c:f>'Figure 3-5'!$Y$34:$Y$42</c:f>
              <c:numCache>
                <c:formatCode>0.0%</c:formatCode>
                <c:ptCount val="9"/>
                <c:pt idx="0">
                  <c:v>0.5374149659863946</c:v>
                </c:pt>
                <c:pt idx="1">
                  <c:v>0.52340425531914891</c:v>
                </c:pt>
                <c:pt idx="2">
                  <c:v>0.53799392097264442</c:v>
                </c:pt>
                <c:pt idx="3">
                  <c:v>0.52352941176470591</c:v>
                </c:pt>
                <c:pt idx="4">
                  <c:v>0.50534759358288772</c:v>
                </c:pt>
                <c:pt idx="5">
                  <c:v>0.50263157894736843</c:v>
                </c:pt>
                <c:pt idx="6">
                  <c:v>0.48941798941798942</c:v>
                </c:pt>
                <c:pt idx="7">
                  <c:v>0.49343832020997375</c:v>
                </c:pt>
                <c:pt idx="8">
                  <c:v>0.52023121387283233</c:v>
                </c:pt>
              </c:numCache>
            </c:numRef>
          </c:val>
          <c:smooth val="0"/>
          <c:extLst>
            <c:ext xmlns:c16="http://schemas.microsoft.com/office/drawing/2014/chart" uri="{C3380CC4-5D6E-409C-BE32-E72D297353CC}">
              <c16:uniqueId val="{00000003-9EE2-41BE-A6E6-DDFA291827CA}"/>
            </c:ext>
          </c:extLst>
        </c:ser>
        <c:dLbls>
          <c:showLegendKey val="0"/>
          <c:showVal val="0"/>
          <c:showCatName val="0"/>
          <c:showSerName val="0"/>
          <c:showPercent val="0"/>
          <c:showBubbleSize val="0"/>
        </c:dLbls>
        <c:smooth val="0"/>
        <c:axId val="1165411552"/>
        <c:axId val="1165416960"/>
      </c:lineChart>
      <c:dateAx>
        <c:axId val="116541155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en-US"/>
          </a:p>
        </c:txPr>
        <c:crossAx val="1165416960"/>
        <c:crosses val="autoZero"/>
        <c:auto val="1"/>
        <c:lblOffset val="100"/>
        <c:baseTimeUnit val="months"/>
        <c:majorUnit val="3"/>
        <c:majorTimeUnit val="months"/>
      </c:dateAx>
      <c:valAx>
        <c:axId val="1165416960"/>
        <c:scaling>
          <c:orientation val="minMax"/>
          <c:max val="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1165411552"/>
        <c:crosses val="autoZero"/>
        <c:crossBetween val="between"/>
      </c:valAx>
      <c:spPr>
        <a:noFill/>
        <a:ln>
          <a:noFill/>
        </a:ln>
        <a:effectLst/>
      </c:spPr>
    </c:plotArea>
    <c:legend>
      <c:legendPos val="r"/>
      <c:layout>
        <c:manualLayout>
          <c:xMode val="edge"/>
          <c:yMode val="edge"/>
          <c:x val="0.72557956929024048"/>
          <c:y val="0.13513222137555386"/>
          <c:w val="0.26047342931505946"/>
          <c:h val="0.5863663816216521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50B830F55D324E65AA7A1CD79CCEB595"/>
        <w:category>
          <w:name w:val="General"/>
          <w:gallery w:val="placeholder"/>
        </w:category>
        <w:types>
          <w:type w:val="bbPlcHdr"/>
        </w:types>
        <w:behaviors>
          <w:behavior w:val="content"/>
        </w:behaviors>
        <w:guid w:val="{6F6B7CD4-E5D6-4DEC-8C52-04FD1636FDC2}"/>
      </w:docPartPr>
      <w:docPartBody>
        <w:p w:rsidR="00233A3C" w:rsidRDefault="004B38D7" w:rsidP="004B38D7">
          <w:pPr>
            <w:pStyle w:val="50B830F55D324E65AA7A1CD79CCEB595"/>
          </w:pPr>
          <w:r w:rsidRPr="00322167">
            <w:rPr>
              <w:rStyle w:val="PlaceholderText"/>
            </w:rPr>
            <w:t>[Title]</w:t>
          </w:r>
        </w:p>
      </w:docPartBody>
    </w:docPart>
    <w:docPart>
      <w:docPartPr>
        <w:name w:val="D975B91F187946B5AB69B11B19436059"/>
        <w:category>
          <w:name w:val="General"/>
          <w:gallery w:val="placeholder"/>
        </w:category>
        <w:types>
          <w:type w:val="bbPlcHdr"/>
        </w:types>
        <w:behaviors>
          <w:behavior w:val="content"/>
        </w:behaviors>
        <w:guid w:val="{6F44FAD4-10CC-47E9-8864-BD3D3C44D3AB}"/>
      </w:docPartPr>
      <w:docPartBody>
        <w:p w:rsidR="00233A3C" w:rsidRDefault="004B38D7" w:rsidP="004B38D7">
          <w:pPr>
            <w:pStyle w:val="D975B91F187946B5AB69B11B19436059"/>
          </w:pPr>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87A46"/>
    <w:rsid w:val="000D3907"/>
    <w:rsid w:val="001352C6"/>
    <w:rsid w:val="00155D35"/>
    <w:rsid w:val="00233A3C"/>
    <w:rsid w:val="002C58A1"/>
    <w:rsid w:val="002D35E0"/>
    <w:rsid w:val="002D3B60"/>
    <w:rsid w:val="004256F2"/>
    <w:rsid w:val="00475DED"/>
    <w:rsid w:val="004852A3"/>
    <w:rsid w:val="004B38D7"/>
    <w:rsid w:val="004F7264"/>
    <w:rsid w:val="00517251"/>
    <w:rsid w:val="00525EBC"/>
    <w:rsid w:val="005974C3"/>
    <w:rsid w:val="005A0B81"/>
    <w:rsid w:val="00633218"/>
    <w:rsid w:val="006411C4"/>
    <w:rsid w:val="0066452D"/>
    <w:rsid w:val="00691D84"/>
    <w:rsid w:val="00745278"/>
    <w:rsid w:val="0074732D"/>
    <w:rsid w:val="00751FE9"/>
    <w:rsid w:val="0076527B"/>
    <w:rsid w:val="0092570E"/>
    <w:rsid w:val="00930265"/>
    <w:rsid w:val="009561DA"/>
    <w:rsid w:val="00A50089"/>
    <w:rsid w:val="00A908D3"/>
    <w:rsid w:val="00B808B4"/>
    <w:rsid w:val="00BA69DC"/>
    <w:rsid w:val="00BF3448"/>
    <w:rsid w:val="00C22293"/>
    <w:rsid w:val="00C337DD"/>
    <w:rsid w:val="00C649A0"/>
    <w:rsid w:val="00C67507"/>
    <w:rsid w:val="00CD49F6"/>
    <w:rsid w:val="00CE0E37"/>
    <w:rsid w:val="00D763A2"/>
    <w:rsid w:val="00E700D7"/>
    <w:rsid w:val="00E962D2"/>
    <w:rsid w:val="00EA637B"/>
    <w:rsid w:val="00EF6149"/>
    <w:rsid w:val="00F33637"/>
    <w:rsid w:val="00F50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38D7"/>
    <w:rPr>
      <w:color w:val="808080"/>
    </w:rPr>
  </w:style>
  <w:style w:type="paragraph" w:customStyle="1" w:styleId="50B830F55D324E65AA7A1CD79CCEB595">
    <w:name w:val="50B830F55D324E65AA7A1CD79CCEB595"/>
    <w:rsid w:val="004B38D7"/>
  </w:style>
  <w:style w:type="paragraph" w:customStyle="1" w:styleId="D975B91F187946B5AB69B11B19436059">
    <w:name w:val="D975B91F187946B5AB69B11B19436059"/>
    <w:rsid w:val="004B3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7" ma:contentTypeDescription="Create a new document." ma:contentTypeScope="" ma:versionID="9686ad9937bb0b6ac8744ad76cefc19b">
  <xsd:schema xmlns:xsd="http://www.w3.org/2001/XMLSchema" xmlns:xs="http://www.w3.org/2001/XMLSchema" xmlns:p="http://schemas.microsoft.com/office/2006/metadata/properties" xmlns:ns2="afd363e9-35fc-44f3-a206-b83cf12c84c7" xmlns:ns3="a3870de7-628d-4f96-ad09-9338c4ed9354" targetNamespace="http://schemas.microsoft.com/office/2006/metadata/properties" ma:root="true" ma:fieldsID="0f6064618e0b67fdba87386a3bacbdb4" ns2:_="" ns3:_="">
    <xsd:import namespace="afd363e9-35fc-44f3-a206-b83cf12c84c7"/>
    <xsd:import namespace="a3870de7-628d-4f96-ad09-9338c4ed93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aa144a-9290-4d15-a1d0-928f0964c235}"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2.xml><?xml version="1.0" encoding="utf-8"?>
<ds:datastoreItem xmlns:ds="http://schemas.openxmlformats.org/officeDocument/2006/customXml" ds:itemID="{44083749-92F8-4312-917A-7ED321D5BB6C}">
  <ds:schemaRefs>
    <ds:schemaRef ds:uri="http://schemas.microsoft.com/office/2006/documentManagement/types"/>
    <ds:schemaRef ds:uri="http://purl.org/dc/elements/1.1/"/>
    <ds:schemaRef ds:uri="afd363e9-35fc-44f3-a206-b83cf12c84c7"/>
    <ds:schemaRef ds:uri="a3870de7-628d-4f96-ad09-9338c4ed9354"/>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4.xml><?xml version="1.0" encoding="utf-8"?>
<ds:datastoreItem xmlns:ds="http://schemas.openxmlformats.org/officeDocument/2006/customXml" ds:itemID="{72BD527F-F651-4B37-BAB8-A6440680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363e9-35fc-44f3-a206-b83cf12c84c7"/>
    <ds:schemaRef ds:uri="a3870de7-628d-4f96-ad09-9338c4ed9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4624</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Skills Shortage Quarterly</vt:lpstr>
    </vt:vector>
  </TitlesOfParts>
  <Company>JSA</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Shortage Quarterly</dc:title>
  <dc:subject>Report</dc:subject>
  <dc:creator>JSA</dc:creator>
  <cp:keywords>JSA report template</cp:keywords>
  <dc:description>Use this template to create a JSA report</dc:description>
  <cp:lastModifiedBy>RAHMAN,Rayeed</cp:lastModifiedBy>
  <cp:revision>14</cp:revision>
  <cp:lastPrinted>2024-02-21T04:34:00Z</cp:lastPrinted>
  <dcterms:created xsi:type="dcterms:W3CDTF">2024-02-21T05:03:00Z</dcterms:created>
  <dcterms:modified xsi:type="dcterms:W3CDTF">2024-02-21T05:33:00Z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