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04B12" w14:textId="027CCCEF" w:rsidR="00E51FBA" w:rsidRPr="00E5087D" w:rsidRDefault="00060808" w:rsidP="008E0C26">
      <w:pPr>
        <w:tabs>
          <w:tab w:val="left" w:pos="3095"/>
        </w:tabs>
        <w:spacing w:before="600"/>
      </w:pPr>
      <w:r>
        <w:rPr>
          <w:noProof/>
        </w:rPr>
        <w:drawing>
          <wp:anchor distT="0" distB="0" distL="114300" distR="114300" simplePos="0" relativeHeight="251659364" behindDoc="1" locked="0" layoutInCell="1" allowOverlap="1" wp14:anchorId="6B9769BC" wp14:editId="66EE3D22">
            <wp:simplePos x="0" y="0"/>
            <wp:positionH relativeFrom="column">
              <wp:posOffset>-950026</wp:posOffset>
            </wp:positionH>
            <wp:positionV relativeFrom="paragraph">
              <wp:posOffset>-938431</wp:posOffset>
            </wp:positionV>
            <wp:extent cx="7571740" cy="10711815"/>
            <wp:effectExtent l="0" t="0" r="0" b="0"/>
            <wp:wrapNone/>
            <wp:docPr id="21044149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4921" name="Picture 1">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7571740" cy="10711815"/>
                    </a:xfrm>
                    <a:prstGeom prst="rect">
                      <a:avLst/>
                    </a:prstGeom>
                    <a:noFill/>
                  </pic:spPr>
                </pic:pic>
              </a:graphicData>
            </a:graphic>
          </wp:anchor>
        </w:drawing>
      </w:r>
      <w:r w:rsidR="008E0C26">
        <w:tab/>
      </w:r>
    </w:p>
    <w:p w14:paraId="106CB8CD" w14:textId="66B62A00" w:rsidR="00E51FBA" w:rsidRPr="00B53AF0" w:rsidRDefault="00444634" w:rsidP="00E85F1B">
      <w:pPr>
        <w:pStyle w:val="Title"/>
        <w:spacing w:before="2400" w:after="480" w:line="240" w:lineRule="auto"/>
        <w:ind w:left="-283"/>
        <w:rPr>
          <w:rFonts w:asciiTheme="minorHAnsi" w:hAnsiTheme="minorHAnsi" w:cstheme="minorHAnsi"/>
          <w:color w:val="320C53" w:themeColor="text2" w:themeShade="BF"/>
          <w:sz w:val="96"/>
          <w:szCs w:val="96"/>
          <w14:ligatures w14:val="standardContextual"/>
          <w14:numForm w14:val="lining"/>
          <w14:numSpacing w14:val="proportional"/>
        </w:rPr>
      </w:pPr>
      <w:r w:rsidRPr="00B53AF0">
        <w:rPr>
          <w:rFonts w:asciiTheme="minorHAnsi" w:hAnsiTheme="minorHAnsi" w:cstheme="minorHAnsi"/>
          <w:color w:val="320C53" w:themeColor="text2" w:themeShade="BF"/>
          <w:sz w:val="96"/>
          <w:szCs w:val="96"/>
          <w14:ligatures w14:val="standardContextual"/>
          <w14:numForm w14:val="lining"/>
          <w14:numSpacing w14:val="proportional"/>
        </w:rPr>
        <w:t xml:space="preserve">The Clean Energy </w:t>
      </w:r>
      <w:r w:rsidR="00264A88" w:rsidRPr="00B53AF0">
        <w:rPr>
          <w:rFonts w:asciiTheme="minorHAnsi" w:hAnsiTheme="minorHAnsi" w:cstheme="minorHAnsi"/>
          <w:color w:val="320C53" w:themeColor="text2" w:themeShade="BF"/>
          <w:sz w:val="96"/>
          <w:szCs w:val="96"/>
          <w14:ligatures w14:val="standardContextual"/>
          <w14:numForm w14:val="lining"/>
          <w14:numSpacing w14:val="proportional"/>
        </w:rPr>
        <w:br/>
      </w:r>
      <w:r w:rsidRPr="00B53AF0">
        <w:rPr>
          <w:rFonts w:asciiTheme="minorHAnsi" w:hAnsiTheme="minorHAnsi" w:cstheme="minorHAnsi"/>
          <w:color w:val="320C53" w:themeColor="text2" w:themeShade="BF"/>
          <w:spacing w:val="0"/>
          <w:sz w:val="96"/>
          <w:szCs w:val="96"/>
          <w14:ligatures w14:val="standardContextual"/>
          <w14:numForm w14:val="lining"/>
          <w14:numSpacing w14:val="proportional"/>
        </w:rPr>
        <w:t>Generation</w:t>
      </w:r>
    </w:p>
    <w:p w14:paraId="237F59DA" w14:textId="4FB5601A" w:rsidR="00556CA8" w:rsidRDefault="00E51FBA" w:rsidP="007631EF">
      <w:pPr>
        <w:pStyle w:val="Title"/>
        <w:spacing w:before="0" w:after="360" w:line="240" w:lineRule="auto"/>
        <w:ind w:left="-283"/>
        <w:sectPr w:rsidR="00556CA8" w:rsidSect="00556CA8">
          <w:pgSz w:w="11906" w:h="16838"/>
          <w:pgMar w:top="1440" w:right="1440" w:bottom="1440" w:left="1440" w:header="709" w:footer="709" w:gutter="0"/>
          <w:cols w:space="708"/>
          <w:docGrid w:linePitch="360"/>
        </w:sectPr>
      </w:pPr>
      <w:r w:rsidRPr="00EC4352">
        <w:rPr>
          <w:rFonts w:cs="Arial"/>
          <w:b w:val="0"/>
          <w:bCs/>
          <w:color w:val="000000" w:themeColor="text1"/>
          <w:sz w:val="48"/>
          <w:szCs w:val="48"/>
          <w14:ligatures w14:val="standardContextual"/>
          <w14:numForm w14:val="lining"/>
          <w14:numSpacing w14:val="proportional"/>
        </w:rPr>
        <w:t>Workforce needs for a net zero economy</w:t>
      </w:r>
      <w:r w:rsidR="00A8613E" w:rsidRPr="004B6218">
        <w:rPr>
          <w:rFonts w:cs="Arial"/>
          <w:b w:val="0"/>
          <w:bCs/>
          <w:color w:val="C2A4EC" w:themeColor="accent1" w:themeTint="66"/>
          <w:sz w:val="48"/>
          <w:szCs w:val="48"/>
          <w14:ligatures w14:val="standardContextual"/>
          <w14:numForm w14:val="lining"/>
          <w14:numSpacing w14:val="proportional"/>
        </w:rPr>
        <w:br/>
      </w:r>
    </w:p>
    <w:p w14:paraId="7A47DAE8" w14:textId="77777777" w:rsidR="00E134F6" w:rsidRDefault="00E134F6">
      <w:pPr>
        <w:rPr>
          <w:rFonts w:eastAsiaTheme="majorEastAsia" w:cstheme="majorBidi"/>
          <w:b/>
          <w:sz w:val="56"/>
          <w:szCs w:val="32"/>
        </w:rPr>
      </w:pPr>
      <w:bookmarkStart w:id="0" w:name="_Toc146210826"/>
      <w:r>
        <w:br w:type="page"/>
      </w:r>
    </w:p>
    <w:p w14:paraId="170FEF89" w14:textId="7AAA81F0" w:rsidR="006E3388" w:rsidRPr="006E3388" w:rsidRDefault="006E3388" w:rsidP="00F07F0F">
      <w:pPr>
        <w:pStyle w:val="Heading1"/>
        <w:spacing w:after="120"/>
        <w:rPr>
          <w:color w:val="000000" w:themeColor="text1"/>
        </w:rPr>
      </w:pPr>
      <w:bookmarkStart w:id="1" w:name="_Toc146892655"/>
      <w:r w:rsidRPr="006E3388">
        <w:rPr>
          <w:color w:val="000000" w:themeColor="text1"/>
        </w:rPr>
        <w:lastRenderedPageBreak/>
        <w:t>Contents</w:t>
      </w:r>
      <w:bookmarkEnd w:id="0"/>
      <w:bookmarkEnd w:id="1"/>
    </w:p>
    <w:sdt>
      <w:sdtPr>
        <w:id w:val="-465812025"/>
        <w:docPartObj>
          <w:docPartGallery w:val="Table of Contents"/>
          <w:docPartUnique/>
        </w:docPartObj>
      </w:sdtPr>
      <w:sdtEndPr>
        <w:rPr>
          <w:bCs/>
        </w:rPr>
      </w:sdtEndPr>
      <w:sdtContent>
        <w:p w14:paraId="183CF2C6" w14:textId="14D4A645" w:rsidR="00E51FBA" w:rsidRPr="006E3388" w:rsidRDefault="00E51FBA" w:rsidP="006E3388">
          <w:pPr>
            <w:pStyle w:val="Bodycopy"/>
          </w:pPr>
        </w:p>
        <w:p w14:paraId="56057D2A" w14:textId="38A8C88C" w:rsidR="00C175CC" w:rsidRDefault="00192659">
          <w:pPr>
            <w:pStyle w:val="TOC1"/>
            <w:rPr>
              <w:rFonts w:asciiTheme="minorHAnsi" w:eastAsiaTheme="minorEastAsia" w:hAnsiTheme="minorHAnsi"/>
              <w:b w:val="0"/>
              <w:bCs w:val="0"/>
              <w:kern w:val="2"/>
              <w:sz w:val="22"/>
              <w:szCs w:val="22"/>
              <w:lang w:eastAsia="en-AU"/>
              <w14:ligatures w14:val="standardContextual"/>
            </w:rPr>
          </w:pPr>
          <w:r w:rsidRPr="00BB2E09">
            <w:rPr>
              <w:noProof w:val="0"/>
              <w:color w:val="441170" w:themeColor="text2"/>
            </w:rPr>
            <w:fldChar w:fldCharType="begin"/>
          </w:r>
          <w:r w:rsidRPr="00BB2E09">
            <w:rPr>
              <w:noProof w:val="0"/>
              <w:color w:val="441170" w:themeColor="text2"/>
            </w:rPr>
            <w:instrText xml:space="preserve"> TOC \o "1-2" \h \z \u </w:instrText>
          </w:r>
          <w:r w:rsidRPr="00BB2E09">
            <w:rPr>
              <w:noProof w:val="0"/>
              <w:color w:val="441170" w:themeColor="text2"/>
            </w:rPr>
            <w:fldChar w:fldCharType="separate"/>
          </w:r>
          <w:hyperlink w:anchor="_Toc146892656" w:history="1">
            <w:r w:rsidR="00C175CC" w:rsidRPr="00D20FD1">
              <w:rPr>
                <w:rStyle w:val="Hyperlink"/>
              </w:rPr>
              <w:t>Glossary</w:t>
            </w:r>
            <w:r w:rsidR="00C175CC">
              <w:rPr>
                <w:webHidden/>
              </w:rPr>
              <w:tab/>
            </w:r>
            <w:r w:rsidR="00C175CC">
              <w:rPr>
                <w:webHidden/>
              </w:rPr>
              <w:fldChar w:fldCharType="begin"/>
            </w:r>
            <w:r w:rsidR="00C175CC">
              <w:rPr>
                <w:webHidden/>
              </w:rPr>
              <w:instrText xml:space="preserve"> PAGEREF _Toc146892656 \h </w:instrText>
            </w:r>
            <w:r w:rsidR="00C175CC">
              <w:rPr>
                <w:webHidden/>
              </w:rPr>
            </w:r>
            <w:r w:rsidR="00C175CC">
              <w:rPr>
                <w:webHidden/>
              </w:rPr>
              <w:fldChar w:fldCharType="separate"/>
            </w:r>
            <w:r w:rsidR="007B05F8">
              <w:rPr>
                <w:webHidden/>
              </w:rPr>
              <w:t>4</w:t>
            </w:r>
            <w:r w:rsidR="00C175CC">
              <w:rPr>
                <w:webHidden/>
              </w:rPr>
              <w:fldChar w:fldCharType="end"/>
            </w:r>
          </w:hyperlink>
        </w:p>
        <w:p w14:paraId="2B9F9810" w14:textId="1D1AD3D3"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57" w:history="1">
            <w:r w:rsidR="00C175CC" w:rsidRPr="00D20FD1">
              <w:rPr>
                <w:rStyle w:val="Hyperlink"/>
              </w:rPr>
              <w:t>Commissioner’s Foreword</w:t>
            </w:r>
            <w:r w:rsidR="00C175CC">
              <w:rPr>
                <w:webHidden/>
              </w:rPr>
              <w:tab/>
            </w:r>
            <w:r w:rsidR="00C175CC">
              <w:rPr>
                <w:webHidden/>
              </w:rPr>
              <w:fldChar w:fldCharType="begin"/>
            </w:r>
            <w:r w:rsidR="00C175CC">
              <w:rPr>
                <w:webHidden/>
              </w:rPr>
              <w:instrText xml:space="preserve"> PAGEREF _Toc146892657 \h </w:instrText>
            </w:r>
            <w:r w:rsidR="00C175CC">
              <w:rPr>
                <w:webHidden/>
              </w:rPr>
            </w:r>
            <w:r w:rsidR="00C175CC">
              <w:rPr>
                <w:webHidden/>
              </w:rPr>
              <w:fldChar w:fldCharType="separate"/>
            </w:r>
            <w:r w:rsidR="007B05F8">
              <w:rPr>
                <w:webHidden/>
              </w:rPr>
              <w:t>6</w:t>
            </w:r>
            <w:r w:rsidR="00C175CC">
              <w:rPr>
                <w:webHidden/>
              </w:rPr>
              <w:fldChar w:fldCharType="end"/>
            </w:r>
          </w:hyperlink>
        </w:p>
        <w:p w14:paraId="2499758E" w14:textId="24CF1CEA"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58" w:history="1">
            <w:r w:rsidR="00C175CC" w:rsidRPr="00D20FD1">
              <w:rPr>
                <w:rStyle w:val="Hyperlink"/>
              </w:rPr>
              <w:t>Executive summary</w:t>
            </w:r>
            <w:r w:rsidR="00C175CC">
              <w:rPr>
                <w:webHidden/>
              </w:rPr>
              <w:tab/>
            </w:r>
            <w:r w:rsidR="00C175CC">
              <w:rPr>
                <w:webHidden/>
              </w:rPr>
              <w:fldChar w:fldCharType="begin"/>
            </w:r>
            <w:r w:rsidR="00C175CC">
              <w:rPr>
                <w:webHidden/>
              </w:rPr>
              <w:instrText xml:space="preserve"> PAGEREF _Toc146892658 \h </w:instrText>
            </w:r>
            <w:r w:rsidR="00C175CC">
              <w:rPr>
                <w:webHidden/>
              </w:rPr>
            </w:r>
            <w:r w:rsidR="00C175CC">
              <w:rPr>
                <w:webHidden/>
              </w:rPr>
              <w:fldChar w:fldCharType="separate"/>
            </w:r>
            <w:r w:rsidR="007B05F8">
              <w:rPr>
                <w:webHidden/>
              </w:rPr>
              <w:t>7</w:t>
            </w:r>
            <w:r w:rsidR="00C175CC">
              <w:rPr>
                <w:webHidden/>
              </w:rPr>
              <w:fldChar w:fldCharType="end"/>
            </w:r>
          </w:hyperlink>
        </w:p>
        <w:p w14:paraId="2E3F96F6" w14:textId="45DD4B14"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59" w:history="1">
            <w:r w:rsidR="00C175CC" w:rsidRPr="00D20FD1">
              <w:rPr>
                <w:rStyle w:val="Hyperlink"/>
              </w:rPr>
              <w:t>Chapter 1: The study</w:t>
            </w:r>
            <w:r w:rsidR="00C175CC">
              <w:rPr>
                <w:webHidden/>
              </w:rPr>
              <w:tab/>
            </w:r>
            <w:r w:rsidR="00C175CC">
              <w:rPr>
                <w:webHidden/>
              </w:rPr>
              <w:fldChar w:fldCharType="begin"/>
            </w:r>
            <w:r w:rsidR="00C175CC">
              <w:rPr>
                <w:webHidden/>
              </w:rPr>
              <w:instrText xml:space="preserve"> PAGEREF _Toc146892659 \h </w:instrText>
            </w:r>
            <w:r w:rsidR="00C175CC">
              <w:rPr>
                <w:webHidden/>
              </w:rPr>
            </w:r>
            <w:r w:rsidR="00C175CC">
              <w:rPr>
                <w:webHidden/>
              </w:rPr>
              <w:fldChar w:fldCharType="separate"/>
            </w:r>
            <w:r w:rsidR="007B05F8">
              <w:rPr>
                <w:webHidden/>
              </w:rPr>
              <w:t>19</w:t>
            </w:r>
            <w:r w:rsidR="00C175CC">
              <w:rPr>
                <w:webHidden/>
              </w:rPr>
              <w:fldChar w:fldCharType="end"/>
            </w:r>
          </w:hyperlink>
        </w:p>
        <w:p w14:paraId="588F350E" w14:textId="7BFF0045" w:rsidR="00C175CC" w:rsidRDefault="009C12D4">
          <w:pPr>
            <w:pStyle w:val="TOC2"/>
            <w:rPr>
              <w:rFonts w:asciiTheme="minorHAnsi" w:eastAsiaTheme="minorEastAsia" w:hAnsiTheme="minorHAnsi"/>
              <w:color w:val="auto"/>
              <w:kern w:val="2"/>
              <w:lang w:eastAsia="en-AU"/>
              <w14:ligatures w14:val="standardContextual"/>
            </w:rPr>
          </w:pPr>
          <w:hyperlink w:anchor="_Toc146892660" w:history="1">
            <w:r w:rsidR="00C175CC" w:rsidRPr="00D20FD1">
              <w:rPr>
                <w:rStyle w:val="Hyperlink"/>
              </w:rPr>
              <w:t>1</w:t>
            </w:r>
            <w:r w:rsidR="00C175CC" w:rsidRPr="00D20FD1">
              <w:rPr>
                <w:rStyle w:val="Hyperlink"/>
                <w:smallCaps/>
              </w:rPr>
              <w:t>a</w:t>
            </w:r>
            <w:r w:rsidR="00C175CC" w:rsidRPr="00D20FD1">
              <w:rPr>
                <w:rStyle w:val="Hyperlink"/>
              </w:rPr>
              <w:t xml:space="preserve">. </w:t>
            </w:r>
            <w:r w:rsidR="00C175CC" w:rsidRPr="00D20FD1">
              <w:rPr>
                <w:rStyle w:val="Hyperlink"/>
                <w:bCs/>
              </w:rPr>
              <w:t>Background</w:t>
            </w:r>
            <w:r w:rsidR="00C175CC">
              <w:rPr>
                <w:webHidden/>
              </w:rPr>
              <w:tab/>
            </w:r>
            <w:r w:rsidR="00C175CC">
              <w:rPr>
                <w:webHidden/>
              </w:rPr>
              <w:fldChar w:fldCharType="begin"/>
            </w:r>
            <w:r w:rsidR="00C175CC">
              <w:rPr>
                <w:webHidden/>
              </w:rPr>
              <w:instrText xml:space="preserve"> PAGEREF _Toc146892660 \h </w:instrText>
            </w:r>
            <w:r w:rsidR="00C175CC">
              <w:rPr>
                <w:webHidden/>
              </w:rPr>
            </w:r>
            <w:r w:rsidR="00C175CC">
              <w:rPr>
                <w:webHidden/>
              </w:rPr>
              <w:fldChar w:fldCharType="separate"/>
            </w:r>
            <w:r w:rsidR="007B05F8">
              <w:rPr>
                <w:webHidden/>
              </w:rPr>
              <w:t>20</w:t>
            </w:r>
            <w:r w:rsidR="00C175CC">
              <w:rPr>
                <w:webHidden/>
              </w:rPr>
              <w:fldChar w:fldCharType="end"/>
            </w:r>
          </w:hyperlink>
        </w:p>
        <w:p w14:paraId="08F34430" w14:textId="04152D76" w:rsidR="00C175CC" w:rsidRDefault="009C12D4">
          <w:pPr>
            <w:pStyle w:val="TOC2"/>
            <w:rPr>
              <w:rFonts w:asciiTheme="minorHAnsi" w:eastAsiaTheme="minorEastAsia" w:hAnsiTheme="minorHAnsi"/>
              <w:color w:val="auto"/>
              <w:kern w:val="2"/>
              <w:lang w:eastAsia="en-AU"/>
              <w14:ligatures w14:val="standardContextual"/>
            </w:rPr>
          </w:pPr>
          <w:hyperlink w:anchor="_Toc146892661" w:history="1">
            <w:r w:rsidR="00C175CC" w:rsidRPr="00D20FD1">
              <w:rPr>
                <w:rStyle w:val="Hyperlink"/>
              </w:rPr>
              <w:t>1</w:t>
            </w:r>
            <w:r w:rsidR="00C175CC" w:rsidRPr="00D20FD1">
              <w:rPr>
                <w:rStyle w:val="Hyperlink"/>
                <w:rFonts w:asciiTheme="majorHAnsi" w:hAnsiTheme="majorHAnsi" w:cstheme="majorHAnsi"/>
                <w:smallCaps/>
              </w:rPr>
              <w:t>b</w:t>
            </w:r>
            <w:r w:rsidR="00C175CC" w:rsidRPr="00D20FD1">
              <w:rPr>
                <w:rStyle w:val="Hyperlink"/>
              </w:rPr>
              <w:t xml:space="preserve">. </w:t>
            </w:r>
            <w:r w:rsidR="00C175CC" w:rsidRPr="00D20FD1">
              <w:rPr>
                <w:rStyle w:val="Hyperlink"/>
                <w:bCs/>
              </w:rPr>
              <w:t>Drivers of change</w:t>
            </w:r>
            <w:r w:rsidR="00C175CC">
              <w:rPr>
                <w:webHidden/>
              </w:rPr>
              <w:tab/>
            </w:r>
            <w:r w:rsidR="00C175CC">
              <w:rPr>
                <w:webHidden/>
              </w:rPr>
              <w:fldChar w:fldCharType="begin"/>
            </w:r>
            <w:r w:rsidR="00C175CC">
              <w:rPr>
                <w:webHidden/>
              </w:rPr>
              <w:instrText xml:space="preserve"> PAGEREF _Toc146892661 \h </w:instrText>
            </w:r>
            <w:r w:rsidR="00C175CC">
              <w:rPr>
                <w:webHidden/>
              </w:rPr>
            </w:r>
            <w:r w:rsidR="00C175CC">
              <w:rPr>
                <w:webHidden/>
              </w:rPr>
              <w:fldChar w:fldCharType="separate"/>
            </w:r>
            <w:r w:rsidR="007B05F8">
              <w:rPr>
                <w:webHidden/>
              </w:rPr>
              <w:t>27</w:t>
            </w:r>
            <w:r w:rsidR="00C175CC">
              <w:rPr>
                <w:webHidden/>
              </w:rPr>
              <w:fldChar w:fldCharType="end"/>
            </w:r>
          </w:hyperlink>
        </w:p>
        <w:p w14:paraId="778BA0B4" w14:textId="60276C0B" w:rsidR="00C175CC" w:rsidRDefault="009C12D4">
          <w:pPr>
            <w:pStyle w:val="TOC2"/>
            <w:rPr>
              <w:rFonts w:asciiTheme="minorHAnsi" w:eastAsiaTheme="minorEastAsia" w:hAnsiTheme="minorHAnsi"/>
              <w:color w:val="auto"/>
              <w:kern w:val="2"/>
              <w:lang w:eastAsia="en-AU"/>
              <w14:ligatures w14:val="standardContextual"/>
            </w:rPr>
          </w:pPr>
          <w:hyperlink w:anchor="_Toc146892662" w:history="1">
            <w:r w:rsidR="00C175CC" w:rsidRPr="00D20FD1">
              <w:rPr>
                <w:rStyle w:val="Hyperlink"/>
                <w:rFonts w:cstheme="minorHAnsi"/>
              </w:rPr>
              <w:t>1</w:t>
            </w:r>
            <w:r w:rsidR="00C175CC" w:rsidRPr="00D20FD1">
              <w:rPr>
                <w:rStyle w:val="Hyperlink"/>
                <w:rFonts w:cstheme="minorHAnsi"/>
                <w:smallCaps/>
              </w:rPr>
              <w:t>c</w:t>
            </w:r>
            <w:r w:rsidR="00C175CC" w:rsidRPr="00D20FD1">
              <w:rPr>
                <w:rStyle w:val="Hyperlink"/>
                <w:rFonts w:cstheme="minorHAnsi"/>
              </w:rPr>
              <w:t>.</w:t>
            </w:r>
            <w:r w:rsidR="00C175CC" w:rsidRPr="00D20FD1">
              <w:rPr>
                <w:rStyle w:val="Hyperlink"/>
                <w:rFonts w:cstheme="minorHAnsi"/>
                <w:bCs/>
              </w:rPr>
              <w:t xml:space="preserve"> </w:t>
            </w:r>
            <w:r w:rsidR="00C175CC" w:rsidRPr="00D20FD1">
              <w:rPr>
                <w:rStyle w:val="Hyperlink"/>
                <w:bCs/>
              </w:rPr>
              <w:t>How do we currently use energy?</w:t>
            </w:r>
            <w:r w:rsidR="00C175CC">
              <w:rPr>
                <w:webHidden/>
              </w:rPr>
              <w:tab/>
            </w:r>
            <w:r w:rsidR="00C175CC">
              <w:rPr>
                <w:webHidden/>
              </w:rPr>
              <w:fldChar w:fldCharType="begin"/>
            </w:r>
            <w:r w:rsidR="00C175CC">
              <w:rPr>
                <w:webHidden/>
              </w:rPr>
              <w:instrText xml:space="preserve"> PAGEREF _Toc146892662 \h </w:instrText>
            </w:r>
            <w:r w:rsidR="00C175CC">
              <w:rPr>
                <w:webHidden/>
              </w:rPr>
            </w:r>
            <w:r w:rsidR="00C175CC">
              <w:rPr>
                <w:webHidden/>
              </w:rPr>
              <w:fldChar w:fldCharType="separate"/>
            </w:r>
            <w:r w:rsidR="007B05F8">
              <w:rPr>
                <w:webHidden/>
              </w:rPr>
              <w:t>35</w:t>
            </w:r>
            <w:r w:rsidR="00C175CC">
              <w:rPr>
                <w:webHidden/>
              </w:rPr>
              <w:fldChar w:fldCharType="end"/>
            </w:r>
          </w:hyperlink>
        </w:p>
        <w:p w14:paraId="42A10D3B" w14:textId="463118F0" w:rsidR="00C175CC" w:rsidRDefault="009C12D4">
          <w:pPr>
            <w:pStyle w:val="TOC2"/>
            <w:rPr>
              <w:rFonts w:asciiTheme="minorHAnsi" w:eastAsiaTheme="minorEastAsia" w:hAnsiTheme="minorHAnsi"/>
              <w:color w:val="auto"/>
              <w:kern w:val="2"/>
              <w:lang w:eastAsia="en-AU"/>
              <w14:ligatures w14:val="standardContextual"/>
            </w:rPr>
          </w:pPr>
          <w:hyperlink w:anchor="_Toc146892663" w:history="1">
            <w:r w:rsidR="00C175CC" w:rsidRPr="00D20FD1">
              <w:rPr>
                <w:rStyle w:val="Hyperlink"/>
              </w:rPr>
              <w:t>1</w:t>
            </w:r>
            <w:r w:rsidR="00C175CC" w:rsidRPr="00D20FD1">
              <w:rPr>
                <w:rStyle w:val="Hyperlink"/>
                <w:smallCaps/>
              </w:rPr>
              <w:t>d</w:t>
            </w:r>
            <w:r w:rsidR="00C175CC" w:rsidRPr="00D20FD1">
              <w:rPr>
                <w:rStyle w:val="Hyperlink"/>
              </w:rPr>
              <w:t xml:space="preserve">. </w:t>
            </w:r>
            <w:r w:rsidR="00C175CC" w:rsidRPr="00D20FD1">
              <w:rPr>
                <w:rStyle w:val="Hyperlink"/>
                <w:bCs/>
              </w:rPr>
              <w:t>Roles and responsibilities</w:t>
            </w:r>
            <w:r w:rsidR="00C175CC">
              <w:rPr>
                <w:webHidden/>
              </w:rPr>
              <w:tab/>
            </w:r>
            <w:r w:rsidR="00C175CC">
              <w:rPr>
                <w:webHidden/>
              </w:rPr>
              <w:fldChar w:fldCharType="begin"/>
            </w:r>
            <w:r w:rsidR="00C175CC">
              <w:rPr>
                <w:webHidden/>
              </w:rPr>
              <w:instrText xml:space="preserve"> PAGEREF _Toc146892663 \h </w:instrText>
            </w:r>
            <w:r w:rsidR="00C175CC">
              <w:rPr>
                <w:webHidden/>
              </w:rPr>
            </w:r>
            <w:r w:rsidR="00C175CC">
              <w:rPr>
                <w:webHidden/>
              </w:rPr>
              <w:fldChar w:fldCharType="separate"/>
            </w:r>
            <w:r w:rsidR="007B05F8">
              <w:rPr>
                <w:webHidden/>
              </w:rPr>
              <w:t>38</w:t>
            </w:r>
            <w:r w:rsidR="00C175CC">
              <w:rPr>
                <w:webHidden/>
              </w:rPr>
              <w:fldChar w:fldCharType="end"/>
            </w:r>
          </w:hyperlink>
        </w:p>
        <w:p w14:paraId="37856361" w14:textId="7D13CEB9"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64" w:history="1">
            <w:r w:rsidR="00C175CC" w:rsidRPr="00D20FD1">
              <w:rPr>
                <w:rStyle w:val="Hyperlink"/>
              </w:rPr>
              <w:t>Chapter 2: Defining ‘clean energy’</w:t>
            </w:r>
            <w:r w:rsidR="00C175CC">
              <w:rPr>
                <w:webHidden/>
              </w:rPr>
              <w:tab/>
            </w:r>
            <w:r w:rsidR="00C175CC">
              <w:rPr>
                <w:webHidden/>
              </w:rPr>
              <w:fldChar w:fldCharType="begin"/>
            </w:r>
            <w:r w:rsidR="00C175CC">
              <w:rPr>
                <w:webHidden/>
              </w:rPr>
              <w:instrText xml:space="preserve"> PAGEREF _Toc146892664 \h </w:instrText>
            </w:r>
            <w:r w:rsidR="00C175CC">
              <w:rPr>
                <w:webHidden/>
              </w:rPr>
            </w:r>
            <w:r w:rsidR="00C175CC">
              <w:rPr>
                <w:webHidden/>
              </w:rPr>
              <w:fldChar w:fldCharType="separate"/>
            </w:r>
            <w:r w:rsidR="007B05F8">
              <w:rPr>
                <w:webHidden/>
              </w:rPr>
              <w:t>41</w:t>
            </w:r>
            <w:r w:rsidR="00C175CC">
              <w:rPr>
                <w:webHidden/>
              </w:rPr>
              <w:fldChar w:fldCharType="end"/>
            </w:r>
          </w:hyperlink>
        </w:p>
        <w:p w14:paraId="13425D01" w14:textId="07687EB2" w:rsidR="00C175CC" w:rsidRDefault="009C12D4">
          <w:pPr>
            <w:pStyle w:val="TOC2"/>
            <w:rPr>
              <w:rFonts w:asciiTheme="minorHAnsi" w:eastAsiaTheme="minorEastAsia" w:hAnsiTheme="minorHAnsi"/>
              <w:color w:val="auto"/>
              <w:kern w:val="2"/>
              <w:lang w:eastAsia="en-AU"/>
              <w14:ligatures w14:val="standardContextual"/>
            </w:rPr>
          </w:pPr>
          <w:hyperlink w:anchor="_Toc146892665" w:history="1">
            <w:r w:rsidR="00C175CC" w:rsidRPr="00D20FD1">
              <w:rPr>
                <w:rStyle w:val="Hyperlink"/>
              </w:rPr>
              <w:t>2</w:t>
            </w:r>
            <w:r w:rsidR="00C175CC" w:rsidRPr="00D20FD1">
              <w:rPr>
                <w:rStyle w:val="Hyperlink"/>
                <w:smallCaps/>
              </w:rPr>
              <w:t>a</w:t>
            </w:r>
            <w:r w:rsidR="00C175CC" w:rsidRPr="00D20FD1">
              <w:rPr>
                <w:rStyle w:val="Hyperlink"/>
              </w:rPr>
              <w:t xml:space="preserve">. </w:t>
            </w:r>
            <w:r w:rsidR="00C175CC" w:rsidRPr="00D20FD1">
              <w:rPr>
                <w:rStyle w:val="Hyperlink"/>
                <w:bCs/>
              </w:rPr>
              <w:t>Our definition</w:t>
            </w:r>
            <w:r w:rsidR="00C175CC">
              <w:rPr>
                <w:webHidden/>
              </w:rPr>
              <w:tab/>
            </w:r>
            <w:r w:rsidR="00C175CC">
              <w:rPr>
                <w:webHidden/>
              </w:rPr>
              <w:fldChar w:fldCharType="begin"/>
            </w:r>
            <w:r w:rsidR="00C175CC">
              <w:rPr>
                <w:webHidden/>
              </w:rPr>
              <w:instrText xml:space="preserve"> PAGEREF _Toc146892665 \h </w:instrText>
            </w:r>
            <w:r w:rsidR="00C175CC">
              <w:rPr>
                <w:webHidden/>
              </w:rPr>
            </w:r>
            <w:r w:rsidR="00C175CC">
              <w:rPr>
                <w:webHidden/>
              </w:rPr>
              <w:fldChar w:fldCharType="separate"/>
            </w:r>
            <w:r w:rsidR="007B05F8">
              <w:rPr>
                <w:webHidden/>
              </w:rPr>
              <w:t>42</w:t>
            </w:r>
            <w:r w:rsidR="00C175CC">
              <w:rPr>
                <w:webHidden/>
              </w:rPr>
              <w:fldChar w:fldCharType="end"/>
            </w:r>
          </w:hyperlink>
        </w:p>
        <w:p w14:paraId="73F69DE4" w14:textId="479191AF" w:rsidR="00C175CC" w:rsidRDefault="009C12D4">
          <w:pPr>
            <w:pStyle w:val="TOC2"/>
            <w:rPr>
              <w:rFonts w:asciiTheme="minorHAnsi" w:eastAsiaTheme="minorEastAsia" w:hAnsiTheme="minorHAnsi"/>
              <w:color w:val="auto"/>
              <w:kern w:val="2"/>
              <w:lang w:eastAsia="en-AU"/>
              <w14:ligatures w14:val="standardContextual"/>
            </w:rPr>
          </w:pPr>
          <w:hyperlink w:anchor="_Toc146892666" w:history="1">
            <w:r w:rsidR="00C175CC" w:rsidRPr="00D20FD1">
              <w:rPr>
                <w:rStyle w:val="Hyperlink"/>
                <w14:numForm w14:val="lining"/>
                <w14:numSpacing w14:val="proportional"/>
              </w:rPr>
              <w:t>2</w:t>
            </w:r>
            <w:r w:rsidR="00C175CC" w:rsidRPr="00D20FD1">
              <w:rPr>
                <w:rStyle w:val="Hyperlink"/>
                <w:smallCaps/>
                <w14:numForm w14:val="lining"/>
                <w14:numSpacing w14:val="proportional"/>
              </w:rPr>
              <w:t>b</w:t>
            </w:r>
            <w:r w:rsidR="00C175CC" w:rsidRPr="00D20FD1">
              <w:rPr>
                <w:rStyle w:val="Hyperlink"/>
                <w14:numForm w14:val="lining"/>
                <w14:numSpacing w14:val="proportional"/>
              </w:rPr>
              <w:t>.</w:t>
            </w:r>
            <w:r w:rsidR="00C175CC" w:rsidRPr="00D20FD1">
              <w:rPr>
                <w:rStyle w:val="Hyperlink"/>
              </w:rPr>
              <w:t xml:space="preserve"> </w:t>
            </w:r>
            <w:r w:rsidR="00C175CC" w:rsidRPr="00D20FD1">
              <w:rPr>
                <w:rStyle w:val="Hyperlink"/>
                <w:bCs/>
              </w:rPr>
              <w:t>Industries</w:t>
            </w:r>
            <w:r w:rsidR="00C175CC">
              <w:rPr>
                <w:webHidden/>
              </w:rPr>
              <w:tab/>
            </w:r>
            <w:r w:rsidR="00C175CC">
              <w:rPr>
                <w:webHidden/>
              </w:rPr>
              <w:fldChar w:fldCharType="begin"/>
            </w:r>
            <w:r w:rsidR="00C175CC">
              <w:rPr>
                <w:webHidden/>
              </w:rPr>
              <w:instrText xml:space="preserve"> PAGEREF _Toc146892666 \h </w:instrText>
            </w:r>
            <w:r w:rsidR="00C175CC">
              <w:rPr>
                <w:webHidden/>
              </w:rPr>
            </w:r>
            <w:r w:rsidR="00C175CC">
              <w:rPr>
                <w:webHidden/>
              </w:rPr>
              <w:fldChar w:fldCharType="separate"/>
            </w:r>
            <w:r w:rsidR="007B05F8">
              <w:rPr>
                <w:webHidden/>
              </w:rPr>
              <w:t>44</w:t>
            </w:r>
            <w:r w:rsidR="00C175CC">
              <w:rPr>
                <w:webHidden/>
              </w:rPr>
              <w:fldChar w:fldCharType="end"/>
            </w:r>
          </w:hyperlink>
        </w:p>
        <w:p w14:paraId="57142C50" w14:textId="1BEBC607" w:rsidR="00C175CC" w:rsidRDefault="009C12D4">
          <w:pPr>
            <w:pStyle w:val="TOC2"/>
            <w:rPr>
              <w:rFonts w:asciiTheme="minorHAnsi" w:eastAsiaTheme="minorEastAsia" w:hAnsiTheme="minorHAnsi"/>
              <w:color w:val="auto"/>
              <w:kern w:val="2"/>
              <w:lang w:eastAsia="en-AU"/>
              <w14:ligatures w14:val="standardContextual"/>
            </w:rPr>
          </w:pPr>
          <w:hyperlink w:anchor="_Toc146892667" w:history="1">
            <w:r w:rsidR="00C175CC" w:rsidRPr="00D20FD1">
              <w:rPr>
                <w:rStyle w:val="Hyperlink"/>
                <w:rFonts w:asciiTheme="majorHAnsi" w:hAnsiTheme="majorHAnsi" w:cstheme="majorHAnsi"/>
              </w:rPr>
              <w:t>2</w:t>
            </w:r>
            <w:r w:rsidR="00C175CC" w:rsidRPr="00D20FD1">
              <w:rPr>
                <w:rStyle w:val="Hyperlink"/>
                <w:rFonts w:asciiTheme="majorHAnsi" w:hAnsiTheme="majorHAnsi" w:cstheme="majorHAnsi"/>
                <w:smallCaps/>
              </w:rPr>
              <w:t>c</w:t>
            </w:r>
            <w:r w:rsidR="00C175CC" w:rsidRPr="00D20FD1">
              <w:rPr>
                <w:rStyle w:val="Hyperlink"/>
                <w:rFonts w:asciiTheme="majorHAnsi" w:hAnsiTheme="majorHAnsi" w:cstheme="majorHAnsi"/>
              </w:rPr>
              <w:t>.</w:t>
            </w:r>
            <w:r w:rsidR="00C175CC" w:rsidRPr="00D20FD1">
              <w:rPr>
                <w:rStyle w:val="Hyperlink"/>
                <w:bCs/>
              </w:rPr>
              <w:t xml:space="preserve"> Critical occupations</w:t>
            </w:r>
            <w:r w:rsidR="00C175CC">
              <w:rPr>
                <w:webHidden/>
              </w:rPr>
              <w:tab/>
            </w:r>
            <w:r w:rsidR="00C175CC">
              <w:rPr>
                <w:webHidden/>
              </w:rPr>
              <w:fldChar w:fldCharType="begin"/>
            </w:r>
            <w:r w:rsidR="00C175CC">
              <w:rPr>
                <w:webHidden/>
              </w:rPr>
              <w:instrText xml:space="preserve"> PAGEREF _Toc146892667 \h </w:instrText>
            </w:r>
            <w:r w:rsidR="00C175CC">
              <w:rPr>
                <w:webHidden/>
              </w:rPr>
            </w:r>
            <w:r w:rsidR="00C175CC">
              <w:rPr>
                <w:webHidden/>
              </w:rPr>
              <w:fldChar w:fldCharType="separate"/>
            </w:r>
            <w:r w:rsidR="007B05F8">
              <w:rPr>
                <w:webHidden/>
              </w:rPr>
              <w:t>57</w:t>
            </w:r>
            <w:r w:rsidR="00C175CC">
              <w:rPr>
                <w:webHidden/>
              </w:rPr>
              <w:fldChar w:fldCharType="end"/>
            </w:r>
          </w:hyperlink>
        </w:p>
        <w:p w14:paraId="3BF4D5E6" w14:textId="358491B1" w:rsidR="00C175CC" w:rsidRDefault="009C12D4">
          <w:pPr>
            <w:pStyle w:val="TOC2"/>
            <w:rPr>
              <w:rFonts w:asciiTheme="minorHAnsi" w:eastAsiaTheme="minorEastAsia" w:hAnsiTheme="minorHAnsi"/>
              <w:color w:val="auto"/>
              <w:kern w:val="2"/>
              <w:lang w:eastAsia="en-AU"/>
              <w14:ligatures w14:val="standardContextual"/>
            </w:rPr>
          </w:pPr>
          <w:hyperlink w:anchor="_Toc146892668" w:history="1">
            <w:r w:rsidR="00C175CC" w:rsidRPr="00D20FD1">
              <w:rPr>
                <w:rStyle w:val="Hyperlink"/>
                <w:rFonts w:cstheme="minorHAnsi"/>
              </w:rPr>
              <w:t>2</w:t>
            </w:r>
            <w:r w:rsidR="00C175CC" w:rsidRPr="00D20FD1">
              <w:rPr>
                <w:rStyle w:val="Hyperlink"/>
                <w:rFonts w:cstheme="minorHAnsi"/>
                <w:smallCaps/>
              </w:rPr>
              <w:t>d</w:t>
            </w:r>
            <w:r w:rsidR="00C175CC" w:rsidRPr="00D20FD1">
              <w:rPr>
                <w:rStyle w:val="Hyperlink"/>
                <w:rFonts w:cstheme="minorHAnsi"/>
              </w:rPr>
              <w:t>.</w:t>
            </w:r>
            <w:r w:rsidR="00C175CC" w:rsidRPr="00D20FD1">
              <w:rPr>
                <w:rStyle w:val="Hyperlink"/>
              </w:rPr>
              <w:t xml:space="preserve"> </w:t>
            </w:r>
            <w:r w:rsidR="00C175CC" w:rsidRPr="00D20FD1">
              <w:rPr>
                <w:rStyle w:val="Hyperlink"/>
                <w:bCs/>
              </w:rPr>
              <w:t>Data limitations</w:t>
            </w:r>
            <w:r w:rsidR="00C175CC">
              <w:rPr>
                <w:webHidden/>
              </w:rPr>
              <w:tab/>
            </w:r>
            <w:r w:rsidR="00C175CC">
              <w:rPr>
                <w:webHidden/>
              </w:rPr>
              <w:fldChar w:fldCharType="begin"/>
            </w:r>
            <w:r w:rsidR="00C175CC">
              <w:rPr>
                <w:webHidden/>
              </w:rPr>
              <w:instrText xml:space="preserve"> PAGEREF _Toc146892668 \h </w:instrText>
            </w:r>
            <w:r w:rsidR="00C175CC">
              <w:rPr>
                <w:webHidden/>
              </w:rPr>
            </w:r>
            <w:r w:rsidR="00C175CC">
              <w:rPr>
                <w:webHidden/>
              </w:rPr>
              <w:fldChar w:fldCharType="separate"/>
            </w:r>
            <w:r w:rsidR="007B05F8">
              <w:rPr>
                <w:webHidden/>
              </w:rPr>
              <w:t>63</w:t>
            </w:r>
            <w:r w:rsidR="00C175CC">
              <w:rPr>
                <w:webHidden/>
              </w:rPr>
              <w:fldChar w:fldCharType="end"/>
            </w:r>
          </w:hyperlink>
        </w:p>
        <w:p w14:paraId="3ABEB46B" w14:textId="5FBDDE0C"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69" w:history="1">
            <w:r w:rsidR="00C175CC" w:rsidRPr="00D20FD1">
              <w:rPr>
                <w:rStyle w:val="Hyperlink"/>
              </w:rPr>
              <w:t xml:space="preserve">Chapter </w:t>
            </w:r>
            <w:r w:rsidR="00C175CC" w:rsidRPr="00D20FD1">
              <w:rPr>
                <w:rStyle w:val="Hyperlink"/>
                <w:spacing w:val="-5"/>
              </w:rPr>
              <w:t xml:space="preserve">3: </w:t>
            </w:r>
            <w:r w:rsidR="00C175CC" w:rsidRPr="00D20FD1">
              <w:rPr>
                <w:rStyle w:val="Hyperlink"/>
              </w:rPr>
              <w:t>The</w:t>
            </w:r>
            <w:r w:rsidR="00C175CC" w:rsidRPr="00D20FD1">
              <w:rPr>
                <w:rStyle w:val="Hyperlink"/>
                <w:spacing w:val="-34"/>
              </w:rPr>
              <w:t xml:space="preserve"> </w:t>
            </w:r>
            <w:r w:rsidR="00C175CC" w:rsidRPr="00D20FD1">
              <w:rPr>
                <w:rStyle w:val="Hyperlink"/>
              </w:rPr>
              <w:t xml:space="preserve">current </w:t>
            </w:r>
            <w:r w:rsidR="00C175CC" w:rsidRPr="00D20FD1">
              <w:rPr>
                <w:rStyle w:val="Hyperlink"/>
                <w:spacing w:val="-2"/>
              </w:rPr>
              <w:t>workforce</w:t>
            </w:r>
            <w:r w:rsidR="00C175CC">
              <w:rPr>
                <w:webHidden/>
              </w:rPr>
              <w:tab/>
            </w:r>
            <w:r w:rsidR="00C175CC">
              <w:rPr>
                <w:webHidden/>
              </w:rPr>
              <w:fldChar w:fldCharType="begin"/>
            </w:r>
            <w:r w:rsidR="00C175CC">
              <w:rPr>
                <w:webHidden/>
              </w:rPr>
              <w:instrText xml:space="preserve"> PAGEREF _Toc146892669 \h </w:instrText>
            </w:r>
            <w:r w:rsidR="00C175CC">
              <w:rPr>
                <w:webHidden/>
              </w:rPr>
            </w:r>
            <w:r w:rsidR="00C175CC">
              <w:rPr>
                <w:webHidden/>
              </w:rPr>
              <w:fldChar w:fldCharType="separate"/>
            </w:r>
            <w:r w:rsidR="007B05F8">
              <w:rPr>
                <w:webHidden/>
              </w:rPr>
              <w:t>64</w:t>
            </w:r>
            <w:r w:rsidR="00C175CC">
              <w:rPr>
                <w:webHidden/>
              </w:rPr>
              <w:fldChar w:fldCharType="end"/>
            </w:r>
          </w:hyperlink>
        </w:p>
        <w:p w14:paraId="411C3ADF" w14:textId="199374B7" w:rsidR="00C175CC" w:rsidRDefault="009C12D4">
          <w:pPr>
            <w:pStyle w:val="TOC2"/>
            <w:rPr>
              <w:rFonts w:asciiTheme="minorHAnsi" w:eastAsiaTheme="minorEastAsia" w:hAnsiTheme="minorHAnsi"/>
              <w:color w:val="auto"/>
              <w:kern w:val="2"/>
              <w:lang w:eastAsia="en-AU"/>
              <w14:ligatures w14:val="standardContextual"/>
            </w:rPr>
          </w:pPr>
          <w:hyperlink w:anchor="_Toc146892670" w:history="1">
            <w:r w:rsidR="00C175CC" w:rsidRPr="00D20FD1">
              <w:rPr>
                <w:rStyle w:val="Hyperlink"/>
              </w:rPr>
              <w:t>Introduction</w:t>
            </w:r>
            <w:r w:rsidR="00C175CC">
              <w:rPr>
                <w:webHidden/>
              </w:rPr>
              <w:tab/>
            </w:r>
            <w:r w:rsidR="00C175CC">
              <w:rPr>
                <w:webHidden/>
              </w:rPr>
              <w:fldChar w:fldCharType="begin"/>
            </w:r>
            <w:r w:rsidR="00C175CC">
              <w:rPr>
                <w:webHidden/>
              </w:rPr>
              <w:instrText xml:space="preserve"> PAGEREF _Toc146892670 \h </w:instrText>
            </w:r>
            <w:r w:rsidR="00C175CC">
              <w:rPr>
                <w:webHidden/>
              </w:rPr>
            </w:r>
            <w:r w:rsidR="00C175CC">
              <w:rPr>
                <w:webHidden/>
              </w:rPr>
              <w:fldChar w:fldCharType="separate"/>
            </w:r>
            <w:r w:rsidR="007B05F8">
              <w:rPr>
                <w:webHidden/>
              </w:rPr>
              <w:t>65</w:t>
            </w:r>
            <w:r w:rsidR="00C175CC">
              <w:rPr>
                <w:webHidden/>
              </w:rPr>
              <w:fldChar w:fldCharType="end"/>
            </w:r>
          </w:hyperlink>
        </w:p>
        <w:p w14:paraId="730B5A38" w14:textId="6DA2FED3" w:rsidR="00C175CC" w:rsidRDefault="009C12D4">
          <w:pPr>
            <w:pStyle w:val="TOC2"/>
            <w:rPr>
              <w:rFonts w:asciiTheme="minorHAnsi" w:eastAsiaTheme="minorEastAsia" w:hAnsiTheme="minorHAnsi"/>
              <w:color w:val="auto"/>
              <w:kern w:val="2"/>
              <w:lang w:eastAsia="en-AU"/>
              <w14:ligatures w14:val="standardContextual"/>
            </w:rPr>
          </w:pPr>
          <w:hyperlink w:anchor="_Toc146892671" w:history="1">
            <w:r w:rsidR="00C175CC" w:rsidRPr="00D20FD1">
              <w:rPr>
                <w:rStyle w:val="Hyperlink"/>
                <w:rFonts w:cstheme="minorHAnsi"/>
              </w:rPr>
              <w:t>3</w:t>
            </w:r>
            <w:r w:rsidR="00C175CC" w:rsidRPr="00D20FD1">
              <w:rPr>
                <w:rStyle w:val="Hyperlink"/>
                <w:rFonts w:cstheme="minorHAnsi"/>
                <w:smallCaps/>
              </w:rPr>
              <w:t>a</w:t>
            </w:r>
            <w:r w:rsidR="00C175CC" w:rsidRPr="00D20FD1">
              <w:rPr>
                <w:rStyle w:val="Hyperlink"/>
                <w:rFonts w:cstheme="minorHAnsi"/>
              </w:rPr>
              <w:t>.</w:t>
            </w:r>
            <w:r w:rsidR="00C175CC" w:rsidRPr="00D20FD1">
              <w:rPr>
                <w:rStyle w:val="Hyperlink"/>
              </w:rPr>
              <w:t xml:space="preserve"> Worker characteristics</w:t>
            </w:r>
            <w:r w:rsidR="00C175CC">
              <w:rPr>
                <w:webHidden/>
              </w:rPr>
              <w:tab/>
            </w:r>
            <w:r w:rsidR="00C175CC">
              <w:rPr>
                <w:webHidden/>
              </w:rPr>
              <w:fldChar w:fldCharType="begin"/>
            </w:r>
            <w:r w:rsidR="00C175CC">
              <w:rPr>
                <w:webHidden/>
              </w:rPr>
              <w:instrText xml:space="preserve"> PAGEREF _Toc146892671 \h </w:instrText>
            </w:r>
            <w:r w:rsidR="00C175CC">
              <w:rPr>
                <w:webHidden/>
              </w:rPr>
            </w:r>
            <w:r w:rsidR="00C175CC">
              <w:rPr>
                <w:webHidden/>
              </w:rPr>
              <w:fldChar w:fldCharType="separate"/>
            </w:r>
            <w:r w:rsidR="007B05F8">
              <w:rPr>
                <w:webHidden/>
              </w:rPr>
              <w:t>66</w:t>
            </w:r>
            <w:r w:rsidR="00C175CC">
              <w:rPr>
                <w:webHidden/>
              </w:rPr>
              <w:fldChar w:fldCharType="end"/>
            </w:r>
          </w:hyperlink>
        </w:p>
        <w:p w14:paraId="1591150D" w14:textId="04A18AF8" w:rsidR="00C175CC" w:rsidRDefault="009C12D4">
          <w:pPr>
            <w:pStyle w:val="TOC2"/>
            <w:rPr>
              <w:rFonts w:asciiTheme="minorHAnsi" w:eastAsiaTheme="minorEastAsia" w:hAnsiTheme="minorHAnsi"/>
              <w:color w:val="auto"/>
              <w:kern w:val="2"/>
              <w:lang w:eastAsia="en-AU"/>
              <w14:ligatures w14:val="standardContextual"/>
            </w:rPr>
          </w:pPr>
          <w:hyperlink w:anchor="_Toc146892672" w:history="1">
            <w:r w:rsidR="00C175CC" w:rsidRPr="00D20FD1">
              <w:rPr>
                <w:rStyle w:val="Hyperlink"/>
                <w:rFonts w:cstheme="minorHAnsi"/>
              </w:rPr>
              <w:t>3</w:t>
            </w:r>
            <w:r w:rsidR="00C175CC" w:rsidRPr="00D20FD1">
              <w:rPr>
                <w:rStyle w:val="Hyperlink"/>
                <w:rFonts w:cstheme="minorHAnsi"/>
                <w:smallCaps/>
              </w:rPr>
              <w:t>b</w:t>
            </w:r>
            <w:r w:rsidR="00C175CC" w:rsidRPr="00D20FD1">
              <w:rPr>
                <w:rStyle w:val="Hyperlink"/>
                <w:rFonts w:cstheme="minorHAnsi"/>
              </w:rPr>
              <w:t>.</w:t>
            </w:r>
            <w:r w:rsidR="00C175CC" w:rsidRPr="00D20FD1">
              <w:rPr>
                <w:rStyle w:val="Hyperlink"/>
              </w:rPr>
              <w:t xml:space="preserve"> </w:t>
            </w:r>
            <w:r w:rsidR="00C175CC" w:rsidRPr="00D20FD1">
              <w:rPr>
                <w:rStyle w:val="Hyperlink"/>
                <w:bCs/>
              </w:rPr>
              <w:t>Firm characteristics</w:t>
            </w:r>
            <w:r w:rsidR="00C175CC">
              <w:rPr>
                <w:webHidden/>
              </w:rPr>
              <w:tab/>
            </w:r>
            <w:r w:rsidR="00C175CC">
              <w:rPr>
                <w:webHidden/>
              </w:rPr>
              <w:fldChar w:fldCharType="begin"/>
            </w:r>
            <w:r w:rsidR="00C175CC">
              <w:rPr>
                <w:webHidden/>
              </w:rPr>
              <w:instrText xml:space="preserve"> PAGEREF _Toc146892672 \h </w:instrText>
            </w:r>
            <w:r w:rsidR="00C175CC">
              <w:rPr>
                <w:webHidden/>
              </w:rPr>
            </w:r>
            <w:r w:rsidR="00C175CC">
              <w:rPr>
                <w:webHidden/>
              </w:rPr>
              <w:fldChar w:fldCharType="separate"/>
            </w:r>
            <w:r w:rsidR="007B05F8">
              <w:rPr>
                <w:webHidden/>
              </w:rPr>
              <w:t>86</w:t>
            </w:r>
            <w:r w:rsidR="00C175CC">
              <w:rPr>
                <w:webHidden/>
              </w:rPr>
              <w:fldChar w:fldCharType="end"/>
            </w:r>
          </w:hyperlink>
        </w:p>
        <w:p w14:paraId="79E14D30" w14:textId="3BE296F3"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73" w:history="1">
            <w:r w:rsidR="00C175CC" w:rsidRPr="00D20FD1">
              <w:rPr>
                <w:rStyle w:val="Hyperlink"/>
              </w:rPr>
              <w:t xml:space="preserve">Chapter </w:t>
            </w:r>
            <w:r w:rsidR="00C175CC" w:rsidRPr="00D20FD1">
              <w:rPr>
                <w:rStyle w:val="Hyperlink"/>
                <w:spacing w:val="-5"/>
              </w:rPr>
              <w:t xml:space="preserve">4: </w:t>
            </w:r>
            <w:r w:rsidR="00C175CC" w:rsidRPr="00D20FD1">
              <w:rPr>
                <w:rStyle w:val="Hyperlink"/>
              </w:rPr>
              <w:t xml:space="preserve">Workforce </w:t>
            </w:r>
            <w:r w:rsidR="00C175CC" w:rsidRPr="00D20FD1">
              <w:rPr>
                <w:rStyle w:val="Hyperlink"/>
                <w:spacing w:val="-2"/>
              </w:rPr>
              <w:t>pathways</w:t>
            </w:r>
            <w:r w:rsidR="00C175CC">
              <w:rPr>
                <w:webHidden/>
              </w:rPr>
              <w:tab/>
            </w:r>
            <w:r w:rsidR="00C175CC">
              <w:rPr>
                <w:webHidden/>
              </w:rPr>
              <w:fldChar w:fldCharType="begin"/>
            </w:r>
            <w:r w:rsidR="00C175CC">
              <w:rPr>
                <w:webHidden/>
              </w:rPr>
              <w:instrText xml:space="preserve"> PAGEREF _Toc146892673 \h </w:instrText>
            </w:r>
            <w:r w:rsidR="00C175CC">
              <w:rPr>
                <w:webHidden/>
              </w:rPr>
            </w:r>
            <w:r w:rsidR="00C175CC">
              <w:rPr>
                <w:webHidden/>
              </w:rPr>
              <w:fldChar w:fldCharType="separate"/>
            </w:r>
            <w:r w:rsidR="007B05F8">
              <w:rPr>
                <w:webHidden/>
              </w:rPr>
              <w:t>101</w:t>
            </w:r>
            <w:r w:rsidR="00C175CC">
              <w:rPr>
                <w:webHidden/>
              </w:rPr>
              <w:fldChar w:fldCharType="end"/>
            </w:r>
          </w:hyperlink>
        </w:p>
        <w:p w14:paraId="535B36DA" w14:textId="0161C558" w:rsidR="00C175CC" w:rsidRDefault="009C12D4">
          <w:pPr>
            <w:pStyle w:val="TOC2"/>
            <w:rPr>
              <w:rFonts w:asciiTheme="minorHAnsi" w:eastAsiaTheme="minorEastAsia" w:hAnsiTheme="minorHAnsi"/>
              <w:color w:val="auto"/>
              <w:kern w:val="2"/>
              <w:lang w:eastAsia="en-AU"/>
              <w14:ligatures w14:val="standardContextual"/>
            </w:rPr>
          </w:pPr>
          <w:hyperlink w:anchor="_Toc146892674"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a</w:t>
            </w:r>
            <w:r w:rsidR="00C175CC" w:rsidRPr="00D20FD1">
              <w:rPr>
                <w:rStyle w:val="Hyperlink"/>
                <w:rFonts w:asciiTheme="majorHAnsi" w:hAnsiTheme="majorHAnsi" w:cstheme="majorHAnsi"/>
              </w:rPr>
              <w:t>.</w:t>
            </w:r>
            <w:r w:rsidR="00C175CC" w:rsidRPr="00D20FD1">
              <w:rPr>
                <w:rStyle w:val="Hyperlink"/>
              </w:rPr>
              <w:t xml:space="preserve"> </w:t>
            </w:r>
            <w:r w:rsidR="00C175CC" w:rsidRPr="00D20FD1">
              <w:rPr>
                <w:rStyle w:val="Hyperlink"/>
                <w:bCs/>
              </w:rPr>
              <w:t>The pathways</w:t>
            </w:r>
            <w:r w:rsidR="00C175CC">
              <w:rPr>
                <w:webHidden/>
              </w:rPr>
              <w:tab/>
            </w:r>
            <w:r w:rsidR="00C175CC">
              <w:rPr>
                <w:webHidden/>
              </w:rPr>
              <w:fldChar w:fldCharType="begin"/>
            </w:r>
            <w:r w:rsidR="00C175CC">
              <w:rPr>
                <w:webHidden/>
              </w:rPr>
              <w:instrText xml:space="preserve"> PAGEREF _Toc146892674 \h </w:instrText>
            </w:r>
            <w:r w:rsidR="00C175CC">
              <w:rPr>
                <w:webHidden/>
              </w:rPr>
            </w:r>
            <w:r w:rsidR="00C175CC">
              <w:rPr>
                <w:webHidden/>
              </w:rPr>
              <w:fldChar w:fldCharType="separate"/>
            </w:r>
            <w:r w:rsidR="007B05F8">
              <w:rPr>
                <w:webHidden/>
              </w:rPr>
              <w:t>102</w:t>
            </w:r>
            <w:r w:rsidR="00C175CC">
              <w:rPr>
                <w:webHidden/>
              </w:rPr>
              <w:fldChar w:fldCharType="end"/>
            </w:r>
          </w:hyperlink>
        </w:p>
        <w:p w14:paraId="6D543251" w14:textId="0BB97C17" w:rsidR="00C175CC" w:rsidRDefault="009C12D4">
          <w:pPr>
            <w:pStyle w:val="TOC2"/>
            <w:rPr>
              <w:rFonts w:asciiTheme="minorHAnsi" w:eastAsiaTheme="minorEastAsia" w:hAnsiTheme="minorHAnsi"/>
              <w:color w:val="auto"/>
              <w:kern w:val="2"/>
              <w:lang w:eastAsia="en-AU"/>
              <w14:ligatures w14:val="standardContextual"/>
            </w:rPr>
          </w:pPr>
          <w:hyperlink w:anchor="_Toc146892675"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b</w:t>
            </w:r>
            <w:r w:rsidR="00C175CC" w:rsidRPr="00D20FD1">
              <w:rPr>
                <w:rStyle w:val="Hyperlink"/>
                <w:rFonts w:asciiTheme="majorHAnsi" w:hAnsiTheme="majorHAnsi" w:cstheme="majorHAnsi"/>
              </w:rPr>
              <w:t>.</w:t>
            </w:r>
            <w:r w:rsidR="00C175CC" w:rsidRPr="00D20FD1">
              <w:rPr>
                <w:rStyle w:val="Hyperlink"/>
                <w:bCs/>
              </w:rPr>
              <w:t xml:space="preserve"> Education and training</w:t>
            </w:r>
            <w:r w:rsidR="00C175CC">
              <w:rPr>
                <w:webHidden/>
              </w:rPr>
              <w:tab/>
            </w:r>
            <w:r w:rsidR="00C175CC">
              <w:rPr>
                <w:webHidden/>
              </w:rPr>
              <w:fldChar w:fldCharType="begin"/>
            </w:r>
            <w:r w:rsidR="00C175CC">
              <w:rPr>
                <w:webHidden/>
              </w:rPr>
              <w:instrText xml:space="preserve"> PAGEREF _Toc146892675 \h </w:instrText>
            </w:r>
            <w:r w:rsidR="00C175CC">
              <w:rPr>
                <w:webHidden/>
              </w:rPr>
            </w:r>
            <w:r w:rsidR="00C175CC">
              <w:rPr>
                <w:webHidden/>
              </w:rPr>
              <w:fldChar w:fldCharType="separate"/>
            </w:r>
            <w:r w:rsidR="007B05F8">
              <w:rPr>
                <w:webHidden/>
              </w:rPr>
              <w:t>103</w:t>
            </w:r>
            <w:r w:rsidR="00C175CC">
              <w:rPr>
                <w:webHidden/>
              </w:rPr>
              <w:fldChar w:fldCharType="end"/>
            </w:r>
          </w:hyperlink>
        </w:p>
        <w:p w14:paraId="521B478F" w14:textId="7DB8257E" w:rsidR="00C175CC" w:rsidRDefault="009C12D4">
          <w:pPr>
            <w:pStyle w:val="TOC2"/>
            <w:rPr>
              <w:rFonts w:asciiTheme="minorHAnsi" w:eastAsiaTheme="minorEastAsia" w:hAnsiTheme="minorHAnsi"/>
              <w:color w:val="auto"/>
              <w:kern w:val="2"/>
              <w:lang w:eastAsia="en-AU"/>
              <w14:ligatures w14:val="standardContextual"/>
            </w:rPr>
          </w:pPr>
          <w:hyperlink w:anchor="_Toc146892676"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c.</w:t>
            </w:r>
            <w:r w:rsidR="00C175CC" w:rsidRPr="00D20FD1">
              <w:rPr>
                <w:rStyle w:val="Hyperlink"/>
              </w:rPr>
              <w:t xml:space="preserve"> </w:t>
            </w:r>
            <w:r w:rsidR="00C175CC" w:rsidRPr="00D20FD1">
              <w:rPr>
                <w:rStyle w:val="Hyperlink"/>
                <w:bCs/>
              </w:rPr>
              <w:t>Migration</w:t>
            </w:r>
            <w:r w:rsidR="00C175CC">
              <w:rPr>
                <w:webHidden/>
              </w:rPr>
              <w:tab/>
            </w:r>
            <w:r w:rsidR="00C175CC">
              <w:rPr>
                <w:webHidden/>
              </w:rPr>
              <w:fldChar w:fldCharType="begin"/>
            </w:r>
            <w:r w:rsidR="00C175CC">
              <w:rPr>
                <w:webHidden/>
              </w:rPr>
              <w:instrText xml:space="preserve"> PAGEREF _Toc146892676 \h </w:instrText>
            </w:r>
            <w:r w:rsidR="00C175CC">
              <w:rPr>
                <w:webHidden/>
              </w:rPr>
            </w:r>
            <w:r w:rsidR="00C175CC">
              <w:rPr>
                <w:webHidden/>
              </w:rPr>
              <w:fldChar w:fldCharType="separate"/>
            </w:r>
            <w:r w:rsidR="007B05F8">
              <w:rPr>
                <w:webHidden/>
              </w:rPr>
              <w:t>132</w:t>
            </w:r>
            <w:r w:rsidR="00C175CC">
              <w:rPr>
                <w:webHidden/>
              </w:rPr>
              <w:fldChar w:fldCharType="end"/>
            </w:r>
          </w:hyperlink>
        </w:p>
        <w:p w14:paraId="7B9515C8" w14:textId="750A72E1" w:rsidR="00C175CC" w:rsidRDefault="009C12D4">
          <w:pPr>
            <w:pStyle w:val="TOC2"/>
            <w:rPr>
              <w:rFonts w:asciiTheme="minorHAnsi" w:eastAsiaTheme="minorEastAsia" w:hAnsiTheme="minorHAnsi"/>
              <w:color w:val="auto"/>
              <w:kern w:val="2"/>
              <w:lang w:eastAsia="en-AU"/>
              <w14:ligatures w14:val="standardContextual"/>
            </w:rPr>
          </w:pPr>
          <w:hyperlink w:anchor="_Toc146892677" w:history="1">
            <w:r w:rsidR="00C175CC" w:rsidRPr="00D20FD1">
              <w:rPr>
                <w:rStyle w:val="Hyperlink"/>
                <w:rFonts w:asciiTheme="majorHAnsi" w:hAnsiTheme="majorHAnsi" w:cstheme="majorHAnsi"/>
              </w:rPr>
              <w:t>4</w:t>
            </w:r>
            <w:r w:rsidR="00C175CC" w:rsidRPr="00D20FD1">
              <w:rPr>
                <w:rStyle w:val="Hyperlink"/>
                <w:rFonts w:asciiTheme="majorHAnsi" w:hAnsiTheme="majorHAnsi" w:cstheme="majorHAnsi"/>
                <w:smallCaps/>
              </w:rPr>
              <w:t>d</w:t>
            </w:r>
            <w:r w:rsidR="00C175CC" w:rsidRPr="00D20FD1">
              <w:rPr>
                <w:rStyle w:val="Hyperlink"/>
                <w:rFonts w:asciiTheme="majorHAnsi" w:hAnsiTheme="majorHAnsi" w:cstheme="majorHAnsi"/>
              </w:rPr>
              <w:t>.</w:t>
            </w:r>
            <w:r w:rsidR="00C175CC" w:rsidRPr="00D20FD1">
              <w:rPr>
                <w:rStyle w:val="Hyperlink"/>
              </w:rPr>
              <w:t xml:space="preserve"> </w:t>
            </w:r>
            <w:r w:rsidR="00C175CC" w:rsidRPr="00D20FD1">
              <w:rPr>
                <w:rStyle w:val="Hyperlink"/>
                <w:bCs/>
              </w:rPr>
              <w:t>Workforce transitions</w:t>
            </w:r>
            <w:r w:rsidR="00C175CC">
              <w:rPr>
                <w:webHidden/>
              </w:rPr>
              <w:tab/>
            </w:r>
            <w:r w:rsidR="00C175CC">
              <w:rPr>
                <w:webHidden/>
              </w:rPr>
              <w:fldChar w:fldCharType="begin"/>
            </w:r>
            <w:r w:rsidR="00C175CC">
              <w:rPr>
                <w:webHidden/>
              </w:rPr>
              <w:instrText xml:space="preserve"> PAGEREF _Toc146892677 \h </w:instrText>
            </w:r>
            <w:r w:rsidR="00C175CC">
              <w:rPr>
                <w:webHidden/>
              </w:rPr>
            </w:r>
            <w:r w:rsidR="00C175CC">
              <w:rPr>
                <w:webHidden/>
              </w:rPr>
              <w:fldChar w:fldCharType="separate"/>
            </w:r>
            <w:r w:rsidR="007B05F8">
              <w:rPr>
                <w:webHidden/>
              </w:rPr>
              <w:t>137</w:t>
            </w:r>
            <w:r w:rsidR="00C175CC">
              <w:rPr>
                <w:webHidden/>
              </w:rPr>
              <w:fldChar w:fldCharType="end"/>
            </w:r>
          </w:hyperlink>
        </w:p>
        <w:p w14:paraId="21719BE2" w14:textId="0FBA3A07"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78" w:history="1">
            <w:r w:rsidR="00C175CC" w:rsidRPr="00D20FD1">
              <w:rPr>
                <w:rStyle w:val="Hyperlink"/>
              </w:rPr>
              <w:t>Chapter 5: Future states</w:t>
            </w:r>
            <w:r w:rsidR="00C175CC">
              <w:rPr>
                <w:webHidden/>
              </w:rPr>
              <w:tab/>
            </w:r>
            <w:r w:rsidR="00C175CC">
              <w:rPr>
                <w:webHidden/>
              </w:rPr>
              <w:fldChar w:fldCharType="begin"/>
            </w:r>
            <w:r w:rsidR="00C175CC">
              <w:rPr>
                <w:webHidden/>
              </w:rPr>
              <w:instrText xml:space="preserve"> PAGEREF _Toc146892678 \h </w:instrText>
            </w:r>
            <w:r w:rsidR="00C175CC">
              <w:rPr>
                <w:webHidden/>
              </w:rPr>
            </w:r>
            <w:r w:rsidR="00C175CC">
              <w:rPr>
                <w:webHidden/>
              </w:rPr>
              <w:fldChar w:fldCharType="separate"/>
            </w:r>
            <w:r w:rsidR="007B05F8">
              <w:rPr>
                <w:webHidden/>
              </w:rPr>
              <w:t>148</w:t>
            </w:r>
            <w:r w:rsidR="00C175CC">
              <w:rPr>
                <w:webHidden/>
              </w:rPr>
              <w:fldChar w:fldCharType="end"/>
            </w:r>
          </w:hyperlink>
        </w:p>
        <w:p w14:paraId="1E75FB41" w14:textId="17256984" w:rsidR="00C175CC" w:rsidRDefault="009C12D4">
          <w:pPr>
            <w:pStyle w:val="TOC2"/>
            <w:rPr>
              <w:rFonts w:asciiTheme="minorHAnsi" w:eastAsiaTheme="minorEastAsia" w:hAnsiTheme="minorHAnsi"/>
              <w:color w:val="auto"/>
              <w:kern w:val="2"/>
              <w:lang w:eastAsia="en-AU"/>
              <w14:ligatures w14:val="standardContextual"/>
            </w:rPr>
          </w:pPr>
          <w:hyperlink w:anchor="_Toc146892679" w:history="1">
            <w:r w:rsidR="00C175CC" w:rsidRPr="00D20FD1">
              <w:rPr>
                <w:rStyle w:val="Hyperlink"/>
              </w:rPr>
              <w:t>Introduction</w:t>
            </w:r>
            <w:r w:rsidR="00C175CC">
              <w:rPr>
                <w:webHidden/>
              </w:rPr>
              <w:tab/>
            </w:r>
            <w:r w:rsidR="00C175CC">
              <w:rPr>
                <w:webHidden/>
              </w:rPr>
              <w:fldChar w:fldCharType="begin"/>
            </w:r>
            <w:r w:rsidR="00C175CC">
              <w:rPr>
                <w:webHidden/>
              </w:rPr>
              <w:instrText xml:space="preserve"> PAGEREF _Toc146892679 \h </w:instrText>
            </w:r>
            <w:r w:rsidR="00C175CC">
              <w:rPr>
                <w:webHidden/>
              </w:rPr>
            </w:r>
            <w:r w:rsidR="00C175CC">
              <w:rPr>
                <w:webHidden/>
              </w:rPr>
              <w:fldChar w:fldCharType="separate"/>
            </w:r>
            <w:r w:rsidR="007B05F8">
              <w:rPr>
                <w:webHidden/>
              </w:rPr>
              <w:t>149</w:t>
            </w:r>
            <w:r w:rsidR="00C175CC">
              <w:rPr>
                <w:webHidden/>
              </w:rPr>
              <w:fldChar w:fldCharType="end"/>
            </w:r>
          </w:hyperlink>
        </w:p>
        <w:p w14:paraId="2F34B166" w14:textId="6A66A9C0" w:rsidR="00C175CC" w:rsidRDefault="009C12D4">
          <w:pPr>
            <w:pStyle w:val="TOC2"/>
            <w:rPr>
              <w:rFonts w:asciiTheme="minorHAnsi" w:eastAsiaTheme="minorEastAsia" w:hAnsiTheme="minorHAnsi"/>
              <w:color w:val="auto"/>
              <w:kern w:val="2"/>
              <w:lang w:eastAsia="en-AU"/>
              <w14:ligatures w14:val="standardContextual"/>
            </w:rPr>
          </w:pPr>
          <w:hyperlink w:anchor="_Toc146892680" w:history="1">
            <w:r w:rsidR="00C175CC" w:rsidRPr="00D20FD1">
              <w:rPr>
                <w:rStyle w:val="Hyperlink"/>
              </w:rPr>
              <w:t>5</w:t>
            </w:r>
            <w:r w:rsidR="00C175CC" w:rsidRPr="00D20FD1">
              <w:rPr>
                <w:rStyle w:val="Hyperlink"/>
                <w:rFonts w:ascii="Arial Bold" w:hAnsi="Arial Bold"/>
                <w:smallCaps/>
              </w:rPr>
              <w:t>a</w:t>
            </w:r>
            <w:r w:rsidR="00C175CC" w:rsidRPr="00D20FD1">
              <w:rPr>
                <w:rStyle w:val="Hyperlink"/>
              </w:rPr>
              <w:t xml:space="preserve">. </w:t>
            </w:r>
            <w:r w:rsidR="00C175CC" w:rsidRPr="00D20FD1">
              <w:rPr>
                <w:rStyle w:val="Hyperlink"/>
                <w:bCs/>
              </w:rPr>
              <w:t>The central and other scenarios</w:t>
            </w:r>
            <w:r w:rsidR="00C175CC">
              <w:rPr>
                <w:webHidden/>
              </w:rPr>
              <w:tab/>
            </w:r>
            <w:r w:rsidR="00C175CC">
              <w:rPr>
                <w:webHidden/>
              </w:rPr>
              <w:fldChar w:fldCharType="begin"/>
            </w:r>
            <w:r w:rsidR="00C175CC">
              <w:rPr>
                <w:webHidden/>
              </w:rPr>
              <w:instrText xml:space="preserve"> PAGEREF _Toc146892680 \h </w:instrText>
            </w:r>
            <w:r w:rsidR="00C175CC">
              <w:rPr>
                <w:webHidden/>
              </w:rPr>
            </w:r>
            <w:r w:rsidR="00C175CC">
              <w:rPr>
                <w:webHidden/>
              </w:rPr>
              <w:fldChar w:fldCharType="separate"/>
            </w:r>
            <w:r w:rsidR="007B05F8">
              <w:rPr>
                <w:webHidden/>
              </w:rPr>
              <w:t>151</w:t>
            </w:r>
            <w:r w:rsidR="00C175CC">
              <w:rPr>
                <w:webHidden/>
              </w:rPr>
              <w:fldChar w:fldCharType="end"/>
            </w:r>
          </w:hyperlink>
        </w:p>
        <w:p w14:paraId="13866628" w14:textId="17A2B3D6" w:rsidR="00C175CC" w:rsidRDefault="009C12D4">
          <w:pPr>
            <w:pStyle w:val="TOC2"/>
            <w:rPr>
              <w:rFonts w:asciiTheme="minorHAnsi" w:eastAsiaTheme="minorEastAsia" w:hAnsiTheme="minorHAnsi"/>
              <w:color w:val="auto"/>
              <w:kern w:val="2"/>
              <w:lang w:eastAsia="en-AU"/>
              <w14:ligatures w14:val="standardContextual"/>
            </w:rPr>
          </w:pPr>
          <w:hyperlink w:anchor="_Toc146892681" w:history="1">
            <w:r w:rsidR="00C175CC" w:rsidRPr="00D20FD1">
              <w:rPr>
                <w:rStyle w:val="Hyperlink"/>
              </w:rPr>
              <w:t>5</w:t>
            </w:r>
            <w:r w:rsidR="00C175CC" w:rsidRPr="00D20FD1">
              <w:rPr>
                <w:rStyle w:val="Hyperlink"/>
                <w:rFonts w:ascii="Arial Bold" w:hAnsi="Arial Bold"/>
                <w:smallCaps/>
              </w:rPr>
              <w:t>b.</w:t>
            </w:r>
            <w:r w:rsidR="00C175CC" w:rsidRPr="00D20FD1">
              <w:rPr>
                <w:rStyle w:val="Hyperlink"/>
              </w:rPr>
              <w:t xml:space="preserve"> </w:t>
            </w:r>
            <w:r w:rsidR="00C175CC" w:rsidRPr="00D20FD1">
              <w:rPr>
                <w:rStyle w:val="Hyperlink"/>
                <w:bCs/>
              </w:rPr>
              <w:t>Workforce demand</w:t>
            </w:r>
            <w:r w:rsidR="00C175CC">
              <w:rPr>
                <w:webHidden/>
              </w:rPr>
              <w:tab/>
            </w:r>
            <w:r w:rsidR="00C175CC">
              <w:rPr>
                <w:webHidden/>
              </w:rPr>
              <w:fldChar w:fldCharType="begin"/>
            </w:r>
            <w:r w:rsidR="00C175CC">
              <w:rPr>
                <w:webHidden/>
              </w:rPr>
              <w:instrText xml:space="preserve"> PAGEREF _Toc146892681 \h </w:instrText>
            </w:r>
            <w:r w:rsidR="00C175CC">
              <w:rPr>
                <w:webHidden/>
              </w:rPr>
            </w:r>
            <w:r w:rsidR="00C175CC">
              <w:rPr>
                <w:webHidden/>
              </w:rPr>
              <w:fldChar w:fldCharType="separate"/>
            </w:r>
            <w:r w:rsidR="007B05F8">
              <w:rPr>
                <w:webHidden/>
              </w:rPr>
              <w:t>156</w:t>
            </w:r>
            <w:r w:rsidR="00C175CC">
              <w:rPr>
                <w:webHidden/>
              </w:rPr>
              <w:fldChar w:fldCharType="end"/>
            </w:r>
          </w:hyperlink>
        </w:p>
        <w:p w14:paraId="2609C6AD" w14:textId="58CFD9C6" w:rsidR="00C175CC" w:rsidRDefault="009C12D4">
          <w:pPr>
            <w:pStyle w:val="TOC2"/>
            <w:rPr>
              <w:rFonts w:asciiTheme="minorHAnsi" w:eastAsiaTheme="minorEastAsia" w:hAnsiTheme="minorHAnsi"/>
              <w:color w:val="auto"/>
              <w:kern w:val="2"/>
              <w:lang w:eastAsia="en-AU"/>
              <w14:ligatures w14:val="standardContextual"/>
            </w:rPr>
          </w:pPr>
          <w:hyperlink w:anchor="_Toc146892682" w:history="1">
            <w:r w:rsidR="00C175CC" w:rsidRPr="00D20FD1">
              <w:rPr>
                <w:rStyle w:val="Hyperlink"/>
              </w:rPr>
              <w:t>5</w:t>
            </w:r>
            <w:r w:rsidR="00C175CC" w:rsidRPr="00D20FD1">
              <w:rPr>
                <w:rStyle w:val="Hyperlink"/>
                <w:rFonts w:ascii="Arial Bold" w:hAnsi="Arial Bold"/>
                <w:smallCaps/>
              </w:rPr>
              <w:t>c</w:t>
            </w:r>
            <w:r w:rsidR="00C175CC" w:rsidRPr="00D20FD1">
              <w:rPr>
                <w:rStyle w:val="Hyperlink"/>
              </w:rPr>
              <w:t xml:space="preserve">. </w:t>
            </w:r>
            <w:r w:rsidR="00C175CC" w:rsidRPr="00D20FD1">
              <w:rPr>
                <w:rStyle w:val="Hyperlink"/>
                <w:bCs/>
              </w:rPr>
              <w:t>Workforce supply and shortfalls</w:t>
            </w:r>
            <w:r w:rsidR="00C175CC">
              <w:rPr>
                <w:webHidden/>
              </w:rPr>
              <w:tab/>
            </w:r>
            <w:r w:rsidR="00C175CC">
              <w:rPr>
                <w:webHidden/>
              </w:rPr>
              <w:fldChar w:fldCharType="begin"/>
            </w:r>
            <w:r w:rsidR="00C175CC">
              <w:rPr>
                <w:webHidden/>
              </w:rPr>
              <w:instrText xml:space="preserve"> PAGEREF _Toc146892682 \h </w:instrText>
            </w:r>
            <w:r w:rsidR="00C175CC">
              <w:rPr>
                <w:webHidden/>
              </w:rPr>
            </w:r>
            <w:r w:rsidR="00C175CC">
              <w:rPr>
                <w:webHidden/>
              </w:rPr>
              <w:fldChar w:fldCharType="separate"/>
            </w:r>
            <w:r w:rsidR="007B05F8">
              <w:rPr>
                <w:webHidden/>
              </w:rPr>
              <w:t>163</w:t>
            </w:r>
            <w:r w:rsidR="00C175CC">
              <w:rPr>
                <w:webHidden/>
              </w:rPr>
              <w:fldChar w:fldCharType="end"/>
            </w:r>
          </w:hyperlink>
        </w:p>
        <w:p w14:paraId="6017B2E3" w14:textId="613F2C87" w:rsidR="00C175CC" w:rsidRDefault="009C12D4">
          <w:pPr>
            <w:pStyle w:val="TOC2"/>
            <w:rPr>
              <w:rFonts w:asciiTheme="minorHAnsi" w:eastAsiaTheme="minorEastAsia" w:hAnsiTheme="minorHAnsi"/>
              <w:color w:val="auto"/>
              <w:kern w:val="2"/>
              <w:lang w:eastAsia="en-AU"/>
              <w14:ligatures w14:val="standardContextual"/>
            </w:rPr>
          </w:pPr>
          <w:hyperlink w:anchor="_Toc146892683" w:history="1">
            <w:r w:rsidR="00C175CC" w:rsidRPr="00D20FD1">
              <w:rPr>
                <w:rStyle w:val="Hyperlink"/>
              </w:rPr>
              <w:t>Chapter summary</w:t>
            </w:r>
            <w:r w:rsidR="00C175CC">
              <w:rPr>
                <w:webHidden/>
              </w:rPr>
              <w:tab/>
            </w:r>
            <w:r w:rsidR="00C175CC">
              <w:rPr>
                <w:webHidden/>
              </w:rPr>
              <w:fldChar w:fldCharType="begin"/>
            </w:r>
            <w:r w:rsidR="00C175CC">
              <w:rPr>
                <w:webHidden/>
              </w:rPr>
              <w:instrText xml:space="preserve"> PAGEREF _Toc146892683 \h </w:instrText>
            </w:r>
            <w:r w:rsidR="00C175CC">
              <w:rPr>
                <w:webHidden/>
              </w:rPr>
            </w:r>
            <w:r w:rsidR="00C175CC">
              <w:rPr>
                <w:webHidden/>
              </w:rPr>
              <w:fldChar w:fldCharType="separate"/>
            </w:r>
            <w:r w:rsidR="007B05F8">
              <w:rPr>
                <w:webHidden/>
              </w:rPr>
              <w:t>171</w:t>
            </w:r>
            <w:r w:rsidR="00C175CC">
              <w:rPr>
                <w:webHidden/>
              </w:rPr>
              <w:fldChar w:fldCharType="end"/>
            </w:r>
          </w:hyperlink>
        </w:p>
        <w:p w14:paraId="179BDA73" w14:textId="77777777" w:rsidR="00B81557" w:rsidRDefault="00B81557">
          <w:pPr>
            <w:rPr>
              <w:rStyle w:val="Hyperlink"/>
              <w:b/>
              <w:bCs/>
              <w:noProof/>
              <w:sz w:val="28"/>
              <w:szCs w:val="28"/>
            </w:rPr>
          </w:pPr>
          <w:r>
            <w:rPr>
              <w:rStyle w:val="Hyperlink"/>
              <w:noProof/>
            </w:rPr>
            <w:br w:type="page"/>
          </w:r>
        </w:p>
        <w:p w14:paraId="083698B8" w14:textId="320F7677"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84" w:history="1">
            <w:r w:rsidR="00C175CC" w:rsidRPr="00D20FD1">
              <w:rPr>
                <w:rStyle w:val="Hyperlink"/>
              </w:rPr>
              <w:t>Chapter 6: Emerging and transforming sectors</w:t>
            </w:r>
            <w:r w:rsidR="00C175CC">
              <w:rPr>
                <w:webHidden/>
              </w:rPr>
              <w:tab/>
            </w:r>
            <w:r w:rsidR="00C175CC">
              <w:rPr>
                <w:webHidden/>
              </w:rPr>
              <w:fldChar w:fldCharType="begin"/>
            </w:r>
            <w:r w:rsidR="00C175CC">
              <w:rPr>
                <w:webHidden/>
              </w:rPr>
              <w:instrText xml:space="preserve"> PAGEREF _Toc146892684 \h </w:instrText>
            </w:r>
            <w:r w:rsidR="00C175CC">
              <w:rPr>
                <w:webHidden/>
              </w:rPr>
            </w:r>
            <w:r w:rsidR="00C175CC">
              <w:rPr>
                <w:webHidden/>
              </w:rPr>
              <w:fldChar w:fldCharType="separate"/>
            </w:r>
            <w:r w:rsidR="007B05F8">
              <w:rPr>
                <w:webHidden/>
              </w:rPr>
              <w:t>174</w:t>
            </w:r>
            <w:r w:rsidR="00C175CC">
              <w:rPr>
                <w:webHidden/>
              </w:rPr>
              <w:fldChar w:fldCharType="end"/>
            </w:r>
          </w:hyperlink>
        </w:p>
        <w:p w14:paraId="318D6DB0" w14:textId="4126AE9D" w:rsidR="00C175CC" w:rsidRDefault="009C12D4">
          <w:pPr>
            <w:pStyle w:val="TOC2"/>
            <w:rPr>
              <w:rFonts w:asciiTheme="minorHAnsi" w:eastAsiaTheme="minorEastAsia" w:hAnsiTheme="minorHAnsi"/>
              <w:color w:val="auto"/>
              <w:kern w:val="2"/>
              <w:lang w:eastAsia="en-AU"/>
              <w14:ligatures w14:val="standardContextual"/>
            </w:rPr>
          </w:pPr>
          <w:hyperlink w:anchor="_Toc146892685" w:history="1">
            <w:r w:rsidR="00C175CC" w:rsidRPr="00D20FD1">
              <w:rPr>
                <w:rStyle w:val="Hyperlink"/>
              </w:rPr>
              <w:t>New skills and new contexts</w:t>
            </w:r>
            <w:r w:rsidR="00C175CC">
              <w:rPr>
                <w:webHidden/>
              </w:rPr>
              <w:tab/>
            </w:r>
            <w:r w:rsidR="00C175CC">
              <w:rPr>
                <w:webHidden/>
              </w:rPr>
              <w:fldChar w:fldCharType="begin"/>
            </w:r>
            <w:r w:rsidR="00C175CC">
              <w:rPr>
                <w:webHidden/>
              </w:rPr>
              <w:instrText xml:space="preserve"> PAGEREF _Toc146892685 \h </w:instrText>
            </w:r>
            <w:r w:rsidR="00C175CC">
              <w:rPr>
                <w:webHidden/>
              </w:rPr>
            </w:r>
            <w:r w:rsidR="00C175CC">
              <w:rPr>
                <w:webHidden/>
              </w:rPr>
              <w:fldChar w:fldCharType="separate"/>
            </w:r>
            <w:r w:rsidR="007B05F8">
              <w:rPr>
                <w:webHidden/>
              </w:rPr>
              <w:t>175</w:t>
            </w:r>
            <w:r w:rsidR="00C175CC">
              <w:rPr>
                <w:webHidden/>
              </w:rPr>
              <w:fldChar w:fldCharType="end"/>
            </w:r>
          </w:hyperlink>
        </w:p>
        <w:p w14:paraId="6C4D7187" w14:textId="659C5F7E" w:rsidR="00C175CC" w:rsidRDefault="009C12D4">
          <w:pPr>
            <w:pStyle w:val="TOC2"/>
            <w:rPr>
              <w:rFonts w:asciiTheme="minorHAnsi" w:eastAsiaTheme="minorEastAsia" w:hAnsiTheme="minorHAnsi"/>
              <w:color w:val="auto"/>
              <w:kern w:val="2"/>
              <w:lang w:eastAsia="en-AU"/>
              <w14:ligatures w14:val="standardContextual"/>
            </w:rPr>
          </w:pPr>
          <w:hyperlink w:anchor="_Toc146892687" w:history="1">
            <w:r w:rsidR="00C175CC" w:rsidRPr="00D20FD1">
              <w:rPr>
                <w:rStyle w:val="Hyperlink"/>
                <w:rFonts w:cstheme="minorHAnsi"/>
              </w:rPr>
              <w:t>6</w:t>
            </w:r>
            <w:r w:rsidR="00C175CC" w:rsidRPr="00D20FD1">
              <w:rPr>
                <w:rStyle w:val="Hyperlink"/>
                <w:rFonts w:cstheme="minorHAnsi"/>
                <w:smallCaps/>
              </w:rPr>
              <w:t>a</w:t>
            </w:r>
            <w:r w:rsidR="00C175CC" w:rsidRPr="00D20FD1">
              <w:rPr>
                <w:rStyle w:val="Hyperlink"/>
                <w:rFonts w:cstheme="minorHAnsi"/>
              </w:rPr>
              <w:t>.</w:t>
            </w:r>
            <w:r w:rsidR="00C175CC" w:rsidRPr="00D20FD1">
              <w:rPr>
                <w:rStyle w:val="Hyperlink"/>
              </w:rPr>
              <w:t xml:space="preserve"> </w:t>
            </w:r>
            <w:r w:rsidR="00C175CC" w:rsidRPr="00D20FD1">
              <w:rPr>
                <w:rStyle w:val="Hyperlink"/>
                <w:bCs/>
              </w:rPr>
              <w:t>Fuels and storage</w:t>
            </w:r>
            <w:r w:rsidR="00C175CC">
              <w:rPr>
                <w:webHidden/>
              </w:rPr>
              <w:tab/>
            </w:r>
            <w:r w:rsidR="00C175CC">
              <w:rPr>
                <w:webHidden/>
              </w:rPr>
              <w:fldChar w:fldCharType="begin"/>
            </w:r>
            <w:r w:rsidR="00C175CC">
              <w:rPr>
                <w:webHidden/>
              </w:rPr>
              <w:instrText xml:space="preserve"> PAGEREF _Toc146892687 \h </w:instrText>
            </w:r>
            <w:r w:rsidR="00C175CC">
              <w:rPr>
                <w:webHidden/>
              </w:rPr>
            </w:r>
            <w:r w:rsidR="00C175CC">
              <w:rPr>
                <w:webHidden/>
              </w:rPr>
              <w:fldChar w:fldCharType="separate"/>
            </w:r>
            <w:r w:rsidR="007B05F8">
              <w:rPr>
                <w:webHidden/>
              </w:rPr>
              <w:t>176</w:t>
            </w:r>
            <w:r w:rsidR="00C175CC">
              <w:rPr>
                <w:webHidden/>
              </w:rPr>
              <w:fldChar w:fldCharType="end"/>
            </w:r>
          </w:hyperlink>
        </w:p>
        <w:p w14:paraId="7209362F" w14:textId="4A5BF068" w:rsidR="00C175CC" w:rsidRDefault="009C12D4">
          <w:pPr>
            <w:pStyle w:val="TOC2"/>
            <w:rPr>
              <w:rFonts w:asciiTheme="minorHAnsi" w:eastAsiaTheme="minorEastAsia" w:hAnsiTheme="minorHAnsi"/>
              <w:color w:val="auto"/>
              <w:kern w:val="2"/>
              <w:lang w:eastAsia="en-AU"/>
              <w14:ligatures w14:val="standardContextual"/>
            </w:rPr>
          </w:pPr>
          <w:hyperlink w:anchor="_Toc146892688"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b.</w:t>
            </w:r>
            <w:r w:rsidR="00C175CC" w:rsidRPr="00D20FD1">
              <w:rPr>
                <w:rStyle w:val="Hyperlink"/>
                <w:smallCaps/>
                <w14:numForm w14:val="lining"/>
                <w14:numSpacing w14:val="proportional"/>
              </w:rPr>
              <w:t xml:space="preserve"> </w:t>
            </w:r>
            <w:r w:rsidR="00C175CC" w:rsidRPr="00D20FD1">
              <w:rPr>
                <w:rStyle w:val="Hyperlink"/>
                <w14:numForm w14:val="lining"/>
                <w14:numSpacing w14:val="proportional"/>
              </w:rPr>
              <w:t>Transport</w:t>
            </w:r>
            <w:r w:rsidR="00C175CC">
              <w:rPr>
                <w:webHidden/>
              </w:rPr>
              <w:tab/>
            </w:r>
            <w:r w:rsidR="00C175CC">
              <w:rPr>
                <w:webHidden/>
              </w:rPr>
              <w:fldChar w:fldCharType="begin"/>
            </w:r>
            <w:r w:rsidR="00C175CC">
              <w:rPr>
                <w:webHidden/>
              </w:rPr>
              <w:instrText xml:space="preserve"> PAGEREF _Toc146892688 \h </w:instrText>
            </w:r>
            <w:r w:rsidR="00C175CC">
              <w:rPr>
                <w:webHidden/>
              </w:rPr>
            </w:r>
            <w:r w:rsidR="00C175CC">
              <w:rPr>
                <w:webHidden/>
              </w:rPr>
              <w:fldChar w:fldCharType="separate"/>
            </w:r>
            <w:r w:rsidR="007B05F8">
              <w:rPr>
                <w:webHidden/>
              </w:rPr>
              <w:t>186</w:t>
            </w:r>
            <w:r w:rsidR="00C175CC">
              <w:rPr>
                <w:webHidden/>
              </w:rPr>
              <w:fldChar w:fldCharType="end"/>
            </w:r>
          </w:hyperlink>
        </w:p>
        <w:p w14:paraId="6670A9E0" w14:textId="02604543" w:rsidR="00C175CC" w:rsidRDefault="009C12D4">
          <w:pPr>
            <w:pStyle w:val="TOC2"/>
            <w:rPr>
              <w:rFonts w:asciiTheme="minorHAnsi" w:eastAsiaTheme="minorEastAsia" w:hAnsiTheme="minorHAnsi"/>
              <w:color w:val="auto"/>
              <w:kern w:val="2"/>
              <w:lang w:eastAsia="en-AU"/>
              <w14:ligatures w14:val="standardContextual"/>
            </w:rPr>
          </w:pPr>
          <w:hyperlink w:anchor="_Toc146892689"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c</w:t>
            </w:r>
            <w:r w:rsidR="00C175CC" w:rsidRPr="00D20FD1">
              <w:rPr>
                <w:rStyle w:val="Hyperlink"/>
                <w:rFonts w:cstheme="minorHAnsi"/>
                <w14:numForm w14:val="lining"/>
                <w14:numSpacing w14:val="proportional"/>
              </w:rPr>
              <w:t>.</w:t>
            </w:r>
            <w:r w:rsidR="00C175CC" w:rsidRPr="00D20FD1">
              <w:rPr>
                <w:rStyle w:val="Hyperlink"/>
                <w14:numForm w14:val="lining"/>
                <w14:numSpacing w14:val="proportional"/>
              </w:rPr>
              <w:t xml:space="preserve"> Energy performance</w:t>
            </w:r>
            <w:r w:rsidR="00C175CC">
              <w:rPr>
                <w:webHidden/>
              </w:rPr>
              <w:tab/>
            </w:r>
            <w:r w:rsidR="00C175CC">
              <w:rPr>
                <w:webHidden/>
              </w:rPr>
              <w:fldChar w:fldCharType="begin"/>
            </w:r>
            <w:r w:rsidR="00C175CC">
              <w:rPr>
                <w:webHidden/>
              </w:rPr>
              <w:instrText xml:space="preserve"> PAGEREF _Toc146892689 \h </w:instrText>
            </w:r>
            <w:r w:rsidR="00C175CC">
              <w:rPr>
                <w:webHidden/>
              </w:rPr>
            </w:r>
            <w:r w:rsidR="00C175CC">
              <w:rPr>
                <w:webHidden/>
              </w:rPr>
              <w:fldChar w:fldCharType="separate"/>
            </w:r>
            <w:r w:rsidR="007B05F8">
              <w:rPr>
                <w:webHidden/>
              </w:rPr>
              <w:t>191</w:t>
            </w:r>
            <w:r w:rsidR="00C175CC">
              <w:rPr>
                <w:webHidden/>
              </w:rPr>
              <w:fldChar w:fldCharType="end"/>
            </w:r>
          </w:hyperlink>
        </w:p>
        <w:p w14:paraId="0B31D982" w14:textId="3CB0C8DC" w:rsidR="00C175CC" w:rsidRDefault="009C12D4">
          <w:pPr>
            <w:pStyle w:val="TOC2"/>
            <w:rPr>
              <w:rFonts w:asciiTheme="minorHAnsi" w:eastAsiaTheme="minorEastAsia" w:hAnsiTheme="minorHAnsi"/>
              <w:color w:val="auto"/>
              <w:kern w:val="2"/>
              <w:lang w:eastAsia="en-AU"/>
              <w14:ligatures w14:val="standardContextual"/>
            </w:rPr>
          </w:pPr>
          <w:hyperlink w:anchor="_Toc146892690"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d</w:t>
            </w:r>
            <w:r w:rsidR="00C175CC" w:rsidRPr="00D20FD1">
              <w:rPr>
                <w:rStyle w:val="Hyperlink"/>
                <w:rFonts w:cstheme="minorHAnsi"/>
                <w14:numForm w14:val="lining"/>
                <w14:numSpacing w14:val="proportional"/>
              </w:rPr>
              <w:t>.</w:t>
            </w:r>
            <w:r w:rsidR="00C175CC" w:rsidRPr="00D20FD1">
              <w:rPr>
                <w:rStyle w:val="Hyperlink"/>
                <w14:numForm w14:val="lining"/>
                <w14:numSpacing w14:val="proportional"/>
              </w:rPr>
              <w:t xml:space="preserve"> Manufacturing and processing</w:t>
            </w:r>
            <w:r w:rsidR="00C175CC">
              <w:rPr>
                <w:webHidden/>
              </w:rPr>
              <w:tab/>
            </w:r>
            <w:r w:rsidR="00C175CC">
              <w:rPr>
                <w:webHidden/>
              </w:rPr>
              <w:fldChar w:fldCharType="begin"/>
            </w:r>
            <w:r w:rsidR="00C175CC">
              <w:rPr>
                <w:webHidden/>
              </w:rPr>
              <w:instrText xml:space="preserve"> PAGEREF _Toc146892690 \h </w:instrText>
            </w:r>
            <w:r w:rsidR="00C175CC">
              <w:rPr>
                <w:webHidden/>
              </w:rPr>
            </w:r>
            <w:r w:rsidR="00C175CC">
              <w:rPr>
                <w:webHidden/>
              </w:rPr>
              <w:fldChar w:fldCharType="separate"/>
            </w:r>
            <w:r w:rsidR="007B05F8">
              <w:rPr>
                <w:webHidden/>
              </w:rPr>
              <w:t>193</w:t>
            </w:r>
            <w:r w:rsidR="00C175CC">
              <w:rPr>
                <w:webHidden/>
              </w:rPr>
              <w:fldChar w:fldCharType="end"/>
            </w:r>
          </w:hyperlink>
        </w:p>
        <w:p w14:paraId="12720F9E" w14:textId="2BCE0E0E" w:rsidR="00C175CC" w:rsidRDefault="009C12D4">
          <w:pPr>
            <w:pStyle w:val="TOC2"/>
            <w:rPr>
              <w:rFonts w:asciiTheme="minorHAnsi" w:eastAsiaTheme="minorEastAsia" w:hAnsiTheme="minorHAnsi"/>
              <w:color w:val="auto"/>
              <w:kern w:val="2"/>
              <w:lang w:eastAsia="en-AU"/>
              <w14:ligatures w14:val="standardContextual"/>
            </w:rPr>
          </w:pPr>
          <w:hyperlink w:anchor="_Toc146892691" w:history="1">
            <w:r w:rsidR="00C175CC" w:rsidRPr="00D20FD1">
              <w:rPr>
                <w:rStyle w:val="Hyperlink"/>
                <w:rFonts w:cstheme="minorHAnsi"/>
                <w14:numForm w14:val="lining"/>
                <w14:numSpacing w14:val="proportional"/>
              </w:rPr>
              <w:t>6</w:t>
            </w:r>
            <w:r w:rsidR="00C175CC" w:rsidRPr="00D20FD1">
              <w:rPr>
                <w:rStyle w:val="Hyperlink"/>
                <w:rFonts w:cstheme="minorHAnsi"/>
                <w:smallCaps/>
                <w14:numForm w14:val="lining"/>
                <w14:numSpacing w14:val="proportional"/>
              </w:rPr>
              <w:t>e.</w:t>
            </w:r>
            <w:r w:rsidR="00C175CC" w:rsidRPr="00D20FD1">
              <w:rPr>
                <w:rStyle w:val="Hyperlink"/>
                <w14:numForm w14:val="lining"/>
                <w14:numSpacing w14:val="proportional"/>
              </w:rPr>
              <w:t xml:space="preserve"> Land use and the circular economy</w:t>
            </w:r>
            <w:r w:rsidR="00C175CC">
              <w:rPr>
                <w:webHidden/>
              </w:rPr>
              <w:tab/>
            </w:r>
            <w:r w:rsidR="00C175CC">
              <w:rPr>
                <w:webHidden/>
              </w:rPr>
              <w:fldChar w:fldCharType="begin"/>
            </w:r>
            <w:r w:rsidR="00C175CC">
              <w:rPr>
                <w:webHidden/>
              </w:rPr>
              <w:instrText xml:space="preserve"> PAGEREF _Toc146892691 \h </w:instrText>
            </w:r>
            <w:r w:rsidR="00C175CC">
              <w:rPr>
                <w:webHidden/>
              </w:rPr>
            </w:r>
            <w:r w:rsidR="00C175CC">
              <w:rPr>
                <w:webHidden/>
              </w:rPr>
              <w:fldChar w:fldCharType="separate"/>
            </w:r>
            <w:r w:rsidR="007B05F8">
              <w:rPr>
                <w:webHidden/>
              </w:rPr>
              <w:t>197</w:t>
            </w:r>
            <w:r w:rsidR="00C175CC">
              <w:rPr>
                <w:webHidden/>
              </w:rPr>
              <w:fldChar w:fldCharType="end"/>
            </w:r>
          </w:hyperlink>
        </w:p>
        <w:p w14:paraId="3CCDED80" w14:textId="1BB53FC9"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92" w:history="1">
            <w:r w:rsidR="00C175CC" w:rsidRPr="00D20FD1">
              <w:rPr>
                <w:rStyle w:val="Hyperlink"/>
              </w:rPr>
              <w:t>Chapter 7: Education and  training reform</w:t>
            </w:r>
            <w:r w:rsidR="00C175CC">
              <w:rPr>
                <w:webHidden/>
              </w:rPr>
              <w:tab/>
            </w:r>
            <w:r w:rsidR="00C175CC">
              <w:rPr>
                <w:webHidden/>
              </w:rPr>
              <w:fldChar w:fldCharType="begin"/>
            </w:r>
            <w:r w:rsidR="00C175CC">
              <w:rPr>
                <w:webHidden/>
              </w:rPr>
              <w:instrText xml:space="preserve"> PAGEREF _Toc146892692 \h </w:instrText>
            </w:r>
            <w:r w:rsidR="00C175CC">
              <w:rPr>
                <w:webHidden/>
              </w:rPr>
            </w:r>
            <w:r w:rsidR="00C175CC">
              <w:rPr>
                <w:webHidden/>
              </w:rPr>
              <w:fldChar w:fldCharType="separate"/>
            </w:r>
            <w:r w:rsidR="007B05F8">
              <w:rPr>
                <w:webHidden/>
              </w:rPr>
              <w:t>201</w:t>
            </w:r>
            <w:r w:rsidR="00C175CC">
              <w:rPr>
                <w:webHidden/>
              </w:rPr>
              <w:fldChar w:fldCharType="end"/>
            </w:r>
          </w:hyperlink>
        </w:p>
        <w:p w14:paraId="431D1DD1" w14:textId="680D2AE6" w:rsidR="00C175CC" w:rsidRDefault="009C12D4">
          <w:pPr>
            <w:pStyle w:val="TOC2"/>
            <w:rPr>
              <w:rFonts w:asciiTheme="minorHAnsi" w:eastAsiaTheme="minorEastAsia" w:hAnsiTheme="minorHAnsi"/>
              <w:color w:val="auto"/>
              <w:kern w:val="2"/>
              <w:lang w:eastAsia="en-AU"/>
              <w14:ligatures w14:val="standardContextual"/>
            </w:rPr>
          </w:pPr>
          <w:hyperlink w:anchor="_Toc146892693" w:history="1">
            <w:r w:rsidR="00C175CC" w:rsidRPr="00D20FD1">
              <w:rPr>
                <w:rStyle w:val="Hyperlink"/>
                <w14:ligatures w14:val="standard"/>
                <w14:numForm w14:val="lining"/>
                <w14:numSpacing w14:val="proportional"/>
              </w:rPr>
              <w:t>Overview</w:t>
            </w:r>
            <w:r w:rsidR="00C175CC">
              <w:rPr>
                <w:webHidden/>
              </w:rPr>
              <w:tab/>
            </w:r>
            <w:r w:rsidR="00C175CC">
              <w:rPr>
                <w:webHidden/>
              </w:rPr>
              <w:fldChar w:fldCharType="begin"/>
            </w:r>
            <w:r w:rsidR="00C175CC">
              <w:rPr>
                <w:webHidden/>
              </w:rPr>
              <w:instrText xml:space="preserve"> PAGEREF _Toc146892693 \h </w:instrText>
            </w:r>
            <w:r w:rsidR="00C175CC">
              <w:rPr>
                <w:webHidden/>
              </w:rPr>
            </w:r>
            <w:r w:rsidR="00C175CC">
              <w:rPr>
                <w:webHidden/>
              </w:rPr>
              <w:fldChar w:fldCharType="separate"/>
            </w:r>
            <w:r w:rsidR="007B05F8">
              <w:rPr>
                <w:webHidden/>
              </w:rPr>
              <w:t>202</w:t>
            </w:r>
            <w:r w:rsidR="00C175CC">
              <w:rPr>
                <w:webHidden/>
              </w:rPr>
              <w:fldChar w:fldCharType="end"/>
            </w:r>
          </w:hyperlink>
        </w:p>
        <w:p w14:paraId="4F0DBE5B" w14:textId="461F8805" w:rsidR="00C175CC" w:rsidRDefault="009C12D4">
          <w:pPr>
            <w:pStyle w:val="TOC2"/>
            <w:rPr>
              <w:rFonts w:asciiTheme="minorHAnsi" w:eastAsiaTheme="minorEastAsia" w:hAnsiTheme="minorHAnsi"/>
              <w:color w:val="auto"/>
              <w:kern w:val="2"/>
              <w:lang w:eastAsia="en-AU"/>
              <w14:ligatures w14:val="standardContextual"/>
            </w:rPr>
          </w:pPr>
          <w:hyperlink w:anchor="_Toc146892694" w:history="1">
            <w:r w:rsidR="00C175CC" w:rsidRPr="00D20FD1">
              <w:rPr>
                <w:rStyle w:val="Hyperlink"/>
                <w:rFonts w:cstheme="minorHAnsi"/>
              </w:rPr>
              <w:t>7</w:t>
            </w:r>
            <w:r w:rsidR="00C175CC" w:rsidRPr="00D20FD1">
              <w:rPr>
                <w:rStyle w:val="Hyperlink"/>
                <w:rFonts w:cstheme="minorHAnsi"/>
                <w:smallCaps/>
              </w:rPr>
              <w:t>a</w:t>
            </w:r>
            <w:r w:rsidR="00C175CC" w:rsidRPr="00D20FD1">
              <w:rPr>
                <w:rStyle w:val="Hyperlink"/>
                <w:rFonts w:cstheme="minorHAnsi"/>
              </w:rPr>
              <w:t>.</w:t>
            </w:r>
            <w:r w:rsidR="00C175CC" w:rsidRPr="00D20FD1">
              <w:rPr>
                <w:rStyle w:val="Hyperlink"/>
              </w:rPr>
              <w:t xml:space="preserve"> </w:t>
            </w:r>
            <w:r w:rsidR="00C175CC" w:rsidRPr="00D20FD1">
              <w:rPr>
                <w:rStyle w:val="Hyperlink"/>
                <w:bCs/>
              </w:rPr>
              <w:t>System design</w:t>
            </w:r>
            <w:r w:rsidR="00C175CC">
              <w:rPr>
                <w:webHidden/>
              </w:rPr>
              <w:tab/>
            </w:r>
            <w:r w:rsidR="00C175CC">
              <w:rPr>
                <w:webHidden/>
              </w:rPr>
              <w:fldChar w:fldCharType="begin"/>
            </w:r>
            <w:r w:rsidR="00C175CC">
              <w:rPr>
                <w:webHidden/>
              </w:rPr>
              <w:instrText xml:space="preserve"> PAGEREF _Toc146892694 \h </w:instrText>
            </w:r>
            <w:r w:rsidR="00C175CC">
              <w:rPr>
                <w:webHidden/>
              </w:rPr>
            </w:r>
            <w:r w:rsidR="00C175CC">
              <w:rPr>
                <w:webHidden/>
              </w:rPr>
              <w:fldChar w:fldCharType="separate"/>
            </w:r>
            <w:r w:rsidR="007B05F8">
              <w:rPr>
                <w:webHidden/>
              </w:rPr>
              <w:t>203</w:t>
            </w:r>
            <w:r w:rsidR="00C175CC">
              <w:rPr>
                <w:webHidden/>
              </w:rPr>
              <w:fldChar w:fldCharType="end"/>
            </w:r>
          </w:hyperlink>
        </w:p>
        <w:p w14:paraId="5D4C8452" w14:textId="43ED6512" w:rsidR="00C175CC" w:rsidRDefault="009C12D4">
          <w:pPr>
            <w:pStyle w:val="TOC2"/>
            <w:rPr>
              <w:rFonts w:asciiTheme="minorHAnsi" w:eastAsiaTheme="minorEastAsia" w:hAnsiTheme="minorHAnsi"/>
              <w:color w:val="auto"/>
              <w:kern w:val="2"/>
              <w:lang w:eastAsia="en-AU"/>
              <w14:ligatures w14:val="standardContextual"/>
            </w:rPr>
          </w:pPr>
          <w:hyperlink w:anchor="_Toc146892695" w:history="1">
            <w:r w:rsidR="00C175CC" w:rsidRPr="00D20FD1">
              <w:rPr>
                <w:rStyle w:val="Hyperlink"/>
                <w:rFonts w:cstheme="minorHAnsi"/>
              </w:rPr>
              <w:t>7</w:t>
            </w:r>
            <w:r w:rsidR="00C175CC" w:rsidRPr="00D20FD1">
              <w:rPr>
                <w:rStyle w:val="Hyperlink"/>
                <w:rFonts w:cstheme="minorHAnsi"/>
                <w:smallCaps/>
              </w:rPr>
              <w:t>b</w:t>
            </w:r>
            <w:r w:rsidR="00C175CC" w:rsidRPr="00D20FD1">
              <w:rPr>
                <w:rStyle w:val="Hyperlink"/>
                <w:rFonts w:cstheme="minorHAnsi"/>
              </w:rPr>
              <w:t>.</w:t>
            </w:r>
            <w:r w:rsidR="00C175CC" w:rsidRPr="00D20FD1">
              <w:rPr>
                <w:rStyle w:val="Hyperlink"/>
              </w:rPr>
              <w:t xml:space="preserve"> </w:t>
            </w:r>
            <w:r w:rsidR="00C175CC" w:rsidRPr="00D20FD1">
              <w:rPr>
                <w:rStyle w:val="Hyperlink"/>
                <w:bCs/>
              </w:rPr>
              <w:t>Funding and program design</w:t>
            </w:r>
            <w:r w:rsidR="00C175CC">
              <w:rPr>
                <w:webHidden/>
              </w:rPr>
              <w:tab/>
            </w:r>
            <w:r w:rsidR="00C175CC">
              <w:rPr>
                <w:webHidden/>
              </w:rPr>
              <w:fldChar w:fldCharType="begin"/>
            </w:r>
            <w:r w:rsidR="00C175CC">
              <w:rPr>
                <w:webHidden/>
              </w:rPr>
              <w:instrText xml:space="preserve"> PAGEREF _Toc146892695 \h </w:instrText>
            </w:r>
            <w:r w:rsidR="00C175CC">
              <w:rPr>
                <w:webHidden/>
              </w:rPr>
            </w:r>
            <w:r w:rsidR="00C175CC">
              <w:rPr>
                <w:webHidden/>
              </w:rPr>
              <w:fldChar w:fldCharType="separate"/>
            </w:r>
            <w:r w:rsidR="007B05F8">
              <w:rPr>
                <w:webHidden/>
              </w:rPr>
              <w:t>208</w:t>
            </w:r>
            <w:r w:rsidR="00C175CC">
              <w:rPr>
                <w:webHidden/>
              </w:rPr>
              <w:fldChar w:fldCharType="end"/>
            </w:r>
          </w:hyperlink>
        </w:p>
        <w:p w14:paraId="5B7D20C5" w14:textId="3395575E" w:rsidR="00C175CC" w:rsidRDefault="009C12D4">
          <w:pPr>
            <w:pStyle w:val="TOC2"/>
            <w:rPr>
              <w:rFonts w:asciiTheme="minorHAnsi" w:eastAsiaTheme="minorEastAsia" w:hAnsiTheme="minorHAnsi"/>
              <w:color w:val="auto"/>
              <w:kern w:val="2"/>
              <w:lang w:eastAsia="en-AU"/>
              <w14:ligatures w14:val="standardContextual"/>
            </w:rPr>
          </w:pPr>
          <w:hyperlink w:anchor="_Toc146892696" w:history="1">
            <w:r w:rsidR="00C175CC" w:rsidRPr="00D20FD1">
              <w:rPr>
                <w:rStyle w:val="Hyperlink"/>
                <w:rFonts w:cstheme="minorHAnsi"/>
              </w:rPr>
              <w:t>7</w:t>
            </w:r>
            <w:r w:rsidR="00C175CC" w:rsidRPr="00D20FD1">
              <w:rPr>
                <w:rStyle w:val="Hyperlink"/>
                <w:rFonts w:cstheme="minorHAnsi"/>
                <w:smallCaps/>
              </w:rPr>
              <w:t>c</w:t>
            </w:r>
            <w:r w:rsidR="00C175CC" w:rsidRPr="00D20FD1">
              <w:rPr>
                <w:rStyle w:val="Hyperlink"/>
                <w:rFonts w:cstheme="minorHAnsi"/>
              </w:rPr>
              <w:t>.</w:t>
            </w:r>
            <w:r w:rsidR="00C175CC" w:rsidRPr="00D20FD1">
              <w:rPr>
                <w:rStyle w:val="Hyperlink"/>
              </w:rPr>
              <w:t xml:space="preserve"> </w:t>
            </w:r>
            <w:r w:rsidR="00C175CC" w:rsidRPr="00D20FD1">
              <w:rPr>
                <w:rStyle w:val="Hyperlink"/>
                <w:bCs/>
              </w:rPr>
              <w:t>Student pipeline</w:t>
            </w:r>
            <w:r w:rsidR="00C175CC">
              <w:rPr>
                <w:webHidden/>
              </w:rPr>
              <w:tab/>
            </w:r>
            <w:r w:rsidR="00C175CC">
              <w:rPr>
                <w:webHidden/>
              </w:rPr>
              <w:fldChar w:fldCharType="begin"/>
            </w:r>
            <w:r w:rsidR="00C175CC">
              <w:rPr>
                <w:webHidden/>
              </w:rPr>
              <w:instrText xml:space="preserve"> PAGEREF _Toc146892696 \h </w:instrText>
            </w:r>
            <w:r w:rsidR="00C175CC">
              <w:rPr>
                <w:webHidden/>
              </w:rPr>
            </w:r>
            <w:r w:rsidR="00C175CC">
              <w:rPr>
                <w:webHidden/>
              </w:rPr>
              <w:fldChar w:fldCharType="separate"/>
            </w:r>
            <w:r w:rsidR="007B05F8">
              <w:rPr>
                <w:webHidden/>
              </w:rPr>
              <w:t>213</w:t>
            </w:r>
            <w:r w:rsidR="00C175CC">
              <w:rPr>
                <w:webHidden/>
              </w:rPr>
              <w:fldChar w:fldCharType="end"/>
            </w:r>
          </w:hyperlink>
        </w:p>
        <w:p w14:paraId="6A5EFD61" w14:textId="1B769A2A"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697" w:history="1">
            <w:r w:rsidR="00C175CC" w:rsidRPr="00D20FD1">
              <w:rPr>
                <w:rStyle w:val="Hyperlink"/>
              </w:rPr>
              <w:t xml:space="preserve">Chapter </w:t>
            </w:r>
            <w:r w:rsidR="00C175CC" w:rsidRPr="00D20FD1">
              <w:rPr>
                <w:rStyle w:val="Hyperlink"/>
                <w:spacing w:val="-5"/>
              </w:rPr>
              <w:t xml:space="preserve">8: </w:t>
            </w:r>
            <w:r w:rsidR="00C175CC" w:rsidRPr="00D20FD1">
              <w:rPr>
                <w:rStyle w:val="Hyperlink"/>
              </w:rPr>
              <w:t>Workplaces and communities</w:t>
            </w:r>
            <w:r w:rsidR="00C175CC">
              <w:rPr>
                <w:webHidden/>
              </w:rPr>
              <w:tab/>
            </w:r>
            <w:r w:rsidR="00C175CC">
              <w:rPr>
                <w:webHidden/>
              </w:rPr>
              <w:fldChar w:fldCharType="begin"/>
            </w:r>
            <w:r w:rsidR="00C175CC">
              <w:rPr>
                <w:webHidden/>
              </w:rPr>
              <w:instrText xml:space="preserve"> PAGEREF _Toc146892697 \h </w:instrText>
            </w:r>
            <w:r w:rsidR="00C175CC">
              <w:rPr>
                <w:webHidden/>
              </w:rPr>
            </w:r>
            <w:r w:rsidR="00C175CC">
              <w:rPr>
                <w:webHidden/>
              </w:rPr>
              <w:fldChar w:fldCharType="separate"/>
            </w:r>
            <w:r w:rsidR="007B05F8">
              <w:rPr>
                <w:webHidden/>
              </w:rPr>
              <w:t>223</w:t>
            </w:r>
            <w:r w:rsidR="00C175CC">
              <w:rPr>
                <w:webHidden/>
              </w:rPr>
              <w:fldChar w:fldCharType="end"/>
            </w:r>
          </w:hyperlink>
        </w:p>
        <w:p w14:paraId="592B6DF2" w14:textId="4CC474BC" w:rsidR="00C175CC" w:rsidRDefault="009C12D4">
          <w:pPr>
            <w:pStyle w:val="TOC2"/>
            <w:rPr>
              <w:rFonts w:asciiTheme="minorHAnsi" w:eastAsiaTheme="minorEastAsia" w:hAnsiTheme="minorHAnsi"/>
              <w:color w:val="auto"/>
              <w:kern w:val="2"/>
              <w:lang w:eastAsia="en-AU"/>
              <w14:ligatures w14:val="standardContextual"/>
            </w:rPr>
          </w:pPr>
          <w:hyperlink w:anchor="_Toc146892698" w:history="1">
            <w:r w:rsidR="00C175CC" w:rsidRPr="00D20FD1">
              <w:rPr>
                <w:rStyle w:val="Hyperlink"/>
              </w:rPr>
              <w:t>Overview</w:t>
            </w:r>
            <w:r w:rsidR="00C175CC">
              <w:rPr>
                <w:webHidden/>
              </w:rPr>
              <w:tab/>
            </w:r>
            <w:r w:rsidR="00C175CC">
              <w:rPr>
                <w:webHidden/>
              </w:rPr>
              <w:fldChar w:fldCharType="begin"/>
            </w:r>
            <w:r w:rsidR="00C175CC">
              <w:rPr>
                <w:webHidden/>
              </w:rPr>
              <w:instrText xml:space="preserve"> PAGEREF _Toc146892698 \h </w:instrText>
            </w:r>
            <w:r w:rsidR="00C175CC">
              <w:rPr>
                <w:webHidden/>
              </w:rPr>
            </w:r>
            <w:r w:rsidR="00C175CC">
              <w:rPr>
                <w:webHidden/>
              </w:rPr>
              <w:fldChar w:fldCharType="separate"/>
            </w:r>
            <w:r w:rsidR="007B05F8">
              <w:rPr>
                <w:webHidden/>
              </w:rPr>
              <w:t>224</w:t>
            </w:r>
            <w:r w:rsidR="00C175CC">
              <w:rPr>
                <w:webHidden/>
              </w:rPr>
              <w:fldChar w:fldCharType="end"/>
            </w:r>
          </w:hyperlink>
        </w:p>
        <w:p w14:paraId="7225B27B" w14:textId="69EEA756" w:rsidR="00C175CC" w:rsidRDefault="009C12D4">
          <w:pPr>
            <w:pStyle w:val="TOC2"/>
            <w:rPr>
              <w:rFonts w:asciiTheme="minorHAnsi" w:eastAsiaTheme="minorEastAsia" w:hAnsiTheme="minorHAnsi"/>
              <w:color w:val="auto"/>
              <w:kern w:val="2"/>
              <w:lang w:eastAsia="en-AU"/>
              <w14:ligatures w14:val="standardContextual"/>
            </w:rPr>
          </w:pPr>
          <w:hyperlink w:anchor="_Toc146892699" w:history="1">
            <w:r w:rsidR="00C175CC" w:rsidRPr="00D20FD1">
              <w:rPr>
                <w:rStyle w:val="Hyperlink"/>
              </w:rPr>
              <w:t>8</w:t>
            </w:r>
            <w:r w:rsidR="00C175CC" w:rsidRPr="00D20FD1">
              <w:rPr>
                <w:rStyle w:val="Hyperlink"/>
                <w:smallCaps/>
              </w:rPr>
              <w:t>a</w:t>
            </w:r>
            <w:r w:rsidR="00C175CC" w:rsidRPr="00D20FD1">
              <w:rPr>
                <w:rStyle w:val="Hyperlink"/>
              </w:rPr>
              <w:t xml:space="preserve">. </w:t>
            </w:r>
            <w:r w:rsidR="00C175CC" w:rsidRPr="00D20FD1">
              <w:rPr>
                <w:rStyle w:val="Hyperlink"/>
                <w:bCs/>
              </w:rPr>
              <w:t>Participation and attraction</w:t>
            </w:r>
            <w:r w:rsidR="00C175CC">
              <w:rPr>
                <w:webHidden/>
              </w:rPr>
              <w:tab/>
            </w:r>
            <w:r w:rsidR="00C175CC">
              <w:rPr>
                <w:webHidden/>
              </w:rPr>
              <w:fldChar w:fldCharType="begin"/>
            </w:r>
            <w:r w:rsidR="00C175CC">
              <w:rPr>
                <w:webHidden/>
              </w:rPr>
              <w:instrText xml:space="preserve"> PAGEREF _Toc146892699 \h </w:instrText>
            </w:r>
            <w:r w:rsidR="00C175CC">
              <w:rPr>
                <w:webHidden/>
              </w:rPr>
            </w:r>
            <w:r w:rsidR="00C175CC">
              <w:rPr>
                <w:webHidden/>
              </w:rPr>
              <w:fldChar w:fldCharType="separate"/>
            </w:r>
            <w:r w:rsidR="007B05F8">
              <w:rPr>
                <w:webHidden/>
              </w:rPr>
              <w:t>225</w:t>
            </w:r>
            <w:r w:rsidR="00C175CC">
              <w:rPr>
                <w:webHidden/>
              </w:rPr>
              <w:fldChar w:fldCharType="end"/>
            </w:r>
          </w:hyperlink>
        </w:p>
        <w:p w14:paraId="2B3D0329" w14:textId="3E62A570" w:rsidR="00C175CC" w:rsidRDefault="009C12D4">
          <w:pPr>
            <w:pStyle w:val="TOC2"/>
            <w:rPr>
              <w:rFonts w:asciiTheme="minorHAnsi" w:eastAsiaTheme="minorEastAsia" w:hAnsiTheme="minorHAnsi"/>
              <w:color w:val="auto"/>
              <w:kern w:val="2"/>
              <w:lang w:eastAsia="en-AU"/>
              <w14:ligatures w14:val="standardContextual"/>
            </w:rPr>
          </w:pPr>
          <w:hyperlink w:anchor="_Toc146892700" w:history="1">
            <w:r w:rsidR="00C175CC" w:rsidRPr="00D20FD1">
              <w:rPr>
                <w:rStyle w:val="Hyperlink"/>
              </w:rPr>
              <w:t>8</w:t>
            </w:r>
            <w:r w:rsidR="00C175CC" w:rsidRPr="00D20FD1">
              <w:rPr>
                <w:rStyle w:val="Hyperlink"/>
                <w:smallCaps/>
              </w:rPr>
              <w:t>b</w:t>
            </w:r>
            <w:r w:rsidR="00C175CC" w:rsidRPr="00D20FD1">
              <w:rPr>
                <w:rStyle w:val="Hyperlink"/>
              </w:rPr>
              <w:t>.</w:t>
            </w:r>
            <w:r w:rsidR="00C175CC" w:rsidRPr="00D20FD1">
              <w:rPr>
                <w:rStyle w:val="Hyperlink"/>
                <w:bCs/>
              </w:rPr>
              <w:t xml:space="preserve"> Maturing the clean energy sector</w:t>
            </w:r>
            <w:r w:rsidR="00C175CC">
              <w:rPr>
                <w:webHidden/>
              </w:rPr>
              <w:tab/>
            </w:r>
            <w:r w:rsidR="00C175CC">
              <w:rPr>
                <w:webHidden/>
              </w:rPr>
              <w:fldChar w:fldCharType="begin"/>
            </w:r>
            <w:r w:rsidR="00C175CC">
              <w:rPr>
                <w:webHidden/>
              </w:rPr>
              <w:instrText xml:space="preserve"> PAGEREF _Toc146892700 \h </w:instrText>
            </w:r>
            <w:r w:rsidR="00C175CC">
              <w:rPr>
                <w:webHidden/>
              </w:rPr>
            </w:r>
            <w:r w:rsidR="00C175CC">
              <w:rPr>
                <w:webHidden/>
              </w:rPr>
              <w:fldChar w:fldCharType="separate"/>
            </w:r>
            <w:r w:rsidR="007B05F8">
              <w:rPr>
                <w:webHidden/>
              </w:rPr>
              <w:t>236</w:t>
            </w:r>
            <w:r w:rsidR="00C175CC">
              <w:rPr>
                <w:webHidden/>
              </w:rPr>
              <w:fldChar w:fldCharType="end"/>
            </w:r>
          </w:hyperlink>
        </w:p>
        <w:p w14:paraId="5EAEF3B7" w14:textId="425B5490" w:rsidR="00C175CC" w:rsidRDefault="009C12D4">
          <w:pPr>
            <w:pStyle w:val="TOC2"/>
            <w:rPr>
              <w:rFonts w:asciiTheme="minorHAnsi" w:eastAsiaTheme="minorEastAsia" w:hAnsiTheme="minorHAnsi"/>
              <w:color w:val="auto"/>
              <w:kern w:val="2"/>
              <w:lang w:eastAsia="en-AU"/>
              <w14:ligatures w14:val="standardContextual"/>
            </w:rPr>
          </w:pPr>
          <w:hyperlink w:anchor="_Toc146892701" w:history="1">
            <w:r w:rsidR="00C175CC" w:rsidRPr="00D20FD1">
              <w:rPr>
                <w:rStyle w:val="Hyperlink"/>
              </w:rPr>
              <w:t>8</w:t>
            </w:r>
            <w:r w:rsidR="00C175CC" w:rsidRPr="00D20FD1">
              <w:rPr>
                <w:rStyle w:val="Hyperlink"/>
                <w:smallCaps/>
              </w:rPr>
              <w:t>c</w:t>
            </w:r>
            <w:r w:rsidR="00C175CC" w:rsidRPr="00D20FD1">
              <w:rPr>
                <w:rStyle w:val="Hyperlink"/>
              </w:rPr>
              <w:t xml:space="preserve">. </w:t>
            </w:r>
            <w:r w:rsidR="00C175CC" w:rsidRPr="00D20FD1">
              <w:rPr>
                <w:rStyle w:val="Hyperlink"/>
                <w:bCs/>
              </w:rPr>
              <w:t>Hiring and retention</w:t>
            </w:r>
            <w:r w:rsidR="00C175CC">
              <w:rPr>
                <w:webHidden/>
              </w:rPr>
              <w:tab/>
            </w:r>
            <w:r w:rsidR="00C175CC">
              <w:rPr>
                <w:webHidden/>
              </w:rPr>
              <w:fldChar w:fldCharType="begin"/>
            </w:r>
            <w:r w:rsidR="00C175CC">
              <w:rPr>
                <w:webHidden/>
              </w:rPr>
              <w:instrText xml:space="preserve"> PAGEREF _Toc146892701 \h </w:instrText>
            </w:r>
            <w:r w:rsidR="00C175CC">
              <w:rPr>
                <w:webHidden/>
              </w:rPr>
            </w:r>
            <w:r w:rsidR="00C175CC">
              <w:rPr>
                <w:webHidden/>
              </w:rPr>
              <w:fldChar w:fldCharType="separate"/>
            </w:r>
            <w:r w:rsidR="007B05F8">
              <w:rPr>
                <w:webHidden/>
              </w:rPr>
              <w:t>244</w:t>
            </w:r>
            <w:r w:rsidR="00C175CC">
              <w:rPr>
                <w:webHidden/>
              </w:rPr>
              <w:fldChar w:fldCharType="end"/>
            </w:r>
          </w:hyperlink>
        </w:p>
        <w:p w14:paraId="78C899AE" w14:textId="473401BC" w:rsidR="00C175CC" w:rsidRDefault="009C12D4">
          <w:pPr>
            <w:pStyle w:val="TOC2"/>
            <w:rPr>
              <w:rFonts w:asciiTheme="minorHAnsi" w:eastAsiaTheme="minorEastAsia" w:hAnsiTheme="minorHAnsi"/>
              <w:color w:val="auto"/>
              <w:kern w:val="2"/>
              <w:lang w:eastAsia="en-AU"/>
              <w14:ligatures w14:val="standardContextual"/>
            </w:rPr>
          </w:pPr>
          <w:hyperlink w:anchor="_Toc146892702" w:history="1">
            <w:r w:rsidR="00C175CC" w:rsidRPr="00D20FD1">
              <w:rPr>
                <w:rStyle w:val="Hyperlink"/>
              </w:rPr>
              <w:t>8</w:t>
            </w:r>
            <w:r w:rsidR="00C175CC" w:rsidRPr="00D20FD1">
              <w:rPr>
                <w:rStyle w:val="Hyperlink"/>
                <w:smallCaps/>
              </w:rPr>
              <w:t>d</w:t>
            </w:r>
            <w:r w:rsidR="00C175CC" w:rsidRPr="00D20FD1">
              <w:rPr>
                <w:rStyle w:val="Hyperlink"/>
              </w:rPr>
              <w:t xml:space="preserve">. </w:t>
            </w:r>
            <w:r w:rsidR="00C175CC" w:rsidRPr="00D20FD1">
              <w:rPr>
                <w:rStyle w:val="Hyperlink"/>
                <w:bCs/>
              </w:rPr>
              <w:t>Transitioning workers and communities</w:t>
            </w:r>
            <w:r w:rsidR="00C175CC">
              <w:rPr>
                <w:webHidden/>
              </w:rPr>
              <w:tab/>
            </w:r>
            <w:r w:rsidR="00C175CC">
              <w:rPr>
                <w:webHidden/>
              </w:rPr>
              <w:fldChar w:fldCharType="begin"/>
            </w:r>
            <w:r w:rsidR="00C175CC">
              <w:rPr>
                <w:webHidden/>
              </w:rPr>
              <w:instrText xml:space="preserve"> PAGEREF _Toc146892702 \h </w:instrText>
            </w:r>
            <w:r w:rsidR="00C175CC">
              <w:rPr>
                <w:webHidden/>
              </w:rPr>
            </w:r>
            <w:r w:rsidR="00C175CC">
              <w:rPr>
                <w:webHidden/>
              </w:rPr>
              <w:fldChar w:fldCharType="separate"/>
            </w:r>
            <w:r w:rsidR="007B05F8">
              <w:rPr>
                <w:webHidden/>
              </w:rPr>
              <w:t>246</w:t>
            </w:r>
            <w:r w:rsidR="00C175CC">
              <w:rPr>
                <w:webHidden/>
              </w:rPr>
              <w:fldChar w:fldCharType="end"/>
            </w:r>
          </w:hyperlink>
        </w:p>
        <w:p w14:paraId="42BC9F1F" w14:textId="1B244AC0"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703" w:history="1">
            <w:r w:rsidR="00C175CC" w:rsidRPr="00D20FD1">
              <w:rPr>
                <w:rStyle w:val="Hyperlink"/>
              </w:rPr>
              <w:t>Chapter 9: Findings and opportunities</w:t>
            </w:r>
            <w:r w:rsidR="00C175CC">
              <w:rPr>
                <w:webHidden/>
              </w:rPr>
              <w:tab/>
            </w:r>
            <w:r w:rsidR="00C175CC">
              <w:rPr>
                <w:webHidden/>
              </w:rPr>
              <w:fldChar w:fldCharType="begin"/>
            </w:r>
            <w:r w:rsidR="00C175CC">
              <w:rPr>
                <w:webHidden/>
              </w:rPr>
              <w:instrText xml:space="preserve"> PAGEREF _Toc146892703 \h </w:instrText>
            </w:r>
            <w:r w:rsidR="00C175CC">
              <w:rPr>
                <w:webHidden/>
              </w:rPr>
            </w:r>
            <w:r w:rsidR="00C175CC">
              <w:rPr>
                <w:webHidden/>
              </w:rPr>
              <w:fldChar w:fldCharType="separate"/>
            </w:r>
            <w:r w:rsidR="007B05F8">
              <w:rPr>
                <w:webHidden/>
              </w:rPr>
              <w:t>255</w:t>
            </w:r>
            <w:r w:rsidR="00C175CC">
              <w:rPr>
                <w:webHidden/>
              </w:rPr>
              <w:fldChar w:fldCharType="end"/>
            </w:r>
          </w:hyperlink>
        </w:p>
        <w:p w14:paraId="59314C4A" w14:textId="75BA5E02" w:rsidR="00C175CC" w:rsidRDefault="009C12D4">
          <w:pPr>
            <w:pStyle w:val="TOC2"/>
            <w:rPr>
              <w:rFonts w:asciiTheme="minorHAnsi" w:eastAsiaTheme="minorEastAsia" w:hAnsiTheme="minorHAnsi"/>
              <w:color w:val="auto"/>
              <w:kern w:val="2"/>
              <w:lang w:eastAsia="en-AU"/>
              <w14:ligatures w14:val="standardContextual"/>
            </w:rPr>
          </w:pPr>
          <w:hyperlink w:anchor="_Toc146892704" w:history="1">
            <w:r w:rsidR="00C175CC" w:rsidRPr="00D20FD1">
              <w:rPr>
                <w:rStyle w:val="Hyperlink"/>
              </w:rPr>
              <w:t>Overview</w:t>
            </w:r>
            <w:r w:rsidR="00C175CC">
              <w:rPr>
                <w:webHidden/>
              </w:rPr>
              <w:tab/>
            </w:r>
            <w:r w:rsidR="00C175CC">
              <w:rPr>
                <w:webHidden/>
              </w:rPr>
              <w:fldChar w:fldCharType="begin"/>
            </w:r>
            <w:r w:rsidR="00C175CC">
              <w:rPr>
                <w:webHidden/>
              </w:rPr>
              <w:instrText xml:space="preserve"> PAGEREF _Toc146892704 \h </w:instrText>
            </w:r>
            <w:r w:rsidR="00C175CC">
              <w:rPr>
                <w:webHidden/>
              </w:rPr>
            </w:r>
            <w:r w:rsidR="00C175CC">
              <w:rPr>
                <w:webHidden/>
              </w:rPr>
              <w:fldChar w:fldCharType="separate"/>
            </w:r>
            <w:r w:rsidR="007B05F8">
              <w:rPr>
                <w:webHidden/>
              </w:rPr>
              <w:t>256</w:t>
            </w:r>
            <w:r w:rsidR="00C175CC">
              <w:rPr>
                <w:webHidden/>
              </w:rPr>
              <w:fldChar w:fldCharType="end"/>
            </w:r>
          </w:hyperlink>
        </w:p>
        <w:p w14:paraId="53489F87" w14:textId="1123A4EB" w:rsidR="00C175CC" w:rsidRDefault="009C12D4">
          <w:pPr>
            <w:pStyle w:val="TOC1"/>
            <w:rPr>
              <w:rFonts w:asciiTheme="minorHAnsi" w:eastAsiaTheme="minorEastAsia" w:hAnsiTheme="minorHAnsi"/>
              <w:b w:val="0"/>
              <w:bCs w:val="0"/>
              <w:kern w:val="2"/>
              <w:sz w:val="22"/>
              <w:szCs w:val="22"/>
              <w:lang w:eastAsia="en-AU"/>
              <w14:ligatures w14:val="standardContextual"/>
            </w:rPr>
          </w:pPr>
          <w:hyperlink w:anchor="_Toc146892705" w:history="1">
            <w:r w:rsidR="00C175CC" w:rsidRPr="00D20FD1">
              <w:rPr>
                <w:rStyle w:val="Hyperlink"/>
              </w:rPr>
              <w:t>References</w:t>
            </w:r>
            <w:r w:rsidR="00C175CC">
              <w:rPr>
                <w:webHidden/>
              </w:rPr>
              <w:tab/>
            </w:r>
            <w:r w:rsidR="00C175CC">
              <w:rPr>
                <w:webHidden/>
              </w:rPr>
              <w:fldChar w:fldCharType="begin"/>
            </w:r>
            <w:r w:rsidR="00C175CC">
              <w:rPr>
                <w:webHidden/>
              </w:rPr>
              <w:instrText xml:space="preserve"> PAGEREF _Toc146892705 \h </w:instrText>
            </w:r>
            <w:r w:rsidR="00C175CC">
              <w:rPr>
                <w:webHidden/>
              </w:rPr>
            </w:r>
            <w:r w:rsidR="00C175CC">
              <w:rPr>
                <w:webHidden/>
              </w:rPr>
              <w:fldChar w:fldCharType="separate"/>
            </w:r>
            <w:r w:rsidR="007B05F8">
              <w:rPr>
                <w:webHidden/>
              </w:rPr>
              <w:t>272</w:t>
            </w:r>
            <w:r w:rsidR="00C175CC">
              <w:rPr>
                <w:webHidden/>
              </w:rPr>
              <w:fldChar w:fldCharType="end"/>
            </w:r>
          </w:hyperlink>
        </w:p>
        <w:p w14:paraId="753A5398" w14:textId="241CE66C" w:rsidR="00E51FBA" w:rsidRPr="00E5087D" w:rsidRDefault="00192659">
          <w:r w:rsidRPr="00BB2E09">
            <w:rPr>
              <w:color w:val="441170" w:themeColor="text2"/>
              <w:sz w:val="24"/>
            </w:rPr>
            <w:fldChar w:fldCharType="end"/>
          </w:r>
        </w:p>
      </w:sdtContent>
    </w:sdt>
    <w:p w14:paraId="108C99AF" w14:textId="405A15EA" w:rsidR="00E51FBA" w:rsidRPr="00E5087D" w:rsidRDefault="00E51FBA">
      <w:r w:rsidRPr="00E5087D">
        <w:br w:type="page"/>
      </w:r>
    </w:p>
    <w:p w14:paraId="09093C8E" w14:textId="024F3061" w:rsidR="00EA0608" w:rsidRDefault="00EA0608" w:rsidP="000606EF">
      <w:pPr>
        <w:pStyle w:val="Heading1"/>
        <w:rPr>
          <w:color w:val="000000" w:themeColor="text1"/>
        </w:rPr>
      </w:pPr>
      <w:bookmarkStart w:id="2" w:name="_Toc146892656"/>
      <w:r>
        <w:rPr>
          <w:color w:val="000000" w:themeColor="text1"/>
        </w:rPr>
        <w:lastRenderedPageBreak/>
        <w:t>Glossary</w:t>
      </w:r>
      <w:bookmarkEnd w:id="2"/>
    </w:p>
    <w:tbl>
      <w:tblPr>
        <w:tblStyle w:val="TableGrid"/>
        <w:tblW w:w="8784" w:type="dxa"/>
        <w:tblBorders>
          <w:top w:val="none" w:sz="0" w:space="0" w:color="auto"/>
          <w:left w:val="none" w:sz="0" w:space="0" w:color="auto"/>
          <w:bottom w:val="none" w:sz="0" w:space="0" w:color="auto"/>
          <w:right w:val="none" w:sz="0" w:space="0" w:color="auto"/>
          <w:insideH w:val="single" w:sz="6" w:space="0" w:color="A6A6A6" w:themeColor="background1" w:themeShade="A6"/>
          <w:insideV w:val="none" w:sz="0" w:space="0" w:color="auto"/>
        </w:tblBorders>
        <w:tblLook w:val="04A0" w:firstRow="1" w:lastRow="0" w:firstColumn="1" w:lastColumn="0" w:noHBand="0" w:noVBand="1"/>
      </w:tblPr>
      <w:tblGrid>
        <w:gridCol w:w="1561"/>
        <w:gridCol w:w="7223"/>
      </w:tblGrid>
      <w:tr w:rsidR="00BA6B75" w:rsidRPr="00684683" w14:paraId="49BC25F4" w14:textId="77777777" w:rsidTr="000606EF">
        <w:trPr>
          <w:trHeight w:val="300"/>
        </w:trPr>
        <w:tc>
          <w:tcPr>
            <w:tcW w:w="1271" w:type="dxa"/>
            <w:shd w:val="clear" w:color="auto" w:fill="D2DE5A" w:themeFill="background2"/>
          </w:tcPr>
          <w:p w14:paraId="19F2925C" w14:textId="77777777" w:rsidR="00BA6B75" w:rsidRPr="00684683" w:rsidRDefault="00BA6B75" w:rsidP="000606EF">
            <w:pPr>
              <w:tabs>
                <w:tab w:val="left" w:pos="709"/>
              </w:tabs>
              <w:spacing w:before="60" w:after="60"/>
              <w:rPr>
                <w:b/>
                <w:bCs/>
              </w:rPr>
            </w:pPr>
            <w:r w:rsidRPr="00684683">
              <w:rPr>
                <w:b/>
                <w:bCs/>
              </w:rPr>
              <w:t>Abbreviation</w:t>
            </w:r>
          </w:p>
        </w:tc>
        <w:tc>
          <w:tcPr>
            <w:tcW w:w="7513" w:type="dxa"/>
            <w:shd w:val="clear" w:color="auto" w:fill="D2DE5A" w:themeFill="background2"/>
          </w:tcPr>
          <w:p w14:paraId="09E5A373" w14:textId="77777777" w:rsidR="00BA6B75" w:rsidRPr="00684683" w:rsidRDefault="00BA6B75" w:rsidP="000606EF">
            <w:pPr>
              <w:tabs>
                <w:tab w:val="left" w:pos="709"/>
              </w:tabs>
              <w:spacing w:before="60" w:after="60"/>
              <w:rPr>
                <w:b/>
                <w:bCs/>
              </w:rPr>
            </w:pPr>
            <w:r w:rsidRPr="00684683">
              <w:rPr>
                <w:b/>
                <w:bCs/>
              </w:rPr>
              <w:t>What it stands for</w:t>
            </w:r>
          </w:p>
        </w:tc>
      </w:tr>
      <w:tr w:rsidR="00BA6B75" w14:paraId="4B1E820F" w14:textId="77777777" w:rsidTr="000606EF">
        <w:trPr>
          <w:trHeight w:val="20"/>
        </w:trPr>
        <w:tc>
          <w:tcPr>
            <w:tcW w:w="1271" w:type="dxa"/>
          </w:tcPr>
          <w:p w14:paraId="5208DDCD"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bookmarkStart w:id="3" w:name="_Hlk144975483"/>
            <w:r w:rsidRPr="00BA6B75">
              <w:rPr>
                <w:rFonts w:asciiTheme="majorHAnsi" w:hAnsiTheme="majorHAnsi" w:cstheme="majorHAnsi"/>
                <w:sz w:val="20"/>
                <w:szCs w:val="20"/>
                <w14:numForm w14:val="lining"/>
                <w14:numSpacing w14:val="proportional"/>
              </w:rPr>
              <w:t>AASN</w:t>
            </w:r>
          </w:p>
        </w:tc>
        <w:tc>
          <w:tcPr>
            <w:tcW w:w="7513" w:type="dxa"/>
          </w:tcPr>
          <w:p w14:paraId="3931EB59"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Apprenticeship Support Network</w:t>
            </w:r>
          </w:p>
        </w:tc>
      </w:tr>
      <w:tr w:rsidR="00BA6B75" w14:paraId="7DB9941F" w14:textId="77777777" w:rsidTr="000606EF">
        <w:trPr>
          <w:trHeight w:val="20"/>
        </w:trPr>
        <w:tc>
          <w:tcPr>
            <w:tcW w:w="1271" w:type="dxa"/>
          </w:tcPr>
          <w:p w14:paraId="6C705349"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ABS</w:t>
            </w:r>
          </w:p>
        </w:tc>
        <w:tc>
          <w:tcPr>
            <w:tcW w:w="7513" w:type="dxa"/>
          </w:tcPr>
          <w:p w14:paraId="2C380F8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Bureau of Statistics</w:t>
            </w:r>
          </w:p>
        </w:tc>
      </w:tr>
      <w:tr w:rsidR="00BA6B75" w14:paraId="2B6DC8A9" w14:textId="77777777" w:rsidTr="000606EF">
        <w:trPr>
          <w:trHeight w:val="20"/>
        </w:trPr>
        <w:tc>
          <w:tcPr>
            <w:tcW w:w="1271" w:type="dxa"/>
          </w:tcPr>
          <w:p w14:paraId="53746BC9"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ACCU</w:t>
            </w:r>
          </w:p>
        </w:tc>
        <w:tc>
          <w:tcPr>
            <w:tcW w:w="7513" w:type="dxa"/>
          </w:tcPr>
          <w:p w14:paraId="3457E80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Australian Carbon Credit Unit</w:t>
            </w:r>
          </w:p>
        </w:tc>
      </w:tr>
      <w:tr w:rsidR="00BA6B75" w14:paraId="551AC502" w14:textId="77777777" w:rsidTr="000606EF">
        <w:trPr>
          <w:trHeight w:val="20"/>
        </w:trPr>
        <w:tc>
          <w:tcPr>
            <w:tcW w:w="1271" w:type="dxa"/>
          </w:tcPr>
          <w:p w14:paraId="2DB7CCF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ACES</w:t>
            </w:r>
          </w:p>
        </w:tc>
        <w:tc>
          <w:tcPr>
            <w:tcW w:w="7513" w:type="dxa"/>
          </w:tcPr>
          <w:p w14:paraId="7F3FFEB1"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ARC Centre of Excellence for Electromaterial Science</w:t>
            </w:r>
          </w:p>
        </w:tc>
      </w:tr>
      <w:tr w:rsidR="00BA6B75" w14:paraId="2E4217E3" w14:textId="77777777" w:rsidTr="000606EF">
        <w:trPr>
          <w:trHeight w:val="20"/>
        </w:trPr>
        <w:tc>
          <w:tcPr>
            <w:tcW w:w="1271" w:type="dxa"/>
          </w:tcPr>
          <w:p w14:paraId="7F04CF8A" w14:textId="77777777" w:rsidR="00BA6B75" w:rsidRPr="00BA6B75" w:rsidRDefault="00BA6B75" w:rsidP="00BA6B75">
            <w:pPr>
              <w:rPr>
                <w:rFonts w:asciiTheme="majorHAnsi" w:eastAsia="Arial" w:hAnsiTheme="majorHAnsi" w:cstheme="majorHAnsi"/>
                <w:sz w:val="20"/>
                <w:szCs w:val="20"/>
              </w:rPr>
            </w:pPr>
            <w:r w:rsidRPr="00BA6B75">
              <w:rPr>
                <w:rFonts w:asciiTheme="majorHAnsi" w:eastAsia="Arial" w:hAnsiTheme="majorHAnsi" w:cstheme="majorHAnsi"/>
                <w:sz w:val="20"/>
                <w:szCs w:val="20"/>
              </w:rPr>
              <w:t>ADR</w:t>
            </w:r>
          </w:p>
        </w:tc>
        <w:tc>
          <w:tcPr>
            <w:tcW w:w="7513" w:type="dxa"/>
          </w:tcPr>
          <w:p w14:paraId="769ADDF6" w14:textId="77777777" w:rsidR="00BA6B75" w:rsidRPr="00BA6B75" w:rsidRDefault="00BA6B75" w:rsidP="00BA6B75">
            <w:pPr>
              <w:rPr>
                <w:rFonts w:asciiTheme="majorHAnsi" w:hAnsiTheme="majorHAnsi" w:cstheme="majorHAnsi"/>
                <w:sz w:val="20"/>
                <w:szCs w:val="20"/>
              </w:rPr>
            </w:pPr>
            <w:r w:rsidRPr="00BA6B75">
              <w:rPr>
                <w:rFonts w:asciiTheme="majorHAnsi" w:hAnsiTheme="majorHAnsi" w:cstheme="majorHAnsi"/>
                <w:sz w:val="20"/>
                <w:szCs w:val="20"/>
              </w:rPr>
              <w:t>Automatic Deemed Registration</w:t>
            </w:r>
          </w:p>
        </w:tc>
      </w:tr>
      <w:tr w:rsidR="00BA6B75" w14:paraId="75C90E99" w14:textId="77777777" w:rsidTr="000606EF">
        <w:trPr>
          <w:trHeight w:val="20"/>
        </w:trPr>
        <w:tc>
          <w:tcPr>
            <w:tcW w:w="1271" w:type="dxa"/>
          </w:tcPr>
          <w:p w14:paraId="389B1A22"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AEER</w:t>
            </w:r>
          </w:p>
        </w:tc>
        <w:tc>
          <w:tcPr>
            <w:tcW w:w="7513" w:type="dxa"/>
          </w:tcPr>
          <w:p w14:paraId="31466CCF"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Energy Employment Report</w:t>
            </w:r>
          </w:p>
        </w:tc>
      </w:tr>
      <w:tr w:rsidR="00BA6B75" w14:paraId="5DFC9122" w14:textId="77777777" w:rsidTr="000606EF">
        <w:trPr>
          <w:trHeight w:val="20"/>
        </w:trPr>
        <w:tc>
          <w:tcPr>
            <w:tcW w:w="1271" w:type="dxa"/>
          </w:tcPr>
          <w:p w14:paraId="3D41F5C6"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AGEC</w:t>
            </w:r>
          </w:p>
        </w:tc>
        <w:tc>
          <w:tcPr>
            <w:tcW w:w="7513" w:type="dxa"/>
          </w:tcPr>
          <w:p w14:paraId="267E7FE1"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Australian Gender Equality Council</w:t>
            </w:r>
          </w:p>
        </w:tc>
      </w:tr>
      <w:tr w:rsidR="00BA6B75" w14:paraId="472C3295" w14:textId="77777777" w:rsidTr="000606EF">
        <w:trPr>
          <w:trHeight w:val="20"/>
        </w:trPr>
        <w:tc>
          <w:tcPr>
            <w:tcW w:w="1271" w:type="dxa"/>
          </w:tcPr>
          <w:p w14:paraId="3D58C09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AEMO</w:t>
            </w:r>
          </w:p>
        </w:tc>
        <w:tc>
          <w:tcPr>
            <w:tcW w:w="7513" w:type="dxa"/>
          </w:tcPr>
          <w:p w14:paraId="10E1F2C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Australian Electricity Market Operator</w:t>
            </w:r>
          </w:p>
        </w:tc>
      </w:tr>
      <w:tr w:rsidR="00BA6B75" w14:paraId="03C5E1A5" w14:textId="77777777" w:rsidTr="000606EF">
        <w:trPr>
          <w:trHeight w:val="20"/>
        </w:trPr>
        <w:tc>
          <w:tcPr>
            <w:tcW w:w="1271" w:type="dxa"/>
          </w:tcPr>
          <w:p w14:paraId="059D59F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AHC</w:t>
            </w:r>
          </w:p>
        </w:tc>
        <w:tc>
          <w:tcPr>
            <w:tcW w:w="7513" w:type="dxa"/>
          </w:tcPr>
          <w:p w14:paraId="0092334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Hydrogen Council</w:t>
            </w:r>
          </w:p>
        </w:tc>
      </w:tr>
      <w:tr w:rsidR="00BA6B75" w14:paraId="03B2A242" w14:textId="77777777" w:rsidTr="000606EF">
        <w:trPr>
          <w:trHeight w:val="20"/>
        </w:trPr>
        <w:tc>
          <w:tcPr>
            <w:tcW w:w="1271" w:type="dxa"/>
          </w:tcPr>
          <w:p w14:paraId="596E28E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AGN</w:t>
            </w:r>
          </w:p>
        </w:tc>
        <w:tc>
          <w:tcPr>
            <w:tcW w:w="7513" w:type="dxa"/>
          </w:tcPr>
          <w:p w14:paraId="7224AAA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Gas Networks</w:t>
            </w:r>
          </w:p>
        </w:tc>
      </w:tr>
      <w:bookmarkEnd w:id="3"/>
      <w:tr w:rsidR="00BA6B75" w14:paraId="2791ECB8" w14:textId="77777777" w:rsidTr="000606EF">
        <w:trPr>
          <w:trHeight w:val="20"/>
        </w:trPr>
        <w:tc>
          <w:tcPr>
            <w:tcW w:w="1271" w:type="dxa"/>
          </w:tcPr>
          <w:p w14:paraId="77076144"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rPr>
              <w:t>Ai Group</w:t>
            </w:r>
          </w:p>
        </w:tc>
        <w:tc>
          <w:tcPr>
            <w:tcW w:w="7513" w:type="dxa"/>
          </w:tcPr>
          <w:p w14:paraId="712B5CBF"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hAnsiTheme="majorHAnsi" w:cstheme="majorHAnsi"/>
                <w:sz w:val="20"/>
                <w:szCs w:val="20"/>
              </w:rPr>
              <w:t>Australian Industry Group</w:t>
            </w:r>
          </w:p>
        </w:tc>
      </w:tr>
      <w:tr w:rsidR="00BA6B75" w14:paraId="75FFC3E6" w14:textId="77777777" w:rsidTr="000606EF">
        <w:trPr>
          <w:trHeight w:val="20"/>
        </w:trPr>
        <w:tc>
          <w:tcPr>
            <w:tcW w:w="1271" w:type="dxa"/>
          </w:tcPr>
          <w:p w14:paraId="243326E3" w14:textId="77777777" w:rsidR="00BA6B75" w:rsidRPr="00BA6B75" w:rsidRDefault="00BA6B75" w:rsidP="00BA6B75">
            <w:pPr>
              <w:rPr>
                <w:rFonts w:asciiTheme="majorHAnsi" w:hAnsiTheme="majorHAnsi" w:cstheme="majorHAnsi"/>
                <w:sz w:val="20"/>
                <w:szCs w:val="20"/>
              </w:rPr>
            </w:pPr>
            <w:r w:rsidRPr="00BA6B75">
              <w:rPr>
                <w:rFonts w:asciiTheme="majorHAnsi" w:hAnsiTheme="majorHAnsi" w:cstheme="majorHAnsi"/>
                <w:sz w:val="20"/>
                <w:szCs w:val="20"/>
              </w:rPr>
              <w:t>AMR</w:t>
            </w:r>
          </w:p>
        </w:tc>
        <w:tc>
          <w:tcPr>
            <w:tcW w:w="7513" w:type="dxa"/>
          </w:tcPr>
          <w:p w14:paraId="59679659" w14:textId="77777777" w:rsidR="00BA6B75" w:rsidRPr="00BA6B75" w:rsidRDefault="00BA6B75" w:rsidP="00BA6B75">
            <w:pPr>
              <w:rPr>
                <w:rFonts w:asciiTheme="majorHAnsi" w:hAnsiTheme="majorHAnsi" w:cstheme="majorHAnsi"/>
                <w:sz w:val="20"/>
                <w:szCs w:val="20"/>
              </w:rPr>
            </w:pPr>
            <w:r w:rsidRPr="00BA6B75">
              <w:rPr>
                <w:rFonts w:asciiTheme="majorHAnsi" w:hAnsiTheme="majorHAnsi" w:cstheme="majorHAnsi"/>
                <w:sz w:val="20"/>
                <w:szCs w:val="20"/>
              </w:rPr>
              <w:t xml:space="preserve">Automatic Mutual Recognition </w:t>
            </w:r>
          </w:p>
        </w:tc>
      </w:tr>
      <w:tr w:rsidR="00BA6B75" w14:paraId="3EF4DD56" w14:textId="77777777" w:rsidTr="000606EF">
        <w:trPr>
          <w:trHeight w:val="20"/>
        </w:trPr>
        <w:tc>
          <w:tcPr>
            <w:tcW w:w="1271" w:type="dxa"/>
          </w:tcPr>
          <w:p w14:paraId="700B3A2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ANU</w:t>
            </w:r>
          </w:p>
        </w:tc>
        <w:tc>
          <w:tcPr>
            <w:tcW w:w="7513" w:type="dxa"/>
          </w:tcPr>
          <w:p w14:paraId="79C2BDB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National University</w:t>
            </w:r>
          </w:p>
        </w:tc>
      </w:tr>
      <w:tr w:rsidR="00BA6B75" w14:paraId="5B3F316D" w14:textId="77777777" w:rsidTr="000606EF">
        <w:trPr>
          <w:trHeight w:val="20"/>
        </w:trPr>
        <w:tc>
          <w:tcPr>
            <w:tcW w:w="1271" w:type="dxa"/>
          </w:tcPr>
          <w:p w14:paraId="52DC0D93"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ANZSCO</w:t>
            </w:r>
          </w:p>
        </w:tc>
        <w:tc>
          <w:tcPr>
            <w:tcW w:w="7513" w:type="dxa"/>
          </w:tcPr>
          <w:p w14:paraId="5F01985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Australian and New Zealand Standard Classification of Occupations</w:t>
            </w:r>
          </w:p>
        </w:tc>
      </w:tr>
      <w:tr w:rsidR="00BA6B75" w14:paraId="66BD2517" w14:textId="77777777" w:rsidTr="000606EF">
        <w:trPr>
          <w:trHeight w:val="20"/>
        </w:trPr>
        <w:tc>
          <w:tcPr>
            <w:tcW w:w="1271" w:type="dxa"/>
          </w:tcPr>
          <w:p w14:paraId="2258164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ANZSIC</w:t>
            </w:r>
          </w:p>
        </w:tc>
        <w:tc>
          <w:tcPr>
            <w:tcW w:w="7513" w:type="dxa"/>
          </w:tcPr>
          <w:p w14:paraId="285BD9B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Australia and New Zealand Standard Industry Classification</w:t>
            </w:r>
          </w:p>
        </w:tc>
      </w:tr>
      <w:tr w:rsidR="00BA6B75" w14:paraId="5C23136A" w14:textId="77777777" w:rsidTr="000606EF">
        <w:trPr>
          <w:trHeight w:val="20"/>
        </w:trPr>
        <w:tc>
          <w:tcPr>
            <w:tcW w:w="1271" w:type="dxa"/>
          </w:tcPr>
          <w:p w14:paraId="0144BFBF"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APEA</w:t>
            </w:r>
          </w:p>
        </w:tc>
        <w:tc>
          <w:tcPr>
            <w:tcW w:w="7513" w:type="dxa"/>
          </w:tcPr>
          <w:p w14:paraId="457CB470"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Association of Professional Engineers Australia</w:t>
            </w:r>
          </w:p>
        </w:tc>
      </w:tr>
      <w:tr w:rsidR="00BA6B75" w14:paraId="54960062" w14:textId="77777777" w:rsidTr="000606EF">
        <w:trPr>
          <w:trHeight w:val="20"/>
        </w:trPr>
        <w:tc>
          <w:tcPr>
            <w:tcW w:w="1271" w:type="dxa"/>
          </w:tcPr>
          <w:p w14:paraId="48ACAFE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AQF</w:t>
            </w:r>
          </w:p>
        </w:tc>
        <w:tc>
          <w:tcPr>
            <w:tcW w:w="7513" w:type="dxa"/>
          </w:tcPr>
          <w:p w14:paraId="23E6494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Qualifications Framework</w:t>
            </w:r>
          </w:p>
        </w:tc>
      </w:tr>
      <w:tr w:rsidR="00BA6B75" w14:paraId="0FBE72AF" w14:textId="77777777" w:rsidTr="000606EF">
        <w:trPr>
          <w:trHeight w:val="20"/>
        </w:trPr>
        <w:tc>
          <w:tcPr>
            <w:tcW w:w="1271" w:type="dxa"/>
          </w:tcPr>
          <w:p w14:paraId="1999966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ARC</w:t>
            </w:r>
          </w:p>
        </w:tc>
        <w:tc>
          <w:tcPr>
            <w:tcW w:w="7513" w:type="dxa"/>
          </w:tcPr>
          <w:p w14:paraId="342BCF5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Research Council</w:t>
            </w:r>
          </w:p>
        </w:tc>
      </w:tr>
      <w:tr w:rsidR="00BA6B75" w14:paraId="5A58656E" w14:textId="77777777" w:rsidTr="000606EF">
        <w:trPr>
          <w:trHeight w:val="20"/>
        </w:trPr>
        <w:tc>
          <w:tcPr>
            <w:tcW w:w="1271" w:type="dxa"/>
          </w:tcPr>
          <w:p w14:paraId="184265E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ARENA</w:t>
            </w:r>
          </w:p>
        </w:tc>
        <w:tc>
          <w:tcPr>
            <w:tcW w:w="7513" w:type="dxa"/>
          </w:tcPr>
          <w:p w14:paraId="464B85C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Renewable Energy Agency</w:t>
            </w:r>
          </w:p>
        </w:tc>
      </w:tr>
      <w:tr w:rsidR="00BA6B75" w14:paraId="01A1D785" w14:textId="77777777" w:rsidTr="000606EF">
        <w:trPr>
          <w:trHeight w:val="20"/>
        </w:trPr>
        <w:tc>
          <w:tcPr>
            <w:tcW w:w="1271" w:type="dxa"/>
          </w:tcPr>
          <w:p w14:paraId="0C381F0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ASbA</w:t>
            </w:r>
          </w:p>
        </w:tc>
        <w:tc>
          <w:tcPr>
            <w:tcW w:w="7513" w:type="dxa"/>
          </w:tcPr>
          <w:p w14:paraId="600A2E5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Australian School-based Apprenticeship </w:t>
            </w:r>
          </w:p>
        </w:tc>
      </w:tr>
      <w:tr w:rsidR="00BA6B75" w14:paraId="57954308" w14:textId="77777777" w:rsidTr="000606EF">
        <w:trPr>
          <w:trHeight w:val="20"/>
        </w:trPr>
        <w:tc>
          <w:tcPr>
            <w:tcW w:w="1271" w:type="dxa"/>
          </w:tcPr>
          <w:p w14:paraId="38D5B71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ASU</w:t>
            </w:r>
          </w:p>
        </w:tc>
        <w:tc>
          <w:tcPr>
            <w:tcW w:w="7513" w:type="dxa"/>
          </w:tcPr>
          <w:p w14:paraId="79DE133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Services Union</w:t>
            </w:r>
          </w:p>
        </w:tc>
      </w:tr>
      <w:tr w:rsidR="00BA6B75" w14:paraId="25A7B6DB" w14:textId="77777777" w:rsidTr="000606EF">
        <w:trPr>
          <w:trHeight w:val="20"/>
        </w:trPr>
        <w:tc>
          <w:tcPr>
            <w:tcW w:w="1271" w:type="dxa"/>
          </w:tcPr>
          <w:p w14:paraId="1439808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ATAR</w:t>
            </w:r>
          </w:p>
        </w:tc>
        <w:tc>
          <w:tcPr>
            <w:tcW w:w="7513" w:type="dxa"/>
          </w:tcPr>
          <w:p w14:paraId="7D04366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Tertiary Admission Rank</w:t>
            </w:r>
          </w:p>
        </w:tc>
      </w:tr>
      <w:tr w:rsidR="00BA6B75" w14:paraId="0E3A56CC" w14:textId="77777777" w:rsidTr="000606EF">
        <w:trPr>
          <w:trHeight w:val="20"/>
        </w:trPr>
        <w:tc>
          <w:tcPr>
            <w:tcW w:w="1271" w:type="dxa"/>
          </w:tcPr>
          <w:p w14:paraId="2E1EB44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AWU</w:t>
            </w:r>
          </w:p>
        </w:tc>
        <w:tc>
          <w:tcPr>
            <w:tcW w:w="7513" w:type="dxa"/>
          </w:tcPr>
          <w:p w14:paraId="6AF6843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Workers Union</w:t>
            </w:r>
          </w:p>
        </w:tc>
      </w:tr>
      <w:tr w:rsidR="00BA6B75" w14:paraId="22B806DC" w14:textId="77777777" w:rsidTr="000606EF">
        <w:trPr>
          <w:trHeight w:val="20"/>
        </w:trPr>
        <w:tc>
          <w:tcPr>
            <w:tcW w:w="1271" w:type="dxa"/>
          </w:tcPr>
          <w:p w14:paraId="6F20817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BEV</w:t>
            </w:r>
          </w:p>
        </w:tc>
        <w:tc>
          <w:tcPr>
            <w:tcW w:w="7513" w:type="dxa"/>
          </w:tcPr>
          <w:p w14:paraId="4D1466C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Battery Electric Vehicle </w:t>
            </w:r>
          </w:p>
        </w:tc>
      </w:tr>
      <w:tr w:rsidR="00BA6B75" w14:paraId="40753DE6" w14:textId="77777777" w:rsidTr="000606EF">
        <w:trPr>
          <w:trHeight w:val="20"/>
        </w:trPr>
        <w:tc>
          <w:tcPr>
            <w:tcW w:w="1271" w:type="dxa"/>
          </w:tcPr>
          <w:p w14:paraId="08EBF79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CALD</w:t>
            </w:r>
          </w:p>
        </w:tc>
        <w:tc>
          <w:tcPr>
            <w:tcW w:w="7513" w:type="dxa"/>
          </w:tcPr>
          <w:p w14:paraId="5F865B9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Culturally and linguistically diverse</w:t>
            </w:r>
          </w:p>
        </w:tc>
      </w:tr>
      <w:tr w:rsidR="00BA6B75" w14:paraId="75AA73E0" w14:textId="77777777" w:rsidTr="000606EF">
        <w:trPr>
          <w:trHeight w:val="20"/>
        </w:trPr>
        <w:tc>
          <w:tcPr>
            <w:tcW w:w="1271" w:type="dxa"/>
          </w:tcPr>
          <w:p w14:paraId="6CD46C4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CCUS</w:t>
            </w:r>
          </w:p>
        </w:tc>
        <w:tc>
          <w:tcPr>
            <w:tcW w:w="7513" w:type="dxa"/>
          </w:tcPr>
          <w:p w14:paraId="2C4BDEA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Carbon capture, utilisation and storage </w:t>
            </w:r>
          </w:p>
        </w:tc>
      </w:tr>
      <w:tr w:rsidR="00BA6B75" w14:paraId="591EAE3E" w14:textId="77777777" w:rsidTr="000606EF">
        <w:trPr>
          <w:trHeight w:val="20"/>
        </w:trPr>
        <w:tc>
          <w:tcPr>
            <w:tcW w:w="1271" w:type="dxa"/>
          </w:tcPr>
          <w:p w14:paraId="272C613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CEC</w:t>
            </w:r>
          </w:p>
        </w:tc>
        <w:tc>
          <w:tcPr>
            <w:tcW w:w="7513" w:type="dxa"/>
          </w:tcPr>
          <w:p w14:paraId="6C9988B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Clean Energy Council </w:t>
            </w:r>
          </w:p>
        </w:tc>
      </w:tr>
      <w:tr w:rsidR="00BA6B75" w14:paraId="6ACD36C7" w14:textId="77777777" w:rsidTr="000606EF">
        <w:trPr>
          <w:trHeight w:val="20"/>
        </w:trPr>
        <w:tc>
          <w:tcPr>
            <w:tcW w:w="1271" w:type="dxa"/>
          </w:tcPr>
          <w:p w14:paraId="090F71B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CEDA</w:t>
            </w:r>
          </w:p>
        </w:tc>
        <w:tc>
          <w:tcPr>
            <w:tcW w:w="7513" w:type="dxa"/>
          </w:tcPr>
          <w:p w14:paraId="308B4B1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Committee for Economic Development of Australia</w:t>
            </w:r>
          </w:p>
        </w:tc>
      </w:tr>
      <w:tr w:rsidR="00BA6B75" w14:paraId="4BC673E9" w14:textId="77777777" w:rsidTr="000606EF">
        <w:trPr>
          <w:trHeight w:val="20"/>
        </w:trPr>
        <w:tc>
          <w:tcPr>
            <w:tcW w:w="1271" w:type="dxa"/>
          </w:tcPr>
          <w:p w14:paraId="5DBB66AE"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rPr>
              <w:t>CFMEU</w:t>
            </w:r>
          </w:p>
        </w:tc>
        <w:tc>
          <w:tcPr>
            <w:tcW w:w="7513" w:type="dxa"/>
          </w:tcPr>
          <w:p w14:paraId="795EFA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Construction Forestry Maritime Mining Energy Union</w:t>
            </w:r>
          </w:p>
        </w:tc>
      </w:tr>
      <w:tr w:rsidR="00BA6B75" w14:paraId="500AF59E" w14:textId="77777777" w:rsidTr="000606EF">
        <w:trPr>
          <w:trHeight w:val="20"/>
        </w:trPr>
        <w:tc>
          <w:tcPr>
            <w:tcW w:w="1271" w:type="dxa"/>
          </w:tcPr>
          <w:p w14:paraId="17599BA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CGE</w:t>
            </w:r>
          </w:p>
        </w:tc>
        <w:tc>
          <w:tcPr>
            <w:tcW w:w="7513" w:type="dxa"/>
          </w:tcPr>
          <w:p w14:paraId="63B5C9C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Computable general equilibrium</w:t>
            </w:r>
          </w:p>
        </w:tc>
      </w:tr>
      <w:tr w:rsidR="00BA6B75" w14:paraId="1E419A98" w14:textId="77777777" w:rsidTr="000606EF">
        <w:trPr>
          <w:trHeight w:val="20"/>
        </w:trPr>
        <w:tc>
          <w:tcPr>
            <w:tcW w:w="1271" w:type="dxa"/>
          </w:tcPr>
          <w:p w14:paraId="4F7D80D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CIT</w:t>
            </w:r>
          </w:p>
        </w:tc>
        <w:tc>
          <w:tcPr>
            <w:tcW w:w="7513" w:type="dxa"/>
          </w:tcPr>
          <w:p w14:paraId="1CC3CAA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Canberra Institute of Technology</w:t>
            </w:r>
          </w:p>
        </w:tc>
      </w:tr>
      <w:tr w:rsidR="00BA6B75" w14:paraId="3B8A01BE" w14:textId="77777777" w:rsidTr="000606EF">
        <w:trPr>
          <w:trHeight w:val="20"/>
        </w:trPr>
        <w:tc>
          <w:tcPr>
            <w:tcW w:w="1271" w:type="dxa"/>
          </w:tcPr>
          <w:p w14:paraId="55D488B7"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CRC</w:t>
            </w:r>
          </w:p>
        </w:tc>
        <w:tc>
          <w:tcPr>
            <w:tcW w:w="7513" w:type="dxa"/>
          </w:tcPr>
          <w:p w14:paraId="558DC9F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Cooperative Research Centre</w:t>
            </w:r>
          </w:p>
        </w:tc>
      </w:tr>
      <w:tr w:rsidR="00BA6B75" w14:paraId="2B390CCE" w14:textId="77777777" w:rsidTr="000606EF">
        <w:trPr>
          <w:trHeight w:val="20"/>
        </w:trPr>
        <w:tc>
          <w:tcPr>
            <w:tcW w:w="1271" w:type="dxa"/>
          </w:tcPr>
          <w:p w14:paraId="387196E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CSIRO</w:t>
            </w:r>
          </w:p>
        </w:tc>
        <w:tc>
          <w:tcPr>
            <w:tcW w:w="7513" w:type="dxa"/>
          </w:tcPr>
          <w:p w14:paraId="78B74E0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Commonwealth Scientific and Industrial Research Organisation</w:t>
            </w:r>
          </w:p>
        </w:tc>
      </w:tr>
      <w:tr w:rsidR="00BA6B75" w14:paraId="13F308C3" w14:textId="77777777" w:rsidTr="000606EF">
        <w:trPr>
          <w:trHeight w:val="20"/>
        </w:trPr>
        <w:tc>
          <w:tcPr>
            <w:tcW w:w="1271" w:type="dxa"/>
          </w:tcPr>
          <w:p w14:paraId="46ACFF6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DAE</w:t>
            </w:r>
          </w:p>
        </w:tc>
        <w:tc>
          <w:tcPr>
            <w:tcW w:w="7513" w:type="dxa"/>
          </w:tcPr>
          <w:p w14:paraId="75CEA73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Deloitte Access Economics </w:t>
            </w:r>
          </w:p>
        </w:tc>
      </w:tr>
      <w:tr w:rsidR="00BA6B75" w14:paraId="7E31559F" w14:textId="77777777" w:rsidTr="000606EF">
        <w:trPr>
          <w:trHeight w:val="20"/>
        </w:trPr>
        <w:tc>
          <w:tcPr>
            <w:tcW w:w="1271" w:type="dxa"/>
          </w:tcPr>
          <w:p w14:paraId="6DA3D17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DCCEEW</w:t>
            </w:r>
          </w:p>
        </w:tc>
        <w:tc>
          <w:tcPr>
            <w:tcW w:w="7513" w:type="dxa"/>
          </w:tcPr>
          <w:p w14:paraId="40A7BE0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Government Department of Climate Change, Energy, the Environment and Water</w:t>
            </w:r>
          </w:p>
        </w:tc>
      </w:tr>
      <w:tr w:rsidR="00BA6B75" w14:paraId="4ED8D14A" w14:textId="77777777" w:rsidTr="000606EF">
        <w:trPr>
          <w:trHeight w:val="20"/>
        </w:trPr>
        <w:tc>
          <w:tcPr>
            <w:tcW w:w="1271" w:type="dxa"/>
          </w:tcPr>
          <w:p w14:paraId="45AEC17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DEWR</w:t>
            </w:r>
          </w:p>
        </w:tc>
        <w:tc>
          <w:tcPr>
            <w:tcW w:w="7513" w:type="dxa"/>
          </w:tcPr>
          <w:p w14:paraId="5C4143F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Australian Government Department of Employment and Workplace Relations</w:t>
            </w:r>
          </w:p>
        </w:tc>
      </w:tr>
      <w:tr w:rsidR="00BA6B75" w14:paraId="2BD835CA" w14:textId="77777777" w:rsidTr="000606EF">
        <w:trPr>
          <w:trHeight w:val="20"/>
        </w:trPr>
        <w:tc>
          <w:tcPr>
            <w:tcW w:w="1271" w:type="dxa"/>
          </w:tcPr>
          <w:p w14:paraId="6EE1E21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EAP</w:t>
            </w:r>
          </w:p>
        </w:tc>
        <w:tc>
          <w:tcPr>
            <w:tcW w:w="7513" w:type="dxa"/>
          </w:tcPr>
          <w:p w14:paraId="6AAA8C6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Employee Assistance Programs </w:t>
            </w:r>
          </w:p>
        </w:tc>
      </w:tr>
      <w:tr w:rsidR="00BA6B75" w14:paraId="77333DD8" w14:textId="77777777" w:rsidTr="000606EF">
        <w:trPr>
          <w:trHeight w:val="20"/>
        </w:trPr>
        <w:tc>
          <w:tcPr>
            <w:tcW w:w="1271" w:type="dxa"/>
          </w:tcPr>
          <w:p w14:paraId="209443F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EBA</w:t>
            </w:r>
          </w:p>
        </w:tc>
        <w:tc>
          <w:tcPr>
            <w:tcW w:w="7513" w:type="dxa"/>
          </w:tcPr>
          <w:p w14:paraId="73008D2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Enterprise Bargaining Agreements</w:t>
            </w:r>
          </w:p>
        </w:tc>
      </w:tr>
      <w:tr w:rsidR="00BA6B75" w14:paraId="3E8B3DEB" w14:textId="77777777" w:rsidTr="000606EF">
        <w:trPr>
          <w:trHeight w:val="20"/>
        </w:trPr>
        <w:tc>
          <w:tcPr>
            <w:tcW w:w="1271" w:type="dxa"/>
          </w:tcPr>
          <w:p w14:paraId="03D8884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EEC</w:t>
            </w:r>
          </w:p>
        </w:tc>
        <w:tc>
          <w:tcPr>
            <w:tcW w:w="7513" w:type="dxa"/>
          </w:tcPr>
          <w:p w14:paraId="24F0A23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Energy Efficiency Council </w:t>
            </w:r>
          </w:p>
        </w:tc>
      </w:tr>
      <w:tr w:rsidR="00BA6B75" w14:paraId="1D2ECDDD" w14:textId="77777777" w:rsidTr="000606EF">
        <w:trPr>
          <w:trHeight w:val="20"/>
        </w:trPr>
        <w:tc>
          <w:tcPr>
            <w:tcW w:w="1271" w:type="dxa"/>
          </w:tcPr>
          <w:p w14:paraId="7ED32D7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ETU</w:t>
            </w:r>
          </w:p>
        </w:tc>
        <w:tc>
          <w:tcPr>
            <w:tcW w:w="7513" w:type="dxa"/>
          </w:tcPr>
          <w:p w14:paraId="0684514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Electrical Trades Union of Australia</w:t>
            </w:r>
          </w:p>
        </w:tc>
      </w:tr>
      <w:tr w:rsidR="00BA6B75" w14:paraId="187412E8" w14:textId="77777777" w:rsidTr="000606EF">
        <w:trPr>
          <w:trHeight w:val="20"/>
        </w:trPr>
        <w:tc>
          <w:tcPr>
            <w:tcW w:w="1271" w:type="dxa"/>
          </w:tcPr>
          <w:p w14:paraId="279C4C3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EV</w:t>
            </w:r>
          </w:p>
        </w:tc>
        <w:tc>
          <w:tcPr>
            <w:tcW w:w="7513" w:type="dxa"/>
          </w:tcPr>
          <w:p w14:paraId="32238A0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Electric Vehicle</w:t>
            </w:r>
          </w:p>
        </w:tc>
      </w:tr>
      <w:tr w:rsidR="00BA6B75" w14:paraId="031556C2" w14:textId="77777777" w:rsidTr="000606EF">
        <w:trPr>
          <w:trHeight w:val="20"/>
        </w:trPr>
        <w:tc>
          <w:tcPr>
            <w:tcW w:w="1271" w:type="dxa"/>
          </w:tcPr>
          <w:p w14:paraId="3805FD4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FISO</w:t>
            </w:r>
          </w:p>
        </w:tc>
        <w:tc>
          <w:tcPr>
            <w:tcW w:w="7513" w:type="dxa"/>
          </w:tcPr>
          <w:p w14:paraId="58D1C8E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Financial Information Services Officers </w:t>
            </w:r>
          </w:p>
        </w:tc>
      </w:tr>
      <w:tr w:rsidR="00BA6B75" w14:paraId="201A763A" w14:textId="77777777" w:rsidTr="000606EF">
        <w:trPr>
          <w:trHeight w:val="20"/>
        </w:trPr>
        <w:tc>
          <w:tcPr>
            <w:tcW w:w="1271" w:type="dxa"/>
          </w:tcPr>
          <w:p w14:paraId="64AE083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FTE</w:t>
            </w:r>
          </w:p>
        </w:tc>
        <w:tc>
          <w:tcPr>
            <w:tcW w:w="7513" w:type="dxa"/>
          </w:tcPr>
          <w:p w14:paraId="037E51F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Full-Time Equivalent</w:t>
            </w:r>
          </w:p>
        </w:tc>
      </w:tr>
      <w:tr w:rsidR="00BA6B75" w14:paraId="147DE1D1" w14:textId="77777777" w:rsidTr="000606EF">
        <w:trPr>
          <w:trHeight w:val="20"/>
        </w:trPr>
        <w:tc>
          <w:tcPr>
            <w:tcW w:w="1271" w:type="dxa"/>
          </w:tcPr>
          <w:p w14:paraId="3236433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G7</w:t>
            </w:r>
          </w:p>
        </w:tc>
        <w:tc>
          <w:tcPr>
            <w:tcW w:w="7513" w:type="dxa"/>
          </w:tcPr>
          <w:p w14:paraId="66BDA55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Group of 7 </w:t>
            </w:r>
          </w:p>
        </w:tc>
      </w:tr>
      <w:tr w:rsidR="00BA6B75" w14:paraId="0536BAC7" w14:textId="77777777" w:rsidTr="000606EF">
        <w:trPr>
          <w:trHeight w:val="20"/>
        </w:trPr>
        <w:tc>
          <w:tcPr>
            <w:tcW w:w="1271" w:type="dxa"/>
          </w:tcPr>
          <w:p w14:paraId="3C4CBA2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GATEAP</w:t>
            </w:r>
          </w:p>
        </w:tc>
        <w:tc>
          <w:tcPr>
            <w:tcW w:w="7513" w:type="dxa"/>
          </w:tcPr>
          <w:p w14:paraId="668E895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Green Apprenticeships and Technical Education Advisory Panel </w:t>
            </w:r>
          </w:p>
        </w:tc>
      </w:tr>
      <w:tr w:rsidR="00BA6B75" w14:paraId="3C40D2A7" w14:textId="77777777" w:rsidTr="000606EF">
        <w:trPr>
          <w:trHeight w:val="20"/>
        </w:trPr>
        <w:tc>
          <w:tcPr>
            <w:tcW w:w="1271" w:type="dxa"/>
          </w:tcPr>
          <w:p w14:paraId="1FA8094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GVA</w:t>
            </w:r>
          </w:p>
        </w:tc>
        <w:tc>
          <w:tcPr>
            <w:tcW w:w="7513" w:type="dxa"/>
          </w:tcPr>
          <w:p w14:paraId="0C79EB3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Gross Value Added</w:t>
            </w:r>
          </w:p>
        </w:tc>
      </w:tr>
      <w:tr w:rsidR="00BA6B75" w14:paraId="353C3171" w14:textId="77777777" w:rsidTr="000606EF">
        <w:trPr>
          <w:trHeight w:val="20"/>
        </w:trPr>
        <w:tc>
          <w:tcPr>
            <w:tcW w:w="1271" w:type="dxa"/>
          </w:tcPr>
          <w:p w14:paraId="1DDE235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GTO</w:t>
            </w:r>
          </w:p>
        </w:tc>
        <w:tc>
          <w:tcPr>
            <w:tcW w:w="7513" w:type="dxa"/>
          </w:tcPr>
          <w:p w14:paraId="6DFD9B5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Group Training Organisation</w:t>
            </w:r>
          </w:p>
        </w:tc>
      </w:tr>
      <w:tr w:rsidR="00BA6B75" w14:paraId="598A1A3A" w14:textId="77777777" w:rsidTr="000606EF">
        <w:trPr>
          <w:trHeight w:val="20"/>
        </w:trPr>
        <w:tc>
          <w:tcPr>
            <w:tcW w:w="1271" w:type="dxa"/>
          </w:tcPr>
          <w:p w14:paraId="61418C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GW</w:t>
            </w:r>
          </w:p>
        </w:tc>
        <w:tc>
          <w:tcPr>
            <w:tcW w:w="7513" w:type="dxa"/>
          </w:tcPr>
          <w:p w14:paraId="2AC16D4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Gigawatt</w:t>
            </w:r>
          </w:p>
        </w:tc>
      </w:tr>
      <w:tr w:rsidR="00BA6B75" w14:paraId="5563467F" w14:textId="77777777" w:rsidTr="000606EF">
        <w:trPr>
          <w:trHeight w:val="20"/>
        </w:trPr>
        <w:tc>
          <w:tcPr>
            <w:tcW w:w="1271" w:type="dxa"/>
          </w:tcPr>
          <w:p w14:paraId="221D105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GWO</w:t>
            </w:r>
          </w:p>
        </w:tc>
        <w:tc>
          <w:tcPr>
            <w:tcW w:w="7513" w:type="dxa"/>
          </w:tcPr>
          <w:p w14:paraId="5007C6D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Global Wind Organisation </w:t>
            </w:r>
          </w:p>
        </w:tc>
      </w:tr>
      <w:tr w:rsidR="00BA6B75" w14:paraId="0AC0E57C" w14:textId="77777777" w:rsidTr="000606EF">
        <w:trPr>
          <w:trHeight w:val="20"/>
        </w:trPr>
        <w:tc>
          <w:tcPr>
            <w:tcW w:w="1271" w:type="dxa"/>
          </w:tcPr>
          <w:p w14:paraId="5C9458A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lastRenderedPageBreak/>
              <w:t>IEA</w:t>
            </w:r>
            <w:r w:rsidRPr="00BA6B75">
              <w:rPr>
                <w:rFonts w:asciiTheme="majorHAnsi" w:hAnsiTheme="majorHAnsi" w:cstheme="majorHAnsi"/>
                <w:sz w:val="20"/>
                <w:szCs w:val="20"/>
              </w:rPr>
              <w:tab/>
            </w:r>
          </w:p>
        </w:tc>
        <w:tc>
          <w:tcPr>
            <w:tcW w:w="7513" w:type="dxa"/>
          </w:tcPr>
          <w:p w14:paraId="421A6C7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International Energy Agency </w:t>
            </w:r>
            <w:r w:rsidRPr="00BA6B75">
              <w:rPr>
                <w:rFonts w:asciiTheme="majorHAnsi" w:hAnsiTheme="majorHAnsi" w:cstheme="majorHAnsi"/>
                <w:sz w:val="20"/>
                <w:szCs w:val="20"/>
              </w:rPr>
              <w:tab/>
            </w:r>
          </w:p>
        </w:tc>
      </w:tr>
      <w:tr w:rsidR="00BA6B75" w14:paraId="21A7E899" w14:textId="77777777" w:rsidTr="000606EF">
        <w:trPr>
          <w:trHeight w:val="20"/>
        </w:trPr>
        <w:tc>
          <w:tcPr>
            <w:tcW w:w="1271" w:type="dxa"/>
          </w:tcPr>
          <w:p w14:paraId="2530730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IfATE</w:t>
            </w:r>
          </w:p>
        </w:tc>
        <w:tc>
          <w:tcPr>
            <w:tcW w:w="7513" w:type="dxa"/>
          </w:tcPr>
          <w:p w14:paraId="4EB8C69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Institute for Apprenticeships and Technical Education </w:t>
            </w:r>
          </w:p>
        </w:tc>
      </w:tr>
      <w:tr w:rsidR="00BA6B75" w14:paraId="68CE2132" w14:textId="77777777" w:rsidTr="000606EF">
        <w:trPr>
          <w:trHeight w:val="20"/>
        </w:trPr>
        <w:tc>
          <w:tcPr>
            <w:tcW w:w="1271" w:type="dxa"/>
          </w:tcPr>
          <w:p w14:paraId="4193099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ILO</w:t>
            </w:r>
          </w:p>
        </w:tc>
        <w:tc>
          <w:tcPr>
            <w:tcW w:w="7513" w:type="dxa"/>
          </w:tcPr>
          <w:p w14:paraId="40E33DF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International Labour Organisation </w:t>
            </w:r>
          </w:p>
        </w:tc>
      </w:tr>
      <w:tr w:rsidR="00BA6B75" w14:paraId="6A142949" w14:textId="77777777" w:rsidTr="000606EF">
        <w:trPr>
          <w:trHeight w:val="20"/>
        </w:trPr>
        <w:tc>
          <w:tcPr>
            <w:tcW w:w="1271" w:type="dxa"/>
          </w:tcPr>
          <w:p w14:paraId="46DC78E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IPP</w:t>
            </w:r>
          </w:p>
        </w:tc>
        <w:tc>
          <w:tcPr>
            <w:tcW w:w="7513" w:type="dxa"/>
          </w:tcPr>
          <w:p w14:paraId="1316BB1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Commonwealth Indigenous Procurement Policy </w:t>
            </w:r>
          </w:p>
        </w:tc>
      </w:tr>
      <w:tr w:rsidR="00BA6B75" w14:paraId="44C8931E" w14:textId="77777777" w:rsidTr="000606EF">
        <w:trPr>
          <w:trHeight w:val="20"/>
        </w:trPr>
        <w:tc>
          <w:tcPr>
            <w:tcW w:w="1271" w:type="dxa"/>
          </w:tcPr>
          <w:p w14:paraId="2280BD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ligatures w14:val="standard"/>
                <w14:numForm w14:val="lining"/>
                <w14:numSpacing w14:val="proportional"/>
              </w:rPr>
              <w:t>IRENA</w:t>
            </w:r>
          </w:p>
        </w:tc>
        <w:tc>
          <w:tcPr>
            <w:tcW w:w="7513" w:type="dxa"/>
          </w:tcPr>
          <w:p w14:paraId="3FFC1543" w14:textId="77777777" w:rsidR="00BA6B75" w:rsidRPr="00BA6B75" w:rsidRDefault="00BA6B75" w:rsidP="00BA6B75">
            <w:pPr>
              <w:tabs>
                <w:tab w:val="left" w:pos="709"/>
              </w:tabs>
              <w:rPr>
                <w:rFonts w:asciiTheme="majorHAnsi" w:hAnsiTheme="majorHAnsi" w:cstheme="majorHAnsi"/>
                <w:sz w:val="20"/>
                <w:szCs w:val="20"/>
                <w14:ligatures w14:val="standard"/>
                <w14:numForm w14:val="lining"/>
                <w14:numSpacing w14:val="proportional"/>
              </w:rPr>
            </w:pPr>
            <w:r w:rsidRPr="00BA6B75">
              <w:rPr>
                <w:rFonts w:asciiTheme="majorHAnsi" w:hAnsiTheme="majorHAnsi" w:cstheme="majorHAnsi"/>
                <w:sz w:val="20"/>
                <w:szCs w:val="20"/>
                <w14:ligatures w14:val="standard"/>
                <w14:numForm w14:val="lining"/>
                <w14:numSpacing w14:val="proportional"/>
              </w:rPr>
              <w:t xml:space="preserve">International Renewable Energy Agency </w:t>
            </w:r>
          </w:p>
        </w:tc>
      </w:tr>
      <w:tr w:rsidR="00BA6B75" w14:paraId="28800B37" w14:textId="77777777" w:rsidTr="000606EF">
        <w:trPr>
          <w:trHeight w:val="20"/>
        </w:trPr>
        <w:tc>
          <w:tcPr>
            <w:tcW w:w="1271" w:type="dxa"/>
          </w:tcPr>
          <w:p w14:paraId="5DC0AF5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ISF</w:t>
            </w:r>
          </w:p>
        </w:tc>
        <w:tc>
          <w:tcPr>
            <w:tcW w:w="7513" w:type="dxa"/>
          </w:tcPr>
          <w:p w14:paraId="441303A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ligatures w14:val="standard"/>
                <w14:numForm w14:val="lining"/>
                <w14:numSpacing w14:val="proportional"/>
              </w:rPr>
              <w:t>Institute of Sustainable Futures</w:t>
            </w:r>
          </w:p>
        </w:tc>
      </w:tr>
      <w:tr w:rsidR="00BA6B75" w14:paraId="15970678" w14:textId="77777777" w:rsidTr="000606EF">
        <w:trPr>
          <w:trHeight w:val="20"/>
        </w:trPr>
        <w:tc>
          <w:tcPr>
            <w:tcW w:w="1271" w:type="dxa"/>
          </w:tcPr>
          <w:p w14:paraId="533B05E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ISLP</w:t>
            </w:r>
          </w:p>
        </w:tc>
        <w:tc>
          <w:tcPr>
            <w:tcW w:w="7513" w:type="dxa"/>
          </w:tcPr>
          <w:p w14:paraId="1A5DA53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Infrastructure Skills Legacy Program </w:t>
            </w:r>
          </w:p>
        </w:tc>
      </w:tr>
      <w:tr w:rsidR="00BA6B75" w14:paraId="3A473C90" w14:textId="77777777" w:rsidTr="000606EF">
        <w:trPr>
          <w:trHeight w:val="20"/>
        </w:trPr>
        <w:tc>
          <w:tcPr>
            <w:tcW w:w="1271" w:type="dxa"/>
          </w:tcPr>
          <w:p w14:paraId="5DDFEFE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ISP</w:t>
            </w:r>
          </w:p>
        </w:tc>
        <w:tc>
          <w:tcPr>
            <w:tcW w:w="7513" w:type="dxa"/>
          </w:tcPr>
          <w:p w14:paraId="73024CB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Integrated System Plan </w:t>
            </w:r>
          </w:p>
        </w:tc>
      </w:tr>
      <w:tr w:rsidR="00BA6B75" w14:paraId="7C74702F" w14:textId="77777777" w:rsidTr="000606EF">
        <w:trPr>
          <w:trHeight w:val="20"/>
        </w:trPr>
        <w:tc>
          <w:tcPr>
            <w:tcW w:w="1271" w:type="dxa"/>
          </w:tcPr>
          <w:p w14:paraId="59EB3FD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JSA</w:t>
            </w:r>
          </w:p>
        </w:tc>
        <w:tc>
          <w:tcPr>
            <w:tcW w:w="7513" w:type="dxa"/>
          </w:tcPr>
          <w:p w14:paraId="30FD320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Jobs and Skills Australia</w:t>
            </w:r>
          </w:p>
        </w:tc>
      </w:tr>
      <w:tr w:rsidR="00BA6B75" w14:paraId="46B34C00" w14:textId="77777777" w:rsidTr="000606EF">
        <w:trPr>
          <w:trHeight w:val="20"/>
        </w:trPr>
        <w:tc>
          <w:tcPr>
            <w:tcW w:w="1271" w:type="dxa"/>
          </w:tcPr>
          <w:p w14:paraId="1A00A5C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JSC</w:t>
            </w:r>
          </w:p>
        </w:tc>
        <w:tc>
          <w:tcPr>
            <w:tcW w:w="7513" w:type="dxa"/>
          </w:tcPr>
          <w:p w14:paraId="25E46995" w14:textId="77777777" w:rsidR="00BA6B75" w:rsidRPr="00BA6B75" w:rsidRDefault="00BA6B75" w:rsidP="00BA6B75">
            <w:pPr>
              <w:tabs>
                <w:tab w:val="left" w:pos="709"/>
              </w:tabs>
              <w:rPr>
                <w:rFonts w:asciiTheme="majorHAnsi" w:eastAsia="Arial" w:hAnsiTheme="majorHAnsi" w:cstheme="majorHAnsi"/>
                <w:sz w:val="20"/>
                <w:szCs w:val="20"/>
              </w:rPr>
            </w:pPr>
            <w:r w:rsidRPr="00BA6B75">
              <w:rPr>
                <w:rFonts w:asciiTheme="majorHAnsi" w:hAnsiTheme="majorHAnsi" w:cstheme="majorHAnsi"/>
                <w:sz w:val="20"/>
                <w:szCs w:val="20"/>
              </w:rPr>
              <w:t xml:space="preserve">Jobs and Skills Councils </w:t>
            </w:r>
          </w:p>
        </w:tc>
      </w:tr>
      <w:tr w:rsidR="00BA6B75" w14:paraId="202E7797" w14:textId="77777777" w:rsidTr="000606EF">
        <w:trPr>
          <w:trHeight w:val="20"/>
        </w:trPr>
        <w:tc>
          <w:tcPr>
            <w:tcW w:w="1271" w:type="dxa"/>
          </w:tcPr>
          <w:p w14:paraId="677771C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LEAP</w:t>
            </w:r>
          </w:p>
        </w:tc>
        <w:tc>
          <w:tcPr>
            <w:tcW w:w="7513" w:type="dxa"/>
          </w:tcPr>
          <w:p w14:paraId="6C5551C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Leadership and Excellence in Aboriginal People </w:t>
            </w:r>
          </w:p>
        </w:tc>
      </w:tr>
      <w:tr w:rsidR="00BA6B75" w14:paraId="39543DFE" w14:textId="77777777" w:rsidTr="000606EF">
        <w:trPr>
          <w:trHeight w:val="20"/>
        </w:trPr>
        <w:tc>
          <w:tcPr>
            <w:tcW w:w="1271" w:type="dxa"/>
          </w:tcPr>
          <w:p w14:paraId="31AE95ED"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LETDF</w:t>
            </w:r>
          </w:p>
        </w:tc>
        <w:tc>
          <w:tcPr>
            <w:tcW w:w="7513" w:type="dxa"/>
          </w:tcPr>
          <w:p w14:paraId="11BA762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Low Emissions Technology Demonstration Fund </w:t>
            </w:r>
          </w:p>
        </w:tc>
      </w:tr>
      <w:tr w:rsidR="00BA6B75" w14:paraId="71261289" w14:textId="77777777" w:rsidTr="000606EF">
        <w:trPr>
          <w:trHeight w:val="20"/>
        </w:trPr>
        <w:tc>
          <w:tcPr>
            <w:tcW w:w="1271" w:type="dxa"/>
          </w:tcPr>
          <w:p w14:paraId="6FDB021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NAAA</w:t>
            </w:r>
          </w:p>
        </w:tc>
        <w:tc>
          <w:tcPr>
            <w:tcW w:w="7513" w:type="dxa"/>
          </w:tcPr>
          <w:p w14:paraId="3FEC8E9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National Australian Apprenticeships Association </w:t>
            </w:r>
          </w:p>
        </w:tc>
      </w:tr>
      <w:tr w:rsidR="00BA6B75" w14:paraId="7890AF08" w14:textId="77777777" w:rsidTr="000606EF">
        <w:trPr>
          <w:trHeight w:val="20"/>
        </w:trPr>
        <w:tc>
          <w:tcPr>
            <w:tcW w:w="1271" w:type="dxa"/>
          </w:tcPr>
          <w:p w14:paraId="5CA2050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NABERS</w:t>
            </w:r>
          </w:p>
        </w:tc>
        <w:tc>
          <w:tcPr>
            <w:tcW w:w="7513" w:type="dxa"/>
          </w:tcPr>
          <w:p w14:paraId="4EA705A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National Australian Built Environment Rating System </w:t>
            </w:r>
          </w:p>
        </w:tc>
      </w:tr>
      <w:tr w:rsidR="00BA6B75" w14:paraId="3500CC52" w14:textId="77777777" w:rsidTr="000606EF">
        <w:trPr>
          <w:trHeight w:val="20"/>
        </w:trPr>
        <w:tc>
          <w:tcPr>
            <w:tcW w:w="1271" w:type="dxa"/>
          </w:tcPr>
          <w:p w14:paraId="6197BE2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NatHERS</w:t>
            </w:r>
          </w:p>
        </w:tc>
        <w:tc>
          <w:tcPr>
            <w:tcW w:w="7513" w:type="dxa"/>
          </w:tcPr>
          <w:p w14:paraId="15673FA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Nationwide House Energy Rating Scheme </w:t>
            </w:r>
          </w:p>
        </w:tc>
      </w:tr>
      <w:tr w:rsidR="00BA6B75" w14:paraId="7BAC105C" w14:textId="77777777" w:rsidTr="000606EF">
        <w:trPr>
          <w:trHeight w:val="20"/>
        </w:trPr>
        <w:tc>
          <w:tcPr>
            <w:tcW w:w="1271" w:type="dxa"/>
          </w:tcPr>
          <w:p w14:paraId="7AAB2E8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NCVER</w:t>
            </w:r>
          </w:p>
        </w:tc>
        <w:tc>
          <w:tcPr>
            <w:tcW w:w="7513" w:type="dxa"/>
          </w:tcPr>
          <w:p w14:paraId="142572A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National Centre for Vocational Education Research</w:t>
            </w:r>
          </w:p>
        </w:tc>
      </w:tr>
      <w:tr w:rsidR="00BA6B75" w14:paraId="5C98E288" w14:textId="77777777" w:rsidTr="000606EF">
        <w:trPr>
          <w:trHeight w:val="20"/>
        </w:trPr>
        <w:tc>
          <w:tcPr>
            <w:tcW w:w="1271" w:type="dxa"/>
          </w:tcPr>
          <w:p w14:paraId="12FC934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NEM</w:t>
            </w:r>
          </w:p>
        </w:tc>
        <w:tc>
          <w:tcPr>
            <w:tcW w:w="7513" w:type="dxa"/>
          </w:tcPr>
          <w:p w14:paraId="7EAA0BF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National Electricity Market</w:t>
            </w:r>
          </w:p>
        </w:tc>
      </w:tr>
      <w:tr w:rsidR="00BA6B75" w14:paraId="5CA1F9C0" w14:textId="77777777" w:rsidTr="000606EF">
        <w:trPr>
          <w:trHeight w:val="20"/>
        </w:trPr>
        <w:tc>
          <w:tcPr>
            <w:tcW w:w="1271" w:type="dxa"/>
          </w:tcPr>
          <w:p w14:paraId="70376E6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eastAsia="Arial" w:hAnsiTheme="majorHAnsi" w:cstheme="majorHAnsi"/>
                <w:sz w:val="20"/>
                <w:szCs w:val="20"/>
                <w14:numForm w14:val="lining"/>
                <w14:numSpacing w14:val="proportional"/>
              </w:rPr>
              <w:t>NOC</w:t>
            </w:r>
          </w:p>
        </w:tc>
        <w:tc>
          <w:tcPr>
            <w:tcW w:w="7513" w:type="dxa"/>
          </w:tcPr>
          <w:p w14:paraId="1993F81C" w14:textId="77777777" w:rsidR="00BA6B75" w:rsidRPr="00BA6B75" w:rsidRDefault="00BA6B75" w:rsidP="00BA6B75">
            <w:pPr>
              <w:tabs>
                <w:tab w:val="left" w:pos="709"/>
              </w:tabs>
              <w:rPr>
                <w:rFonts w:asciiTheme="majorHAnsi" w:eastAsia="Arial" w:hAnsiTheme="majorHAnsi" w:cstheme="majorHAnsi"/>
                <w:sz w:val="20"/>
                <w:szCs w:val="20"/>
                <w14:numForm w14:val="lining"/>
                <w14:numSpacing w14:val="proportional"/>
              </w:rPr>
            </w:pPr>
            <w:r w:rsidRPr="00BA6B75">
              <w:rPr>
                <w:rFonts w:asciiTheme="majorHAnsi" w:eastAsia="Arial" w:hAnsiTheme="majorHAnsi" w:cstheme="majorHAnsi"/>
                <w:sz w:val="20"/>
                <w:szCs w:val="20"/>
                <w14:numForm w14:val="lining"/>
                <w14:numSpacing w14:val="proportional"/>
              </w:rPr>
              <w:t xml:space="preserve">National Occupation Classification </w:t>
            </w:r>
          </w:p>
        </w:tc>
      </w:tr>
      <w:tr w:rsidR="00BA6B75" w14:paraId="5FD2954C" w14:textId="77777777" w:rsidTr="000606EF">
        <w:trPr>
          <w:trHeight w:val="20"/>
        </w:trPr>
        <w:tc>
          <w:tcPr>
            <w:tcW w:w="1271" w:type="dxa"/>
          </w:tcPr>
          <w:p w14:paraId="4CF721B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NSC</w:t>
            </w:r>
          </w:p>
        </w:tc>
        <w:tc>
          <w:tcPr>
            <w:tcW w:w="7513" w:type="dxa"/>
          </w:tcPr>
          <w:p w14:paraId="3FD4BFE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National Skills Commission</w:t>
            </w:r>
          </w:p>
        </w:tc>
      </w:tr>
      <w:tr w:rsidR="00BA6B75" w14:paraId="64C2A56C" w14:textId="77777777" w:rsidTr="000606EF">
        <w:trPr>
          <w:trHeight w:val="20"/>
        </w:trPr>
        <w:tc>
          <w:tcPr>
            <w:tcW w:w="1271" w:type="dxa"/>
          </w:tcPr>
          <w:p w14:paraId="2CB66E0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OECD</w:t>
            </w:r>
          </w:p>
        </w:tc>
        <w:tc>
          <w:tcPr>
            <w:tcW w:w="7513" w:type="dxa"/>
          </w:tcPr>
          <w:p w14:paraId="6DA8188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Organisation for Economic Co-operation and Development</w:t>
            </w:r>
          </w:p>
        </w:tc>
      </w:tr>
      <w:tr w:rsidR="00BA6B75" w14:paraId="56149FE6" w14:textId="77777777" w:rsidTr="000606EF">
        <w:trPr>
          <w:trHeight w:val="20"/>
        </w:trPr>
        <w:tc>
          <w:tcPr>
            <w:tcW w:w="1271" w:type="dxa"/>
          </w:tcPr>
          <w:p w14:paraId="1A511619"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PALM</w:t>
            </w:r>
          </w:p>
        </w:tc>
        <w:tc>
          <w:tcPr>
            <w:tcW w:w="7513" w:type="dxa"/>
          </w:tcPr>
          <w:p w14:paraId="33C98C3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Pacific Australia Labour Mobility </w:t>
            </w:r>
          </w:p>
        </w:tc>
      </w:tr>
      <w:tr w:rsidR="00BA6B75" w14:paraId="43492BAE" w14:textId="77777777" w:rsidTr="000606EF">
        <w:trPr>
          <w:trHeight w:val="20"/>
        </w:trPr>
        <w:tc>
          <w:tcPr>
            <w:tcW w:w="1271" w:type="dxa"/>
          </w:tcPr>
          <w:p w14:paraId="704721C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PHES</w:t>
            </w:r>
          </w:p>
        </w:tc>
        <w:tc>
          <w:tcPr>
            <w:tcW w:w="7513" w:type="dxa"/>
          </w:tcPr>
          <w:p w14:paraId="73E8C13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Pumped hydro energy storage</w:t>
            </w:r>
          </w:p>
        </w:tc>
      </w:tr>
      <w:tr w:rsidR="00BA6B75" w14:paraId="14DD84DC" w14:textId="77777777" w:rsidTr="000606EF">
        <w:trPr>
          <w:trHeight w:val="20"/>
        </w:trPr>
        <w:tc>
          <w:tcPr>
            <w:tcW w:w="1271" w:type="dxa"/>
          </w:tcPr>
          <w:p w14:paraId="691D7DD0"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PV</w:t>
            </w:r>
          </w:p>
        </w:tc>
        <w:tc>
          <w:tcPr>
            <w:tcW w:w="7513" w:type="dxa"/>
          </w:tcPr>
          <w:p w14:paraId="2B7078F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Photovoltaic</w:t>
            </w:r>
          </w:p>
        </w:tc>
      </w:tr>
      <w:tr w:rsidR="00BA6B75" w14:paraId="228080D1" w14:textId="77777777" w:rsidTr="000606EF">
        <w:trPr>
          <w:trHeight w:val="20"/>
        </w:trPr>
        <w:tc>
          <w:tcPr>
            <w:tcW w:w="1271" w:type="dxa"/>
          </w:tcPr>
          <w:p w14:paraId="113E995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REDEI</w:t>
            </w:r>
          </w:p>
        </w:tc>
        <w:tc>
          <w:tcPr>
            <w:tcW w:w="7513" w:type="dxa"/>
          </w:tcPr>
          <w:p w14:paraId="298D083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Renewable Energy Design Engineering and Integration</w:t>
            </w:r>
          </w:p>
        </w:tc>
      </w:tr>
      <w:tr w:rsidR="00BA6B75" w14:paraId="265D4304" w14:textId="77777777" w:rsidTr="000606EF">
        <w:trPr>
          <w:trHeight w:val="20"/>
        </w:trPr>
        <w:tc>
          <w:tcPr>
            <w:tcW w:w="1271" w:type="dxa"/>
          </w:tcPr>
          <w:p w14:paraId="36DAA82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REZ</w:t>
            </w:r>
          </w:p>
        </w:tc>
        <w:tc>
          <w:tcPr>
            <w:tcW w:w="7513" w:type="dxa"/>
          </w:tcPr>
          <w:p w14:paraId="7D725614"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Renewable Energy Zones</w:t>
            </w:r>
          </w:p>
        </w:tc>
      </w:tr>
      <w:tr w:rsidR="00BA6B75" w14:paraId="1A42C7D8" w14:textId="77777777" w:rsidTr="000606EF">
        <w:trPr>
          <w:trHeight w:val="20"/>
        </w:trPr>
        <w:tc>
          <w:tcPr>
            <w:tcW w:w="1271" w:type="dxa"/>
          </w:tcPr>
          <w:p w14:paraId="62E0ACC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RMIT</w:t>
            </w:r>
          </w:p>
        </w:tc>
        <w:tc>
          <w:tcPr>
            <w:tcW w:w="7513" w:type="dxa"/>
          </w:tcPr>
          <w:p w14:paraId="6050E3D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Royal Melbourne Institute of Technology</w:t>
            </w:r>
          </w:p>
        </w:tc>
      </w:tr>
      <w:tr w:rsidR="00BA6B75" w14:paraId="189D574E" w14:textId="77777777" w:rsidTr="000606EF">
        <w:trPr>
          <w:trHeight w:val="20"/>
        </w:trPr>
        <w:tc>
          <w:tcPr>
            <w:tcW w:w="1271" w:type="dxa"/>
          </w:tcPr>
          <w:p w14:paraId="0EF9572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RPL</w:t>
            </w:r>
          </w:p>
        </w:tc>
        <w:tc>
          <w:tcPr>
            <w:tcW w:w="7513" w:type="dxa"/>
          </w:tcPr>
          <w:p w14:paraId="0E922B8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Recognition of Prior Learning </w:t>
            </w:r>
          </w:p>
        </w:tc>
      </w:tr>
      <w:tr w:rsidR="00BA6B75" w14:paraId="32329940" w14:textId="77777777" w:rsidTr="000606EF">
        <w:trPr>
          <w:trHeight w:val="20"/>
        </w:trPr>
        <w:tc>
          <w:tcPr>
            <w:tcW w:w="1271" w:type="dxa"/>
            <w:shd w:val="clear" w:color="auto" w:fill="auto"/>
          </w:tcPr>
          <w:p w14:paraId="672AFCB6"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RTO</w:t>
            </w:r>
          </w:p>
        </w:tc>
        <w:tc>
          <w:tcPr>
            <w:tcW w:w="7513" w:type="dxa"/>
            <w:shd w:val="clear" w:color="auto" w:fill="auto"/>
          </w:tcPr>
          <w:p w14:paraId="772DC6D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Registered Training Organisation</w:t>
            </w:r>
          </w:p>
        </w:tc>
      </w:tr>
      <w:tr w:rsidR="00BA6B75" w14:paraId="77C1B413" w14:textId="77777777" w:rsidTr="000606EF">
        <w:trPr>
          <w:trHeight w:val="20"/>
        </w:trPr>
        <w:tc>
          <w:tcPr>
            <w:tcW w:w="1271" w:type="dxa"/>
          </w:tcPr>
          <w:p w14:paraId="5A2DF00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SAF</w:t>
            </w:r>
          </w:p>
        </w:tc>
        <w:tc>
          <w:tcPr>
            <w:tcW w:w="7513" w:type="dxa"/>
          </w:tcPr>
          <w:p w14:paraId="2F5F580D"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Sustainable Aviation Fuel </w:t>
            </w:r>
          </w:p>
        </w:tc>
      </w:tr>
      <w:tr w:rsidR="00BA6B75" w14:paraId="7BA7658B" w14:textId="77777777" w:rsidTr="000606EF">
        <w:trPr>
          <w:trHeight w:val="20"/>
        </w:trPr>
        <w:tc>
          <w:tcPr>
            <w:tcW w:w="1271" w:type="dxa"/>
          </w:tcPr>
          <w:p w14:paraId="5D26366F"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SOTS</w:t>
            </w:r>
          </w:p>
        </w:tc>
        <w:tc>
          <w:tcPr>
            <w:tcW w:w="7513" w:type="dxa"/>
          </w:tcPr>
          <w:p w14:paraId="1E03322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Star of the South </w:t>
            </w:r>
          </w:p>
        </w:tc>
      </w:tr>
      <w:tr w:rsidR="00BA6B75" w14:paraId="73B3A6EF" w14:textId="77777777" w:rsidTr="000606EF">
        <w:trPr>
          <w:trHeight w:val="20"/>
        </w:trPr>
        <w:tc>
          <w:tcPr>
            <w:tcW w:w="1271" w:type="dxa"/>
          </w:tcPr>
          <w:p w14:paraId="5FEF76DC" w14:textId="77777777" w:rsidR="00BA6B75" w:rsidRPr="00BA6B75" w:rsidRDefault="00BA6B75" w:rsidP="00BA6B75">
            <w:pPr>
              <w:tabs>
                <w:tab w:val="left" w:pos="709"/>
              </w:tabs>
              <w:rPr>
                <w:rFonts w:asciiTheme="majorHAnsi" w:hAnsiTheme="majorHAnsi" w:cstheme="majorHAnsi"/>
                <w:sz w:val="20"/>
                <w:szCs w:val="20"/>
                <w14:numForm w14:val="lining"/>
                <w14:numSpacing w14:val="proportional"/>
              </w:rPr>
            </w:pPr>
            <w:r w:rsidRPr="00BA6B75">
              <w:rPr>
                <w:rFonts w:asciiTheme="majorHAnsi" w:hAnsiTheme="majorHAnsi" w:cstheme="majorHAnsi"/>
                <w:sz w:val="20"/>
                <w:szCs w:val="20"/>
                <w14:numForm w14:val="lining"/>
                <w14:numSpacing w14:val="proportional"/>
              </w:rPr>
              <w:t>SSP</w:t>
            </w:r>
          </w:p>
        </w:tc>
        <w:tc>
          <w:tcPr>
            <w:tcW w:w="7513" w:type="dxa"/>
          </w:tcPr>
          <w:p w14:paraId="00AFCF63"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Shared Socioeconomic Pathway</w:t>
            </w:r>
          </w:p>
        </w:tc>
      </w:tr>
      <w:tr w:rsidR="00BA6B75" w14:paraId="703AD391" w14:textId="77777777" w:rsidTr="000606EF">
        <w:trPr>
          <w:trHeight w:val="20"/>
        </w:trPr>
        <w:tc>
          <w:tcPr>
            <w:tcW w:w="1271" w:type="dxa"/>
          </w:tcPr>
          <w:p w14:paraId="4E1811D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14:numForm w14:val="lining"/>
                <w14:numSpacing w14:val="proportional"/>
              </w:rPr>
              <w:t>STEM</w:t>
            </w:r>
          </w:p>
        </w:tc>
        <w:tc>
          <w:tcPr>
            <w:tcW w:w="7513" w:type="dxa"/>
          </w:tcPr>
          <w:p w14:paraId="0C714398"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Science, Technology, Engineering and Mathematics</w:t>
            </w:r>
          </w:p>
        </w:tc>
      </w:tr>
      <w:tr w:rsidR="00BA6B75" w14:paraId="7B531903" w14:textId="77777777" w:rsidTr="000606EF">
        <w:trPr>
          <w:trHeight w:val="20"/>
        </w:trPr>
        <w:tc>
          <w:tcPr>
            <w:tcW w:w="1271" w:type="dxa"/>
          </w:tcPr>
          <w:p w14:paraId="1BD3481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TAFE</w:t>
            </w:r>
          </w:p>
        </w:tc>
        <w:tc>
          <w:tcPr>
            <w:tcW w:w="7513" w:type="dxa"/>
          </w:tcPr>
          <w:p w14:paraId="1381F2FA"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Technical and Further Education</w:t>
            </w:r>
          </w:p>
        </w:tc>
      </w:tr>
      <w:tr w:rsidR="00BA6B75" w14:paraId="41169DBB" w14:textId="77777777" w:rsidTr="000606EF">
        <w:trPr>
          <w:trHeight w:val="20"/>
        </w:trPr>
        <w:tc>
          <w:tcPr>
            <w:tcW w:w="1271" w:type="dxa"/>
          </w:tcPr>
          <w:p w14:paraId="3DF3912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UNCTAD</w:t>
            </w:r>
          </w:p>
        </w:tc>
        <w:tc>
          <w:tcPr>
            <w:tcW w:w="7513" w:type="dxa"/>
          </w:tcPr>
          <w:p w14:paraId="4413A7BC"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United Nations Conference on Trade and Development</w:t>
            </w:r>
          </w:p>
        </w:tc>
      </w:tr>
      <w:tr w:rsidR="00BA6B75" w14:paraId="23A5E4C5" w14:textId="77777777" w:rsidTr="000606EF">
        <w:trPr>
          <w:trHeight w:val="20"/>
        </w:trPr>
        <w:tc>
          <w:tcPr>
            <w:tcW w:w="1271" w:type="dxa"/>
          </w:tcPr>
          <w:p w14:paraId="1BADDEE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UNSW</w:t>
            </w:r>
          </w:p>
        </w:tc>
        <w:tc>
          <w:tcPr>
            <w:tcW w:w="7513" w:type="dxa"/>
          </w:tcPr>
          <w:p w14:paraId="784C56A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University of New South Wales </w:t>
            </w:r>
          </w:p>
        </w:tc>
      </w:tr>
      <w:tr w:rsidR="00906FEF" w14:paraId="7A6404F0" w14:textId="77777777" w:rsidTr="000606EF">
        <w:trPr>
          <w:trHeight w:val="20"/>
        </w:trPr>
        <w:tc>
          <w:tcPr>
            <w:tcW w:w="1271" w:type="dxa"/>
          </w:tcPr>
          <w:p w14:paraId="7239CBD6" w14:textId="327C51A6" w:rsidR="00906FEF" w:rsidRPr="00BA6B75" w:rsidRDefault="00906FEF" w:rsidP="00BA6B75">
            <w:pPr>
              <w:tabs>
                <w:tab w:val="left" w:pos="709"/>
              </w:tabs>
              <w:rPr>
                <w:rFonts w:asciiTheme="majorHAnsi" w:hAnsiTheme="majorHAnsi" w:cstheme="majorHAnsi"/>
                <w:sz w:val="20"/>
                <w:szCs w:val="20"/>
              </w:rPr>
            </w:pPr>
            <w:r>
              <w:rPr>
                <w:rFonts w:asciiTheme="majorHAnsi" w:hAnsiTheme="majorHAnsi" w:cstheme="majorHAnsi"/>
                <w:sz w:val="20"/>
                <w:szCs w:val="20"/>
              </w:rPr>
              <w:t>UOW</w:t>
            </w:r>
          </w:p>
        </w:tc>
        <w:tc>
          <w:tcPr>
            <w:tcW w:w="7513" w:type="dxa"/>
          </w:tcPr>
          <w:p w14:paraId="2E4DD152" w14:textId="1EB2F5D6" w:rsidR="00906FEF" w:rsidRPr="00BA6B75" w:rsidRDefault="00906FEF" w:rsidP="00BA6B75">
            <w:pPr>
              <w:tabs>
                <w:tab w:val="left" w:pos="709"/>
              </w:tabs>
              <w:rPr>
                <w:rFonts w:asciiTheme="majorHAnsi" w:hAnsiTheme="majorHAnsi" w:cstheme="majorHAnsi"/>
                <w:sz w:val="20"/>
                <w:szCs w:val="20"/>
              </w:rPr>
            </w:pPr>
            <w:r>
              <w:rPr>
                <w:rFonts w:asciiTheme="majorHAnsi" w:hAnsiTheme="majorHAnsi" w:cstheme="majorHAnsi"/>
                <w:sz w:val="20"/>
                <w:szCs w:val="20"/>
              </w:rPr>
              <w:t>University of Wollongong</w:t>
            </w:r>
          </w:p>
        </w:tc>
      </w:tr>
      <w:tr w:rsidR="00BA6B75" w14:paraId="4A6DC68D" w14:textId="77777777" w:rsidTr="000606EF">
        <w:trPr>
          <w:trHeight w:val="20"/>
        </w:trPr>
        <w:tc>
          <w:tcPr>
            <w:tcW w:w="1271" w:type="dxa"/>
          </w:tcPr>
          <w:p w14:paraId="2E461CC7"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UTS</w:t>
            </w:r>
          </w:p>
        </w:tc>
        <w:tc>
          <w:tcPr>
            <w:tcW w:w="7513" w:type="dxa"/>
          </w:tcPr>
          <w:p w14:paraId="52CAD582"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University of Technology Sydney</w:t>
            </w:r>
          </w:p>
        </w:tc>
      </w:tr>
      <w:tr w:rsidR="00BA6B75" w14:paraId="3226FE9E" w14:textId="77777777" w:rsidTr="000606EF">
        <w:trPr>
          <w:trHeight w:val="20"/>
        </w:trPr>
        <w:tc>
          <w:tcPr>
            <w:tcW w:w="1271" w:type="dxa"/>
          </w:tcPr>
          <w:p w14:paraId="7066DF65"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VET </w:t>
            </w:r>
          </w:p>
        </w:tc>
        <w:tc>
          <w:tcPr>
            <w:tcW w:w="7513" w:type="dxa"/>
          </w:tcPr>
          <w:p w14:paraId="35950D2B"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Vocational Education and Training</w:t>
            </w:r>
          </w:p>
        </w:tc>
      </w:tr>
      <w:tr w:rsidR="00BA6B75" w14:paraId="006E1218" w14:textId="77777777" w:rsidTr="000606EF">
        <w:trPr>
          <w:trHeight w:val="20"/>
        </w:trPr>
        <w:tc>
          <w:tcPr>
            <w:tcW w:w="1271" w:type="dxa"/>
          </w:tcPr>
          <w:p w14:paraId="1D02BEA1"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WGEA</w:t>
            </w:r>
          </w:p>
        </w:tc>
        <w:tc>
          <w:tcPr>
            <w:tcW w:w="7513" w:type="dxa"/>
          </w:tcPr>
          <w:p w14:paraId="0D57E80E" w14:textId="77777777" w:rsidR="00BA6B75" w:rsidRPr="00BA6B75" w:rsidRDefault="00BA6B75" w:rsidP="00BA6B75">
            <w:pPr>
              <w:tabs>
                <w:tab w:val="left" w:pos="709"/>
              </w:tabs>
              <w:rPr>
                <w:rFonts w:asciiTheme="majorHAnsi" w:hAnsiTheme="majorHAnsi" w:cstheme="majorHAnsi"/>
                <w:sz w:val="20"/>
                <w:szCs w:val="20"/>
              </w:rPr>
            </w:pPr>
            <w:r w:rsidRPr="00BA6B75">
              <w:rPr>
                <w:rFonts w:asciiTheme="majorHAnsi" w:hAnsiTheme="majorHAnsi" w:cstheme="majorHAnsi"/>
                <w:sz w:val="20"/>
                <w:szCs w:val="20"/>
              </w:rPr>
              <w:t xml:space="preserve">Workplace Gender Equality Agency </w:t>
            </w:r>
          </w:p>
        </w:tc>
      </w:tr>
    </w:tbl>
    <w:p w14:paraId="42C5DF27" w14:textId="77777777" w:rsidR="00EA0608" w:rsidRDefault="00EA0608">
      <w:pPr>
        <w:rPr>
          <w:rFonts w:eastAsiaTheme="majorEastAsia" w:cstheme="majorBidi"/>
          <w:b/>
          <w:sz w:val="56"/>
          <w:szCs w:val="32"/>
        </w:rPr>
      </w:pPr>
      <w:r>
        <w:br w:type="page"/>
      </w:r>
    </w:p>
    <w:p w14:paraId="639889F8" w14:textId="73BA07B0" w:rsidR="005A722A" w:rsidRPr="005A722A" w:rsidRDefault="005A722A" w:rsidP="005A722A">
      <w:pPr>
        <w:pStyle w:val="Heading1"/>
        <w:rPr>
          <w:color w:val="000000" w:themeColor="text1"/>
        </w:rPr>
      </w:pPr>
      <w:bookmarkStart w:id="4" w:name="_Toc146892657"/>
      <w:r w:rsidRPr="005A722A">
        <w:rPr>
          <w:color w:val="000000" w:themeColor="text1"/>
        </w:rPr>
        <w:lastRenderedPageBreak/>
        <w:t>Commis</w:t>
      </w:r>
      <w:r w:rsidR="00E21F7E">
        <w:rPr>
          <w:color w:val="000000" w:themeColor="text1"/>
        </w:rPr>
        <w:t>s</w:t>
      </w:r>
      <w:r w:rsidRPr="005A722A">
        <w:rPr>
          <w:color w:val="000000" w:themeColor="text1"/>
        </w:rPr>
        <w:t>ioner’s Foreword</w:t>
      </w:r>
      <w:bookmarkEnd w:id="4"/>
    </w:p>
    <w:p w14:paraId="205D610B"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 xml:space="preserve">I am delighted to present Jobs and Skills Australia’s (JSA) first workforce capacity study, </w:t>
      </w:r>
      <w:r w:rsidRPr="00A94E9C">
        <w:rPr>
          <w:rStyle w:val="normaltextrun"/>
          <w:rFonts w:asciiTheme="majorHAnsi" w:hAnsiTheme="majorHAnsi" w:cstheme="majorHAnsi"/>
          <w:i/>
          <w:iCs/>
          <w:sz w:val="22"/>
          <w:szCs w:val="22"/>
        </w:rPr>
        <w:t>The Clean Energy Generation: workforce needs for a net zero economy.</w:t>
      </w:r>
      <w:r w:rsidRPr="00A94E9C">
        <w:rPr>
          <w:rStyle w:val="eop"/>
          <w:rFonts w:asciiTheme="majorHAnsi" w:hAnsiTheme="majorHAnsi" w:cstheme="majorHAnsi"/>
          <w:sz w:val="22"/>
          <w:szCs w:val="22"/>
        </w:rPr>
        <w:t> </w:t>
      </w:r>
    </w:p>
    <w:p w14:paraId="39609E31"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This report finds that the clean energy workforce is at the intersection of two major transformations. A transformation of how we generate, use and export energy in order to decarbonise our economy, and a transformation of how we deliver skills through higher education, VET, migration and on-the-job training to grow our workforce. There are also substantial changes to how we expect job opportunities to be shared with all Australians, particularly those who have been traditionally underutilised or excluded.</w:t>
      </w:r>
      <w:r w:rsidRPr="00A94E9C">
        <w:rPr>
          <w:rStyle w:val="eop"/>
          <w:rFonts w:asciiTheme="majorHAnsi" w:hAnsiTheme="majorHAnsi" w:cstheme="majorHAnsi"/>
          <w:sz w:val="22"/>
          <w:szCs w:val="22"/>
        </w:rPr>
        <w:t> </w:t>
      </w:r>
    </w:p>
    <w:p w14:paraId="4AA1844F"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This report presents an extensive analysis of the current and future clean energy workforce to support both workforce planning and guide policy makers and education and training providers. It includes analysis on future skills needs, transition challenges, and opportunities for innovation in our education and training system, to support a successful clean energy transformation.</w:t>
      </w:r>
      <w:r w:rsidRPr="00A94E9C">
        <w:rPr>
          <w:rStyle w:val="eop"/>
          <w:rFonts w:asciiTheme="majorHAnsi" w:hAnsiTheme="majorHAnsi" w:cstheme="majorHAnsi"/>
          <w:sz w:val="22"/>
          <w:szCs w:val="22"/>
        </w:rPr>
        <w:t> </w:t>
      </w:r>
    </w:p>
    <w:p w14:paraId="315DA19E"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Australia has a once in a generation opportunity to reshape our economy through a rejuvenated, harmonised approach to skilling. This means moving beyond coordination and collaboration and instead pursuing genuine partnerships within and among systems. The clean energy workforce could be a unique testbed to explore innovative models of education and training and should be used to the fullest.</w:t>
      </w:r>
      <w:r w:rsidRPr="00A94E9C">
        <w:rPr>
          <w:rStyle w:val="eop"/>
          <w:rFonts w:asciiTheme="majorHAnsi" w:hAnsiTheme="majorHAnsi" w:cstheme="majorHAnsi"/>
          <w:sz w:val="22"/>
          <w:szCs w:val="22"/>
        </w:rPr>
        <w:t> </w:t>
      </w:r>
    </w:p>
    <w:p w14:paraId="10485AD4" w14:textId="0F0ED59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 xml:space="preserve">This study comes at a time of major change. Each element of our </w:t>
      </w:r>
      <w:r w:rsidR="008067A3">
        <w:rPr>
          <w:rStyle w:val="normaltextrun"/>
          <w:rFonts w:asciiTheme="majorHAnsi" w:hAnsiTheme="majorHAnsi" w:cstheme="majorHAnsi"/>
          <w:sz w:val="22"/>
          <w:szCs w:val="22"/>
        </w:rPr>
        <w:t xml:space="preserve">labour market and </w:t>
      </w:r>
      <w:r w:rsidRPr="00A94E9C">
        <w:rPr>
          <w:rStyle w:val="normaltextrun"/>
          <w:rFonts w:asciiTheme="majorHAnsi" w:hAnsiTheme="majorHAnsi" w:cstheme="majorHAnsi"/>
          <w:sz w:val="22"/>
          <w:szCs w:val="22"/>
        </w:rPr>
        <w:t xml:space="preserve">skills system is undergoing reform, with </w:t>
      </w:r>
      <w:r w:rsidR="008067A3">
        <w:rPr>
          <w:rStyle w:val="normaltextrun"/>
          <w:rFonts w:asciiTheme="majorHAnsi" w:hAnsiTheme="majorHAnsi" w:cstheme="majorHAnsi"/>
          <w:sz w:val="22"/>
          <w:szCs w:val="22"/>
        </w:rPr>
        <w:t xml:space="preserve">the Working Future White </w:t>
      </w:r>
      <w:r w:rsidR="008D18AF">
        <w:rPr>
          <w:rStyle w:val="normaltextrun"/>
          <w:rFonts w:asciiTheme="majorHAnsi" w:hAnsiTheme="majorHAnsi" w:cstheme="majorHAnsi"/>
          <w:sz w:val="22"/>
          <w:szCs w:val="22"/>
        </w:rPr>
        <w:t>P</w:t>
      </w:r>
      <w:r w:rsidR="008067A3">
        <w:rPr>
          <w:rStyle w:val="normaltextrun"/>
          <w:rFonts w:asciiTheme="majorHAnsi" w:hAnsiTheme="majorHAnsi" w:cstheme="majorHAnsi"/>
          <w:sz w:val="22"/>
          <w:szCs w:val="22"/>
        </w:rPr>
        <w:t xml:space="preserve">aper just released and </w:t>
      </w:r>
      <w:r w:rsidR="00FC53B7">
        <w:rPr>
          <w:rStyle w:val="normaltextrun"/>
          <w:rFonts w:asciiTheme="majorHAnsi" w:hAnsiTheme="majorHAnsi" w:cstheme="majorHAnsi"/>
          <w:sz w:val="22"/>
          <w:szCs w:val="22"/>
        </w:rPr>
        <w:t>a</w:t>
      </w:r>
      <w:r w:rsidRPr="00A94E9C">
        <w:rPr>
          <w:rStyle w:val="normaltextrun"/>
          <w:rFonts w:asciiTheme="majorHAnsi" w:hAnsiTheme="majorHAnsi" w:cstheme="majorHAnsi"/>
          <w:sz w:val="22"/>
          <w:szCs w:val="22"/>
        </w:rPr>
        <w:t xml:space="preserve"> new National Skills Agreement, Migration Strategy</w:t>
      </w:r>
      <w:r w:rsidR="008067A3">
        <w:rPr>
          <w:rStyle w:val="normaltextrun"/>
          <w:rFonts w:asciiTheme="majorHAnsi" w:hAnsiTheme="majorHAnsi" w:cstheme="majorHAnsi"/>
          <w:sz w:val="22"/>
          <w:szCs w:val="22"/>
        </w:rPr>
        <w:t>,</w:t>
      </w:r>
      <w:r w:rsidRPr="00A94E9C">
        <w:rPr>
          <w:rStyle w:val="normaltextrun"/>
          <w:rFonts w:asciiTheme="majorHAnsi" w:hAnsiTheme="majorHAnsi" w:cstheme="majorHAnsi"/>
          <w:sz w:val="22"/>
          <w:szCs w:val="22"/>
        </w:rPr>
        <w:t xml:space="preserve"> and Universities Accord in train. This report acknowledges the monumental work underway, and makes the most of this unique timing. In this context, we have made 50 recommendations to help governments focus their efforts and back in good ideas.</w:t>
      </w:r>
      <w:r w:rsidRPr="00A94E9C">
        <w:rPr>
          <w:rStyle w:val="eop"/>
          <w:rFonts w:asciiTheme="majorHAnsi" w:hAnsiTheme="majorHAnsi" w:cstheme="majorHAnsi"/>
          <w:sz w:val="22"/>
          <w:szCs w:val="22"/>
        </w:rPr>
        <w:t> </w:t>
      </w:r>
    </w:p>
    <w:p w14:paraId="42D13B47" w14:textId="6B389281"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This study also represents a step change in how Australians can work together. JSA has partnered with unions, industry, higher education institutions, VET providers and state and territory governments to deliver this report. We thank each of these partners for the contributions they’ve made to this study and to Australia’s skilling future. This is an excellent example of the tripartite effort needed to make lasting contributions.</w:t>
      </w:r>
      <w:r w:rsidRPr="00A94E9C">
        <w:rPr>
          <w:rStyle w:val="eop"/>
          <w:rFonts w:asciiTheme="majorHAnsi" w:hAnsiTheme="majorHAnsi" w:cstheme="majorHAnsi"/>
          <w:sz w:val="22"/>
          <w:szCs w:val="22"/>
        </w:rPr>
        <w:t> </w:t>
      </w:r>
    </w:p>
    <w:p w14:paraId="0AAB0A8A" w14:textId="77777777" w:rsidR="00A94E9C" w:rsidRPr="00A94E9C" w:rsidRDefault="00A94E9C" w:rsidP="00A94E9C">
      <w:pPr>
        <w:pStyle w:val="paragraph"/>
        <w:spacing w:before="0" w:beforeAutospacing="0" w:after="160" w:afterAutospacing="0" w:line="276" w:lineRule="auto"/>
        <w:textAlignment w:val="baseline"/>
        <w:rPr>
          <w:rFonts w:asciiTheme="majorHAnsi" w:hAnsiTheme="majorHAnsi" w:cstheme="majorHAnsi"/>
          <w:sz w:val="18"/>
          <w:szCs w:val="18"/>
        </w:rPr>
      </w:pPr>
      <w:r w:rsidRPr="00A94E9C">
        <w:rPr>
          <w:rStyle w:val="normaltextrun"/>
          <w:rFonts w:asciiTheme="majorHAnsi" w:hAnsiTheme="majorHAnsi" w:cstheme="majorHAnsi"/>
          <w:sz w:val="22"/>
          <w:szCs w:val="22"/>
        </w:rPr>
        <w:t>I am confident that this report, and the policy reform and innovations that follow out of it, will help ensure Australia is well positioned to pursue a prosperous net zero future. If done right, the workforce dividends of a clean energy transformation can create generations of high-quality jobs for all Australians.</w:t>
      </w:r>
      <w:r w:rsidRPr="00A94E9C">
        <w:rPr>
          <w:rStyle w:val="eop"/>
          <w:rFonts w:asciiTheme="majorHAnsi" w:hAnsiTheme="majorHAnsi" w:cstheme="majorHAnsi"/>
          <w:sz w:val="22"/>
          <w:szCs w:val="22"/>
        </w:rPr>
        <w:t> </w:t>
      </w:r>
    </w:p>
    <w:p w14:paraId="1D85B18C" w14:textId="77777777" w:rsidR="005A722A" w:rsidRPr="00CD7403" w:rsidRDefault="005A722A" w:rsidP="005A722A">
      <w:pPr>
        <w:spacing w:before="840" w:after="0" w:line="276" w:lineRule="auto"/>
        <w:rPr>
          <w:rStyle w:val="Strong"/>
          <w:rFonts w:cs="Arial"/>
          <w:color w:val="061824"/>
          <w:spacing w:val="-2"/>
          <w:sz w:val="24"/>
          <w:szCs w:val="24"/>
          <w:shd w:val="clear" w:color="auto" w:fill="FFFFFF"/>
        </w:rPr>
      </w:pPr>
      <w:r w:rsidRPr="00CD7403">
        <w:rPr>
          <w:rStyle w:val="Strong"/>
          <w:rFonts w:cs="Arial"/>
          <w:color w:val="061824"/>
          <w:spacing w:val="-2"/>
          <w:sz w:val="24"/>
          <w:szCs w:val="24"/>
          <w:shd w:val="clear" w:color="auto" w:fill="FFFFFF"/>
        </w:rPr>
        <w:t>Professor Peter Dawkins AO</w:t>
      </w:r>
    </w:p>
    <w:p w14:paraId="2CF91244" w14:textId="77777777" w:rsidR="005A722A" w:rsidRPr="00CD7403" w:rsidRDefault="005A722A" w:rsidP="005A722A">
      <w:pPr>
        <w:spacing w:after="0" w:line="276" w:lineRule="auto"/>
        <w:rPr>
          <w:rStyle w:val="Strong"/>
          <w:rFonts w:cs="Arial"/>
          <w:b w:val="0"/>
          <w:bCs w:val="0"/>
          <w:color w:val="061824"/>
          <w:spacing w:val="-2"/>
          <w:sz w:val="24"/>
          <w:szCs w:val="24"/>
          <w:shd w:val="clear" w:color="auto" w:fill="FFFFFF"/>
        </w:rPr>
      </w:pPr>
      <w:r w:rsidRPr="00CD7403">
        <w:rPr>
          <w:rStyle w:val="Strong"/>
          <w:rFonts w:cs="Arial"/>
          <w:b w:val="0"/>
          <w:color w:val="061824"/>
          <w:spacing w:val="-2"/>
          <w:sz w:val="24"/>
          <w:szCs w:val="24"/>
          <w:shd w:val="clear" w:color="auto" w:fill="FFFFFF"/>
        </w:rPr>
        <w:t>Acting Commissioner</w:t>
      </w:r>
    </w:p>
    <w:p w14:paraId="12ECA356" w14:textId="1651F3CC" w:rsidR="00683F49" w:rsidRPr="008D2C31" w:rsidRDefault="005A722A" w:rsidP="008D2C31">
      <w:pPr>
        <w:spacing w:after="240" w:line="276" w:lineRule="auto"/>
        <w:rPr>
          <w:rFonts w:cs="Arial"/>
          <w:b/>
          <w:bCs/>
          <w:sz w:val="24"/>
          <w:szCs w:val="24"/>
        </w:rPr>
        <w:sectPr w:rsidR="00683F49" w:rsidRPr="008D2C31" w:rsidSect="00556CA8">
          <w:headerReference w:type="default" r:id="rId9"/>
          <w:footerReference w:type="default" r:id="rId10"/>
          <w:type w:val="continuous"/>
          <w:pgSz w:w="11906" w:h="16838"/>
          <w:pgMar w:top="1440" w:right="1440" w:bottom="1440" w:left="1440" w:header="709" w:footer="709" w:gutter="0"/>
          <w:cols w:space="708"/>
          <w:docGrid w:linePitch="360"/>
        </w:sectPr>
      </w:pPr>
      <w:r w:rsidRPr="00CD7403">
        <w:rPr>
          <w:rStyle w:val="Strong"/>
          <w:rFonts w:cs="Arial"/>
          <w:b w:val="0"/>
          <w:color w:val="061824"/>
          <w:spacing w:val="-2"/>
          <w:sz w:val="24"/>
          <w:szCs w:val="24"/>
          <w:shd w:val="clear" w:color="auto" w:fill="FFFFFF"/>
        </w:rPr>
        <w:t>Jobs and Skills Australia</w:t>
      </w:r>
    </w:p>
    <w:p w14:paraId="6E55D0CA" w14:textId="7D198DC0" w:rsidR="001F5DAC" w:rsidRPr="008341FC" w:rsidRDefault="00E51FBA" w:rsidP="009F6D5A">
      <w:pPr>
        <w:pStyle w:val="Heading1"/>
        <w:tabs>
          <w:tab w:val="right" w:pos="9026"/>
        </w:tabs>
        <w:rPr>
          <w:color w:val="000000" w:themeColor="text1"/>
        </w:rPr>
      </w:pPr>
      <w:bookmarkStart w:id="5" w:name="_Toc146210828"/>
      <w:bookmarkStart w:id="6" w:name="_Toc146892658"/>
      <w:r w:rsidRPr="008341FC">
        <w:rPr>
          <w:color w:val="000000" w:themeColor="text1"/>
        </w:rPr>
        <w:lastRenderedPageBreak/>
        <w:t>Executive summary</w:t>
      </w:r>
      <w:bookmarkEnd w:id="5"/>
      <w:bookmarkEnd w:id="6"/>
      <w:r w:rsidR="009F6D5A" w:rsidRPr="008341FC">
        <w:rPr>
          <w:color w:val="000000" w:themeColor="text1"/>
        </w:rPr>
        <w:tab/>
      </w:r>
    </w:p>
    <w:p w14:paraId="4519DAFF" w14:textId="6CE913ED" w:rsidR="00EE1653" w:rsidRPr="00EE1653" w:rsidRDefault="00EE1653" w:rsidP="00EE1653">
      <w:pPr>
        <w:pStyle w:val="pf0"/>
        <w:spacing w:before="0" w:beforeAutospacing="0" w:after="120" w:afterAutospacing="0" w:line="276" w:lineRule="auto"/>
        <w:rPr>
          <w:rStyle w:val="cf01"/>
          <w:rFonts w:ascii="Arial" w:hAnsi="Arial" w:cs="Arial"/>
          <w:sz w:val="22"/>
          <w:szCs w:val="22"/>
        </w:rPr>
      </w:pPr>
      <w:r w:rsidRPr="00EE1653">
        <w:rPr>
          <w:rStyle w:val="cf01"/>
          <w:rFonts w:ascii="Arial" w:hAnsi="Arial" w:cs="Arial"/>
          <w:sz w:val="22"/>
          <w:szCs w:val="22"/>
        </w:rPr>
        <w:t xml:space="preserve">Reaching the Australian Government’s </w:t>
      </w:r>
      <w:r w:rsidR="00D05D46">
        <w:rPr>
          <w:rStyle w:val="cf01"/>
          <w:rFonts w:ascii="Arial" w:hAnsi="Arial" w:cs="Arial"/>
          <w:sz w:val="22"/>
          <w:szCs w:val="22"/>
        </w:rPr>
        <w:t xml:space="preserve">net-zero </w:t>
      </w:r>
      <w:r w:rsidR="005241FC">
        <w:rPr>
          <w:rStyle w:val="cf01"/>
          <w:rFonts w:ascii="Arial" w:hAnsi="Arial" w:cs="Arial"/>
          <w:sz w:val="22"/>
          <w:szCs w:val="22"/>
        </w:rPr>
        <w:t>emissions</w:t>
      </w:r>
      <w:r w:rsidRPr="00EE1653">
        <w:rPr>
          <w:rStyle w:val="cf01"/>
          <w:rFonts w:ascii="Arial" w:hAnsi="Arial" w:cs="Arial"/>
          <w:sz w:val="22"/>
          <w:szCs w:val="22"/>
        </w:rPr>
        <w:t xml:space="preserve"> target by 2050 will require a workforce transformation that is substantial but not unprecedented. Like the post-war industrial transformation and the digital transformation of the late twentieth century, a new generation of workers will be required, both from existing energy sectors and through new pathways into clean energy. New jobs, skills, qualifications, training pathways, technologies and industries will emerge over the next 30 years. </w:t>
      </w:r>
    </w:p>
    <w:p w14:paraId="0BF33CDC" w14:textId="77777777" w:rsidR="00EE1653" w:rsidRPr="00EE1653" w:rsidRDefault="00EE1653" w:rsidP="00EE1653">
      <w:pPr>
        <w:pStyle w:val="pf0"/>
        <w:spacing w:before="0" w:beforeAutospacing="0" w:after="240" w:afterAutospacing="0" w:line="276" w:lineRule="auto"/>
        <w:rPr>
          <w:rFonts w:ascii="Arial" w:hAnsi="Arial" w:cs="Arial"/>
        </w:rPr>
      </w:pPr>
      <w:r w:rsidRPr="00EE1653">
        <w:rPr>
          <w:rStyle w:val="cf01"/>
          <w:rFonts w:ascii="Arial" w:hAnsi="Arial" w:cs="Arial"/>
          <w:sz w:val="22"/>
          <w:szCs w:val="22"/>
        </w:rPr>
        <w:t>Australia will need to consider the full range of levers across the education, training, migration, procurement, and workplace relations systems to ensure a sustainable and equitable path towards net zero. This report analyses the opportunities, risks and reforms that are needed for a successful transformation of our workforce, and:</w:t>
      </w:r>
    </w:p>
    <w:p w14:paraId="19D613F7" w14:textId="6964F533" w:rsidR="00EE1653" w:rsidRPr="00EE1653" w:rsidRDefault="00EE1653" w:rsidP="00F25595">
      <w:pPr>
        <w:pStyle w:val="Bodycopy"/>
        <w:numPr>
          <w:ilvl w:val="0"/>
          <w:numId w:val="80"/>
        </w:numPr>
        <w:spacing w:before="120" w:after="120" w:line="276" w:lineRule="auto"/>
      </w:pPr>
      <w:r>
        <w:t>offers an Australian</w:t>
      </w:r>
      <w:r w:rsidRPr="60F6EFC8">
        <w:rPr>
          <w:rFonts w:eastAsia="Arial" w:cs="Arial"/>
        </w:rPr>
        <w:t>-</w:t>
      </w:r>
      <w:r>
        <w:t xml:space="preserve">first definition of the clean energy workforce, what it currently looks like and what it needs to look like to ensure the workforce grows at the pace and scale required. It finds we have enough workers overall and most likely enough </w:t>
      </w:r>
      <w:r w:rsidRPr="60F6EFC8">
        <w:rPr>
          <w:rFonts w:eastAsia="Arial" w:cs="Arial"/>
        </w:rPr>
        <w:t>university</w:t>
      </w:r>
      <w:r>
        <w:t xml:space="preserve"> graduates but outlines the risk of a shortfall of V</w:t>
      </w:r>
      <w:r w:rsidR="00A56236">
        <w:t>ocational Education and Training (V</w:t>
      </w:r>
      <w:r>
        <w:t>ET</w:t>
      </w:r>
      <w:r w:rsidR="00A56236">
        <w:t>)</w:t>
      </w:r>
      <w:r>
        <w:t xml:space="preserve"> qualified workers, especially amongst electricians and other trades</w:t>
      </w:r>
      <w:r w:rsidRPr="60F6EFC8">
        <w:rPr>
          <w:rFonts w:eastAsia="Arial" w:cs="Arial"/>
        </w:rPr>
        <w:t>.</w:t>
      </w:r>
      <w:r>
        <w:t xml:space="preserve"> </w:t>
      </w:r>
    </w:p>
    <w:p w14:paraId="44C8A5B3" w14:textId="5495261A" w:rsidR="00EE1653" w:rsidRPr="00EE1653" w:rsidRDefault="00EE1653" w:rsidP="00F25595">
      <w:pPr>
        <w:pStyle w:val="Bodycopy"/>
        <w:numPr>
          <w:ilvl w:val="0"/>
          <w:numId w:val="80"/>
        </w:numPr>
        <w:spacing w:before="120" w:after="120" w:line="276" w:lineRule="auto"/>
      </w:pPr>
      <w:r w:rsidRPr="00EE1653">
        <w:t xml:space="preserve">identifies both the emerging skills gaps in regional Australia as well as the opportunities </w:t>
      </w:r>
      <w:r w:rsidRPr="00EE1653">
        <w:rPr>
          <w:rFonts w:eastAsia="Arial" w:cs="Arial"/>
        </w:rPr>
        <w:t xml:space="preserve">for growth in the regions where new clean energy industries will emerge. </w:t>
      </w:r>
    </w:p>
    <w:p w14:paraId="290F58C7" w14:textId="0AD31A0C" w:rsidR="00EE1653" w:rsidRPr="00EE1653" w:rsidRDefault="00EE1653" w:rsidP="00F25595">
      <w:pPr>
        <w:pStyle w:val="Bodycopy"/>
        <w:numPr>
          <w:ilvl w:val="0"/>
          <w:numId w:val="80"/>
        </w:numPr>
        <w:spacing w:before="120" w:after="120" w:line="276" w:lineRule="auto"/>
      </w:pPr>
      <w:r w:rsidRPr="60F6EFC8">
        <w:rPr>
          <w:rFonts w:eastAsia="Arial" w:cs="Arial"/>
        </w:rPr>
        <w:t xml:space="preserve">offers </w:t>
      </w:r>
      <w:r w:rsidRPr="00E134F6">
        <w:t>opportunities for a tertiary skills, training and qualifications system that is fit-for-purpose to keep pace with rapidly changing technologies and emerging occupations, recommending innovative solutions to on-the-job skilling and all types of industry-led training, from T</w:t>
      </w:r>
      <w:r w:rsidR="00CD113C" w:rsidRPr="00E134F6">
        <w:t>echnical and Further Education (T</w:t>
      </w:r>
      <w:r w:rsidRPr="00E134F6">
        <w:t>AFE</w:t>
      </w:r>
      <w:r w:rsidR="00CD113C" w:rsidRPr="00E134F6">
        <w:t>)</w:t>
      </w:r>
      <w:r w:rsidRPr="00E134F6">
        <w:t xml:space="preserve"> Centres of Excellence to industry accredited microcredentials.</w:t>
      </w:r>
    </w:p>
    <w:p w14:paraId="72CB1188" w14:textId="27618779" w:rsidR="00EE1653" w:rsidRPr="00E134F6" w:rsidRDefault="00EE1653" w:rsidP="00E134F6">
      <w:pPr>
        <w:pStyle w:val="Bodycopy"/>
        <w:numPr>
          <w:ilvl w:val="0"/>
          <w:numId w:val="80"/>
        </w:numPr>
        <w:spacing w:before="120" w:after="120" w:line="276" w:lineRule="auto"/>
      </w:pPr>
      <w:r w:rsidRPr="00E134F6">
        <w:t>tackles the barriers and challenges</w:t>
      </w:r>
      <w:r w:rsidR="00CD61BD" w:rsidRPr="00E134F6">
        <w:t xml:space="preserve"> that</w:t>
      </w:r>
      <w:r w:rsidRPr="00E134F6">
        <w:t xml:space="preserve"> women, First Nations </w:t>
      </w:r>
      <w:r w:rsidR="00AB7909" w:rsidRPr="00E134F6">
        <w:t>people</w:t>
      </w:r>
      <w:r w:rsidRPr="00E134F6">
        <w:t xml:space="preserve"> and migrants face in participating in the sector, and the skills and talent the economy currently misses out on. </w:t>
      </w:r>
    </w:p>
    <w:p w14:paraId="61C2996B" w14:textId="63F5B83A" w:rsidR="00EE1653" w:rsidRPr="00EE1653" w:rsidRDefault="00EE1653" w:rsidP="00E134F6">
      <w:pPr>
        <w:pStyle w:val="Bodycopy"/>
        <w:numPr>
          <w:ilvl w:val="0"/>
          <w:numId w:val="80"/>
        </w:numPr>
        <w:spacing w:before="120" w:after="120" w:line="276" w:lineRule="auto"/>
        <w:rPr>
          <w:rFonts w:eastAsia="Arial" w:cs="Arial"/>
        </w:rPr>
      </w:pPr>
      <w:r w:rsidRPr="00E134F6">
        <w:t>offers a worker-centred approach to support transitioning communities, acknowledging that competition for</w:t>
      </w:r>
      <w:r w:rsidRPr="00EE1653">
        <w:rPr>
          <w:rFonts w:eastAsia="Arial" w:cs="Arial"/>
        </w:rPr>
        <w:t xml:space="preserve"> skilled migrants is high and while workers with clean energy skills are heavily concentrated in our regions, we have been slow to attract and support them. </w:t>
      </w:r>
    </w:p>
    <w:p w14:paraId="7FE28F82" w14:textId="77777777" w:rsidR="000A3CD9" w:rsidRDefault="000A3CD9">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14029ACE" w14:textId="1DC3AE6A" w:rsidR="00815183" w:rsidRPr="001F39C1" w:rsidRDefault="00815183" w:rsidP="0049308B">
      <w:pPr>
        <w:pStyle w:val="Bodycopy"/>
        <w:spacing w:before="240" w:line="240" w:lineRule="auto"/>
        <w:rPr>
          <w:rFonts w:ascii="Arial Bold" w:hAnsi="Arial Bold"/>
          <w:b/>
          <w:bCs/>
          <w:caps/>
          <w:color w:val="6929C4" w:themeColor="accent1"/>
          <w:sz w:val="24"/>
          <w:szCs w:val="24"/>
          <w:highlight w:val="yellow"/>
        </w:rPr>
      </w:pPr>
      <w:r w:rsidRPr="001F39C1">
        <w:rPr>
          <w:rFonts w:ascii="Arial Bold" w:hAnsi="Arial Bold"/>
          <w:b/>
          <w:bCs/>
          <w:caps/>
          <w:color w:val="6929C4" w:themeColor="accent1"/>
          <w:sz w:val="24"/>
          <w:szCs w:val="24"/>
        </w:rPr>
        <w:lastRenderedPageBreak/>
        <w:t>The net zero challenge</w:t>
      </w:r>
    </w:p>
    <w:p w14:paraId="3CC0C248" w14:textId="77777777" w:rsidR="0049308B" w:rsidRPr="0049308B" w:rsidRDefault="0049308B" w:rsidP="0049308B">
      <w:pPr>
        <w:spacing w:line="276" w:lineRule="auto"/>
        <w:rPr>
          <w:rFonts w:asciiTheme="minorHAnsi" w:eastAsia="Times New Roman" w:hAnsiTheme="minorHAnsi" w:cstheme="minorHAnsi"/>
          <w:color w:val="auto"/>
          <w:lang w:eastAsia="en-AU"/>
        </w:rPr>
      </w:pPr>
      <w:r w:rsidRPr="0049308B">
        <w:rPr>
          <w:rFonts w:asciiTheme="minorHAnsi" w:eastAsia="Times New Roman" w:hAnsiTheme="minorHAnsi" w:cstheme="minorHAnsi"/>
          <w:color w:val="auto"/>
          <w:lang w:eastAsia="en-AU"/>
        </w:rPr>
        <w:t xml:space="preserve">The net zero transformation presents an unprecedented opportunity to revitalise the Australian education and training sector, working with industry to develop a more diverse workforce and create sustainable employment for generations to come. </w:t>
      </w:r>
      <w:r w:rsidRPr="0049308B">
        <w:rPr>
          <w:rFonts w:asciiTheme="minorHAnsi" w:eastAsia="Times New Roman" w:hAnsiTheme="minorHAnsi" w:cstheme="minorHAnsi"/>
          <w:color w:val="auto"/>
          <w:lang w:eastAsia="en-AU"/>
          <w14:ligatures w14:val="standard"/>
          <w14:numForm w14:val="lining"/>
          <w14:numSpacing w14:val="proportional"/>
        </w:rPr>
        <w:t>This includes opportunities for our regional labour markets and industries that have long been in decline. With the right investment we can offset the jobs at risk in areas like coal-fired power and ensure these workers and their communities are given the support they need to transition and find new opportunities.</w:t>
      </w:r>
    </w:p>
    <w:p w14:paraId="49EA05CB" w14:textId="77777777" w:rsidR="0049308B" w:rsidRPr="0049308B" w:rsidRDefault="0049308B" w:rsidP="0049308B">
      <w:pPr>
        <w:spacing w:before="120" w:after="120" w:line="276" w:lineRule="auto"/>
        <w:rPr>
          <w:rFonts w:asciiTheme="minorHAnsi" w:eastAsia="Calibri" w:hAnsiTheme="minorHAnsi" w:cstheme="minorHAnsi"/>
          <w:color w:val="000000"/>
          <w14:ligatures w14:val="standard"/>
          <w14:numForm w14:val="lining"/>
          <w14:numSpacing w14:val="proportional"/>
        </w:rPr>
      </w:pPr>
      <w:r w:rsidRPr="0049308B">
        <w:rPr>
          <w:rFonts w:asciiTheme="minorHAnsi" w:eastAsia="Calibri" w:hAnsiTheme="minorHAnsi" w:cstheme="minorHAnsi"/>
          <w:color w:val="000000"/>
          <w14:ligatures w14:val="standard"/>
          <w14:numForm w14:val="lining"/>
          <w14:numSpacing w14:val="proportional"/>
        </w:rPr>
        <w:t xml:space="preserve">However, the transformation also presents a major challenge. If we don’t fine tune our workforce pipelines, skill shortages could prevent us from reaching net zero by 2050, and opportunities to broaden our industrial base will be missed. We also need to make sure that the jobs created are accessible and shared with all Australians, particularly underrepresented cohorts and workers in transitioning sectors. </w:t>
      </w:r>
    </w:p>
    <w:p w14:paraId="31ED1B15" w14:textId="77777777" w:rsidR="0049308B" w:rsidRPr="0049308B" w:rsidRDefault="0049308B" w:rsidP="00A41B95">
      <w:pPr>
        <w:spacing w:before="120" w:after="480" w:line="276" w:lineRule="auto"/>
        <w:rPr>
          <w:rFonts w:asciiTheme="minorHAnsi" w:eastAsia="Calibri" w:hAnsiTheme="minorHAnsi" w:cstheme="minorHAnsi"/>
          <w:color w:val="000000"/>
        </w:rPr>
      </w:pPr>
      <w:r w:rsidRPr="0049308B">
        <w:rPr>
          <w:rFonts w:asciiTheme="minorHAnsi" w:eastAsia="Calibri" w:hAnsiTheme="minorHAnsi" w:cstheme="minorHAnsi"/>
          <w:color w:val="000000"/>
          <w14:ligatures w14:val="standard"/>
          <w14:numForm w14:val="lining"/>
          <w14:numSpacing w14:val="proportional"/>
        </w:rPr>
        <w:t xml:space="preserve">Ambitious net zero targets will need to be matched with ambitious workforce and skills policy. It will also require cohesive, collective action across all levels of government and better collaboration with industry, unions and the education and training sectors. </w:t>
      </w:r>
      <w:r w:rsidRPr="0049308B">
        <w:rPr>
          <w:rFonts w:asciiTheme="minorHAnsi" w:eastAsia="Calibri" w:hAnsiTheme="minorHAnsi" w:cstheme="minorHAnsi"/>
          <w:color w:val="000000"/>
        </w:rPr>
        <w:t>This report assesses what is needed to reach net zero by 2050 and how to get there. It is guided by three overarching objectives which should inform all workforce planning for this sector: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6"/>
        <w:gridCol w:w="6740"/>
      </w:tblGrid>
      <w:tr w:rsidR="00815183" w:rsidRPr="00A221C0" w14:paraId="1A89F6DC" w14:textId="77777777" w:rsidTr="00A41B95">
        <w:trPr>
          <w:trHeight w:val="964"/>
        </w:trPr>
        <w:tc>
          <w:tcPr>
            <w:tcW w:w="1156" w:type="dxa"/>
            <w:tcBorders>
              <w:top w:val="single" w:sz="4" w:space="0" w:color="BFBFBF" w:themeColor="background1" w:themeShade="BF"/>
              <w:bottom w:val="single" w:sz="4" w:space="0" w:color="BFBFBF" w:themeColor="background1" w:themeShade="BF"/>
            </w:tcBorders>
            <w:vAlign w:val="center"/>
          </w:tcPr>
          <w:p w14:paraId="7DFE42AC" w14:textId="643A1713" w:rsidR="00815183" w:rsidRPr="00A221C0" w:rsidRDefault="00A41B95" w:rsidP="00A41B95">
            <w:pPr>
              <w:jc w:val="center"/>
              <w:rPr>
                <w:rStyle w:val="ui-provider"/>
                <w:rFonts w:cs="Arial"/>
                <w:sz w:val="21"/>
                <w:szCs w:val="21"/>
              </w:rPr>
            </w:pPr>
            <w:r w:rsidRPr="00A41B95">
              <w:rPr>
                <w:rStyle w:val="ui-provider"/>
                <w:rFonts w:cs="Arial"/>
                <w:noProof/>
                <w:sz w:val="21"/>
                <w:szCs w:val="21"/>
              </w:rPr>
              <w:drawing>
                <wp:inline distT="0" distB="0" distL="0" distR="0" wp14:anchorId="2394238C" wp14:editId="6B007807">
                  <wp:extent cx="1313180" cy="567055"/>
                  <wp:effectExtent l="0" t="0" r="1270" b="4445"/>
                  <wp:docPr id="491855767" name="Picture 4918557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55767" name="Picture 491855767">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1328384" cy="573620"/>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vAlign w:val="center"/>
          </w:tcPr>
          <w:p w14:paraId="1E50BDB1" w14:textId="71070B48" w:rsidR="00815183" w:rsidRPr="00A221C0" w:rsidRDefault="00815183" w:rsidP="00A41B95">
            <w:pPr>
              <w:spacing w:before="240" w:after="240"/>
              <w:ind w:left="57"/>
              <w:rPr>
                <w:rStyle w:val="ui-provider"/>
                <w:rFonts w:cs="Arial"/>
                <w:sz w:val="21"/>
                <w:szCs w:val="21"/>
              </w:rPr>
            </w:pPr>
            <w:r w:rsidRPr="22A7AAF7">
              <w:rPr>
                <w:rFonts w:cs="Arial"/>
                <w:b/>
                <w:bCs/>
                <w:sz w:val="21"/>
                <w:szCs w:val="21"/>
              </w:rPr>
              <w:t>Objective one</w:t>
            </w:r>
            <w:r w:rsidRPr="22A7AAF7">
              <w:rPr>
                <w:rFonts w:cs="Arial"/>
                <w:sz w:val="21"/>
                <w:szCs w:val="21"/>
              </w:rPr>
              <w:t>: the energy transition isn’t hindered by skill shortages. Australia has the workforce it needs to meet and exceed our clean energy ambition.</w:t>
            </w:r>
          </w:p>
        </w:tc>
      </w:tr>
      <w:tr w:rsidR="00815183" w:rsidRPr="00A221C0" w14:paraId="45F317D4" w14:textId="77777777" w:rsidTr="00A41B95">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39D01B4E" w14:textId="29B6BAD5" w:rsidR="00815183" w:rsidRPr="00A221C0" w:rsidRDefault="00A41B95" w:rsidP="004463E4">
            <w:pPr>
              <w:jc w:val="center"/>
              <w:rPr>
                <w:rStyle w:val="ui-provider"/>
                <w:rFonts w:cs="Arial"/>
                <w:sz w:val="21"/>
                <w:szCs w:val="21"/>
              </w:rPr>
            </w:pPr>
            <w:r w:rsidRPr="00A41B95">
              <w:rPr>
                <w:rStyle w:val="ui-provider"/>
                <w:rFonts w:cs="Arial"/>
                <w:noProof/>
                <w:sz w:val="21"/>
                <w:szCs w:val="21"/>
              </w:rPr>
              <w:drawing>
                <wp:inline distT="0" distB="0" distL="0" distR="0" wp14:anchorId="622A4DED" wp14:editId="4F542AF2">
                  <wp:extent cx="614433" cy="630324"/>
                  <wp:effectExtent l="0" t="0" r="0" b="0"/>
                  <wp:docPr id="1718272803" name="Picture 17182728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72803" name="Picture 1718272803">
                            <a:extLst>
                              <a:ext uri="{C183D7F6-B498-43B3-948B-1728B52AA6E4}">
                                <adec:decorative xmlns:adec="http://schemas.microsoft.com/office/drawing/2017/decorative" val="1"/>
                              </a:ext>
                            </a:extLst>
                          </pic:cNvPr>
                          <pic:cNvPicPr/>
                        </pic:nvPicPr>
                        <pic:blipFill>
                          <a:blip r:embed="rId12" cstate="screen">
                            <a:extLst>
                              <a:ext uri="{28A0092B-C50C-407E-A947-70E740481C1C}">
                                <a14:useLocalDpi xmlns:a14="http://schemas.microsoft.com/office/drawing/2010/main"/>
                              </a:ext>
                            </a:extLst>
                          </a:blip>
                          <a:stretch>
                            <a:fillRect/>
                          </a:stretch>
                        </pic:blipFill>
                        <pic:spPr>
                          <a:xfrm>
                            <a:off x="0" y="0"/>
                            <a:ext cx="623373" cy="639495"/>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7FB460D0" w14:textId="77777777" w:rsidR="00815183" w:rsidRPr="00A221C0" w:rsidRDefault="00815183" w:rsidP="00A41B95">
            <w:pPr>
              <w:spacing w:before="240" w:after="240"/>
              <w:ind w:left="57"/>
              <w:rPr>
                <w:rStyle w:val="ui-provider"/>
                <w:rFonts w:cs="Arial"/>
                <w:sz w:val="21"/>
                <w:szCs w:val="21"/>
              </w:rPr>
            </w:pPr>
            <w:r w:rsidRPr="00A221C0">
              <w:rPr>
                <w:rStyle w:val="Strong"/>
                <w:rFonts w:cs="Arial"/>
                <w:sz w:val="21"/>
                <w:szCs w:val="21"/>
              </w:rPr>
              <w:t>Objective two</w:t>
            </w:r>
            <w:r w:rsidRPr="00A221C0">
              <w:rPr>
                <w:rStyle w:val="ui-provider"/>
                <w:rFonts w:cs="Arial"/>
                <w:sz w:val="21"/>
                <w:szCs w:val="21"/>
              </w:rPr>
              <w:t>: workforce opportunities are sustainable and equitably shared with all Australians, p</w:t>
            </w:r>
            <w:r w:rsidRPr="00A221C0">
              <w:rPr>
                <w:rFonts w:cs="Arial"/>
                <w:sz w:val="21"/>
                <w:szCs w:val="21"/>
              </w:rPr>
              <w:t>articularly</w:t>
            </w:r>
            <w:r w:rsidRPr="00A221C0">
              <w:rPr>
                <w:rStyle w:val="ui-provider"/>
                <w:rFonts w:cs="Arial"/>
                <w:sz w:val="21"/>
                <w:szCs w:val="21"/>
              </w:rPr>
              <w:t xml:space="preserve"> communities impacted by decarbonisation and disadvantaged groups that were underutilised in traditional energy.</w:t>
            </w:r>
          </w:p>
        </w:tc>
      </w:tr>
      <w:tr w:rsidR="00815183" w:rsidRPr="00A221C0" w14:paraId="0AA80714" w14:textId="77777777" w:rsidTr="00A41B95">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19E5FB0E" w14:textId="4DB6549F" w:rsidR="00815183" w:rsidRPr="00A221C0" w:rsidRDefault="00A41B95" w:rsidP="00A41B95">
            <w:pPr>
              <w:jc w:val="center"/>
              <w:rPr>
                <w:rFonts w:cs="Arial"/>
                <w:sz w:val="21"/>
                <w:szCs w:val="21"/>
              </w:rPr>
            </w:pPr>
            <w:r w:rsidRPr="00A41B95">
              <w:rPr>
                <w:rFonts w:cs="Arial"/>
                <w:noProof/>
                <w:sz w:val="21"/>
                <w:szCs w:val="21"/>
              </w:rPr>
              <w:drawing>
                <wp:inline distT="0" distB="0" distL="0" distR="0" wp14:anchorId="66D92D07" wp14:editId="1CF0720D">
                  <wp:extent cx="1313543" cy="577252"/>
                  <wp:effectExtent l="0" t="0" r="1270" b="0"/>
                  <wp:docPr id="903099568" name="Picture 903099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99568" name="Picture 903099568">
                            <a:extLst>
                              <a:ext uri="{C183D7F6-B498-43B3-948B-1728B52AA6E4}">
                                <adec:decorative xmlns:adec="http://schemas.microsoft.com/office/drawing/2017/decorative" val="1"/>
                              </a:ext>
                            </a:extLst>
                          </pic:cNvPr>
                          <pic:cNvPicPr/>
                        </pic:nvPicPr>
                        <pic:blipFill>
                          <a:blip r:embed="rId13" cstate="screen">
                            <a:extLst>
                              <a:ext uri="{28A0092B-C50C-407E-A947-70E740481C1C}">
                                <a14:useLocalDpi xmlns:a14="http://schemas.microsoft.com/office/drawing/2010/main"/>
                              </a:ext>
                            </a:extLst>
                          </a:blip>
                          <a:stretch>
                            <a:fillRect/>
                          </a:stretch>
                        </pic:blipFill>
                        <pic:spPr>
                          <a:xfrm>
                            <a:off x="0" y="0"/>
                            <a:ext cx="1324834" cy="582214"/>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26DD162A" w14:textId="33CD98F4" w:rsidR="00815183" w:rsidRPr="00A221C0" w:rsidRDefault="00815183" w:rsidP="00A41B95">
            <w:pPr>
              <w:spacing w:before="240" w:after="240"/>
              <w:ind w:left="57"/>
              <w:rPr>
                <w:rStyle w:val="Strong"/>
                <w:rFonts w:cs="Arial"/>
                <w:b w:val="0"/>
                <w:bCs w:val="0"/>
                <w:sz w:val="21"/>
                <w:szCs w:val="21"/>
              </w:rPr>
            </w:pPr>
            <w:r w:rsidRPr="00A221C0">
              <w:rPr>
                <w:rStyle w:val="Strong"/>
                <w:rFonts w:cs="Arial"/>
                <w:sz w:val="21"/>
                <w:szCs w:val="21"/>
              </w:rPr>
              <w:t xml:space="preserve">Objective three: </w:t>
            </w:r>
            <w:r w:rsidR="007B2868" w:rsidRPr="007B2868">
              <w:rPr>
                <w:rStyle w:val="Strong"/>
                <w:rFonts w:cs="Arial"/>
                <w:b w:val="0"/>
                <w:bCs w:val="0"/>
                <w:sz w:val="21"/>
                <w:szCs w:val="21"/>
              </w:rPr>
              <w:t>people in transitioning sectors and their communities are given the support they need to access new employment opportunities that work for them.</w:t>
            </w:r>
          </w:p>
        </w:tc>
      </w:tr>
    </w:tbl>
    <w:p w14:paraId="7528951F" w14:textId="77777777" w:rsidR="000A3CD9" w:rsidRDefault="000A3CD9">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6B24381F" w14:textId="77777777" w:rsidR="00815183" w:rsidRPr="001F39C1" w:rsidRDefault="00815183" w:rsidP="0075419C">
      <w:pPr>
        <w:pStyle w:val="Bodycopy"/>
        <w:spacing w:before="48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DEFINING THE CLEAN ENERGY WORKFORCE</w:t>
      </w:r>
    </w:p>
    <w:p w14:paraId="00C57560" w14:textId="77777777" w:rsidR="00B9575B" w:rsidRPr="00B9575B" w:rsidRDefault="00B9575B" w:rsidP="00B9575B">
      <w:pPr>
        <w:spacing w:after="120" w:line="276" w:lineRule="auto"/>
        <w:rPr>
          <w:rFonts w:eastAsia="Arial" w:cs="Arial"/>
        </w:rPr>
      </w:pPr>
      <w:r w:rsidRPr="00B9575B">
        <w:rPr>
          <w:rFonts w:eastAsia="Arial" w:cs="Arial"/>
        </w:rPr>
        <w:t>In an Australian first, we have defined the jobs and industries that make up our clean energy workforce. Rather than viewing clean energy as an isolated segment of the economy, we have acknowledged the role that every industry plays in one way or another. This means clean energy jobs are found right across the workforce, extending well beyond obvious sectors like wind, solar and hydroelectricity into parts of construction and research and development, amongst others.</w:t>
      </w:r>
    </w:p>
    <w:p w14:paraId="323482AC" w14:textId="25F4A459" w:rsidR="00B9575B" w:rsidRDefault="00B9575B" w:rsidP="000A3CD9">
      <w:pPr>
        <w:spacing w:after="240" w:line="276" w:lineRule="auto"/>
        <w:rPr>
          <w:rFonts w:eastAsia="Arial" w:cs="Arial"/>
        </w:rPr>
      </w:pPr>
      <w:r w:rsidRPr="00B9575B">
        <w:rPr>
          <w:rFonts w:eastAsia="Arial" w:cs="Arial"/>
        </w:rPr>
        <w:t xml:space="preserve">Based on feedback from our </w:t>
      </w:r>
      <w:hyperlink r:id="rId14" w:history="1">
        <w:r w:rsidRPr="00A9114A">
          <w:rPr>
            <w:rStyle w:val="Hyperlink"/>
            <w:rFonts w:eastAsia="Arial" w:cs="Arial"/>
            <w:color w:val="6929C4" w:themeColor="accent1"/>
          </w:rPr>
          <w:t>Discussion Paper</w:t>
        </w:r>
      </w:hyperlink>
      <w:r w:rsidRPr="00B9575B">
        <w:rPr>
          <w:rFonts w:eastAsia="Arial" w:cs="Arial"/>
        </w:rPr>
        <w:t xml:space="preserve"> and engagement with the Project Steering Group, </w:t>
      </w:r>
      <w:r w:rsidR="00744FAB">
        <w:rPr>
          <w:rFonts w:eastAsia="Arial" w:cs="Arial"/>
        </w:rPr>
        <w:t>J</w:t>
      </w:r>
      <w:r w:rsidRPr="00B9575B">
        <w:rPr>
          <w:rFonts w:eastAsia="Arial" w:cs="Arial"/>
        </w:rPr>
        <w:t xml:space="preserve">SA workforce mapping has been applied against the definition of clean energy to describe what constitutes the clean energy workforce and related sectors. These industry </w:t>
      </w:r>
      <w:r w:rsidR="00994BD5">
        <w:rPr>
          <w:rFonts w:eastAsia="Arial" w:cs="Arial"/>
        </w:rPr>
        <w:t>segments</w:t>
      </w:r>
      <w:r w:rsidR="00994BD5" w:rsidRPr="00B9575B">
        <w:rPr>
          <w:rFonts w:eastAsia="Arial" w:cs="Arial"/>
        </w:rPr>
        <w:t xml:space="preserve"> </w:t>
      </w:r>
      <w:r w:rsidRPr="00B9575B">
        <w:rPr>
          <w:rFonts w:eastAsia="Arial" w:cs="Arial"/>
        </w:rPr>
        <w:t xml:space="preserve">span energy supply, energy demand, enabling clean energy workforce, the workforce associated with the carbon lifecycle, </w:t>
      </w:r>
      <w:r w:rsidR="00387F17">
        <w:rPr>
          <w:rFonts w:eastAsia="Arial" w:cs="Arial"/>
        </w:rPr>
        <w:t xml:space="preserve">emissions-intensive sectors </w:t>
      </w:r>
      <w:r w:rsidRPr="00B9575B">
        <w:rPr>
          <w:rFonts w:eastAsia="Arial" w:cs="Arial"/>
        </w:rPr>
        <w:t>and the workforce from transitioning sectors.</w:t>
      </w:r>
    </w:p>
    <w:p w14:paraId="03395FD8" w14:textId="770025CE" w:rsidR="00245387" w:rsidRPr="00B9575B" w:rsidRDefault="00B3665F" w:rsidP="000A3CD9">
      <w:pPr>
        <w:spacing w:after="240" w:line="276" w:lineRule="auto"/>
        <w:rPr>
          <w:rFonts w:eastAsia="Arial" w:cs="Arial"/>
        </w:rPr>
      </w:pPr>
      <w:r w:rsidRPr="00B3665F">
        <w:rPr>
          <w:rFonts w:eastAsia="Arial" w:cs="Arial"/>
          <w:noProof/>
        </w:rPr>
        <w:drawing>
          <wp:inline distT="0" distB="0" distL="0" distR="0" wp14:anchorId="7FAC9BDA" wp14:editId="3D12FFE9">
            <wp:extent cx="5731510" cy="2993390"/>
            <wp:effectExtent l="0" t="0" r="2540" b="0"/>
            <wp:docPr id="231031571" name="Picture 231031571" descr="This figure shows the 7 clean energy segments and their description.&#10;&#10;Clean energy supply: Industry groups that are essential to clean energy generation and supply. Currently, distribution and supply supports both renewable and fossil-fuel-reliant energy sources. As we transition, these will predominantly support renewable energy.&#10;&#10;Clean energy demand: Industry groups that relate to energy demand, noting that most industry groups are about more than energy. Industry groups in the clean energy demand segment will have skill and job role implications. Clean energy is already a significant proportion of activity and likely to grow. &#10;&#10;Clean energy enabling:&#10;Industry groups which enable clean energy production, supply and usage but where the clean energy component is small. Generally, clean energy workers in these sectors are distinguished by subject matter expertise rather than distinct job roles or skills. &#10;&#10;Carbon Lifecyle: Industry groups which will have a substantial contribution to managing the carbon lifecycle, through carbon capture or the circular economy.&#10;&#10;Emissions-intensive sectors:&#10;ANZSIC groups such as cement production and other industrial processes that are emissions intensive. &#10;&#10;Transitioning:&#10;Fossil-fuel related groups which will decline and transform substantially as a result of decarbonis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31571" name="Picture 231031571" descr="This figure shows the 7 clean energy segments and their description.&#10;&#10;Clean energy supply: Industry groups that are essential to clean energy generation and supply. Currently, distribution and supply supports both renewable and fossil-fuel-reliant energy sources. As we transition, these will predominantly support renewable energy.&#10;&#10;Clean energy demand: Industry groups that relate to energy demand, noting that most industry groups are about more than energy. Industry groups in the clean energy demand segment will have skill and job role implications. Clean energy is already a significant proportion of activity and likely to grow. &#10;&#10;Clean energy enabling:&#10;Industry groups which enable clean energy production, supply and usage but where the clean energy component is small. Generally, clean energy workers in these sectors are distinguished by subject matter expertise rather than distinct job roles or skills. &#10;&#10;Carbon Lifecyle: Industry groups which will have a substantial contribution to managing the carbon lifecycle, through carbon capture or the circular economy.&#10;&#10;Emissions-intensive sectors:&#10;ANZSIC groups such as cement production and other industrial processes that are emissions intensive. &#10;&#10;Transitioning:&#10;Fossil-fuel related groups which will decline and transform substantially as a result of decarbonisation. &#10;"/>
                    <pic:cNvPicPr/>
                  </pic:nvPicPr>
                  <pic:blipFill>
                    <a:blip r:embed="rId15" cstate="screen">
                      <a:extLst>
                        <a:ext uri="{28A0092B-C50C-407E-A947-70E740481C1C}">
                          <a14:useLocalDpi xmlns:a14="http://schemas.microsoft.com/office/drawing/2010/main"/>
                        </a:ext>
                      </a:extLst>
                    </a:blip>
                    <a:stretch>
                      <a:fillRect/>
                    </a:stretch>
                  </pic:blipFill>
                  <pic:spPr>
                    <a:xfrm>
                      <a:off x="0" y="0"/>
                      <a:ext cx="5731510" cy="2993390"/>
                    </a:xfrm>
                    <a:prstGeom prst="rect">
                      <a:avLst/>
                    </a:prstGeom>
                  </pic:spPr>
                </pic:pic>
              </a:graphicData>
            </a:graphic>
          </wp:inline>
        </w:drawing>
      </w:r>
    </w:p>
    <w:p w14:paraId="2EFF4754" w14:textId="682260FD" w:rsidR="00815183" w:rsidRDefault="00815183" w:rsidP="00815183">
      <w:pPr>
        <w:spacing w:before="120" w:after="120" w:line="240" w:lineRule="auto"/>
        <w:rPr>
          <w:rFonts w:cs="Arial"/>
        </w:rPr>
      </w:pPr>
    </w:p>
    <w:p w14:paraId="251B19CB" w14:textId="77777777" w:rsidR="0075419C" w:rsidRDefault="0075419C">
      <w:pPr>
        <w:rPr>
          <w:rFonts w:eastAsia="Arial" w:cs="Arial"/>
          <w:sz w:val="21"/>
          <w:szCs w:val="21"/>
        </w:rPr>
      </w:pPr>
      <w:r>
        <w:rPr>
          <w:rFonts w:eastAsia="Arial" w:cs="Arial"/>
          <w:sz w:val="21"/>
          <w:szCs w:val="21"/>
        </w:rPr>
        <w:br w:type="page"/>
      </w:r>
    </w:p>
    <w:p w14:paraId="6C8E97DB" w14:textId="77777777" w:rsidR="00815183" w:rsidRDefault="00815183" w:rsidP="00B87E86">
      <w:pPr>
        <w:spacing w:before="240" w:after="360" w:line="276" w:lineRule="auto"/>
        <w:rPr>
          <w:rFonts w:eastAsia="Arial" w:cs="Arial"/>
        </w:rPr>
      </w:pPr>
      <w:r w:rsidRPr="00856586">
        <w:rPr>
          <w:rFonts w:eastAsia="Arial" w:cs="Arial"/>
        </w:rPr>
        <w:lastRenderedPageBreak/>
        <w:t>While there are many occupations that form part of the clean energy workforce, the most critical are</w:t>
      </w:r>
      <w:r w:rsidR="00DC3FA1">
        <w:rPr>
          <w:rFonts w:eastAsia="Arial" w:cs="Arial"/>
        </w:rPr>
        <w:t xml:space="preserve"> found within</w:t>
      </w:r>
      <w:r w:rsidRPr="00856586">
        <w:rPr>
          <w:rFonts w:eastAsia="Arial" w:cs="Arial"/>
        </w:rPr>
        <w:t xml:space="preserve"> trades, technic</w:t>
      </w:r>
      <w:r w:rsidR="00DC3FA1">
        <w:rPr>
          <w:rFonts w:eastAsia="Arial" w:cs="Arial"/>
        </w:rPr>
        <w:t>al occupations</w:t>
      </w:r>
      <w:r w:rsidRPr="00856586">
        <w:rPr>
          <w:rFonts w:eastAsia="Arial" w:cs="Arial"/>
        </w:rPr>
        <w:t xml:space="preserve"> and engineering professionals, where training times and licensing and accreditation requirements impose justified barriers to entry. </w:t>
      </w:r>
      <w:r w:rsidR="00DC3FA1">
        <w:rPr>
          <w:rFonts w:eastAsia="Arial" w:cs="Arial"/>
        </w:rPr>
        <w:t>The study identifies</w:t>
      </w:r>
      <w:r w:rsidRPr="00856586">
        <w:rPr>
          <w:rFonts w:eastAsia="Arial" w:cs="Arial"/>
        </w:rPr>
        <w:t xml:space="preserve"> 38 occupations that are critical to at least one segment of this workforce: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87E86" w:rsidRPr="0094354F" w14:paraId="0096835F" w14:textId="77777777">
        <w:trPr>
          <w:trHeight w:val="20"/>
        </w:trPr>
        <w:tc>
          <w:tcPr>
            <w:tcW w:w="4508" w:type="dxa"/>
            <w:shd w:val="clear" w:color="auto" w:fill="auto"/>
          </w:tcPr>
          <w:p w14:paraId="0311810A" w14:textId="29AF8C97" w:rsidR="00B87E86" w:rsidRPr="00B53AF0" w:rsidRDefault="00B87E86">
            <w:pPr>
              <w:spacing w:line="276" w:lineRule="auto"/>
              <w:rPr>
                <w:rFonts w:eastAsia="Arial" w:cs="Arial"/>
                <w:b/>
                <w:bCs/>
              </w:rPr>
            </w:pPr>
            <w:r w:rsidRPr="00B53AF0">
              <w:rPr>
                <w:rFonts w:eastAsia="Arial" w:cs="Arial"/>
                <w:b/>
                <w:bCs/>
              </w:rPr>
              <w:t>Technicians and Trades Workers</w:t>
            </w:r>
          </w:p>
          <w:p w14:paraId="51900EFC" w14:textId="6CE48F38"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 xml:space="preserve">Architectural, Building </w:t>
            </w:r>
            <w:r w:rsidR="00B53AF0" w:rsidRPr="00B53AF0">
              <w:rPr>
                <w:rFonts w:eastAsia="Arial" w:cs="Arial"/>
              </w:rPr>
              <w:t>and</w:t>
            </w:r>
            <w:r w:rsidRPr="00B53AF0">
              <w:rPr>
                <w:rFonts w:eastAsia="Arial" w:cs="Arial"/>
              </w:rPr>
              <w:t xml:space="preserve"> Surveying Tech</w:t>
            </w:r>
            <w:r w:rsidR="00B53AF0" w:rsidRPr="00B53AF0">
              <w:rPr>
                <w:rFonts w:eastAsia="Arial" w:cs="Arial"/>
              </w:rPr>
              <w:t>nicians</w:t>
            </w:r>
          </w:p>
          <w:p w14:paraId="1E9BB5CA" w14:textId="451C0C96"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 xml:space="preserve">Civil Engineering Draftspersons </w:t>
            </w:r>
            <w:r w:rsidR="00B53AF0" w:rsidRPr="00B53AF0">
              <w:rPr>
                <w:rFonts w:eastAsia="Arial" w:cs="Arial"/>
              </w:rPr>
              <w:t>and</w:t>
            </w:r>
            <w:r w:rsidRPr="00B53AF0">
              <w:rPr>
                <w:rFonts w:eastAsia="Arial" w:cs="Arial"/>
              </w:rPr>
              <w:t xml:space="preserve"> Tech</w:t>
            </w:r>
            <w:r w:rsidR="00B53AF0" w:rsidRPr="00B53AF0">
              <w:rPr>
                <w:rFonts w:eastAsia="Arial" w:cs="Arial"/>
              </w:rPr>
              <w:t>nicians</w:t>
            </w:r>
          </w:p>
          <w:p w14:paraId="5699C180" w14:textId="7B896082"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 xml:space="preserve">Electrical Engineering Draftspersons </w:t>
            </w:r>
            <w:r w:rsidR="00B53AF0" w:rsidRPr="00B53AF0">
              <w:rPr>
                <w:rFonts w:eastAsia="Arial" w:cs="Arial"/>
              </w:rPr>
              <w:t>and</w:t>
            </w:r>
            <w:r w:rsidRPr="00B53AF0">
              <w:rPr>
                <w:rFonts w:eastAsia="Arial" w:cs="Arial"/>
              </w:rPr>
              <w:t xml:space="preserve"> Tech</w:t>
            </w:r>
            <w:r w:rsidR="00B53AF0" w:rsidRPr="00B53AF0">
              <w:rPr>
                <w:rFonts w:eastAsia="Arial" w:cs="Arial"/>
              </w:rPr>
              <w:t>nicians</w:t>
            </w:r>
          </w:p>
          <w:p w14:paraId="63A13167" w14:textId="37908004"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Other Building and Engineering Tech</w:t>
            </w:r>
            <w:r w:rsidR="00B53AF0" w:rsidRPr="00B53AF0">
              <w:rPr>
                <w:rFonts w:eastAsia="Arial" w:cs="Arial"/>
              </w:rPr>
              <w:t>nicians</w:t>
            </w:r>
          </w:p>
          <w:p w14:paraId="39F1177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Automotive Electricians</w:t>
            </w:r>
          </w:p>
          <w:p w14:paraId="711DB194"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Motor Mechanics</w:t>
            </w:r>
          </w:p>
          <w:p w14:paraId="1B325EF3"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Aircraft Maintenance Engineers</w:t>
            </w:r>
          </w:p>
          <w:p w14:paraId="76713E3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Metal Fitters and Machinists</w:t>
            </w:r>
          </w:p>
          <w:p w14:paraId="716C5E5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Structural Steel and Welding Trades Workers</w:t>
            </w:r>
          </w:p>
          <w:p w14:paraId="656CA07F"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Plumbers</w:t>
            </w:r>
          </w:p>
          <w:p w14:paraId="13562771"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Electricians</w:t>
            </w:r>
          </w:p>
          <w:p w14:paraId="6B33E4D4"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Airconditioning and Refrigeration Mechanics</w:t>
            </w:r>
          </w:p>
          <w:p w14:paraId="40DE7D7F"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Electrical Distribution Trades Workers</w:t>
            </w:r>
          </w:p>
          <w:p w14:paraId="32813AF1"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Chemical, Gas, Petroleum and Power Generation Plant Operators</w:t>
            </w:r>
          </w:p>
          <w:p w14:paraId="2B7AC70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Telecommunications Trades Workers</w:t>
            </w:r>
          </w:p>
          <w:p w14:paraId="22BF062C" w14:textId="2E9F46B3" w:rsidR="00957F12" w:rsidRPr="00B53AF0" w:rsidRDefault="00957F12" w:rsidP="00F25595">
            <w:pPr>
              <w:pStyle w:val="ListParagraph"/>
              <w:numPr>
                <w:ilvl w:val="0"/>
                <w:numId w:val="84"/>
              </w:numPr>
              <w:spacing w:after="120"/>
              <w:ind w:left="340" w:hanging="170"/>
              <w:contextualSpacing w:val="0"/>
              <w:rPr>
                <w:rFonts w:eastAsia="Arial" w:cs="Arial"/>
              </w:rPr>
            </w:pPr>
            <w:r w:rsidRPr="00B53AF0">
              <w:rPr>
                <w:rFonts w:eastAsia="Arial" w:cs="Arial"/>
              </w:rPr>
              <w:t>Electronics Trades Workers</w:t>
            </w:r>
          </w:p>
        </w:tc>
        <w:tc>
          <w:tcPr>
            <w:tcW w:w="4508" w:type="dxa"/>
            <w:shd w:val="clear" w:color="auto" w:fill="auto"/>
          </w:tcPr>
          <w:p w14:paraId="155C7890" w14:textId="77777777" w:rsidR="00B87E86" w:rsidRPr="00B53AF0" w:rsidRDefault="00B87E86">
            <w:pPr>
              <w:spacing w:line="276" w:lineRule="auto"/>
              <w:rPr>
                <w:rFonts w:eastAsia="Arial" w:cs="Arial"/>
                <w:b/>
                <w:bCs/>
              </w:rPr>
            </w:pPr>
            <w:r w:rsidRPr="00B53AF0">
              <w:rPr>
                <w:rFonts w:eastAsia="Arial" w:cs="Arial"/>
                <w:b/>
                <w:bCs/>
              </w:rPr>
              <w:t>Professionals</w:t>
            </w:r>
          </w:p>
          <w:p w14:paraId="1789F71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Marine Transport Professionals</w:t>
            </w:r>
          </w:p>
          <w:p w14:paraId="22D911D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Architects and Landscape Architects</w:t>
            </w:r>
          </w:p>
          <w:p w14:paraId="7C8E087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Urban and Regional Planners</w:t>
            </w:r>
          </w:p>
          <w:p w14:paraId="6FE7D99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Chemical and Materials Engineers</w:t>
            </w:r>
          </w:p>
          <w:p w14:paraId="2C93EC72"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Civil Engineering Professionals</w:t>
            </w:r>
          </w:p>
          <w:p w14:paraId="41E2A2DC"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Electrical Engineers</w:t>
            </w:r>
          </w:p>
          <w:p w14:paraId="2E8EBCC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Industrial, Mechanical and Production Engineers</w:t>
            </w:r>
          </w:p>
          <w:p w14:paraId="34ECAC2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Mining Engineers</w:t>
            </w:r>
          </w:p>
          <w:p w14:paraId="76954528"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Other Engineering Professionals</w:t>
            </w:r>
          </w:p>
          <w:p w14:paraId="578B0C70" w14:textId="18E30CDC"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Agricultural and Forestry Scientists</w:t>
            </w:r>
          </w:p>
          <w:p w14:paraId="0C68F6BD"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Chemists, and Food and Wine Scientists</w:t>
            </w:r>
          </w:p>
          <w:p w14:paraId="31CE602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Environmental Scientists</w:t>
            </w:r>
          </w:p>
          <w:p w14:paraId="554C0B3D"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Geologists, Geophysicists and Hydrogeologists</w:t>
            </w:r>
          </w:p>
          <w:p w14:paraId="6158172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University Lecturers and Tutors</w:t>
            </w:r>
          </w:p>
          <w:p w14:paraId="0B7CED8A"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Vocational Education Teachers</w:t>
            </w:r>
          </w:p>
          <w:p w14:paraId="52B18DB7"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Occupation and Environmental Health Professionals</w:t>
            </w:r>
          </w:p>
        </w:tc>
      </w:tr>
      <w:tr w:rsidR="00B87E86" w:rsidRPr="00F25DFA" w14:paraId="44574784" w14:textId="77777777">
        <w:trPr>
          <w:trHeight w:val="20"/>
        </w:trPr>
        <w:tc>
          <w:tcPr>
            <w:tcW w:w="4508" w:type="dxa"/>
            <w:shd w:val="clear" w:color="auto" w:fill="auto"/>
          </w:tcPr>
          <w:p w14:paraId="293A777B" w14:textId="77777777" w:rsidR="00B87E86" w:rsidRPr="00B53AF0" w:rsidRDefault="00B87E86">
            <w:pPr>
              <w:spacing w:before="240" w:line="276" w:lineRule="auto"/>
              <w:rPr>
                <w:rFonts w:eastAsia="Arial" w:cs="Arial"/>
                <w:b/>
                <w:bCs/>
              </w:rPr>
            </w:pPr>
            <w:r w:rsidRPr="00B53AF0">
              <w:rPr>
                <w:rFonts w:eastAsia="Arial" w:cs="Arial"/>
                <w:b/>
                <w:bCs/>
              </w:rPr>
              <w:t>Managers</w:t>
            </w:r>
          </w:p>
          <w:p w14:paraId="4306645B"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Policy and Planning Managers</w:t>
            </w:r>
          </w:p>
          <w:p w14:paraId="6744BEA7"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Research and Development Managers</w:t>
            </w:r>
          </w:p>
          <w:p w14:paraId="5352E8AE"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Construction Managers</w:t>
            </w:r>
          </w:p>
          <w:p w14:paraId="2EB53726"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Engineering Managers</w:t>
            </w:r>
          </w:p>
          <w:p w14:paraId="791181C5" w14:textId="77777777" w:rsidR="00B87E86" w:rsidRPr="00B53AF0" w:rsidRDefault="00B87E86" w:rsidP="00F25595">
            <w:pPr>
              <w:pStyle w:val="ListParagraph"/>
              <w:numPr>
                <w:ilvl w:val="0"/>
                <w:numId w:val="84"/>
              </w:numPr>
              <w:spacing w:after="120"/>
              <w:ind w:left="340" w:hanging="170"/>
              <w:contextualSpacing w:val="0"/>
              <w:rPr>
                <w:rFonts w:eastAsia="Arial" w:cs="Arial"/>
              </w:rPr>
            </w:pPr>
            <w:r w:rsidRPr="00B53AF0">
              <w:rPr>
                <w:rFonts w:eastAsia="Arial" w:cs="Arial"/>
              </w:rPr>
              <w:t>Production Managers</w:t>
            </w:r>
          </w:p>
        </w:tc>
        <w:tc>
          <w:tcPr>
            <w:tcW w:w="4508" w:type="dxa"/>
            <w:shd w:val="clear" w:color="auto" w:fill="auto"/>
          </w:tcPr>
          <w:p w14:paraId="2FAC6205" w14:textId="77777777" w:rsidR="00B87E86" w:rsidRPr="00B53AF0" w:rsidRDefault="00B87E86">
            <w:pPr>
              <w:spacing w:before="240" w:line="276" w:lineRule="auto"/>
              <w:rPr>
                <w:rFonts w:eastAsia="Arial" w:cs="Arial"/>
                <w:b/>
                <w:bCs/>
              </w:rPr>
            </w:pPr>
            <w:r w:rsidRPr="00B53AF0">
              <w:rPr>
                <w:rFonts w:eastAsia="Arial" w:cs="Arial"/>
                <w:b/>
                <w:bCs/>
              </w:rPr>
              <w:t>Labourers</w:t>
            </w:r>
          </w:p>
          <w:p w14:paraId="0339329C" w14:textId="77777777" w:rsidR="00B87E86" w:rsidRPr="00B53AF0" w:rsidRDefault="00B87E86" w:rsidP="00F25595">
            <w:pPr>
              <w:pStyle w:val="ListParagraph"/>
              <w:numPr>
                <w:ilvl w:val="0"/>
                <w:numId w:val="84"/>
              </w:numPr>
              <w:spacing w:after="80"/>
              <w:ind w:left="340" w:hanging="170"/>
              <w:contextualSpacing w:val="0"/>
              <w:rPr>
                <w:rFonts w:eastAsia="Arial" w:cs="Arial"/>
                <w:b/>
                <w:bCs/>
              </w:rPr>
            </w:pPr>
            <w:r w:rsidRPr="00B53AF0">
              <w:rPr>
                <w:rFonts w:eastAsia="Arial" w:cs="Arial"/>
              </w:rPr>
              <w:t>Structural Steel Construction Workers</w:t>
            </w:r>
          </w:p>
        </w:tc>
      </w:tr>
    </w:tbl>
    <w:p w14:paraId="1C653B73" w14:textId="77777777" w:rsidR="00815183" w:rsidRDefault="00815183" w:rsidP="00815183">
      <w:pPr>
        <w:spacing w:before="240" w:after="120" w:line="240" w:lineRule="auto"/>
        <w:rPr>
          <w:rFonts w:eastAsia="Arial" w:cs="Arial"/>
          <w:sz w:val="21"/>
          <w:szCs w:val="21"/>
        </w:rPr>
        <w:sectPr w:rsidR="00815183" w:rsidSect="009F5E91">
          <w:headerReference w:type="default" r:id="rId16"/>
          <w:type w:val="continuous"/>
          <w:pgSz w:w="11906" w:h="16838"/>
          <w:pgMar w:top="1440" w:right="1440" w:bottom="1440" w:left="1440" w:header="708" w:footer="708" w:gutter="0"/>
          <w:cols w:space="566"/>
          <w:docGrid w:linePitch="360"/>
        </w:sectPr>
      </w:pPr>
    </w:p>
    <w:p w14:paraId="7C57D25E" w14:textId="77777777" w:rsidR="00B87E86" w:rsidRDefault="00B87E86">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72A666B8" w14:textId="390F9B32" w:rsidR="00815183" w:rsidRPr="001F39C1" w:rsidRDefault="00815183" w:rsidP="00B87E86">
      <w:pPr>
        <w:pStyle w:val="Bodycopy"/>
        <w:spacing w:after="240" w:line="240" w:lineRule="auto"/>
        <w:rPr>
          <w:rFonts w:ascii="Arial Bold" w:hAnsi="Arial Bold" w:cs="Arial"/>
          <w:b/>
          <w:bCs/>
          <w:caps/>
          <w:color w:val="6929C4" w:themeColor="accent1"/>
        </w:rPr>
      </w:pPr>
      <w:r w:rsidRPr="001F39C1">
        <w:rPr>
          <w:rFonts w:ascii="Arial Bold" w:hAnsi="Arial Bold"/>
          <w:b/>
          <w:bCs/>
          <w:caps/>
          <w:color w:val="6929C4" w:themeColor="accent1"/>
          <w:sz w:val="24"/>
          <w:szCs w:val="24"/>
        </w:rPr>
        <w:lastRenderedPageBreak/>
        <w:t>Australia’s clean energy workforce is:</w:t>
      </w:r>
    </w:p>
    <w:p w14:paraId="3445743E" w14:textId="77777777"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Predominantly male</w:t>
      </w:r>
      <w:r w:rsidRPr="003E7450">
        <w:rPr>
          <w:rFonts w:cs="Arial"/>
        </w:rPr>
        <w:t xml:space="preserve">. A higher proportion of women work in white collar segments (education, training, research etc). Where women are represented in clean energy, they dominate in roles like general clerks, office managers, accounting clerks, commercial cleaners and interior design, rather than trade-qualified and engineering roles. </w:t>
      </w:r>
    </w:p>
    <w:p w14:paraId="7D51B621" w14:textId="17D14BCE" w:rsidR="003E7450" w:rsidRPr="003E7450" w:rsidRDefault="005744FD" w:rsidP="00E134F6">
      <w:pPr>
        <w:pStyle w:val="ListParagraph"/>
        <w:numPr>
          <w:ilvl w:val="0"/>
          <w:numId w:val="82"/>
        </w:numPr>
        <w:spacing w:line="276" w:lineRule="auto"/>
        <w:ind w:left="340" w:hanging="170"/>
        <w:contextualSpacing w:val="0"/>
        <w:rPr>
          <w:rFonts w:cs="Arial"/>
        </w:rPr>
      </w:pPr>
      <w:r w:rsidRPr="60F6EFC8">
        <w:rPr>
          <w:rFonts w:cs="Arial"/>
          <w:b/>
          <w:bCs/>
        </w:rPr>
        <w:t xml:space="preserve">On par with </w:t>
      </w:r>
      <w:r w:rsidR="003E7450" w:rsidRPr="60F6EFC8">
        <w:rPr>
          <w:rFonts w:cs="Arial"/>
          <w:b/>
          <w:bCs/>
        </w:rPr>
        <w:t>transitioning sectors</w:t>
      </w:r>
      <w:r w:rsidR="00170FBE" w:rsidRPr="60F6EFC8">
        <w:rPr>
          <w:rFonts w:cs="Arial"/>
          <w:b/>
          <w:bCs/>
        </w:rPr>
        <w:t xml:space="preserve"> for age</w:t>
      </w:r>
      <w:r w:rsidR="00AC1808" w:rsidRPr="60F6EFC8">
        <w:rPr>
          <w:rFonts w:cs="Arial"/>
          <w:b/>
          <w:bCs/>
        </w:rPr>
        <w:t xml:space="preserve"> of the workforce</w:t>
      </w:r>
      <w:r w:rsidR="003E7450" w:rsidRPr="60F6EFC8">
        <w:rPr>
          <w:rFonts w:cs="Arial"/>
        </w:rPr>
        <w:t xml:space="preserve">. The segments with the youngest workforce are energy usage and performance, while the oldest are transport and </w:t>
      </w:r>
      <w:r w:rsidR="009665B6" w:rsidRPr="60F6EFC8">
        <w:rPr>
          <w:rFonts w:cs="Arial"/>
        </w:rPr>
        <w:t xml:space="preserve">some </w:t>
      </w:r>
      <w:r w:rsidR="003E7450" w:rsidRPr="60F6EFC8">
        <w:rPr>
          <w:rFonts w:cs="Arial"/>
        </w:rPr>
        <w:t>enabling segments.</w:t>
      </w:r>
    </w:p>
    <w:p w14:paraId="7431399C" w14:textId="14FAC812"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More highly qualified than transitioning sectors</w:t>
      </w:r>
      <w:r w:rsidRPr="003E7450">
        <w:rPr>
          <w:rFonts w:cs="Arial"/>
        </w:rPr>
        <w:t xml:space="preserve">. In general, the clean energy workforce contains </w:t>
      </w:r>
      <w:r w:rsidR="00653AB5">
        <w:rPr>
          <w:rFonts w:cs="Arial"/>
        </w:rPr>
        <w:t xml:space="preserve">higher proportions </w:t>
      </w:r>
      <w:r w:rsidR="00072483">
        <w:rPr>
          <w:rFonts w:cs="Arial"/>
        </w:rPr>
        <w:t>of</w:t>
      </w:r>
      <w:r w:rsidR="00D5189D">
        <w:rPr>
          <w:rFonts w:cs="Arial"/>
        </w:rPr>
        <w:t xml:space="preserve"> </w:t>
      </w:r>
      <w:r w:rsidRPr="003E7450">
        <w:rPr>
          <w:rFonts w:cs="Arial"/>
        </w:rPr>
        <w:t xml:space="preserve">VET-qualified workers than the broader labour force. The clean energy </w:t>
      </w:r>
      <w:r w:rsidRPr="003E7450">
        <w:rPr>
          <w:rFonts w:cs="Arial"/>
          <w:i/>
          <w:iCs/>
        </w:rPr>
        <w:t>supply</w:t>
      </w:r>
      <w:r w:rsidRPr="003E7450">
        <w:rPr>
          <w:rFonts w:cs="Arial"/>
        </w:rPr>
        <w:t xml:space="preserve"> segment comprises a larger proportion of workers with higher education qualifications than the transitioning segment which includes workers in coal-fired power stations. </w:t>
      </w:r>
    </w:p>
    <w:p w14:paraId="662A60A1" w14:textId="268CC094" w:rsidR="003E7450" w:rsidRPr="003E7450" w:rsidRDefault="003E7450" w:rsidP="00E134F6">
      <w:pPr>
        <w:pStyle w:val="ListParagraph"/>
        <w:numPr>
          <w:ilvl w:val="0"/>
          <w:numId w:val="82"/>
        </w:numPr>
        <w:spacing w:line="276" w:lineRule="auto"/>
        <w:ind w:left="340" w:hanging="170"/>
        <w:contextualSpacing w:val="0"/>
        <w:rPr>
          <w:rFonts w:cs="Arial"/>
        </w:rPr>
      </w:pPr>
      <w:r w:rsidRPr="60F6EFC8">
        <w:rPr>
          <w:rFonts w:cs="Arial"/>
          <w:b/>
          <w:bCs/>
        </w:rPr>
        <w:t xml:space="preserve">Underrepresented among First Nations </w:t>
      </w:r>
      <w:r w:rsidR="00AB7909">
        <w:rPr>
          <w:rFonts w:cs="Arial"/>
          <w:b/>
          <w:bCs/>
        </w:rPr>
        <w:t>people</w:t>
      </w:r>
      <w:r w:rsidRPr="60F6EFC8">
        <w:rPr>
          <w:rFonts w:cs="Arial"/>
          <w:b/>
          <w:bCs/>
        </w:rPr>
        <w:t>.</w:t>
      </w:r>
      <w:r w:rsidRPr="60F6EFC8">
        <w:rPr>
          <w:rFonts w:cs="Arial"/>
        </w:rPr>
        <w:t xml:space="preserve"> A smaller proportion of First Nations </w:t>
      </w:r>
      <w:r w:rsidR="00AB7909">
        <w:rPr>
          <w:rFonts w:cs="Arial"/>
        </w:rPr>
        <w:t>people</w:t>
      </w:r>
      <w:r w:rsidRPr="60F6EFC8">
        <w:rPr>
          <w:rFonts w:cs="Arial"/>
        </w:rPr>
        <w:t xml:space="preserve"> work in clean energy than the broader labour force. Notably, a higher proportion work in the transitioning segment, </w:t>
      </w:r>
      <w:r w:rsidR="004476DE">
        <w:rPr>
          <w:rFonts w:cs="Arial"/>
        </w:rPr>
        <w:t xml:space="preserve">including </w:t>
      </w:r>
      <w:r w:rsidRPr="60F6EFC8">
        <w:rPr>
          <w:rFonts w:cs="Arial"/>
        </w:rPr>
        <w:t>coal mining.</w:t>
      </w:r>
    </w:p>
    <w:p w14:paraId="35BB764F" w14:textId="675BEC44" w:rsidR="003E7450" w:rsidRPr="003E7450" w:rsidRDefault="003E7450" w:rsidP="00E134F6">
      <w:pPr>
        <w:pStyle w:val="ListParagraph"/>
        <w:numPr>
          <w:ilvl w:val="0"/>
          <w:numId w:val="82"/>
        </w:numPr>
        <w:spacing w:line="276" w:lineRule="auto"/>
        <w:ind w:left="340" w:hanging="170"/>
        <w:contextualSpacing w:val="0"/>
        <w:rPr>
          <w:rFonts w:cs="Arial"/>
        </w:rPr>
      </w:pPr>
      <w:r w:rsidRPr="60F6EFC8">
        <w:rPr>
          <w:rFonts w:cs="Arial"/>
          <w:b/>
          <w:bCs/>
        </w:rPr>
        <w:t>Underrepresented among migrants</w:t>
      </w:r>
      <w:r w:rsidRPr="60F6EFC8">
        <w:rPr>
          <w:rFonts w:cs="Arial"/>
        </w:rPr>
        <w:t xml:space="preserve">. </w:t>
      </w:r>
      <w:r w:rsidR="006D4778" w:rsidRPr="60F6EFC8">
        <w:rPr>
          <w:rFonts w:cs="Arial"/>
        </w:rPr>
        <w:t>A</w:t>
      </w:r>
      <w:r w:rsidRPr="60F6EFC8">
        <w:rPr>
          <w:rFonts w:cs="Arial"/>
        </w:rPr>
        <w:t xml:space="preserve">round </w:t>
      </w:r>
      <w:r w:rsidR="006D4778" w:rsidRPr="60F6EFC8">
        <w:rPr>
          <w:rFonts w:cs="Arial"/>
        </w:rPr>
        <w:t>26</w:t>
      </w:r>
      <w:r w:rsidRPr="60F6EFC8">
        <w:rPr>
          <w:rFonts w:cs="Arial"/>
        </w:rPr>
        <w:t xml:space="preserve">% of the clean energy workforce were born overseas, with </w:t>
      </w:r>
      <w:r w:rsidR="00B025CC" w:rsidRPr="60F6EFC8">
        <w:rPr>
          <w:rFonts w:cs="Arial"/>
        </w:rPr>
        <w:t xml:space="preserve">some of </w:t>
      </w:r>
      <w:r w:rsidRPr="60F6EFC8">
        <w:rPr>
          <w:rFonts w:cs="Arial"/>
        </w:rPr>
        <w:t>the enabling segment</w:t>
      </w:r>
      <w:r w:rsidR="00B025CC" w:rsidRPr="60F6EFC8">
        <w:rPr>
          <w:rFonts w:cs="Arial"/>
        </w:rPr>
        <w:t>s</w:t>
      </w:r>
      <w:r w:rsidRPr="60F6EFC8">
        <w:rPr>
          <w:rFonts w:cs="Arial"/>
        </w:rPr>
        <w:t xml:space="preserve"> having the highest proportion</w:t>
      </w:r>
      <w:r w:rsidR="00B025CC" w:rsidRPr="60F6EFC8">
        <w:rPr>
          <w:rFonts w:cs="Arial"/>
        </w:rPr>
        <w:t>s</w:t>
      </w:r>
      <w:r w:rsidRPr="60F6EFC8">
        <w:rPr>
          <w:rFonts w:cs="Arial"/>
        </w:rPr>
        <w:t xml:space="preserve"> (over </w:t>
      </w:r>
      <w:r w:rsidR="00B025CC" w:rsidRPr="60F6EFC8">
        <w:rPr>
          <w:rFonts w:cs="Arial"/>
        </w:rPr>
        <w:t>30</w:t>
      </w:r>
      <w:r w:rsidRPr="60F6EFC8">
        <w:rPr>
          <w:rFonts w:cs="Arial"/>
        </w:rPr>
        <w:t>%). Workers come from all around the world, but the largest group are from Southern Asia, followed by North-West Europe.</w:t>
      </w:r>
    </w:p>
    <w:p w14:paraId="0F9DBD23" w14:textId="77777777"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Typically paid less than transitioning sectors.</w:t>
      </w:r>
      <w:r w:rsidRPr="003E7450">
        <w:rPr>
          <w:rFonts w:cs="Arial"/>
        </w:rPr>
        <w:t xml:space="preserve"> In general, clean energy sectors lag behind the pay and conditions available in more established sectors.</w:t>
      </w:r>
    </w:p>
    <w:p w14:paraId="5D541670" w14:textId="77777777" w:rsidR="003E7450" w:rsidRPr="003E7450" w:rsidRDefault="003E7450" w:rsidP="00E134F6">
      <w:pPr>
        <w:pStyle w:val="ListParagraph"/>
        <w:numPr>
          <w:ilvl w:val="0"/>
          <w:numId w:val="82"/>
        </w:numPr>
        <w:spacing w:line="276" w:lineRule="auto"/>
        <w:ind w:left="340" w:hanging="170"/>
        <w:contextualSpacing w:val="0"/>
        <w:rPr>
          <w:rFonts w:cs="Arial"/>
        </w:rPr>
      </w:pPr>
      <w:r w:rsidRPr="003E7450">
        <w:rPr>
          <w:rFonts w:cs="Arial"/>
          <w:b/>
          <w:bCs/>
        </w:rPr>
        <w:t xml:space="preserve">Predominantly employed in the construction phase. </w:t>
      </w:r>
      <w:r w:rsidRPr="003E7450">
        <w:rPr>
          <w:rFonts w:cs="Arial"/>
        </w:rPr>
        <w:t>Unlike traditional energy employment, there can be a higher degree of variability and project-based work in clean energy. For example, large-scale solar farms are a project-based industry where businesses may lack certainty while waiting to win contracts, secure finance or gain approvals. Workforce needs are also typically front-ended (during construction phases), meaning there are fewer long-term employment opportunities.</w:t>
      </w:r>
    </w:p>
    <w:p w14:paraId="41D51365" w14:textId="57C794E8" w:rsidR="003E7450" w:rsidRPr="003E7450" w:rsidRDefault="003E7450" w:rsidP="00E134F6">
      <w:pPr>
        <w:pStyle w:val="ListParagraph"/>
        <w:numPr>
          <w:ilvl w:val="0"/>
          <w:numId w:val="82"/>
        </w:numPr>
        <w:spacing w:line="276" w:lineRule="auto"/>
        <w:ind w:left="340" w:hanging="170"/>
        <w:contextualSpacing w:val="0"/>
        <w:rPr>
          <w:rFonts w:cs="Arial"/>
        </w:rPr>
      </w:pPr>
      <w:r w:rsidRPr="60F6EFC8">
        <w:rPr>
          <w:rFonts w:cs="Arial"/>
          <w:b/>
          <w:bCs/>
        </w:rPr>
        <w:t>Employed across Australia</w:t>
      </w:r>
      <w:r w:rsidRPr="60F6EFC8">
        <w:rPr>
          <w:rFonts w:cs="Arial"/>
        </w:rPr>
        <w:t xml:space="preserve">. Regional differences mean different locations are better suited to certain technologies and therefore attract different types of workers. Tasmania has a high concentration of clean energy supply workers working in hydroelectricity, whereas </w:t>
      </w:r>
      <w:r w:rsidR="0034789A" w:rsidRPr="60F6EFC8">
        <w:rPr>
          <w:rFonts w:cs="Arial"/>
        </w:rPr>
        <w:t xml:space="preserve">parts of regional </w:t>
      </w:r>
      <w:r w:rsidRPr="60F6EFC8">
        <w:rPr>
          <w:rFonts w:cs="Arial"/>
        </w:rPr>
        <w:t xml:space="preserve">Queensland and NSW have a </w:t>
      </w:r>
      <w:r w:rsidR="003953D1" w:rsidRPr="60F6EFC8">
        <w:rPr>
          <w:rFonts w:cs="Arial"/>
        </w:rPr>
        <w:t xml:space="preserve">relatively </w:t>
      </w:r>
      <w:r w:rsidRPr="60F6EFC8">
        <w:rPr>
          <w:rFonts w:cs="Arial"/>
        </w:rPr>
        <w:t>high</w:t>
      </w:r>
      <w:r w:rsidR="003953D1" w:rsidRPr="60F6EFC8">
        <w:rPr>
          <w:rFonts w:cs="Arial"/>
        </w:rPr>
        <w:t>er</w:t>
      </w:r>
      <w:r w:rsidRPr="60F6EFC8">
        <w:rPr>
          <w:rFonts w:cs="Arial"/>
        </w:rPr>
        <w:t xml:space="preserve"> share of workers in transitioning sectors. Workers are often needed in regional and remote areas away from sources of labour supply. In some instances, this requires short-term moves or fly-in-fly-out work, which can be inaccessible for apprentices, particularly in their first year</w:t>
      </w:r>
      <w:r>
        <w:t xml:space="preserve">. </w:t>
      </w:r>
    </w:p>
    <w:p w14:paraId="1C12DE4D" w14:textId="77777777" w:rsidR="00644759" w:rsidRPr="003E7450" w:rsidRDefault="00644759" w:rsidP="00F25595">
      <w:pPr>
        <w:pStyle w:val="ListParagraph"/>
        <w:numPr>
          <w:ilvl w:val="0"/>
          <w:numId w:val="81"/>
        </w:numPr>
        <w:spacing w:line="276" w:lineRule="auto"/>
        <w:rPr>
          <w:rFonts w:ascii="Arial Bold" w:hAnsi="Arial Bold"/>
          <w:b/>
          <w:bCs/>
          <w:caps/>
          <w:color w:val="005D5D" w:themeColor="accent2"/>
          <w:sz w:val="28"/>
          <w:szCs w:val="32"/>
        </w:rPr>
      </w:pPr>
      <w:r w:rsidRPr="003E7450">
        <w:rPr>
          <w:rFonts w:ascii="Arial Bold" w:hAnsi="Arial Bold"/>
          <w:b/>
          <w:bCs/>
          <w:caps/>
          <w:color w:val="005D5D" w:themeColor="accent2"/>
          <w:sz w:val="28"/>
          <w:szCs w:val="32"/>
        </w:rPr>
        <w:br w:type="page"/>
      </w:r>
    </w:p>
    <w:p w14:paraId="681B4310" w14:textId="538B24E2" w:rsidR="00815183" w:rsidRPr="001F39C1" w:rsidRDefault="00815183" w:rsidP="00644759">
      <w:pPr>
        <w:pStyle w:val="Bodycopy"/>
        <w:spacing w:before="48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Education and Training</w:t>
      </w:r>
    </w:p>
    <w:p w14:paraId="24C51431" w14:textId="3178099E" w:rsidR="00D343EC" w:rsidRDefault="00D343EC" w:rsidP="0000330E">
      <w:pPr>
        <w:spacing w:after="120" w:line="276" w:lineRule="auto"/>
        <w:rPr>
          <w:rFonts w:cs="Arial"/>
          <w:b/>
          <w:bCs/>
        </w:rPr>
      </w:pPr>
      <w:r>
        <w:t>The clean energy transformation in Australia will require a big contribution from the education and training sector working closely with industry. This will require significant investment and reform.</w:t>
      </w:r>
    </w:p>
    <w:p w14:paraId="4FC61CFA" w14:textId="77777777" w:rsidR="00AA5062" w:rsidRPr="00AA5062" w:rsidRDefault="00AA5062" w:rsidP="00AA5062">
      <w:pPr>
        <w:spacing w:after="80" w:line="276" w:lineRule="auto"/>
        <w:rPr>
          <w:rFonts w:cs="Arial"/>
        </w:rPr>
      </w:pPr>
      <w:r w:rsidRPr="00AA5062">
        <w:rPr>
          <w:rFonts w:cs="Arial"/>
          <w:b/>
          <w:bCs/>
        </w:rPr>
        <w:t>Tertiary education</w:t>
      </w:r>
      <w:r w:rsidRPr="00AA5062">
        <w:rPr>
          <w:rFonts w:cs="Arial"/>
        </w:rPr>
        <w:t xml:space="preserve"> will continue to deliver the fundamental skills needed for this workforce. There are three key elements of clean energy education and training pathways: </w:t>
      </w:r>
    </w:p>
    <w:p w14:paraId="7E529036" w14:textId="77777777" w:rsidR="00AA5062" w:rsidRPr="00AA5062" w:rsidRDefault="00AA5062" w:rsidP="00F25595">
      <w:pPr>
        <w:numPr>
          <w:ilvl w:val="0"/>
          <w:numId w:val="83"/>
        </w:numPr>
        <w:spacing w:after="80" w:line="276" w:lineRule="auto"/>
        <w:ind w:left="454" w:hanging="227"/>
        <w:rPr>
          <w:rFonts w:cs="Arial"/>
        </w:rPr>
      </w:pPr>
      <w:r w:rsidRPr="00AA5062">
        <w:rPr>
          <w:rFonts w:cs="Arial"/>
        </w:rPr>
        <w:t xml:space="preserve">existing </w:t>
      </w:r>
      <w:r w:rsidRPr="00AA5062">
        <w:rPr>
          <w:rFonts w:cs="Arial"/>
          <w:b/>
          <w:bCs/>
        </w:rPr>
        <w:t>broad-based qualifications</w:t>
      </w:r>
      <w:r w:rsidRPr="00AA5062">
        <w:rPr>
          <w:rFonts w:cs="Arial"/>
        </w:rPr>
        <w:t>, like the Certificate III in Electrotechnology and Bachelor of Electrical Engineering. They provide the fundamental skills for a range of roles, including but not limited to clean energy.</w:t>
      </w:r>
    </w:p>
    <w:p w14:paraId="40736F50" w14:textId="77777777" w:rsidR="00AA5062" w:rsidRPr="00AA5062" w:rsidRDefault="00AA5062" w:rsidP="00F25595">
      <w:pPr>
        <w:numPr>
          <w:ilvl w:val="0"/>
          <w:numId w:val="83"/>
        </w:numPr>
        <w:spacing w:after="80" w:line="276" w:lineRule="auto"/>
        <w:ind w:left="454" w:hanging="227"/>
        <w:rPr>
          <w:rFonts w:cs="Arial"/>
        </w:rPr>
      </w:pPr>
      <w:r w:rsidRPr="00AA5062">
        <w:rPr>
          <w:rFonts w:cs="Arial"/>
          <w:b/>
          <w:bCs/>
        </w:rPr>
        <w:t>clean energy top-up and electives</w:t>
      </w:r>
      <w:r w:rsidRPr="00AA5062">
        <w:rPr>
          <w:rFonts w:cs="Arial"/>
        </w:rPr>
        <w:t>, including post-trade and post-graduate qualifications, allow workers and students to gain specific clean energy skills and specialise. However, the availability of these is limited.</w:t>
      </w:r>
    </w:p>
    <w:p w14:paraId="2782281B" w14:textId="77777777" w:rsidR="00AA5062" w:rsidRPr="00AA5062" w:rsidRDefault="00AA5062" w:rsidP="00F25595">
      <w:pPr>
        <w:numPr>
          <w:ilvl w:val="0"/>
          <w:numId w:val="83"/>
        </w:numPr>
        <w:spacing w:after="120" w:line="276" w:lineRule="auto"/>
        <w:ind w:left="454" w:hanging="227"/>
        <w:rPr>
          <w:rFonts w:cs="Arial"/>
        </w:rPr>
      </w:pPr>
      <w:r w:rsidRPr="00AA5062">
        <w:rPr>
          <w:rFonts w:cs="Arial"/>
          <w:b/>
          <w:bCs/>
        </w:rPr>
        <w:t xml:space="preserve">new qualifications </w:t>
      </w:r>
      <w:r w:rsidRPr="00AA5062">
        <w:rPr>
          <w:rFonts w:cs="Arial"/>
        </w:rPr>
        <w:t>targeted to emerging sectors, such as the Bachelor of Renewable Energy and Certificate III in Electric Vehicles, are beneficial where new technologies require a larger suite of specialised skills.</w:t>
      </w:r>
    </w:p>
    <w:p w14:paraId="474957B2" w14:textId="77777777" w:rsidR="00AA5062" w:rsidRPr="00AA5062" w:rsidRDefault="00AA5062" w:rsidP="001C4819">
      <w:pPr>
        <w:spacing w:before="160" w:line="276" w:lineRule="auto"/>
        <w:rPr>
          <w:rFonts w:cs="Arial"/>
        </w:rPr>
      </w:pPr>
      <w:r w:rsidRPr="00AA5062">
        <w:rPr>
          <w:rFonts w:cs="Arial"/>
        </w:rPr>
        <w:t xml:space="preserve">The tertiary sector will need more support, more collaboration and more innovation to meet the needs of net zero. We’ve identified three priority areas for attention: </w:t>
      </w:r>
    </w:p>
    <w:p w14:paraId="25F9DA74" w14:textId="3060B674" w:rsidR="001F39C1" w:rsidRPr="001C4819" w:rsidRDefault="00815183" w:rsidP="00F25595">
      <w:pPr>
        <w:pStyle w:val="ListParagraph"/>
        <w:numPr>
          <w:ilvl w:val="1"/>
          <w:numId w:val="36"/>
        </w:numPr>
        <w:spacing w:before="60" w:after="60" w:line="276" w:lineRule="auto"/>
        <w:ind w:left="426"/>
        <w:rPr>
          <w:rFonts w:cs="Arial"/>
          <w:b/>
          <w14:numForm w14:val="lining"/>
          <w14:numSpacing w14:val="proportional"/>
        </w:rPr>
      </w:pPr>
      <w:r w:rsidRPr="001C4819">
        <w:rPr>
          <w:rFonts w:cs="Arial"/>
          <w:b/>
          <w14:numForm w14:val="lining"/>
          <w14:numSpacing w14:val="proportional"/>
        </w:rPr>
        <w:t>System design</w:t>
      </w:r>
    </w:p>
    <w:p w14:paraId="515C2E3C" w14:textId="041ACF1A"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f</w:t>
      </w:r>
      <w:r w:rsidR="00815183" w:rsidRPr="001C4819">
        <w:rPr>
          <w:rFonts w:cs="Arial"/>
          <w14:numForm w14:val="lining"/>
          <w14:numSpacing w14:val="proportional"/>
        </w:rPr>
        <w:t>rameworks for deeper collaboration between VET, higher education and industry</w:t>
      </w:r>
    </w:p>
    <w:p w14:paraId="58668BD6" w14:textId="46AA44C0"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n</w:t>
      </w:r>
      <w:r w:rsidR="00815183" w:rsidRPr="001C4819">
        <w:rPr>
          <w:rFonts w:cs="Arial"/>
          <w14:numForm w14:val="lining"/>
          <w14:numSpacing w14:val="proportional"/>
        </w:rPr>
        <w:t>ew models for course delivery to better align graduates with emerging needs</w:t>
      </w:r>
    </w:p>
    <w:p w14:paraId="710F7AFD" w14:textId="0D2C5639"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c</w:t>
      </w:r>
      <w:r w:rsidR="00815183" w:rsidRPr="001C4819">
        <w:rPr>
          <w:rFonts w:cs="Arial"/>
          <w14:numForm w14:val="lining"/>
          <w14:numSpacing w14:val="proportional"/>
        </w:rPr>
        <w:t>learer pathways for students to navigate and access</w:t>
      </w:r>
    </w:p>
    <w:p w14:paraId="79EE2B7A" w14:textId="7B12A780"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a</w:t>
      </w:r>
      <w:r w:rsidR="00815183" w:rsidRPr="001C4819">
        <w:rPr>
          <w:rFonts w:cs="Arial"/>
          <w14:numForm w14:val="lining"/>
          <w14:numSpacing w14:val="proportional"/>
        </w:rPr>
        <w:t xml:space="preserve"> cohesive and connected tertiary education system with fewer obstacles</w:t>
      </w:r>
    </w:p>
    <w:p w14:paraId="4106D2FE" w14:textId="4F76228E" w:rsidR="00815183" w:rsidRPr="001C4819" w:rsidRDefault="0075678F" w:rsidP="00F25595">
      <w:pPr>
        <w:pStyle w:val="ListParagraph"/>
        <w:numPr>
          <w:ilvl w:val="2"/>
          <w:numId w:val="36"/>
        </w:numPr>
        <w:spacing w:before="60" w:after="200" w:line="240" w:lineRule="auto"/>
        <w:ind w:left="709" w:hanging="425"/>
        <w:contextualSpacing w:val="0"/>
        <w:rPr>
          <w:rFonts w:cs="Arial"/>
          <w14:numForm w14:val="lining"/>
          <w14:numSpacing w14:val="proportional"/>
        </w:rPr>
      </w:pPr>
      <w:r w:rsidRPr="001C4819">
        <w:rPr>
          <w:rFonts w:cs="Arial"/>
          <w14:numForm w14:val="lining"/>
          <w14:numSpacing w14:val="proportional"/>
        </w:rPr>
        <w:t>c</w:t>
      </w:r>
      <w:r w:rsidR="00815183" w:rsidRPr="001C4819">
        <w:rPr>
          <w:rFonts w:cs="Arial"/>
          <w14:numForm w14:val="lining"/>
          <w14:numSpacing w14:val="proportional"/>
        </w:rPr>
        <w:t>onsistent approaches to occupational licencing</w:t>
      </w:r>
      <w:r w:rsidR="39CAE86A" w:rsidRPr="001C4819">
        <w:rPr>
          <w:rFonts w:cs="Arial"/>
          <w14:numForm w14:val="lining"/>
          <w14:numSpacing w14:val="proportional"/>
        </w:rPr>
        <w:t>.</w:t>
      </w:r>
    </w:p>
    <w:p w14:paraId="5C538748" w14:textId="5DB26560" w:rsidR="001F39C1" w:rsidRPr="001C4819" w:rsidRDefault="00815183" w:rsidP="00F25595">
      <w:pPr>
        <w:pStyle w:val="ListParagraph"/>
        <w:numPr>
          <w:ilvl w:val="1"/>
          <w:numId w:val="36"/>
        </w:numPr>
        <w:spacing w:before="120" w:after="60" w:line="276" w:lineRule="auto"/>
        <w:ind w:left="425" w:hanging="357"/>
        <w:contextualSpacing w:val="0"/>
        <w:rPr>
          <w:rFonts w:cs="Arial"/>
          <w:b/>
          <w14:numForm w14:val="lining"/>
          <w14:numSpacing w14:val="proportional"/>
        </w:rPr>
      </w:pPr>
      <w:r w:rsidRPr="001C4819">
        <w:rPr>
          <w:rFonts w:cs="Arial"/>
          <w:b/>
          <w14:numForm w14:val="lining"/>
          <w14:numSpacing w14:val="proportional"/>
        </w:rPr>
        <w:t>Funding and program design</w:t>
      </w:r>
    </w:p>
    <w:p w14:paraId="023B038E" w14:textId="76183E8B"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n</w:t>
      </w:r>
      <w:r w:rsidR="00815183" w:rsidRPr="001C4819">
        <w:rPr>
          <w:rFonts w:cs="Arial"/>
          <w14:numForm w14:val="lining"/>
          <w14:numSpacing w14:val="proportional"/>
        </w:rPr>
        <w:t>ew and responsive curriculum development for emerging needs</w:t>
      </w:r>
    </w:p>
    <w:p w14:paraId="2D040A32" w14:textId="380A9D83"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s</w:t>
      </w:r>
      <w:r w:rsidR="00815183" w:rsidRPr="001C4819">
        <w:rPr>
          <w:rFonts w:cs="Arial"/>
          <w14:numForm w14:val="lining"/>
          <w14:numSpacing w14:val="proportional"/>
        </w:rPr>
        <w:t>ervicing thin markets and regions through competitive models</w:t>
      </w:r>
    </w:p>
    <w:p w14:paraId="0F07EF12" w14:textId="2D17DBC1"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m</w:t>
      </w:r>
      <w:r w:rsidR="00815183" w:rsidRPr="001C4819">
        <w:rPr>
          <w:rFonts w:cs="Arial"/>
          <w14:numForm w14:val="lining"/>
          <w14:numSpacing w14:val="proportional"/>
        </w:rPr>
        <w:t>inimising capital constraints through better collaboration</w:t>
      </w:r>
    </w:p>
    <w:p w14:paraId="64C09F42" w14:textId="641B8036" w:rsidR="001F39C1" w:rsidRPr="001C4819" w:rsidRDefault="0075678F" w:rsidP="00F25595">
      <w:pPr>
        <w:pStyle w:val="ListParagraph"/>
        <w:numPr>
          <w:ilvl w:val="2"/>
          <w:numId w:val="36"/>
        </w:numPr>
        <w:spacing w:before="60" w:after="200" w:line="240" w:lineRule="auto"/>
        <w:ind w:left="709" w:hanging="425"/>
        <w:contextualSpacing w:val="0"/>
        <w:rPr>
          <w:rFonts w:cs="Arial"/>
          <w:b/>
          <w14:numForm w14:val="lining"/>
          <w14:numSpacing w14:val="proportional"/>
        </w:rPr>
      </w:pPr>
      <w:r w:rsidRPr="001C4819">
        <w:rPr>
          <w:rFonts w:cs="Arial"/>
          <w14:numForm w14:val="lining"/>
          <w14:numSpacing w14:val="proportional"/>
        </w:rPr>
        <w:t>i</w:t>
      </w:r>
      <w:r w:rsidR="00815183" w:rsidRPr="001C4819">
        <w:rPr>
          <w:rFonts w:cs="Arial"/>
          <w14:numForm w14:val="lining"/>
          <w14:numSpacing w14:val="proportional"/>
        </w:rPr>
        <w:t>ncentivising employer involvement in education and training</w:t>
      </w:r>
      <w:r w:rsidR="7DAE8829" w:rsidRPr="001C4819">
        <w:rPr>
          <w:rFonts w:cs="Arial"/>
          <w14:numForm w14:val="lining"/>
          <w14:numSpacing w14:val="proportional"/>
        </w:rPr>
        <w:t>.</w:t>
      </w:r>
    </w:p>
    <w:p w14:paraId="7F86E742" w14:textId="7CD4A559" w:rsidR="001F39C1" w:rsidRPr="001C4819" w:rsidRDefault="00815183" w:rsidP="00F25595">
      <w:pPr>
        <w:pStyle w:val="ListParagraph"/>
        <w:numPr>
          <w:ilvl w:val="1"/>
          <w:numId w:val="36"/>
        </w:numPr>
        <w:spacing w:before="120" w:after="60" w:line="276" w:lineRule="auto"/>
        <w:ind w:left="425" w:hanging="357"/>
        <w:contextualSpacing w:val="0"/>
        <w:rPr>
          <w:rFonts w:cs="Arial"/>
          <w:b/>
          <w14:numForm w14:val="lining"/>
          <w14:numSpacing w14:val="proportional"/>
        </w:rPr>
      </w:pPr>
      <w:r w:rsidRPr="001C4819">
        <w:rPr>
          <w:rFonts w:cs="Arial"/>
          <w:b/>
          <w14:numForm w14:val="lining"/>
          <w14:numSpacing w14:val="proportional"/>
        </w:rPr>
        <w:t>Student pipeline</w:t>
      </w:r>
    </w:p>
    <w:p w14:paraId="54642473" w14:textId="64EC86AA"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i</w:t>
      </w:r>
      <w:r w:rsidR="00815183" w:rsidRPr="001C4819">
        <w:rPr>
          <w:rFonts w:cs="Arial"/>
          <w14:numForm w14:val="lining"/>
          <w14:numSpacing w14:val="proportional"/>
        </w:rPr>
        <w:t>ncreasing student participation in STEM</w:t>
      </w:r>
    </w:p>
    <w:p w14:paraId="20D72AE4" w14:textId="15B47BBE"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g</w:t>
      </w:r>
      <w:r w:rsidR="00815183" w:rsidRPr="001C4819">
        <w:rPr>
          <w:rFonts w:cs="Arial"/>
          <w14:numForm w14:val="lining"/>
          <w14:numSpacing w14:val="proportional"/>
        </w:rPr>
        <w:t>rowing and supporting the trainer, teacher and researcher workforce</w:t>
      </w:r>
    </w:p>
    <w:p w14:paraId="799541DE" w14:textId="56BE733C" w:rsidR="00815183" w:rsidRPr="001C4819" w:rsidRDefault="0075678F" w:rsidP="00F25595">
      <w:pPr>
        <w:pStyle w:val="ListParagraph"/>
        <w:numPr>
          <w:ilvl w:val="2"/>
          <w:numId w:val="36"/>
        </w:numPr>
        <w:spacing w:before="60" w:after="60" w:line="240" w:lineRule="auto"/>
        <w:ind w:left="709" w:hanging="425"/>
        <w:contextualSpacing w:val="0"/>
        <w:rPr>
          <w:rFonts w:cs="Arial"/>
          <w14:numForm w14:val="lining"/>
          <w14:numSpacing w14:val="proportional"/>
        </w:rPr>
      </w:pPr>
      <w:r w:rsidRPr="001C4819">
        <w:rPr>
          <w:rFonts w:cs="Arial"/>
          <w14:numForm w14:val="lining"/>
          <w14:numSpacing w14:val="proportional"/>
        </w:rPr>
        <w:t>d</w:t>
      </w:r>
      <w:r w:rsidR="00815183" w:rsidRPr="001C4819">
        <w:rPr>
          <w:rFonts w:cs="Arial"/>
          <w14:numForm w14:val="lining"/>
          <w14:numSpacing w14:val="proportional"/>
        </w:rPr>
        <w:t>oubling down on efforts to get women into trades</w:t>
      </w:r>
    </w:p>
    <w:p w14:paraId="6E0CE811" w14:textId="17725F43" w:rsidR="00815183" w:rsidRPr="001C4819" w:rsidRDefault="0075678F" w:rsidP="00F25595">
      <w:pPr>
        <w:pStyle w:val="ListParagraph"/>
        <w:numPr>
          <w:ilvl w:val="2"/>
          <w:numId w:val="36"/>
        </w:numPr>
        <w:spacing w:before="60" w:after="60" w:line="240" w:lineRule="auto"/>
        <w:ind w:left="709" w:hanging="425"/>
        <w:contextualSpacing w:val="0"/>
        <w:rPr>
          <w:rFonts w:cs="Arial"/>
        </w:rPr>
      </w:pPr>
      <w:r w:rsidRPr="001C4819">
        <w:rPr>
          <w:rFonts w:cs="Arial"/>
          <w14:numForm w14:val="lining"/>
          <w14:numSpacing w14:val="proportional"/>
        </w:rPr>
        <w:t>s</w:t>
      </w:r>
      <w:r w:rsidR="00815183" w:rsidRPr="001C4819">
        <w:rPr>
          <w:rFonts w:cs="Arial"/>
          <w14:numForm w14:val="lining"/>
          <w14:numSpacing w14:val="proportional"/>
        </w:rPr>
        <w:t xml:space="preserve">upporting more First Nations </w:t>
      </w:r>
      <w:r w:rsidR="00AB7909">
        <w:rPr>
          <w:rFonts w:cs="Arial"/>
          <w14:numForm w14:val="lining"/>
          <w14:numSpacing w14:val="proportional"/>
        </w:rPr>
        <w:t>people</w:t>
      </w:r>
      <w:r w:rsidR="00815183" w:rsidRPr="001C4819">
        <w:rPr>
          <w:rFonts w:cs="Arial"/>
          <w14:numForm w14:val="lining"/>
          <w14:numSpacing w14:val="proportional"/>
        </w:rPr>
        <w:t xml:space="preserve"> into education and training</w:t>
      </w:r>
    </w:p>
    <w:p w14:paraId="3EE93F7F" w14:textId="749BD8AE" w:rsidR="00815183" w:rsidRPr="001C4819" w:rsidRDefault="0075678F" w:rsidP="00F25595">
      <w:pPr>
        <w:pStyle w:val="ListParagraph"/>
        <w:numPr>
          <w:ilvl w:val="2"/>
          <w:numId w:val="36"/>
        </w:numPr>
        <w:spacing w:before="60" w:after="60" w:line="240" w:lineRule="auto"/>
        <w:ind w:left="709" w:hanging="425"/>
        <w:contextualSpacing w:val="0"/>
        <w:rPr>
          <w:rFonts w:cs="Arial"/>
        </w:rPr>
      </w:pPr>
      <w:r w:rsidRPr="001C4819">
        <w:rPr>
          <w:rFonts w:cs="Arial"/>
        </w:rPr>
        <w:t>b</w:t>
      </w:r>
      <w:r w:rsidR="00815183" w:rsidRPr="001C4819">
        <w:rPr>
          <w:rFonts w:cs="Arial"/>
        </w:rPr>
        <w:t>etter targeting of incentives and supports for apprentic</w:t>
      </w:r>
      <w:r w:rsidR="00FE2723" w:rsidRPr="001C4819">
        <w:rPr>
          <w:rFonts w:cs="Arial"/>
        </w:rPr>
        <w:t>es.</w:t>
      </w:r>
    </w:p>
    <w:p w14:paraId="3EB83D84" w14:textId="77777777" w:rsidR="008B2575" w:rsidRDefault="008B2575" w:rsidP="0000330E">
      <w:pPr>
        <w:pStyle w:val="Bodycopy"/>
        <w:spacing w:before="240" w:after="120" w:line="276" w:lineRule="auto"/>
        <w:rPr>
          <w:rFonts w:cs="Arial"/>
          <w14:numForm w14:val="lining"/>
          <w14:numSpacing w14:val="proportional"/>
        </w:rPr>
      </w:pPr>
      <w:r w:rsidRPr="008B2575">
        <w:rPr>
          <w:rFonts w:cs="Arial"/>
          <w14:numForm w14:val="lining"/>
          <w14:numSpacing w14:val="proportional"/>
        </w:rPr>
        <w:t>Despite a proven need to increase the number of apprenticeships in relevant trades and recent efforts by governments, there is still a significant underinvestment in this pipeline by industry. Leveraging government procurement and financing is a way to set standards regarding apprenticeship uptake, workplace gender equality and secure employment. This idea is incorporated in the Australian Skills Guarantee, which will introduce new national targets to ensure one in 10 workers on Australian Government-funded major projects is an apprentice, trainee or paid cadet.</w:t>
      </w:r>
    </w:p>
    <w:p w14:paraId="5AFC53FB" w14:textId="06D15494" w:rsidR="00815183" w:rsidRPr="001F39C1" w:rsidRDefault="00815183" w:rsidP="001F39C1">
      <w:pPr>
        <w:pStyle w:val="Bodycopy"/>
        <w:spacing w:before="24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Migration</w:t>
      </w:r>
    </w:p>
    <w:p w14:paraId="498AA822" w14:textId="77777777" w:rsidR="00757CB0" w:rsidRPr="00757CB0" w:rsidRDefault="00757CB0" w:rsidP="00757CB0">
      <w:pPr>
        <w:spacing w:after="120" w:line="276" w:lineRule="auto"/>
        <w:rPr>
          <w:rFonts w:asciiTheme="minorHAnsi" w:hAnsiTheme="minorHAnsi" w:cstheme="minorHAnsi"/>
        </w:rPr>
      </w:pPr>
      <w:r w:rsidRPr="00757CB0">
        <w:rPr>
          <w:rFonts w:asciiTheme="minorHAnsi" w:hAnsiTheme="minorHAnsi" w:cstheme="minorHAnsi"/>
        </w:rPr>
        <w:t>The 2023 Review of the Migration System identified that while migration alone will not address the challenges of transitioning to a clean energy economy, a well-designed and fit-for-purpose skilled migration program is part of the solution. In an increasingly competitive and global market for skills, Australia will need to position itself as a destination of choice to attract and retain workers in critical roles.</w:t>
      </w:r>
    </w:p>
    <w:p w14:paraId="6760EAC1" w14:textId="450910FF" w:rsidR="00757CB0" w:rsidRPr="00757CB0" w:rsidRDefault="00757CB0" w:rsidP="00757CB0">
      <w:pPr>
        <w:spacing w:after="240" w:line="276" w:lineRule="auto"/>
        <w:rPr>
          <w:rFonts w:asciiTheme="minorHAnsi" w:hAnsiTheme="minorHAnsi" w:cstheme="minorHAnsi"/>
        </w:rPr>
      </w:pPr>
      <w:r w:rsidRPr="00757CB0">
        <w:rPr>
          <w:rFonts w:asciiTheme="minorHAnsi" w:hAnsiTheme="minorHAnsi" w:cstheme="minorHAnsi"/>
        </w:rPr>
        <w:t xml:space="preserve">International students are already an important pipeline of skilled workers in Australia and will continue to be. However, there are many international students that would like to remain in Australia but can’t or do stay but struggle to find employment </w:t>
      </w:r>
      <w:r w:rsidR="006D5370">
        <w:rPr>
          <w:rFonts w:asciiTheme="minorHAnsi" w:hAnsiTheme="minorHAnsi" w:cstheme="minorHAnsi"/>
        </w:rPr>
        <w:t>related to</w:t>
      </w:r>
      <w:r w:rsidRPr="00757CB0">
        <w:rPr>
          <w:rFonts w:asciiTheme="minorHAnsi" w:hAnsiTheme="minorHAnsi" w:cstheme="minorHAnsi"/>
        </w:rPr>
        <w:t xml:space="preserve"> their field of study. Ensuring these students are set up for success during and after their studies will be key.</w:t>
      </w:r>
    </w:p>
    <w:p w14:paraId="24CF4B8C" w14:textId="440B0D93" w:rsidR="00815183" w:rsidRPr="00EA5873" w:rsidRDefault="00815183" w:rsidP="0000330E">
      <w:pPr>
        <w:pStyle w:val="Bodycopy"/>
        <w:spacing w:before="360" w:after="120" w:line="240" w:lineRule="auto"/>
        <w:rPr>
          <w:rFonts w:ascii="Arial Bold" w:hAnsi="Arial Bold"/>
          <w:b/>
          <w:caps/>
          <w:color w:val="6929C4"/>
          <w:sz w:val="24"/>
          <w:szCs w:val="24"/>
        </w:rPr>
      </w:pPr>
      <w:r w:rsidRPr="00EA5873">
        <w:rPr>
          <w:rFonts w:ascii="Arial Bold" w:hAnsi="Arial Bold"/>
          <w:b/>
          <w:caps/>
          <w:color w:val="6929C4"/>
          <w:sz w:val="24"/>
          <w:szCs w:val="24"/>
        </w:rPr>
        <w:t>Industry transitions</w:t>
      </w:r>
    </w:p>
    <w:p w14:paraId="4B1E19C3" w14:textId="77777777" w:rsidR="003328C1" w:rsidRPr="003328C1" w:rsidRDefault="003328C1" w:rsidP="003328C1">
      <w:pPr>
        <w:spacing w:after="120" w:line="276" w:lineRule="auto"/>
        <w:rPr>
          <w:rFonts w:cs="Arial"/>
        </w:rPr>
      </w:pPr>
      <w:r w:rsidRPr="003328C1">
        <w:rPr>
          <w:rFonts w:cs="Arial"/>
        </w:rPr>
        <w:t>While new employment opportunities will be created from the net zero transformation, jobs will also be lost in sectors that are emissions intensive, particularly coal-fired power. Australia’s remaining coal-fired power stations will gradually close over the coming 30 years, impacting workforces which are concentrated in a handful of regions, including Latrobe Valley (VIC), the Hunter region (NSW), Collie (Southwest WA), and Central Queensland.</w:t>
      </w:r>
    </w:p>
    <w:p w14:paraId="5CCF35FD" w14:textId="2099C9D8" w:rsidR="003328C1" w:rsidRPr="003328C1" w:rsidRDefault="003328C1" w:rsidP="003328C1">
      <w:pPr>
        <w:spacing w:after="120" w:line="276" w:lineRule="auto"/>
        <w:rPr>
          <w:rFonts w:cs="Arial"/>
        </w:rPr>
      </w:pPr>
      <w:r w:rsidRPr="003328C1">
        <w:rPr>
          <w:rFonts w:cs="Arial"/>
        </w:rPr>
        <w:t>Transitioning industries employ a diverse range of workers. Many generalist occupations, like accountants and truck drivers, are also employed in high numbers in growing industries. Other occupations, like Power Generation Plant Operator, have limited employment prospects outside transitioning industries and are therefore at greater risk. Common transition pathways</w:t>
      </w:r>
      <w:r w:rsidR="00C176C5">
        <w:rPr>
          <w:rFonts w:cs="Arial"/>
        </w:rPr>
        <w:t>,</w:t>
      </w:r>
      <w:r w:rsidRPr="003328C1">
        <w:rPr>
          <w:rFonts w:cs="Arial"/>
        </w:rPr>
        <w:t xml:space="preserve"> identified using historical real-world transitions data and skills similarity analysis, include </w:t>
      </w:r>
      <w:r w:rsidR="008844E7">
        <w:rPr>
          <w:rFonts w:cs="Arial"/>
        </w:rPr>
        <w:t xml:space="preserve">into occupations like </w:t>
      </w:r>
      <w:r w:rsidRPr="003328C1">
        <w:rPr>
          <w:rFonts w:cs="Arial"/>
        </w:rPr>
        <w:t xml:space="preserve">Earthmoving Plant Operators, Electrical Linesworkers and Fire Protection Equipment Technicians. </w:t>
      </w:r>
    </w:p>
    <w:p w14:paraId="1457172F" w14:textId="77777777" w:rsidR="003328C1" w:rsidRPr="003328C1" w:rsidRDefault="003328C1" w:rsidP="003328C1">
      <w:pPr>
        <w:spacing w:after="120" w:line="276" w:lineRule="auto"/>
        <w:rPr>
          <w:rFonts w:cs="Arial"/>
          <w14:numForm w14:val="lining"/>
          <w14:numSpacing w14:val="proportional"/>
        </w:rPr>
      </w:pPr>
      <w:r w:rsidRPr="003328C1">
        <w:rPr>
          <w:rFonts w:cs="Arial"/>
          <w14:numForm w14:val="lining"/>
          <w14:numSpacing w14:val="proportional"/>
        </w:rPr>
        <w:t xml:space="preserve">While some transitioning workers will move into clean energy jobs, this isn’t the only (or necessarily the best) outcome. Policy analysts are often keen to use modelling exercises that map transitioning workers to new opportunities at a macro level, but this is only a conceptual exercise and can undervalue the circumstances of individuals and the barriers they face. Mismatches in skills, location, timing and preferences are just some of these considerations. Targeted, localised and individualised supports will be needed to drive successful outcomes for workers and their communities. </w:t>
      </w:r>
    </w:p>
    <w:p w14:paraId="0F08532B" w14:textId="58DC4341" w:rsidR="00815183" w:rsidRPr="001F39C1" w:rsidRDefault="00C00643" w:rsidP="0000330E">
      <w:pPr>
        <w:pStyle w:val="Bodycopy"/>
        <w:spacing w:before="360" w:after="120" w:line="240" w:lineRule="auto"/>
        <w:rPr>
          <w:rFonts w:ascii="Arial Bold" w:hAnsi="Arial Bold"/>
          <w:b/>
          <w:bCs/>
          <w:caps/>
          <w:color w:val="6929C4" w:themeColor="accent1"/>
          <w:sz w:val="24"/>
          <w:szCs w:val="24"/>
        </w:rPr>
      </w:pPr>
      <w:r>
        <w:rPr>
          <w:rFonts w:ascii="Arial Bold" w:hAnsi="Arial Bold"/>
          <w:b/>
          <w:bCs/>
          <w:caps/>
          <w:color w:val="6929C4" w:themeColor="accent1"/>
          <w:sz w:val="24"/>
          <w:szCs w:val="24"/>
        </w:rPr>
        <w:t xml:space="preserve">PROJECTED </w:t>
      </w:r>
      <w:r w:rsidR="00815183" w:rsidRPr="6AAAC84F">
        <w:rPr>
          <w:rFonts w:ascii="Arial Bold" w:hAnsi="Arial Bold"/>
          <w:b/>
          <w:bCs/>
          <w:caps/>
          <w:color w:val="6929C4" w:themeColor="accent1"/>
          <w:sz w:val="24"/>
          <w:szCs w:val="24"/>
        </w:rPr>
        <w:t>Workforce</w:t>
      </w:r>
      <w:r w:rsidR="00833D80" w:rsidRPr="6AAAC84F">
        <w:rPr>
          <w:rFonts w:ascii="Arial Bold" w:hAnsi="Arial Bold"/>
          <w:b/>
          <w:bCs/>
          <w:caps/>
          <w:color w:val="6929C4" w:themeColor="accent1"/>
          <w:sz w:val="24"/>
          <w:szCs w:val="24"/>
        </w:rPr>
        <w:t xml:space="preserve"> demand &amp; Shortfalls</w:t>
      </w:r>
    </w:p>
    <w:p w14:paraId="6BB33754" w14:textId="44905C82" w:rsidR="00BA44F1" w:rsidRDefault="00BA44F1" w:rsidP="00833D80">
      <w:pPr>
        <w:spacing w:after="120" w:line="276" w:lineRule="auto"/>
        <w:rPr>
          <w:rFonts w:eastAsia="Times New Roman"/>
        </w:rPr>
      </w:pPr>
      <w:r>
        <w:rPr>
          <w:rFonts w:eastAsia="Times New Roman"/>
        </w:rPr>
        <w:t>Our study include</w:t>
      </w:r>
      <w:r w:rsidR="00353E98">
        <w:rPr>
          <w:rFonts w:eastAsia="Times New Roman"/>
        </w:rPr>
        <w:t>s</w:t>
      </w:r>
      <w:r>
        <w:rPr>
          <w:rFonts w:eastAsia="Times New Roman"/>
        </w:rPr>
        <w:t xml:space="preserve"> </w:t>
      </w:r>
      <w:r w:rsidR="005F3442">
        <w:rPr>
          <w:rFonts w:eastAsia="Times New Roman"/>
        </w:rPr>
        <w:t xml:space="preserve">preliminary </w:t>
      </w:r>
      <w:r>
        <w:rPr>
          <w:rFonts w:eastAsia="Times New Roman"/>
        </w:rPr>
        <w:t xml:space="preserve">economic modelling of three possible future scenarios with </w:t>
      </w:r>
      <w:r w:rsidR="00C00643">
        <w:rPr>
          <w:rFonts w:eastAsia="Times New Roman"/>
        </w:rPr>
        <w:t xml:space="preserve">the </w:t>
      </w:r>
      <w:r w:rsidR="005F3442">
        <w:rPr>
          <w:rFonts w:eastAsia="Times New Roman"/>
        </w:rPr>
        <w:t>c</w:t>
      </w:r>
      <w:r>
        <w:rPr>
          <w:rFonts w:eastAsia="Times New Roman"/>
        </w:rPr>
        <w:t xml:space="preserve">entral scenario being broadly aligned with </w:t>
      </w:r>
      <w:r w:rsidR="00353E98">
        <w:rPr>
          <w:rFonts w:eastAsia="Times New Roman"/>
        </w:rPr>
        <w:t>G</w:t>
      </w:r>
      <w:r>
        <w:rPr>
          <w:rFonts w:eastAsia="Times New Roman"/>
        </w:rPr>
        <w:t xml:space="preserve">overnment </w:t>
      </w:r>
      <w:r w:rsidR="005F3442">
        <w:rPr>
          <w:rFonts w:eastAsia="Times New Roman"/>
        </w:rPr>
        <w:t>climate and energy</w:t>
      </w:r>
      <w:r>
        <w:rPr>
          <w:rFonts w:eastAsia="Times New Roman"/>
        </w:rPr>
        <w:t xml:space="preserve"> policy. The </w:t>
      </w:r>
      <w:r w:rsidR="00BB3AB7">
        <w:rPr>
          <w:rFonts w:eastAsia="Times New Roman"/>
        </w:rPr>
        <w:t xml:space="preserve">preliminary </w:t>
      </w:r>
      <w:r w:rsidR="00341F88">
        <w:rPr>
          <w:rFonts w:eastAsia="Times New Roman"/>
        </w:rPr>
        <w:t>modelling</w:t>
      </w:r>
      <w:r w:rsidR="00BB3AB7">
        <w:rPr>
          <w:rFonts w:eastAsia="Times New Roman"/>
        </w:rPr>
        <w:t xml:space="preserve"> of the</w:t>
      </w:r>
      <w:r>
        <w:rPr>
          <w:rFonts w:eastAsia="Times New Roman"/>
        </w:rPr>
        <w:t xml:space="preserve"> employment implications of these scenarios are outlined in </w:t>
      </w:r>
      <w:r w:rsidR="00C00643">
        <w:rPr>
          <w:rFonts w:eastAsia="Times New Roman"/>
        </w:rPr>
        <w:t xml:space="preserve">Chapter 5 of </w:t>
      </w:r>
      <w:r>
        <w:rPr>
          <w:rFonts w:eastAsia="Times New Roman"/>
        </w:rPr>
        <w:t>the report</w:t>
      </w:r>
      <w:r w:rsidR="00C00643">
        <w:rPr>
          <w:rFonts w:eastAsia="Times New Roman"/>
        </w:rPr>
        <w:t>.</w:t>
      </w:r>
    </w:p>
    <w:p w14:paraId="77753598" w14:textId="3927DF7E" w:rsidR="00737DDD" w:rsidRDefault="00341F88" w:rsidP="00833D80">
      <w:pPr>
        <w:spacing w:after="120" w:line="276" w:lineRule="auto"/>
        <w:rPr>
          <w:rFonts w:cs="Arial"/>
          <w14:numForm w14:val="lining"/>
          <w14:numSpacing w14:val="proportional"/>
        </w:rPr>
      </w:pPr>
      <w:r>
        <w:rPr>
          <w:rFonts w:cs="Arial"/>
          <w14:numForm w14:val="lining"/>
          <w14:numSpacing w14:val="proportional"/>
        </w:rPr>
        <w:t xml:space="preserve">The preliminary modelling suggests </w:t>
      </w:r>
      <w:r w:rsidR="00444D00">
        <w:rPr>
          <w:rFonts w:cs="Arial"/>
          <w14:numForm w14:val="lining"/>
          <w14:numSpacing w14:val="proportional"/>
        </w:rPr>
        <w:t xml:space="preserve">that </w:t>
      </w:r>
      <w:r>
        <w:rPr>
          <w:rFonts w:cs="Arial"/>
          <w14:numForm w14:val="lining"/>
          <w14:numSpacing w14:val="proportional"/>
        </w:rPr>
        <w:t xml:space="preserve">under </w:t>
      </w:r>
      <w:r w:rsidR="00444D00">
        <w:rPr>
          <w:rFonts w:cs="Arial"/>
          <w14:numForm w14:val="lining"/>
          <w14:numSpacing w14:val="proportional"/>
        </w:rPr>
        <w:t>the</w:t>
      </w:r>
      <w:r>
        <w:rPr>
          <w:rFonts w:cs="Arial"/>
          <w14:numForm w14:val="lining"/>
          <w14:numSpacing w14:val="proportional"/>
        </w:rPr>
        <w:t xml:space="preserve"> </w:t>
      </w:r>
      <w:r w:rsidR="00CC1813">
        <w:rPr>
          <w:rFonts w:cs="Arial"/>
          <w14:numForm w14:val="lining"/>
          <w14:numSpacing w14:val="proportional"/>
        </w:rPr>
        <w:t>central scenario w</w:t>
      </w:r>
      <w:r w:rsidR="00833D80" w:rsidRPr="00833D80">
        <w:rPr>
          <w:rFonts w:cs="Arial"/>
          <w14:numForm w14:val="lining"/>
          <w14:numSpacing w14:val="proportional"/>
        </w:rPr>
        <w:t xml:space="preserve">e will need </w:t>
      </w:r>
      <w:r w:rsidR="00F23917">
        <w:rPr>
          <w:rFonts w:cs="Arial"/>
          <w14:numForm w14:val="lining"/>
          <w14:numSpacing w14:val="proportional"/>
        </w:rPr>
        <w:t>close to two</w:t>
      </w:r>
      <w:r w:rsidR="00833D80" w:rsidRPr="00833D80">
        <w:rPr>
          <w:rFonts w:cs="Arial"/>
          <w14:numForm w14:val="lining"/>
          <w14:numSpacing w14:val="proportional"/>
        </w:rPr>
        <w:t xml:space="preserve"> million workers in building and engineering trades by 2050</w:t>
      </w:r>
      <w:r w:rsidR="00971B9C">
        <w:rPr>
          <w:rFonts w:cs="Arial"/>
          <w14:numForm w14:val="lining"/>
          <w14:numSpacing w14:val="proportional"/>
        </w:rPr>
        <w:t xml:space="preserve">, an increase of </w:t>
      </w:r>
      <w:r w:rsidR="005576A2">
        <w:rPr>
          <w:rFonts w:cs="Arial"/>
          <w14:numForm w14:val="lining"/>
          <w14:numSpacing w14:val="proportional"/>
        </w:rPr>
        <w:t>around 40</w:t>
      </w:r>
      <w:r w:rsidR="00971B9C">
        <w:rPr>
          <w:rFonts w:cs="Arial"/>
          <w14:numForm w14:val="lining"/>
          <w14:numSpacing w14:val="proportional"/>
        </w:rPr>
        <w:t>%</w:t>
      </w:r>
      <w:r w:rsidR="00833D80" w:rsidRPr="00833D80">
        <w:rPr>
          <w:rFonts w:cs="Arial"/>
          <w14:numForm w14:val="lining"/>
          <w14:numSpacing w14:val="proportional"/>
        </w:rPr>
        <w:t xml:space="preserve">. Occupations with the highest growth rates </w:t>
      </w:r>
      <w:r w:rsidR="005E5000">
        <w:rPr>
          <w:rFonts w:cs="Arial"/>
          <w14:numForm w14:val="lining"/>
          <w14:numSpacing w14:val="proportional"/>
        </w:rPr>
        <w:t xml:space="preserve">(2023-2030) </w:t>
      </w:r>
      <w:r w:rsidR="00833D80" w:rsidRPr="00833D80">
        <w:rPr>
          <w:rFonts w:cs="Arial"/>
          <w14:numForm w14:val="lining"/>
          <w14:numSpacing w14:val="proportional"/>
        </w:rPr>
        <w:t xml:space="preserve">include Telecommunications Trades Workers, </w:t>
      </w:r>
      <w:r w:rsidR="005E5000">
        <w:rPr>
          <w:rFonts w:cs="Arial"/>
          <w14:numForm w14:val="lining"/>
          <w14:numSpacing w14:val="proportional"/>
        </w:rPr>
        <w:t xml:space="preserve">Electronics Trades Workers, </w:t>
      </w:r>
      <w:r w:rsidR="00833D80" w:rsidRPr="00833D80">
        <w:rPr>
          <w:rFonts w:cs="Arial"/>
          <w14:numForm w14:val="lining"/>
          <w14:numSpacing w14:val="proportional"/>
        </w:rPr>
        <w:t xml:space="preserve">Electrical Engineering Draftspersons and Technicians, </w:t>
      </w:r>
      <w:r w:rsidR="004162BD">
        <w:rPr>
          <w:rFonts w:cs="Arial"/>
          <w14:numForm w14:val="lining"/>
          <w14:numSpacing w14:val="proportional"/>
        </w:rPr>
        <w:t>Structural Steel Construction Workers,</w:t>
      </w:r>
      <w:r w:rsidR="00833D80" w:rsidRPr="00833D80">
        <w:rPr>
          <w:rFonts w:cs="Arial"/>
          <w14:numForm w14:val="lining"/>
          <w14:numSpacing w14:val="proportional"/>
        </w:rPr>
        <w:t xml:space="preserve"> Construction Managers, Plumbers and Electricians. </w:t>
      </w:r>
    </w:p>
    <w:p w14:paraId="3CB2F800" w14:textId="77777777" w:rsidR="000440E8" w:rsidRDefault="000440E8">
      <w:pPr>
        <w:rPr>
          <w:rFonts w:cs="Arial"/>
          <w14:numForm w14:val="lining"/>
          <w14:numSpacing w14:val="proportional"/>
        </w:rPr>
      </w:pPr>
      <w:r>
        <w:rPr>
          <w:rFonts w:cs="Arial"/>
          <w14:numForm w14:val="lining"/>
          <w14:numSpacing w14:val="proportional"/>
        </w:rPr>
        <w:br w:type="page"/>
      </w:r>
    </w:p>
    <w:p w14:paraId="6270C3CA" w14:textId="56D7ED05" w:rsidR="00833D80" w:rsidRPr="00833D80" w:rsidRDefault="00833D80" w:rsidP="00833D80">
      <w:pPr>
        <w:spacing w:after="120" w:line="276" w:lineRule="auto"/>
        <w:rPr>
          <w:rFonts w:cs="Arial"/>
          <w14:numForm w14:val="lining"/>
          <w14:numSpacing w14:val="proportional"/>
        </w:rPr>
      </w:pPr>
      <w:r w:rsidRPr="00833D80">
        <w:rPr>
          <w:rFonts w:cs="Arial"/>
          <w14:numForm w14:val="lining"/>
          <w14:numSpacing w14:val="proportional"/>
        </w:rPr>
        <w:lastRenderedPageBreak/>
        <w:t xml:space="preserve">Depending on different policy approaches to electrifying the </w:t>
      </w:r>
      <w:r w:rsidR="13E222D3" w:rsidRPr="00833D80">
        <w:rPr>
          <w:rFonts w:cs="Arial"/>
          <w14:numForm w14:val="lining"/>
          <w14:numSpacing w14:val="proportional"/>
        </w:rPr>
        <w:t>N</w:t>
      </w:r>
      <w:r w:rsidRPr="00833D80">
        <w:rPr>
          <w:rFonts w:cs="Arial"/>
          <w14:numForm w14:val="lining"/>
          <w14:numSpacing w14:val="proportional"/>
        </w:rPr>
        <w:t xml:space="preserve">ational </w:t>
      </w:r>
      <w:r w:rsidR="102942FB" w:rsidRPr="00833D80">
        <w:rPr>
          <w:rFonts w:cs="Arial"/>
          <w14:numForm w14:val="lining"/>
          <w14:numSpacing w14:val="proportional"/>
        </w:rPr>
        <w:t>E</w:t>
      </w:r>
      <w:r w:rsidRPr="00833D80">
        <w:rPr>
          <w:rFonts w:cs="Arial"/>
          <w14:numForm w14:val="lining"/>
          <w14:numSpacing w14:val="proportional"/>
        </w:rPr>
        <w:t xml:space="preserve">nergy </w:t>
      </w:r>
      <w:r w:rsidR="6DEFFD60" w:rsidRPr="00833D80">
        <w:rPr>
          <w:rFonts w:cs="Arial"/>
          <w14:numForm w14:val="lining"/>
          <w14:numSpacing w14:val="proportional"/>
        </w:rPr>
        <w:t>M</w:t>
      </w:r>
      <w:r w:rsidRPr="00833D80">
        <w:rPr>
          <w:rFonts w:cs="Arial"/>
          <w14:numForm w14:val="lining"/>
          <w14:numSpacing w14:val="proportional"/>
        </w:rPr>
        <w:t xml:space="preserve">arket </w:t>
      </w:r>
      <w:r w:rsidR="112FCAB4" w:rsidRPr="00833D80">
        <w:rPr>
          <w:rFonts w:cs="Arial"/>
          <w14:numForm w14:val="lining"/>
          <w14:numSpacing w14:val="proportional"/>
        </w:rPr>
        <w:t>(NEM)</w:t>
      </w:r>
      <w:r w:rsidRPr="00833D80">
        <w:rPr>
          <w:rFonts w:cs="Arial"/>
          <w14:numForm w14:val="lining"/>
          <w14:numSpacing w14:val="proportional"/>
        </w:rPr>
        <w:t xml:space="preserve"> and reaching our renewable energy goals, </w:t>
      </w:r>
      <w:r w:rsidR="00341F88">
        <w:rPr>
          <w:rFonts w:cs="Arial"/>
          <w14:numForm w14:val="lining"/>
          <w14:numSpacing w14:val="proportional"/>
        </w:rPr>
        <w:t xml:space="preserve">the preliminary modelling shows </w:t>
      </w:r>
      <w:r w:rsidRPr="00833D80">
        <w:rPr>
          <w:rFonts w:cs="Arial"/>
          <w14:numForm w14:val="lining"/>
          <w14:numSpacing w14:val="proportional"/>
        </w:rPr>
        <w:t>we will need approximately 26,000 to 42,000 more electricians in the next seven years</w:t>
      </w:r>
      <w:r w:rsidR="00C411E0">
        <w:rPr>
          <w:rFonts w:cs="Arial"/>
          <w14:numForm w14:val="lining"/>
          <w14:numSpacing w14:val="proportional"/>
        </w:rPr>
        <w:t>, and t</w:t>
      </w:r>
      <w:r w:rsidR="00C411E0" w:rsidRPr="388C0A0B">
        <w:rPr>
          <w:rFonts w:eastAsia="Arial" w:cs="Arial"/>
        </w:rPr>
        <w:t xml:space="preserve">he clean energy </w:t>
      </w:r>
      <w:r w:rsidR="00C411E0">
        <w:rPr>
          <w:rFonts w:eastAsia="Arial" w:cs="Arial"/>
        </w:rPr>
        <w:t xml:space="preserve">supply </w:t>
      </w:r>
      <w:r w:rsidR="00C411E0" w:rsidRPr="388C0A0B">
        <w:rPr>
          <w:rFonts w:eastAsia="Arial" w:cs="Arial"/>
        </w:rPr>
        <w:t xml:space="preserve">workforce will </w:t>
      </w:r>
      <w:r w:rsidR="00EE0CA2">
        <w:rPr>
          <w:rFonts w:eastAsia="Arial" w:cs="Arial"/>
        </w:rPr>
        <w:t xml:space="preserve">likely </w:t>
      </w:r>
      <w:r w:rsidR="00C411E0" w:rsidRPr="388C0A0B">
        <w:rPr>
          <w:rFonts w:eastAsia="Arial" w:cs="Arial"/>
        </w:rPr>
        <w:t xml:space="preserve">need to grow from approximately </w:t>
      </w:r>
      <w:r w:rsidR="00C411E0">
        <w:rPr>
          <w:rFonts w:eastAsia="Arial" w:cs="Arial"/>
        </w:rPr>
        <w:t>53</w:t>
      </w:r>
      <w:r w:rsidR="00C411E0" w:rsidRPr="00EE0CA2">
        <w:rPr>
          <w:rFonts w:eastAsia="Arial" w:cs="Arial"/>
        </w:rPr>
        <w:t>,000 workers today to 84,000 by 2050</w:t>
      </w:r>
      <w:r w:rsidR="00EE0CA2">
        <w:rPr>
          <w:rFonts w:eastAsia="Arial" w:cs="Arial"/>
        </w:rPr>
        <w:t>.</w:t>
      </w:r>
    </w:p>
    <w:p w14:paraId="1B141984" w14:textId="655B769B" w:rsidR="00833D80" w:rsidRPr="00833D80" w:rsidRDefault="00833D80" w:rsidP="00833D80">
      <w:pPr>
        <w:pStyle w:val="Bodycopy"/>
        <w:spacing w:after="120" w:line="276" w:lineRule="auto"/>
      </w:pPr>
      <w:r>
        <w:t xml:space="preserve">There is strong growth in trades and technical occupations, particularly for occupations that are critical to clean energy such as </w:t>
      </w:r>
      <w:r w:rsidR="00733DC2">
        <w:t>E</w:t>
      </w:r>
      <w:r>
        <w:t xml:space="preserve">lectricians, </w:t>
      </w:r>
      <w:r w:rsidR="00926906">
        <w:t>M</w:t>
      </w:r>
      <w:r>
        <w:t xml:space="preserve">etal </w:t>
      </w:r>
      <w:r w:rsidR="00926906">
        <w:t>F</w:t>
      </w:r>
      <w:r>
        <w:t xml:space="preserve">itters and </w:t>
      </w:r>
      <w:r w:rsidR="00926906">
        <w:t>M</w:t>
      </w:r>
      <w:r>
        <w:t xml:space="preserve">achinists, and </w:t>
      </w:r>
      <w:r w:rsidR="00926906">
        <w:t>P</w:t>
      </w:r>
      <w:r>
        <w:t xml:space="preserve">lant </w:t>
      </w:r>
      <w:r w:rsidR="00926906">
        <w:t>O</w:t>
      </w:r>
      <w:r>
        <w:t xml:space="preserve">perators. However, our supply forecasts strongly suggest there is insufficient capacity in the training and migration pipelines to meet this demand. </w:t>
      </w:r>
      <w:r w:rsidR="008202F0" w:rsidRPr="008202F0">
        <w:rPr>
          <w:rStyle w:val="Strong"/>
          <w:b w:val="0"/>
          <w:bCs w:val="0"/>
        </w:rPr>
        <w:t xml:space="preserve">We will likely need close to </w:t>
      </w:r>
      <w:r w:rsidR="00F32F33">
        <w:rPr>
          <w:rStyle w:val="Strong"/>
          <w:b w:val="0"/>
          <w:bCs w:val="0"/>
        </w:rPr>
        <w:t>two</w:t>
      </w:r>
      <w:r w:rsidR="008202F0" w:rsidRPr="008202F0">
        <w:rPr>
          <w:rStyle w:val="Strong"/>
          <w:b w:val="0"/>
          <w:bCs w:val="0"/>
        </w:rPr>
        <w:t xml:space="preserve"> million workers in building and engineering trades by 2050</w:t>
      </w:r>
      <w:r w:rsidR="008202F0">
        <w:rPr>
          <w:rStyle w:val="Strong"/>
          <w:b w:val="0"/>
          <w:bCs w:val="0"/>
        </w:rPr>
        <w:t xml:space="preserve"> </w:t>
      </w:r>
      <w:r w:rsidR="008202F0" w:rsidRPr="008202F0">
        <w:rPr>
          <w:rStyle w:val="Strong"/>
          <w:b w:val="0"/>
          <w:bCs w:val="0"/>
        </w:rPr>
        <w:t>as</w:t>
      </w:r>
      <w:r w:rsidR="008202F0">
        <w:t xml:space="preserve"> labour and capital will be needed to prepare Australia’s energy grid and industrial base for net zero. </w:t>
      </w:r>
    </w:p>
    <w:p w14:paraId="6D239D77" w14:textId="211DA387" w:rsidR="00833D80" w:rsidRPr="00833D80" w:rsidRDefault="00833D80" w:rsidP="00833D80">
      <w:pPr>
        <w:pStyle w:val="Bodycopy"/>
        <w:spacing w:after="120" w:line="276" w:lineRule="auto"/>
      </w:pPr>
      <w:r>
        <w:t xml:space="preserve">Growth in these occupations </w:t>
      </w:r>
      <w:r w:rsidR="00047F00">
        <w:t>is also likely to</w:t>
      </w:r>
      <w:r>
        <w:t xml:space="preserve"> be concentrated in regional Australia, presenting a great opportunity, as clean energy will continue to provide well paid employment that might otherwise be lost as global demand for fossil fuels decreases. However, the concentration of growth in trades and technical employment in regional Australia will require an even more substantial uplift in education and training to ensure that job opportunities can be accessed by local workers. </w:t>
      </w:r>
    </w:p>
    <w:p w14:paraId="0A5CC722" w14:textId="25C63023" w:rsidR="00833D80" w:rsidRPr="00833D80" w:rsidRDefault="00833D80" w:rsidP="00833D80">
      <w:pPr>
        <w:pStyle w:val="Bodycopy"/>
        <w:spacing w:after="240" w:line="276" w:lineRule="auto"/>
        <w:rPr>
          <w:rFonts w:cs="Arial"/>
          <w:sz w:val="24"/>
          <w:szCs w:val="24"/>
        </w:rPr>
      </w:pPr>
      <w:r>
        <w:t>With active investment and clear policy direction to ensure all emissions-intensive sectors have the incentives to transition to lower emissions technology, Australia can achieve more employment growth, industrial diversity and productivity while still decarbonising the domestic economy. When couple</w:t>
      </w:r>
      <w:r w:rsidR="00262A24">
        <w:t>d</w:t>
      </w:r>
      <w:r>
        <w:t xml:space="preserve"> with a higher level of ambition and investment, Australia can also expand its production of </w:t>
      </w:r>
      <w:r w:rsidR="00FE4C5A">
        <w:t>low-emissions</w:t>
      </w:r>
      <w:r>
        <w:t xml:space="preserve"> goods to create an export market that replaces what we can expect to lose from fossil fuels.</w:t>
      </w:r>
      <w:r w:rsidRPr="6AAAC84F">
        <w:rPr>
          <w:rFonts w:cs="Arial"/>
          <w:sz w:val="24"/>
          <w:szCs w:val="24"/>
        </w:rPr>
        <w:t xml:space="preserve"> </w:t>
      </w:r>
    </w:p>
    <w:p w14:paraId="24502238" w14:textId="79D562B3" w:rsidR="00833D80" w:rsidRPr="00DB410A" w:rsidRDefault="00833D80" w:rsidP="00CD61BD">
      <w:pPr>
        <w:pStyle w:val="Bodycopy"/>
        <w:spacing w:after="80" w:line="240" w:lineRule="auto"/>
        <w:rPr>
          <w:rFonts w:cs="Arial"/>
          <w:b/>
          <w:bCs/>
        </w:rPr>
      </w:pPr>
      <w:r w:rsidRPr="00DB410A">
        <w:rPr>
          <w:rFonts w:cs="Arial"/>
          <w:b/>
          <w:bCs/>
        </w:rPr>
        <w:t>Demand for critical clean energy occupations, to 2050</w:t>
      </w:r>
    </w:p>
    <w:p w14:paraId="313D8108" w14:textId="0A1EB8BC" w:rsidR="00833D80" w:rsidRPr="00B524B0" w:rsidRDefault="00B1099A" w:rsidP="00833D80">
      <w:pPr>
        <w:pStyle w:val="Bodycopy"/>
        <w:spacing w:after="0" w:line="240" w:lineRule="auto"/>
        <w:rPr>
          <w:rFonts w:cs="Arial"/>
        </w:rPr>
      </w:pPr>
      <w:r>
        <w:rPr>
          <w:rFonts w:cs="Arial"/>
          <w:b/>
          <w:bCs/>
          <w:noProof/>
        </w:rPr>
        <w:drawing>
          <wp:inline distT="0" distB="0" distL="0" distR="0" wp14:anchorId="57A1AC9B" wp14:editId="0187429C">
            <wp:extent cx="5731070" cy="2747010"/>
            <wp:effectExtent l="0" t="0" r="3175" b="0"/>
            <wp:docPr id="1591073326" name="Picture 1591073326" descr="This line chart highlights that employment in critical clean energy occupations will grow steadily under all scenarios. The largest growth can be observed under the High scenario, followed by the Central and the Low scenario accordingly. Employment under all scenarios reaches 2 million workers by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073326" name="Picture 1591073326" descr="This line chart highlights that employment in critical clean energy occupations will grow steadily under all scenarios. The largest growth can be observed under the High scenario, followed by the Central and the Low scenario accordingly. Employment under all scenarios reaches 2 million workers by 2050."/>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731510" cy="2747221"/>
                    </a:xfrm>
                    <a:prstGeom prst="rect">
                      <a:avLst/>
                    </a:prstGeom>
                    <a:ln>
                      <a:noFill/>
                    </a:ln>
                    <a:extLst>
                      <a:ext uri="{53640926-AAD7-44D8-BBD7-CCE9431645EC}">
                        <a14:shadowObscured xmlns:a14="http://schemas.microsoft.com/office/drawing/2010/main"/>
                      </a:ext>
                    </a:extLst>
                  </pic:spPr>
                </pic:pic>
              </a:graphicData>
            </a:graphic>
          </wp:inline>
        </w:drawing>
      </w:r>
    </w:p>
    <w:p w14:paraId="1F8BDCB6" w14:textId="77777777" w:rsidR="00833D80" w:rsidRDefault="00833D80" w:rsidP="6AAAC84F">
      <w:pPr>
        <w:pStyle w:val="paragraph"/>
        <w:spacing w:before="0" w:beforeAutospacing="0" w:after="0" w:afterAutospacing="0"/>
        <w:textAlignment w:val="baseline"/>
        <w:rPr>
          <w:rFonts w:ascii="Arial" w:hAnsi="Arial" w:cs="Arial"/>
          <w:color w:val="000000"/>
          <w:sz w:val="18"/>
          <w:szCs w:val="18"/>
        </w:rPr>
      </w:pPr>
      <w:r w:rsidRPr="6AAAC84F">
        <w:rPr>
          <w:rFonts w:ascii="Arial" w:hAnsi="Arial" w:cs="Arial"/>
          <w:color w:val="000000" w:themeColor="text1"/>
          <w:sz w:val="22"/>
          <w:szCs w:val="22"/>
        </w:rPr>
        <w:t> </w:t>
      </w:r>
      <w:r w:rsidRPr="6AAAC84F">
        <w:rPr>
          <w:rFonts w:ascii="Arial" w:hAnsi="Arial" w:cs="Arial"/>
          <w:color w:val="000000" w:themeColor="text1"/>
          <w:sz w:val="18"/>
          <w:szCs w:val="18"/>
        </w:rPr>
        <w:t>Source: Deloitte Access Economics 2023. </w:t>
      </w:r>
    </w:p>
    <w:p w14:paraId="1D8240FC" w14:textId="77777777" w:rsidR="00CD61BD" w:rsidRDefault="00CD61BD">
      <w:pPr>
        <w:rPr>
          <w:rFonts w:cs="Arial"/>
          <w:sz w:val="24"/>
          <w:szCs w:val="24"/>
        </w:rPr>
      </w:pPr>
      <w:r>
        <w:rPr>
          <w:rFonts w:cs="Arial"/>
          <w:sz w:val="24"/>
          <w:szCs w:val="24"/>
        </w:rPr>
        <w:br w:type="page"/>
      </w:r>
    </w:p>
    <w:p w14:paraId="20382CAE" w14:textId="51BCCCCA" w:rsidR="00CD61BD" w:rsidRPr="00DB410A" w:rsidRDefault="00CD61BD" w:rsidP="00CD61BD">
      <w:pPr>
        <w:pStyle w:val="Bodycopy"/>
        <w:spacing w:after="80" w:line="240" w:lineRule="auto"/>
        <w:rPr>
          <w:rFonts w:cs="Arial"/>
          <w:b/>
          <w:bCs/>
        </w:rPr>
      </w:pPr>
      <w:r w:rsidRPr="00DB410A">
        <w:rPr>
          <w:rFonts w:cs="Arial"/>
          <w:b/>
          <w:bCs/>
        </w:rPr>
        <w:lastRenderedPageBreak/>
        <w:t>Demand for</w:t>
      </w:r>
      <w:r w:rsidR="001D25C8">
        <w:rPr>
          <w:rFonts w:cs="Arial"/>
          <w:b/>
          <w:bCs/>
        </w:rPr>
        <w:t xml:space="preserve"> Electricians</w:t>
      </w:r>
      <w:r w:rsidRPr="00DB410A">
        <w:rPr>
          <w:rFonts w:cs="Arial"/>
          <w:b/>
          <w:bCs/>
        </w:rPr>
        <w:t>, to 2050</w:t>
      </w:r>
    </w:p>
    <w:p w14:paraId="3D3A2A91" w14:textId="343500CC" w:rsidR="00CD61BD" w:rsidRDefault="00507088" w:rsidP="00CD61BD">
      <w:pPr>
        <w:pStyle w:val="paragraph"/>
        <w:spacing w:before="0" w:beforeAutospacing="0" w:after="0" w:afterAutospacing="0"/>
        <w:textAlignment w:val="baseline"/>
        <w:rPr>
          <w:rFonts w:ascii="Arial" w:hAnsi="Arial" w:cs="Arial"/>
          <w:color w:val="000000"/>
          <w:sz w:val="18"/>
          <w:szCs w:val="18"/>
        </w:rPr>
      </w:pPr>
      <w:r>
        <w:rPr>
          <w:rFonts w:ascii="Arial" w:hAnsi="Arial" w:cs="Arial"/>
          <w:b/>
          <w:bCs/>
          <w:noProof/>
          <w:color w:val="000000" w:themeColor="text1"/>
        </w:rPr>
        <w:drawing>
          <wp:inline distT="0" distB="0" distL="0" distR="0" wp14:anchorId="706C5A30" wp14:editId="3F963BF7">
            <wp:extent cx="5731510" cy="2713355"/>
            <wp:effectExtent l="0" t="0" r="2540" b="0"/>
            <wp:docPr id="1478804417" name="Picture 1478804417" descr="This line chart highlights that employment for electricians will increase under all scenarios, with the strongest growth under the High scenario, followed by Central and Low scenario. The demand for electricians to 2050 under the Low scenario experiences a steady increase in growth, followed by a marginal plateau in the demand 2046-20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04417" name="Picture 1478804417" descr="This line chart highlights that employment for electricians will increase under all scenarios, with the strongest growth under the High scenario, followed by Central and Low scenario. The demand for electricians to 2050 under the Low scenario experiences a steady increase in growth, followed by a marginal plateau in the demand 2046-2047.  "/>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731510" cy="2713355"/>
                    </a:xfrm>
                    <a:prstGeom prst="rect">
                      <a:avLst/>
                    </a:prstGeom>
                    <a:ln>
                      <a:noFill/>
                    </a:ln>
                    <a:extLst>
                      <a:ext uri="{53640926-AAD7-44D8-BBD7-CCE9431645EC}">
                        <a14:shadowObscured xmlns:a14="http://schemas.microsoft.com/office/drawing/2010/main"/>
                      </a:ext>
                    </a:extLst>
                  </pic:spPr>
                </pic:pic>
              </a:graphicData>
            </a:graphic>
          </wp:inline>
        </w:drawing>
      </w:r>
      <w:r w:rsidR="00CD61BD" w:rsidRPr="6AAAC84F">
        <w:rPr>
          <w:rFonts w:ascii="Arial" w:hAnsi="Arial" w:cs="Arial"/>
          <w:color w:val="000000" w:themeColor="text1"/>
          <w:sz w:val="18"/>
          <w:szCs w:val="18"/>
        </w:rPr>
        <w:t>Source: Deloitte Access Economics 2023. </w:t>
      </w:r>
    </w:p>
    <w:p w14:paraId="1E7F14BF" w14:textId="156BE2D8" w:rsidR="00815183" w:rsidRPr="001F39C1" w:rsidRDefault="00815183" w:rsidP="00CD61BD">
      <w:pPr>
        <w:pStyle w:val="Bodycopy"/>
        <w:spacing w:before="48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t>EMERGING AND TRANSFORMING SECTORS</w:t>
      </w:r>
    </w:p>
    <w:p w14:paraId="0C4B9A76" w14:textId="292EEA1D" w:rsidR="00815183" w:rsidRPr="001F39C1" w:rsidRDefault="00815183" w:rsidP="00A77316">
      <w:pPr>
        <w:spacing w:after="120" w:line="276" w:lineRule="auto"/>
        <w:rPr>
          <w:rFonts w:cs="Arial"/>
          <w14:numForm w14:val="lining"/>
          <w14:numSpacing w14:val="proportional"/>
        </w:rPr>
      </w:pPr>
      <w:r w:rsidRPr="001F39C1">
        <w:rPr>
          <w:rFonts w:cs="Arial"/>
        </w:rPr>
        <w:t xml:space="preserve">Workforce change means more than just the number of jobs that will be created or lost. </w:t>
      </w:r>
      <w:r w:rsidRPr="001F39C1">
        <w:rPr>
          <w:rFonts w:cs="Arial"/>
          <w14:numForm w14:val="lining"/>
          <w14:numSpacing w14:val="proportional"/>
        </w:rPr>
        <w:t xml:space="preserve">While it’s easy to assume that the biggest impact will be in the sectors that need to grow the most, this is not </w:t>
      </w:r>
      <w:r w:rsidR="00262A24">
        <w:rPr>
          <w:rFonts w:cs="Arial"/>
          <w14:numForm w14:val="lining"/>
          <w14:numSpacing w14:val="proportional"/>
        </w:rPr>
        <w:t xml:space="preserve">necessarily </w:t>
      </w:r>
      <w:r w:rsidRPr="001F39C1">
        <w:rPr>
          <w:rFonts w:cs="Arial"/>
          <w14:numForm w14:val="lining"/>
          <w14:numSpacing w14:val="proportional"/>
        </w:rPr>
        <w:t xml:space="preserve">the case. Increasingly over the next </w:t>
      </w:r>
      <w:r w:rsidR="00A77316" w:rsidRPr="00A77316">
        <w:rPr>
          <w:rFonts w:cs="Arial"/>
          <w14:numForm w14:val="lining"/>
          <w14:numSpacing w14:val="proportional"/>
        </w:rPr>
        <w:t>30</w:t>
      </w:r>
      <w:r w:rsidRPr="001F39C1">
        <w:rPr>
          <w:rFonts w:cs="Arial"/>
          <w14:numForm w14:val="lining"/>
          <w14:numSpacing w14:val="proportional"/>
        </w:rPr>
        <w:t xml:space="preserve"> years, the skills and roles of existing occupations will change in response to decarbonisation, even if overall demand does not increase. New occupations are also emerging which, even in small numbers, can be particularly difficult to grow, including in:</w:t>
      </w:r>
    </w:p>
    <w:p w14:paraId="4B7167C0" w14:textId="77777777" w:rsidR="00815183" w:rsidRPr="001F39C1" w:rsidRDefault="00815183" w:rsidP="00A77316">
      <w:pPr>
        <w:spacing w:after="120" w:line="276" w:lineRule="auto"/>
        <w:rPr>
          <w:rFonts w:cs="Arial"/>
          <w14:numForm w14:val="lining"/>
          <w14:numSpacing w14:val="proportional"/>
        </w:rPr>
      </w:pPr>
      <w:r w:rsidRPr="001F39C1">
        <w:rPr>
          <w:rFonts w:cs="Arial"/>
          <w:b/>
          <w:bCs/>
          <w14:numForm w14:val="lining"/>
          <w14:numSpacing w14:val="proportional"/>
        </w:rPr>
        <w:t>New fuels and storage</w:t>
      </w:r>
      <w:r w:rsidRPr="001F39C1">
        <w:rPr>
          <w:rFonts w:cs="Arial"/>
          <w14:numForm w14:val="lining"/>
          <w14:numSpacing w14:val="proportional"/>
        </w:rPr>
        <w:t>. For example, the bioenergy sector provides opportunities for skilled employment growth in regional areas and additional revenues streams to support employment in agriculture. This could see demand for new skills in agricultural science and chemical engineering.</w:t>
      </w:r>
    </w:p>
    <w:p w14:paraId="58A60425" w14:textId="23F21D8D" w:rsidR="00815183" w:rsidRPr="001F39C1" w:rsidRDefault="00815183" w:rsidP="00A77316">
      <w:pPr>
        <w:spacing w:after="120" w:line="276" w:lineRule="auto"/>
        <w:rPr>
          <w:rFonts w:cs="Arial"/>
          <w14:numForm w14:val="lining"/>
          <w14:numSpacing w14:val="proportional"/>
        </w:rPr>
      </w:pPr>
      <w:r w:rsidRPr="001F39C1">
        <w:rPr>
          <w:rFonts w:cs="Arial"/>
          <w:b/>
          <w:bCs/>
          <w14:numForm w14:val="lining"/>
          <w14:numSpacing w14:val="proportional"/>
        </w:rPr>
        <w:t xml:space="preserve">Transport </w:t>
      </w:r>
      <w:r w:rsidRPr="001F39C1">
        <w:rPr>
          <w:rFonts w:cs="Arial"/>
          <w14:numForm w14:val="lining"/>
          <w14:numSpacing w14:val="proportional"/>
        </w:rPr>
        <w:t>will see major skills change as internal combustion engines are replaced with electric vehicles</w:t>
      </w:r>
      <w:r w:rsidR="00DF3F8D">
        <w:rPr>
          <w:rFonts w:cs="Arial"/>
          <w14:numForm w14:val="lining"/>
          <w14:numSpacing w14:val="proportional"/>
        </w:rPr>
        <w:t xml:space="preserve"> (</w:t>
      </w:r>
      <w:r w:rsidRPr="001F39C1">
        <w:rPr>
          <w:rFonts w:cs="Arial"/>
          <w14:numForm w14:val="lining"/>
          <w14:numSpacing w14:val="proportional"/>
        </w:rPr>
        <w:t>and vehicles that use alternative</w:t>
      </w:r>
      <w:r w:rsidR="003C654A">
        <w:rPr>
          <w:rFonts w:cs="Arial"/>
          <w14:numForm w14:val="lining"/>
          <w14:numSpacing w14:val="proportional"/>
        </w:rPr>
        <w:t xml:space="preserve"> </w:t>
      </w:r>
      <w:r w:rsidRPr="001F39C1">
        <w:rPr>
          <w:rFonts w:cs="Arial"/>
          <w14:numForm w14:val="lining"/>
          <w14:numSpacing w14:val="proportional"/>
        </w:rPr>
        <w:t xml:space="preserve">fuels). Demand for specialist </w:t>
      </w:r>
      <w:r w:rsidR="00A77316" w:rsidRPr="00A77316">
        <w:rPr>
          <w:rFonts w:cs="Arial"/>
          <w14:numForm w14:val="lining"/>
          <w14:numSpacing w14:val="proportional"/>
        </w:rPr>
        <w:t>electric vehicle</w:t>
      </w:r>
      <w:r w:rsidRPr="001F39C1">
        <w:rPr>
          <w:rFonts w:cs="Arial"/>
          <w14:numForm w14:val="lining"/>
          <w14:numSpacing w14:val="proportional"/>
        </w:rPr>
        <w:t xml:space="preserve"> mechanics will increase, as will the demand for mechanics to work across both vehicle types.  </w:t>
      </w:r>
    </w:p>
    <w:p w14:paraId="6F2F3485" w14:textId="77777777" w:rsidR="00A77316" w:rsidRPr="00A77316" w:rsidRDefault="00A77316" w:rsidP="00A77316">
      <w:pPr>
        <w:spacing w:after="120" w:line="276" w:lineRule="auto"/>
        <w:rPr>
          <w:rFonts w:cs="Arial"/>
          <w14:numForm w14:val="lining"/>
          <w14:numSpacing w14:val="proportional"/>
        </w:rPr>
      </w:pPr>
      <w:r w:rsidRPr="00A77316">
        <w:rPr>
          <w:rFonts w:cs="Arial"/>
          <w:b/>
          <w:bCs/>
          <w14:numForm w14:val="lining"/>
          <w14:numSpacing w14:val="proportional"/>
        </w:rPr>
        <w:t xml:space="preserve">Energy performance. </w:t>
      </w:r>
      <w:r w:rsidRPr="00A77316">
        <w:rPr>
          <w:rFonts w:cs="Arial"/>
          <w14:numForm w14:val="lining"/>
          <w14:numSpacing w14:val="proportional"/>
        </w:rPr>
        <w:t xml:space="preserve"> An energy auditor is an example of an emerging role, while facility managers and air conditioning and refrigeration mechanics will likely experience changed skill and knowledge requirements.</w:t>
      </w:r>
    </w:p>
    <w:p w14:paraId="44155252" w14:textId="77777777" w:rsidR="0000330E" w:rsidRDefault="0000330E">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5405C5D6" w14:textId="77777777" w:rsidR="00815183" w:rsidRPr="001F39C1" w:rsidRDefault="00815183" w:rsidP="001F39C1">
      <w:pPr>
        <w:pStyle w:val="Bodycopy"/>
        <w:spacing w:before="36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BARRIERS FOR WORKERS AND COMMUNITIES</w:t>
      </w:r>
    </w:p>
    <w:p w14:paraId="73BE7BD4" w14:textId="77777777" w:rsidR="00C23029" w:rsidRPr="00C23029" w:rsidRDefault="00C23029" w:rsidP="00C23029">
      <w:pPr>
        <w:spacing w:after="120" w:line="276" w:lineRule="auto"/>
        <w:rPr>
          <w:rFonts w:cs="Arial"/>
          <w:b/>
          <w:bCs/>
          <w14:numForm w14:val="lining"/>
          <w14:numSpacing w14:val="proportional"/>
        </w:rPr>
      </w:pPr>
      <w:r w:rsidRPr="00C23029">
        <w:rPr>
          <w:rFonts w:cs="Arial"/>
          <w:b/>
          <w:bCs/>
          <w14:numForm w14:val="lining"/>
          <w14:numSpacing w14:val="proportional"/>
        </w:rPr>
        <w:t xml:space="preserve">Women. </w:t>
      </w:r>
      <w:r w:rsidRPr="00C23029">
        <w:rPr>
          <w:rFonts w:cs="Arial"/>
          <w:spacing w:val="2"/>
          <w14:ligatures w14:val="standard"/>
          <w14:numForm w14:val="lining"/>
          <w14:numSpacing w14:val="proportional"/>
        </w:rPr>
        <w:t>The clean energy sector cannot grow at the scale required without the participation of half of Australia’s population, but this won’t happen without addressing significant barriers that exist</w:t>
      </w:r>
      <w:r w:rsidRPr="00C23029">
        <w:rPr>
          <w:rFonts w:cs="Arial"/>
          <w14:numForm w14:val="lining"/>
          <w14:numSpacing w14:val="proportional"/>
        </w:rPr>
        <w:t>. Many female engineers report experiencing gender discrimination and bullying in the workplace and do not feel they have equal access to career progression opportunities, salary advancement or mentoring. The energy sector also has the third highest incidence of workplace sexual harassment, with 71% of women having experienced sexual harassment in the last 5 years.</w:t>
      </w:r>
    </w:p>
    <w:p w14:paraId="5A803B1C" w14:textId="1CD2A9E4" w:rsidR="00815183" w:rsidRPr="001F39C1" w:rsidRDefault="00C23029" w:rsidP="00C23029">
      <w:pPr>
        <w:spacing w:after="120" w:line="276" w:lineRule="auto"/>
        <w:rPr>
          <w:rFonts w:cs="Arial"/>
          <w14:numForm w14:val="lining"/>
          <w14:numSpacing w14:val="proportional"/>
        </w:rPr>
      </w:pPr>
      <w:r w:rsidRPr="00C23029">
        <w:rPr>
          <w:rFonts w:cs="Arial"/>
          <w:b/>
          <w:bCs/>
          <w14:numForm w14:val="lining"/>
          <w14:numSpacing w14:val="proportional"/>
        </w:rPr>
        <w:t>First Nations</w:t>
      </w:r>
      <w:r w:rsidR="001B1383">
        <w:rPr>
          <w:rFonts w:cs="Arial"/>
          <w:b/>
          <w:bCs/>
          <w14:numForm w14:val="lining"/>
          <w14:numSpacing w14:val="proportional"/>
        </w:rPr>
        <w:t xml:space="preserve"> </w:t>
      </w:r>
      <w:r w:rsidR="00AB7909">
        <w:rPr>
          <w:rFonts w:cs="Arial"/>
          <w:b/>
          <w:bCs/>
          <w14:numForm w14:val="lining"/>
          <w14:numSpacing w14:val="proportional"/>
        </w:rPr>
        <w:t>people</w:t>
      </w:r>
      <w:r w:rsidRPr="00C23029">
        <w:rPr>
          <w:rFonts w:cs="Arial"/>
          <w:b/>
          <w:bCs/>
          <w14:numForm w14:val="lining"/>
          <w14:numSpacing w14:val="proportional"/>
        </w:rPr>
        <w:t>.</w:t>
      </w:r>
      <w:r w:rsidRPr="00C23029">
        <w:rPr>
          <w:rFonts w:cs="Arial"/>
          <w14:numForm w14:val="lining"/>
          <w14:numSpacing w14:val="proportional"/>
        </w:rPr>
        <w:t xml:space="preserve"> </w:t>
      </w:r>
      <w:r w:rsidR="00815183" w:rsidRPr="001F39C1">
        <w:rPr>
          <w:rFonts w:cs="Arial"/>
          <w14:numForm w14:val="lining"/>
          <w14:numSpacing w14:val="proportional"/>
        </w:rPr>
        <w:t xml:space="preserve">The transitioning energy sector, particularly coal mining, has been a major employer of First Nations </w:t>
      </w:r>
      <w:r w:rsidR="00AB7909">
        <w:rPr>
          <w:rFonts w:cs="Arial"/>
          <w14:numForm w14:val="lining"/>
          <w14:numSpacing w14:val="proportional"/>
        </w:rPr>
        <w:t>people</w:t>
      </w:r>
      <w:r w:rsidR="00D36672">
        <w:rPr>
          <w:rFonts w:cs="Arial"/>
          <w14:numForm w14:val="lining"/>
          <w14:numSpacing w14:val="proportional"/>
        </w:rPr>
        <w:t xml:space="preserve"> (3.4%)</w:t>
      </w:r>
      <w:r w:rsidRPr="00C23029">
        <w:rPr>
          <w:rFonts w:cs="Arial"/>
          <w14:numForm w14:val="lining"/>
          <w14:numSpacing w14:val="proportional"/>
        </w:rPr>
        <w:t>.</w:t>
      </w:r>
      <w:r w:rsidR="00815183" w:rsidRPr="001F39C1">
        <w:rPr>
          <w:rFonts w:cs="Arial"/>
          <w14:numForm w14:val="lining"/>
          <w14:numSpacing w14:val="proportional"/>
        </w:rPr>
        <w:t xml:space="preserve"> The emerging clean energy sector is yet to reach these levels, with First Nations employment levels around 1.9%. Growing the supply of First Nations tertiary graduates will take time but is critical to ensuring First Nations employment in the clean energy sector does not mimic the trends of the transitioning sector in concentrating First Nations employment at the lower skilled and lower paid operational level of the workforce.</w:t>
      </w:r>
    </w:p>
    <w:p w14:paraId="046896E3" w14:textId="12F4AED6" w:rsidR="00815183" w:rsidRPr="001F39C1" w:rsidRDefault="00815183" w:rsidP="00C23029">
      <w:pPr>
        <w:spacing w:after="120" w:line="276" w:lineRule="auto"/>
        <w:rPr>
          <w:rFonts w:cs="Arial"/>
          <w14:numForm w14:val="lining"/>
          <w14:numSpacing w14:val="proportional"/>
        </w:rPr>
      </w:pPr>
      <w:r w:rsidRPr="001F39C1">
        <w:rPr>
          <w:rFonts w:cs="Arial"/>
          <w:b/>
          <w:bCs/>
          <w14:numForm w14:val="lining"/>
          <w14:numSpacing w14:val="proportional"/>
        </w:rPr>
        <w:t>Safety culture.</w:t>
      </w:r>
      <w:r w:rsidRPr="001F39C1">
        <w:rPr>
          <w:rFonts w:cs="Arial"/>
          <w14:numForm w14:val="lining"/>
          <w14:numSpacing w14:val="proportional"/>
        </w:rPr>
        <w:t xml:space="preserve"> Working with clean energy infrastructure can be high risk, as is handling materials like hydrogen, ammonia and biofuels. A safety culture is vital </w:t>
      </w:r>
      <w:r w:rsidR="009D166D">
        <w:rPr>
          <w:rFonts w:cs="Arial"/>
          <w14:numForm w14:val="lining"/>
          <w14:numSpacing w14:val="proportional"/>
        </w:rPr>
        <w:t>and</w:t>
      </w:r>
      <w:r w:rsidRPr="001F39C1">
        <w:rPr>
          <w:rFonts w:cs="Arial"/>
          <w14:numForm w14:val="lining"/>
          <w14:numSpacing w14:val="proportional"/>
        </w:rPr>
        <w:t xml:space="preserve"> must consider remoteness, new technologies and processes, </w:t>
      </w:r>
      <w:r w:rsidR="00C23029" w:rsidRPr="00C23029">
        <w:rPr>
          <w:rFonts w:cs="Arial"/>
          <w14:numForm w14:val="lining"/>
          <w14:numSpacing w14:val="proportional"/>
        </w:rPr>
        <w:t xml:space="preserve">and </w:t>
      </w:r>
      <w:r w:rsidRPr="001F39C1">
        <w:rPr>
          <w:rFonts w:cs="Arial"/>
          <w14:numForm w14:val="lining"/>
          <w14:numSpacing w14:val="proportional"/>
        </w:rPr>
        <w:t>regulation inconsistencies.</w:t>
      </w:r>
    </w:p>
    <w:p w14:paraId="570A1F2C" w14:textId="77777777" w:rsidR="00C23029" w:rsidRPr="00C23029" w:rsidRDefault="00C23029" w:rsidP="00C23029">
      <w:pPr>
        <w:spacing w:after="0" w:line="276" w:lineRule="auto"/>
        <w:rPr>
          <w:rFonts w:cs="Arial"/>
          <w14:numForm w14:val="lining"/>
          <w14:numSpacing w14:val="proportional"/>
        </w:rPr>
      </w:pPr>
      <w:r w:rsidRPr="00C23029">
        <w:rPr>
          <w:rFonts w:cs="Arial"/>
          <w:b/>
          <w:bCs/>
          <w14:numForm w14:val="lining"/>
          <w14:numSpacing w14:val="proportional"/>
        </w:rPr>
        <w:t>Hiring and retention.</w:t>
      </w:r>
      <w:r w:rsidRPr="00C23029">
        <w:rPr>
          <w:rFonts w:cs="Arial"/>
          <w14:numForm w14:val="lining"/>
          <w14:numSpacing w14:val="proportional"/>
        </w:rPr>
        <w:t xml:space="preserve"> The Clean Energy Council outlines several factors that exacerbate skill shortages within the sector, including: </w:t>
      </w:r>
    </w:p>
    <w:p w14:paraId="3A5AB4C0" w14:textId="77777777" w:rsidR="00C23029" w:rsidRPr="00C23029" w:rsidRDefault="00C23029" w:rsidP="00F25595">
      <w:pPr>
        <w:pStyle w:val="ListParagraph"/>
        <w:numPr>
          <w:ilvl w:val="0"/>
          <w:numId w:val="85"/>
        </w:numPr>
        <w:spacing w:after="120" w:line="276" w:lineRule="auto"/>
        <w:contextualSpacing w:val="0"/>
        <w:rPr>
          <w:rFonts w:cs="Arial"/>
          <w14:numForm w14:val="lining"/>
          <w14:numSpacing w14:val="proportional"/>
        </w:rPr>
      </w:pPr>
      <w:r w:rsidRPr="00C23029">
        <w:rPr>
          <w:rFonts w:cs="Arial"/>
          <w14:numForm w14:val="lining"/>
          <w14:numSpacing w14:val="proportional"/>
        </w:rPr>
        <w:t xml:space="preserve">Visibility – occupations within the clean energy sector and entry pathways are poorly understood as most workers enter the sector by side-stepping from other industries </w:t>
      </w:r>
    </w:p>
    <w:p w14:paraId="5EAF8616" w14:textId="4FE3F17A" w:rsidR="00815183" w:rsidRPr="001F39C1" w:rsidRDefault="00C23029" w:rsidP="00F25595">
      <w:pPr>
        <w:pStyle w:val="ListParagraph"/>
        <w:numPr>
          <w:ilvl w:val="0"/>
          <w:numId w:val="85"/>
        </w:numPr>
        <w:spacing w:after="120" w:line="276" w:lineRule="auto"/>
        <w:contextualSpacing w:val="0"/>
        <w:rPr>
          <w:rFonts w:cs="Arial"/>
          <w14:numForm w14:val="lining"/>
          <w14:numSpacing w14:val="proportional"/>
        </w:rPr>
      </w:pPr>
      <w:r w:rsidRPr="00C23029">
        <w:rPr>
          <w:rFonts w:cs="Arial"/>
          <w14:numForm w14:val="lining"/>
          <w14:numSpacing w14:val="proportional"/>
        </w:rPr>
        <w:t xml:space="preserve">Location – </w:t>
      </w:r>
      <w:r w:rsidR="00815183" w:rsidRPr="001F39C1">
        <w:rPr>
          <w:rFonts w:cs="Arial"/>
          <w14:numForm w14:val="lining"/>
          <w14:numSpacing w14:val="proportional"/>
        </w:rPr>
        <w:t xml:space="preserve">the regional location of most employment opportunities is a significant impediment to attracting qualified individuals, such as graduates </w:t>
      </w:r>
    </w:p>
    <w:p w14:paraId="32B5DB52" w14:textId="1D201342" w:rsidR="00DD0EC1" w:rsidRPr="00DD0EC1" w:rsidRDefault="00C23029" w:rsidP="00F25595">
      <w:pPr>
        <w:pStyle w:val="ListParagraph"/>
        <w:numPr>
          <w:ilvl w:val="0"/>
          <w:numId w:val="85"/>
        </w:numPr>
        <w:spacing w:after="120" w:line="276" w:lineRule="auto"/>
        <w:contextualSpacing w:val="0"/>
        <w:rPr>
          <w:rFonts w:cs="Arial"/>
          <w14:numForm w14:val="lining"/>
          <w14:numSpacing w14:val="proportional"/>
        </w:rPr>
      </w:pPr>
      <w:r w:rsidRPr="00C23029">
        <w:rPr>
          <w:rFonts w:cs="Arial"/>
          <w14:numForm w14:val="lining"/>
          <w14:numSpacing w14:val="proportional"/>
        </w:rPr>
        <w:t xml:space="preserve">Mobility and entitlements – workers can experience challenges transitioning from one project to another. </w:t>
      </w:r>
    </w:p>
    <w:p w14:paraId="16522EE1" w14:textId="7DC2E85D" w:rsidR="00DD0EC1" w:rsidRPr="001F39C1" w:rsidRDefault="00DD0EC1" w:rsidP="00DD0EC1">
      <w:pPr>
        <w:pStyle w:val="Bodycopy"/>
        <w:spacing w:before="360" w:after="120" w:line="240" w:lineRule="auto"/>
        <w:rPr>
          <w:rFonts w:ascii="Arial Bold" w:hAnsi="Arial Bold"/>
          <w:b/>
          <w:bCs/>
          <w:caps/>
          <w:color w:val="6929C4" w:themeColor="accent1"/>
          <w:sz w:val="24"/>
          <w:szCs w:val="24"/>
        </w:rPr>
      </w:pPr>
      <w:r>
        <w:rPr>
          <w:rFonts w:ascii="Arial Bold" w:hAnsi="Arial Bold"/>
          <w:b/>
          <w:bCs/>
          <w:caps/>
          <w:color w:val="6929C4" w:themeColor="accent1"/>
          <w:sz w:val="24"/>
          <w:szCs w:val="24"/>
        </w:rPr>
        <w:t xml:space="preserve">Findings and opportunities </w:t>
      </w:r>
    </w:p>
    <w:p w14:paraId="724700BF" w14:textId="77777777"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Alignment across all sectors of the economy is needed to drive long-term change.</w:t>
      </w:r>
      <w:r w:rsidRPr="00C733CD">
        <w:rPr>
          <w:rFonts w:asciiTheme="minorHAnsi" w:eastAsia="Arial" w:hAnsiTheme="minorHAnsi" w:cstheme="minorHAnsi"/>
        </w:rPr>
        <w:t xml:space="preserve"> Coordination between businesses, workers and all levels of government will be needed to overcome the structural changes arising from climate change and environmental degradation. Long term policy guidance from governments can catalyse the necessary investments in our industries and regions. </w:t>
      </w:r>
    </w:p>
    <w:p w14:paraId="28F49494" w14:textId="77777777"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Strategies need to look beyond state and territory borders</w:t>
      </w:r>
      <w:r w:rsidRPr="00C733CD">
        <w:rPr>
          <w:rFonts w:asciiTheme="minorHAnsi" w:eastAsia="Arial" w:hAnsiTheme="minorHAnsi" w:cstheme="minorHAnsi"/>
        </w:rPr>
        <w:t>, and be regularly updated to reflect both new and revised policy settings, in alignment with rapidly changing technologies. Developing this workforce should also be a national effort, with consistency and coordination the objective.</w:t>
      </w:r>
    </w:p>
    <w:p w14:paraId="49F4A88A" w14:textId="77777777"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Many of the skills needed to decarbonise already exist in our economy.</w:t>
      </w:r>
      <w:r w:rsidRPr="00C733CD">
        <w:rPr>
          <w:rFonts w:asciiTheme="minorHAnsi" w:eastAsia="Arial" w:hAnsiTheme="minorHAnsi" w:cstheme="minorHAnsi"/>
        </w:rPr>
        <w:t xml:space="preserve"> This means that our education and training sectors are already set up to deliver many of the skills we need. The challenge will be scaling the delivery of these skills, and developing top-up pathways for workers to bridge gaps and specialise. Innovative and agile course design approaches will help education and training sectors respond faster to emerging skills needs.</w:t>
      </w:r>
    </w:p>
    <w:p w14:paraId="49F28781" w14:textId="77777777" w:rsidR="00C733CD" w:rsidRPr="00C733CD" w:rsidRDefault="00C733CD" w:rsidP="000440E8">
      <w:pPr>
        <w:spacing w:after="120" w:line="276" w:lineRule="auto"/>
        <w:rPr>
          <w:rFonts w:asciiTheme="minorHAnsi" w:eastAsia="Arial" w:hAnsiTheme="minorHAnsi" w:cstheme="minorHAnsi"/>
        </w:rPr>
      </w:pPr>
      <w:r w:rsidRPr="00C733CD">
        <w:rPr>
          <w:rFonts w:asciiTheme="minorHAnsi" w:eastAsia="Arial" w:hAnsiTheme="minorHAnsi" w:cstheme="minorHAnsi"/>
          <w:b/>
          <w:bCs/>
        </w:rPr>
        <w:lastRenderedPageBreak/>
        <w:t xml:space="preserve">A harmonised education, training and migration system with a step change in how we train trades and technical workers is a priority. </w:t>
      </w:r>
      <w:r w:rsidRPr="00C733CD">
        <w:rPr>
          <w:rFonts w:asciiTheme="minorHAnsi" w:eastAsia="Arial" w:hAnsiTheme="minorHAnsi" w:cstheme="minorHAnsi"/>
        </w:rPr>
        <w:t xml:space="preserve">As skills needs continue to transcend VET and higher education sectors, the value and potential for greater collaboration is high. The clean energy sector is primed to be a test case for new approaches to collaboration. </w:t>
      </w:r>
    </w:p>
    <w:p w14:paraId="226186CA" w14:textId="2ECBDE2F" w:rsid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 xml:space="preserve">A shared responsibility for inclusive pathways. </w:t>
      </w:r>
      <w:r w:rsidRPr="00C733CD">
        <w:rPr>
          <w:rFonts w:asciiTheme="minorHAnsi" w:eastAsia="Arial" w:hAnsiTheme="minorHAnsi" w:cstheme="minorHAnsi"/>
        </w:rPr>
        <w:t xml:space="preserve">We can’t grow the workforce at the pace and scale required if large groups of the population are excluded, including women, First Nations </w:t>
      </w:r>
      <w:r w:rsidR="00AB7909">
        <w:rPr>
          <w:rFonts w:asciiTheme="minorHAnsi" w:eastAsia="Arial" w:hAnsiTheme="minorHAnsi" w:cstheme="minorHAnsi"/>
        </w:rPr>
        <w:t>people</w:t>
      </w:r>
      <w:r w:rsidRPr="00C733CD">
        <w:rPr>
          <w:rFonts w:asciiTheme="minorHAnsi" w:eastAsia="Arial" w:hAnsiTheme="minorHAnsi" w:cstheme="minorHAnsi"/>
        </w:rPr>
        <w:t>, people with disability, and recent migrants whose skills’ potential are underutilised. The net zero transformation requires a shared commitment between industry, government, and communities to share the benefits of clean energy work, through foundational and pre-vocational training, clear diversity targets, and a transition framework built around the individual worker.</w:t>
      </w:r>
    </w:p>
    <w:p w14:paraId="784543BD" w14:textId="56DB7A18" w:rsidR="00C733CD" w:rsidRPr="00C733CD" w:rsidRDefault="00C733CD" w:rsidP="00C733CD">
      <w:pPr>
        <w:spacing w:after="120" w:line="276" w:lineRule="auto"/>
        <w:rPr>
          <w:rFonts w:asciiTheme="minorHAnsi" w:eastAsia="Arial" w:hAnsiTheme="minorHAnsi" w:cstheme="minorHAnsi"/>
        </w:rPr>
      </w:pPr>
      <w:r w:rsidRPr="00C733CD">
        <w:rPr>
          <w:rFonts w:asciiTheme="minorHAnsi" w:eastAsia="Arial" w:hAnsiTheme="minorHAnsi" w:cstheme="minorHAnsi"/>
          <w:b/>
          <w:bCs/>
        </w:rPr>
        <w:t>Australia will likely need 32,000 more electricians in the next seven years</w:t>
      </w:r>
      <w:r w:rsidR="008202F0" w:rsidRPr="008202F0">
        <w:rPr>
          <w:rFonts w:asciiTheme="minorHAnsi" w:eastAsia="Arial" w:hAnsiTheme="minorHAnsi" w:cstheme="minorHAnsi"/>
          <w:b/>
          <w:bCs/>
        </w:rPr>
        <w:t xml:space="preserve"> and</w:t>
      </w:r>
      <w:r w:rsidR="008202F0" w:rsidRPr="008202F0">
        <w:rPr>
          <w:rFonts w:asciiTheme="minorHAnsi" w:eastAsia="Arial" w:hAnsiTheme="minorHAnsi" w:cstheme="minorHAnsi"/>
        </w:rPr>
        <w:t xml:space="preserve"> </w:t>
      </w:r>
      <w:r w:rsidR="008202F0" w:rsidRPr="008202F0">
        <w:rPr>
          <w:rStyle w:val="Strong"/>
        </w:rPr>
        <w:t>close to 2 million workers in building and engineering trades by 2050</w:t>
      </w:r>
      <w:r w:rsidR="003C2C61">
        <w:rPr>
          <w:rFonts w:asciiTheme="minorHAnsi" w:eastAsia="Arial" w:hAnsiTheme="minorHAnsi" w:cstheme="minorHAnsi"/>
          <w:b/>
          <w:bCs/>
        </w:rPr>
        <w:t xml:space="preserve">. </w:t>
      </w:r>
      <w:r w:rsidR="00F6441B" w:rsidRPr="00636E2F">
        <w:rPr>
          <w:rFonts w:asciiTheme="minorHAnsi" w:eastAsia="Arial" w:hAnsiTheme="minorHAnsi" w:cstheme="minorHAnsi"/>
        </w:rPr>
        <w:t xml:space="preserve">Preliminary modelling suggests </w:t>
      </w:r>
      <w:r w:rsidR="00F6441B">
        <w:rPr>
          <w:rFonts w:asciiTheme="minorHAnsi" w:eastAsia="Arial" w:hAnsiTheme="minorHAnsi" w:cstheme="minorHAnsi"/>
        </w:rPr>
        <w:t>s</w:t>
      </w:r>
      <w:r w:rsidR="008202F0">
        <w:rPr>
          <w:rFonts w:asciiTheme="minorHAnsi" w:eastAsia="Arial" w:hAnsiTheme="minorHAnsi" w:cstheme="minorHAnsi"/>
        </w:rPr>
        <w:t>ignificant s</w:t>
      </w:r>
      <w:r w:rsidRPr="00482240">
        <w:rPr>
          <w:rFonts w:asciiTheme="minorHAnsi" w:eastAsia="Arial" w:hAnsiTheme="minorHAnsi" w:cstheme="minorHAnsi"/>
        </w:rPr>
        <w:t>hortages of electrical, building, and engineering VET qualified trade roles are likely</w:t>
      </w:r>
      <w:r w:rsidR="008202F0">
        <w:rPr>
          <w:rFonts w:asciiTheme="minorHAnsi" w:eastAsia="Arial" w:hAnsiTheme="minorHAnsi" w:cstheme="minorHAnsi"/>
        </w:rPr>
        <w:t>, partly due to the construction required for transitioning to renewable energy, not just the growth in new technologies and industries.</w:t>
      </w:r>
      <w:r w:rsidRPr="00482240">
        <w:rPr>
          <w:rFonts w:asciiTheme="minorHAnsi" w:eastAsia="Arial" w:hAnsiTheme="minorHAnsi" w:cstheme="minorHAnsi"/>
        </w:rPr>
        <w:t xml:space="preserve"> </w:t>
      </w:r>
      <w:r w:rsidR="00DC4675">
        <w:rPr>
          <w:rFonts w:asciiTheme="minorHAnsi" w:eastAsia="Arial" w:hAnsiTheme="minorHAnsi" w:cstheme="minorHAnsi"/>
        </w:rPr>
        <w:t>The preliminary modelling also shows</w:t>
      </w:r>
      <w:r w:rsidRPr="00C733CD">
        <w:rPr>
          <w:rFonts w:asciiTheme="minorHAnsi" w:eastAsia="Arial" w:hAnsiTheme="minorHAnsi" w:cstheme="minorHAnsi"/>
        </w:rPr>
        <w:t xml:space="preserve"> </w:t>
      </w:r>
      <w:r w:rsidR="00DC4675">
        <w:rPr>
          <w:rFonts w:asciiTheme="minorHAnsi" w:eastAsia="Arial" w:hAnsiTheme="minorHAnsi" w:cstheme="minorHAnsi"/>
        </w:rPr>
        <w:t>a</w:t>
      </w:r>
      <w:r w:rsidRPr="00C733CD">
        <w:rPr>
          <w:rFonts w:asciiTheme="minorHAnsi" w:eastAsia="Arial" w:hAnsiTheme="minorHAnsi" w:cstheme="minorHAnsi"/>
        </w:rPr>
        <w:t xml:space="preserve"> steady supply of engineers is likely but there will </w:t>
      </w:r>
      <w:r w:rsidR="00012151">
        <w:rPr>
          <w:rFonts w:asciiTheme="minorHAnsi" w:eastAsia="Arial" w:hAnsiTheme="minorHAnsi" w:cstheme="minorHAnsi"/>
        </w:rPr>
        <w:t xml:space="preserve">likely </w:t>
      </w:r>
      <w:r w:rsidRPr="00C733CD">
        <w:rPr>
          <w:rFonts w:asciiTheme="minorHAnsi" w:eastAsia="Arial" w:hAnsiTheme="minorHAnsi" w:cstheme="minorHAnsi"/>
        </w:rPr>
        <w:t xml:space="preserve">be smaller shortfalls amongst </w:t>
      </w:r>
      <w:r w:rsidR="00904076">
        <w:rPr>
          <w:rFonts w:asciiTheme="minorHAnsi" w:eastAsia="Arial" w:hAnsiTheme="minorHAnsi" w:cstheme="minorHAnsi"/>
        </w:rPr>
        <w:t>some</w:t>
      </w:r>
      <w:r w:rsidRPr="00C733CD">
        <w:rPr>
          <w:rFonts w:asciiTheme="minorHAnsi" w:eastAsia="Arial" w:hAnsiTheme="minorHAnsi" w:cstheme="minorHAnsi"/>
        </w:rPr>
        <w:t xml:space="preserve"> scientists needed for the transition.</w:t>
      </w:r>
    </w:p>
    <w:p w14:paraId="1444AEBC" w14:textId="6F20DE44" w:rsidR="00C733CD" w:rsidRPr="00C733CD" w:rsidRDefault="00C733CD" w:rsidP="60F6EFC8">
      <w:pPr>
        <w:spacing w:after="120" w:line="276" w:lineRule="auto"/>
        <w:rPr>
          <w:rFonts w:asciiTheme="minorHAnsi" w:eastAsia="Arial" w:hAnsiTheme="minorHAnsi"/>
        </w:rPr>
      </w:pPr>
      <w:r w:rsidRPr="60F6EFC8">
        <w:rPr>
          <w:rFonts w:asciiTheme="minorHAnsi" w:eastAsia="Arial" w:hAnsiTheme="minorHAnsi"/>
          <w:b/>
          <w:bCs/>
        </w:rPr>
        <w:t xml:space="preserve">Regional Australia can benefit from the net zero transformation. </w:t>
      </w:r>
      <w:r w:rsidRPr="60F6EFC8">
        <w:rPr>
          <w:rFonts w:asciiTheme="minorHAnsi" w:eastAsia="Arial" w:hAnsiTheme="minorHAnsi"/>
        </w:rPr>
        <w:t xml:space="preserve">The implications of the workforce transformation at the local level will be more significant in some parts of Australia, particularly those with a </w:t>
      </w:r>
      <w:r w:rsidR="00043F4D" w:rsidRPr="60F6EFC8">
        <w:rPr>
          <w:rFonts w:asciiTheme="minorHAnsi" w:eastAsia="Arial" w:hAnsiTheme="minorHAnsi"/>
        </w:rPr>
        <w:t xml:space="preserve">relatively </w:t>
      </w:r>
      <w:r w:rsidRPr="60F6EFC8">
        <w:rPr>
          <w:rFonts w:asciiTheme="minorHAnsi" w:eastAsia="Arial" w:hAnsiTheme="minorHAnsi"/>
        </w:rPr>
        <w:t xml:space="preserve">high proportion of employment based on fossil-fuels. Overall economic growth and development provides good prospects for supporting these communities, provided there is local investment in new industries and impacted workers receive targeted training and other forms of support to transition into roles that build on their existing skills. </w:t>
      </w:r>
      <w:r w:rsidR="00DC4675">
        <w:rPr>
          <w:rFonts w:asciiTheme="minorHAnsi" w:eastAsia="Arial" w:hAnsiTheme="minorHAnsi"/>
        </w:rPr>
        <w:t>The preliminary modelling indicates t</w:t>
      </w:r>
      <w:r w:rsidRPr="60F6EFC8">
        <w:rPr>
          <w:rFonts w:asciiTheme="minorHAnsi" w:eastAsia="Arial" w:hAnsiTheme="minorHAnsi"/>
        </w:rPr>
        <w:t>here will also be new opportunities in the regions as clean energy industries emerge. For example, in Northern NSW and Eastern Victoria.</w:t>
      </w:r>
    </w:p>
    <w:p w14:paraId="29F02C8D" w14:textId="77777777" w:rsidR="00C733CD" w:rsidRPr="00C733CD" w:rsidRDefault="00C733CD" w:rsidP="00C733CD">
      <w:pPr>
        <w:spacing w:after="120" w:line="276" w:lineRule="auto"/>
        <w:rPr>
          <w:rFonts w:asciiTheme="minorHAnsi" w:hAnsiTheme="minorHAnsi" w:cstheme="minorHAnsi"/>
          <w14:numForm w14:val="lining"/>
          <w14:numSpacing w14:val="proportional"/>
        </w:rPr>
      </w:pPr>
      <w:r w:rsidRPr="00C733CD">
        <w:rPr>
          <w:rFonts w:asciiTheme="minorHAnsi" w:hAnsiTheme="minorHAnsi" w:cstheme="minorHAnsi"/>
          <w:b/>
          <w:bCs/>
          <w14:numForm w14:val="lining"/>
          <w14:numSpacing w14:val="proportional"/>
        </w:rPr>
        <w:t>Supporting workers and communities undergoing transition.</w:t>
      </w:r>
      <w:r w:rsidRPr="00C733CD">
        <w:rPr>
          <w:rFonts w:asciiTheme="minorHAnsi" w:hAnsiTheme="minorHAnsi" w:cstheme="minorHAnsi"/>
          <w14:numForm w14:val="lining"/>
          <w14:numSpacing w14:val="proportional"/>
        </w:rPr>
        <w:t xml:space="preserve"> The most positive and sustainable outcomes for workers and employers are individualised ones. Local support networks play a crucial role in this as does timing, especially for workers at different stages of their career and local support. The new Net Zero Authority will have a critical role driving consistency and coordination of these supports.</w:t>
      </w:r>
    </w:p>
    <w:p w14:paraId="7DE9F748" w14:textId="38910AC0" w:rsidR="00C733CD" w:rsidRPr="00C733CD" w:rsidRDefault="00C733CD" w:rsidP="00C733CD">
      <w:pPr>
        <w:spacing w:after="120" w:line="276" w:lineRule="auto"/>
        <w:rPr>
          <w:rFonts w:asciiTheme="minorHAnsi" w:hAnsiTheme="minorHAnsi"/>
          <w14:numForm w14:val="lining"/>
          <w14:numSpacing w14:val="proportional"/>
        </w:rPr>
      </w:pPr>
      <w:r w:rsidRPr="7AC7DC85">
        <w:rPr>
          <w:rFonts w:asciiTheme="minorHAnsi" w:hAnsiTheme="minorHAnsi"/>
          <w:b/>
          <w14:numForm w14:val="lining"/>
          <w14:numSpacing w14:val="proportional"/>
        </w:rPr>
        <w:t xml:space="preserve">A higher ambition? Australia can be a renewable energy superpower, but it will require significant effort. </w:t>
      </w:r>
      <w:r w:rsidRPr="7AC7DC85">
        <w:rPr>
          <w:rFonts w:asciiTheme="minorHAnsi" w:hAnsiTheme="minorHAnsi"/>
          <w14:numForm w14:val="lining"/>
          <w14:numSpacing w14:val="proportional"/>
        </w:rPr>
        <w:t xml:space="preserve">There is a </w:t>
      </w:r>
      <w:r w:rsidR="00EB481C">
        <w:rPr>
          <w:rFonts w:asciiTheme="minorHAnsi" w:hAnsiTheme="minorHAnsi"/>
          <w14:numForm w14:val="lining"/>
          <w14:numSpacing w14:val="proportional"/>
        </w:rPr>
        <w:t>potential</w:t>
      </w:r>
      <w:r w:rsidRPr="7AC7DC85">
        <w:rPr>
          <w:rFonts w:asciiTheme="minorHAnsi" w:hAnsiTheme="minorHAnsi"/>
          <w14:numForm w14:val="lining"/>
          <w14:numSpacing w14:val="proportional"/>
        </w:rPr>
        <w:t xml:space="preserve"> path for Australia to take even fuller advantage of decarbonisation, expanding its production of renewable energy beyond what is our current domestic requirement. This would see Australia exporting renewable energy to the world, in the form of hydrogen, as well as extending further along the minerals value chain to process and refine more iron, aluminium, and critical minerals such as lithium here in Australia. Given proper planning, this transformational change could create generations of new employment opportunities for our regions. </w:t>
      </w:r>
    </w:p>
    <w:p w14:paraId="6FE8C607" w14:textId="77777777" w:rsidR="0000330E" w:rsidRDefault="0000330E">
      <w:pPr>
        <w:rPr>
          <w:rFonts w:ascii="Arial Bold" w:hAnsi="Arial Bold"/>
          <w:b/>
          <w:bCs/>
          <w:caps/>
          <w:color w:val="6929C4" w:themeColor="accent1"/>
          <w:sz w:val="24"/>
          <w:szCs w:val="24"/>
        </w:rPr>
      </w:pPr>
      <w:r>
        <w:rPr>
          <w:rFonts w:ascii="Arial Bold" w:hAnsi="Arial Bold"/>
          <w:b/>
          <w:bCs/>
          <w:caps/>
          <w:color w:val="6929C4" w:themeColor="accent1"/>
          <w:sz w:val="24"/>
          <w:szCs w:val="24"/>
        </w:rPr>
        <w:br w:type="page"/>
      </w:r>
    </w:p>
    <w:p w14:paraId="400F5AFB" w14:textId="6FD8991D" w:rsidR="00815183" w:rsidRPr="001F39C1" w:rsidRDefault="00815183" w:rsidP="001F39C1">
      <w:pPr>
        <w:pStyle w:val="Bodycopy"/>
        <w:spacing w:before="360" w:after="120" w:line="240" w:lineRule="auto"/>
        <w:rPr>
          <w:rFonts w:ascii="Arial Bold" w:hAnsi="Arial Bold"/>
          <w:b/>
          <w:bCs/>
          <w:caps/>
          <w:color w:val="6929C4" w:themeColor="accent1"/>
          <w:sz w:val="24"/>
          <w:szCs w:val="24"/>
        </w:rPr>
      </w:pPr>
      <w:r w:rsidRPr="001F39C1">
        <w:rPr>
          <w:rFonts w:ascii="Arial Bold" w:hAnsi="Arial Bold"/>
          <w:b/>
          <w:bCs/>
          <w:caps/>
          <w:color w:val="6929C4" w:themeColor="accent1"/>
          <w:sz w:val="24"/>
          <w:szCs w:val="24"/>
        </w:rPr>
        <w:lastRenderedPageBreak/>
        <w:t>CONCLUSIONS</w:t>
      </w:r>
      <w:r w:rsidR="00001AA3" w:rsidRPr="7AC7DC85">
        <w:rPr>
          <w:rFonts w:ascii="Arial Bold" w:hAnsi="Arial Bold"/>
          <w:b/>
          <w:bCs/>
          <w:caps/>
          <w:color w:val="6929C4" w:themeColor="accent1"/>
          <w:sz w:val="24"/>
          <w:szCs w:val="24"/>
        </w:rPr>
        <w:t xml:space="preserve"> for workers</w:t>
      </w:r>
    </w:p>
    <w:p w14:paraId="4230757B" w14:textId="4DC9C3CF" w:rsidR="00815183" w:rsidRPr="001F39C1" w:rsidRDefault="00815183" w:rsidP="00001AA3">
      <w:pPr>
        <w:pStyle w:val="Bodycopy"/>
        <w:spacing w:before="120" w:after="120" w:line="276" w:lineRule="auto"/>
        <w:rPr>
          <w:rFonts w:eastAsia="Arial" w:cs="Arial"/>
        </w:rPr>
      </w:pPr>
      <w:r w:rsidRPr="001F39C1">
        <w:rPr>
          <w:rFonts w:eastAsia="Arial" w:cs="Arial"/>
        </w:rPr>
        <w:t xml:space="preserve">For the 50-year-old working today in a coal-fired power station, this report sets out a framework to guide the supports they need for the next phase of their life. </w:t>
      </w:r>
    </w:p>
    <w:p w14:paraId="5817C45A" w14:textId="6FD8991D" w:rsidR="00815183" w:rsidRPr="001F39C1" w:rsidRDefault="00815183" w:rsidP="00001AA3">
      <w:pPr>
        <w:spacing w:after="120" w:line="276" w:lineRule="auto"/>
        <w:rPr>
          <w:rFonts w:eastAsia="Arial" w:cs="Arial"/>
        </w:rPr>
      </w:pPr>
      <w:r w:rsidRPr="001F39C1">
        <w:rPr>
          <w:rFonts w:eastAsia="Arial" w:cs="Arial"/>
        </w:rPr>
        <w:t xml:space="preserve">For the 38-year-old mid-career electrician who wants to enter the VET teaching workforce or </w:t>
      </w:r>
      <w:r w:rsidR="00001AA3" w:rsidRPr="7AC7DC85">
        <w:rPr>
          <w:rFonts w:eastAsia="Arial" w:cs="Arial"/>
        </w:rPr>
        <w:t>specialise in clean energy technologies</w:t>
      </w:r>
      <w:r w:rsidRPr="001F39C1">
        <w:rPr>
          <w:rFonts w:eastAsia="Arial" w:cs="Arial"/>
        </w:rPr>
        <w:t xml:space="preserve">, this report </w:t>
      </w:r>
      <w:r w:rsidR="00001AA3" w:rsidRPr="7AC7DC85">
        <w:rPr>
          <w:rFonts w:eastAsia="Arial" w:cs="Arial"/>
        </w:rPr>
        <w:t>highlights the</w:t>
      </w:r>
      <w:r w:rsidRPr="001F39C1">
        <w:rPr>
          <w:rFonts w:eastAsia="Arial" w:cs="Arial"/>
        </w:rPr>
        <w:t xml:space="preserve"> training options, funding and incentives that should be explored.</w:t>
      </w:r>
    </w:p>
    <w:p w14:paraId="46A573B5" w14:textId="6FD8991D" w:rsidR="00001AA3" w:rsidRPr="00001AA3" w:rsidRDefault="00001AA3" w:rsidP="00001AA3">
      <w:pPr>
        <w:spacing w:after="120" w:line="276" w:lineRule="auto"/>
        <w:rPr>
          <w:rFonts w:eastAsia="Arial" w:cs="Arial"/>
        </w:rPr>
      </w:pPr>
      <w:r w:rsidRPr="7AC7DC85">
        <w:rPr>
          <w:rFonts w:eastAsia="Arial" w:cs="Arial"/>
        </w:rPr>
        <w:t>For the 22-year-old female electrical apprentice, there is recognition of the barriers she faces in the trades and explores ideas for how classrooms and worksites can become more inclusive and accessible for everyone.</w:t>
      </w:r>
    </w:p>
    <w:p w14:paraId="5454C59D" w14:textId="6FD8991D" w:rsidR="00001AA3" w:rsidRPr="00001AA3" w:rsidRDefault="00001AA3" w:rsidP="00001AA3">
      <w:pPr>
        <w:spacing w:after="120" w:line="276" w:lineRule="auto"/>
        <w:rPr>
          <w:rFonts w:eastAsia="Arial" w:cs="Arial"/>
        </w:rPr>
      </w:pPr>
      <w:r w:rsidRPr="7AC7DC85">
        <w:rPr>
          <w:rFonts w:eastAsia="Arial" w:cs="Arial"/>
        </w:rPr>
        <w:t>For the 17-year-old school leaver, we detail the rewarding, priority career pathways that will provide jobs, shape our future economy and make a difference across the clean energy value chain.</w:t>
      </w:r>
    </w:p>
    <w:p w14:paraId="2A0421C8" w14:textId="77777777" w:rsidR="002811CD" w:rsidRDefault="00001AA3" w:rsidP="00001AA3">
      <w:pPr>
        <w:spacing w:after="120" w:line="276" w:lineRule="auto"/>
        <w:rPr>
          <w:rFonts w:eastAsia="Arial" w:cs="Arial"/>
          <w:sz w:val="21"/>
          <w:szCs w:val="21"/>
        </w:rPr>
        <w:sectPr w:rsidR="002811CD" w:rsidSect="00E17EC6">
          <w:headerReference w:type="even" r:id="rId19"/>
          <w:headerReference w:type="default" r:id="rId20"/>
          <w:footerReference w:type="even" r:id="rId21"/>
          <w:footerReference w:type="default" r:id="rId22"/>
          <w:headerReference w:type="first" r:id="rId23"/>
          <w:footerReference w:type="first" r:id="rId24"/>
          <w:endnotePr>
            <w:numFmt w:val="decimal"/>
          </w:endnotePr>
          <w:type w:val="continuous"/>
          <w:pgSz w:w="11906" w:h="16838"/>
          <w:pgMar w:top="1440" w:right="1440" w:bottom="1440" w:left="1440" w:header="0" w:footer="709" w:gutter="0"/>
          <w:cols w:space="708"/>
          <w:docGrid w:linePitch="360"/>
        </w:sectPr>
      </w:pPr>
      <w:r w:rsidRPr="7AC7DC85">
        <w:rPr>
          <w:rFonts w:eastAsia="Arial" w:cs="Arial"/>
        </w:rPr>
        <w:t>For the primary school student in regional Australia still ten years from full-time working life, there is a commitment that their schooling and post-school education matters – not just for them and a more equal Australia, but for realising the economic possibilities of a decarbonised economy</w:t>
      </w:r>
      <w:r w:rsidRPr="7AC7DC85">
        <w:rPr>
          <w:rFonts w:eastAsia="Arial" w:cs="Arial"/>
          <w:sz w:val="21"/>
          <w:szCs w:val="21"/>
        </w:rPr>
        <w:t>.</w:t>
      </w:r>
    </w:p>
    <w:p w14:paraId="6B628862" w14:textId="0DE763F9" w:rsidR="00E51FBA" w:rsidRPr="00E5087D" w:rsidRDefault="00E51FBA" w:rsidP="00815183">
      <w:pPr>
        <w:spacing w:line="276" w:lineRule="auto"/>
      </w:pPr>
      <w:r w:rsidRPr="00E5087D">
        <w:br w:type="page"/>
      </w:r>
    </w:p>
    <w:p w14:paraId="2739320E" w14:textId="73F8ECF0" w:rsidR="0033461A" w:rsidRDefault="00462E4E" w:rsidP="0033461A">
      <w:pPr>
        <w:pStyle w:val="Bodycopy"/>
      </w:pPr>
      <w:r>
        <w:rPr>
          <w:noProof/>
        </w:rPr>
        <w:lastRenderedPageBreak/>
        <w:drawing>
          <wp:anchor distT="0" distB="0" distL="114300" distR="114300" simplePos="0" relativeHeight="251660388" behindDoc="0" locked="0" layoutInCell="1" allowOverlap="1" wp14:anchorId="765F8A3E" wp14:editId="6361F238">
            <wp:simplePos x="0" y="0"/>
            <wp:positionH relativeFrom="column">
              <wp:posOffset>-924156</wp:posOffset>
            </wp:positionH>
            <wp:positionV relativeFrom="paragraph">
              <wp:posOffset>-919167</wp:posOffset>
            </wp:positionV>
            <wp:extent cx="7559675" cy="5431790"/>
            <wp:effectExtent l="0" t="0" r="3175" b="0"/>
            <wp:wrapNone/>
            <wp:docPr id="37688971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89716" name="Picture 2">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anchor>
        </w:drawing>
      </w:r>
    </w:p>
    <w:p w14:paraId="0B946142" w14:textId="567FABD2" w:rsidR="0033461A" w:rsidRPr="00E51FBA" w:rsidRDefault="0033461A" w:rsidP="0033461A">
      <w:pPr>
        <w:pStyle w:val="Heading1"/>
        <w:spacing w:before="8000"/>
        <w:ind w:left="283" w:right="283"/>
      </w:pPr>
      <w:bookmarkStart w:id="7" w:name="_Toc146210829"/>
      <w:bookmarkStart w:id="8" w:name="_Toc146892659"/>
      <w:r w:rsidRPr="0033461A">
        <w:rPr>
          <w:b w:val="0"/>
          <w:bCs/>
          <w:noProof/>
          <w:sz w:val="72"/>
          <w:szCs w:val="72"/>
        </w:rPr>
        <mc:AlternateContent>
          <mc:Choice Requires="wps">
            <w:drawing>
              <wp:anchor distT="0" distB="0" distL="114300" distR="114300" simplePos="0" relativeHeight="251658248" behindDoc="1" locked="0" layoutInCell="1" allowOverlap="1" wp14:anchorId="5FD3371A" wp14:editId="4FB1D6D0">
                <wp:simplePos x="0" y="0"/>
                <wp:positionH relativeFrom="page">
                  <wp:align>left</wp:align>
                </wp:positionH>
                <wp:positionV relativeFrom="page">
                  <wp:align>bottom</wp:align>
                </wp:positionV>
                <wp:extent cx="7559675" cy="5259705"/>
                <wp:effectExtent l="0" t="0" r="3175" b="0"/>
                <wp:wrapNone/>
                <wp:docPr id="5" name="Freeform: Shap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2DE5A"/>
                        </a:solidFill>
                      </wps:spPr>
                      <wps:txbx>
                        <w:txbxContent>
                          <w:p w14:paraId="02270EC2" w14:textId="77777777" w:rsidR="00E51FBA" w:rsidRDefault="00E51FBA" w:rsidP="00E51FBA">
                            <w:pPr>
                              <w:jc w:val="center"/>
                            </w:pPr>
                          </w:p>
                        </w:txbxContent>
                      </wps:txbx>
                      <wps:bodyPr wrap="square" lIns="0" tIns="0" rIns="0" bIns="0" rtlCol="0">
                        <a:prstTxWarp prst="textNoShape">
                          <a:avLst/>
                        </a:prstTxWarp>
                        <a:noAutofit/>
                      </wps:bodyPr>
                    </wps:wsp>
                  </a:graphicData>
                </a:graphic>
              </wp:anchor>
            </w:drawing>
          </mc:Choice>
          <mc:Fallback>
            <w:pict>
              <v:shape w14:anchorId="5FD3371A" id="Freeform: Shape 5" o:spid="_x0000_s1026" alt="&quot;&quot;" style="position:absolute;left:0;text-align:left;margin-left:0;margin-top:0;width:595.25pt;height:414.15pt;z-index:-251658232;visibility:visible;mso-wrap-style:square;mso-wrap-distance-left:9pt;mso-wrap-distance-top:0;mso-wrap-distance-right:9pt;mso-wrap-distance-bottom:0;mso-position-horizontal:left;mso-position-horizontal-relative:page;mso-position-vertical:bottom;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" adj="-11796480,,5400" path="m7559992,l,,,5259603r7559992,l7559992,xe" fillcolor="#d2de5a" stroked="f">
                <v:stroke joinstyle="miter"/>
                <v:formulas/>
                <v:path arrowok="t" o:connecttype="custom" textboxrect="0,0,7560309,5259705"/>
                <v:textbox inset="0,0,0,0">
                  <w:txbxContent>
                    <w:p w14:paraId="02270EC2" w14:textId="77777777" w:rsidR="00E51FBA" w:rsidRDefault="00E51FBA" w:rsidP="00E51FBA">
                      <w:pPr>
                        <w:jc w:val="center"/>
                      </w:pPr>
                    </w:p>
                  </w:txbxContent>
                </v:textbox>
                <w10:wrap anchorx="page" anchory="page"/>
              </v:shape>
            </w:pict>
          </mc:Fallback>
        </mc:AlternateContent>
      </w:r>
      <w:r w:rsidRPr="0033461A">
        <w:rPr>
          <w:b w:val="0"/>
          <w:bCs/>
          <w:sz w:val="72"/>
          <w:szCs w:val="72"/>
        </w:rPr>
        <w:t>Chapter 1:</w:t>
      </w:r>
      <w:r w:rsidRPr="00B55BE3">
        <w:br/>
      </w:r>
      <w:r w:rsidRPr="0033461A">
        <w:rPr>
          <w:sz w:val="92"/>
          <w:szCs w:val="92"/>
        </w:rPr>
        <w:t>The study</w:t>
      </w:r>
      <w:bookmarkEnd w:id="7"/>
      <w:bookmarkEnd w:id="8"/>
    </w:p>
    <w:p w14:paraId="5663D653" w14:textId="34AD9FBF" w:rsidR="0033461A" w:rsidRPr="00BB2E09" w:rsidRDefault="0033461A" w:rsidP="0033461A">
      <w:pPr>
        <w:pStyle w:val="BodyText"/>
        <w:spacing w:before="509"/>
        <w:ind w:left="283" w:right="283"/>
        <w:rPr>
          <w:lang w:val="en-AU"/>
          <w14:numForm w14:val="lining"/>
          <w14:numSpacing w14:val="proportional"/>
        </w:rPr>
      </w:pPr>
      <w:r w:rsidRPr="00BB2E09">
        <w:rPr>
          <w:lang w:val="en-AU"/>
          <w14:numForm w14:val="lining"/>
          <w14:numSpacing w14:val="proportional"/>
        </w:rPr>
        <w:t>Provides the study’s purpose, approach and contextual information.</w:t>
      </w:r>
      <w:r w:rsidRPr="00BB2E09">
        <w:rPr>
          <w:spacing w:val="-6"/>
          <w:lang w:val="en-AU"/>
          <w14:numForm w14:val="lining"/>
          <w14:numSpacing w14:val="proportional"/>
        </w:rPr>
        <w:t xml:space="preserve"> </w:t>
      </w:r>
      <w:r w:rsidRPr="00BB2E09">
        <w:rPr>
          <w:lang w:val="en-AU"/>
          <w14:numForm w14:val="lining"/>
          <w14:numSpacing w14:val="proportional"/>
        </w:rPr>
        <w:t>Outlines</w:t>
      </w:r>
      <w:r w:rsidRPr="00BB2E09">
        <w:rPr>
          <w:spacing w:val="-6"/>
          <w:lang w:val="en-AU"/>
          <w14:numForm w14:val="lining"/>
          <w14:numSpacing w14:val="proportional"/>
        </w:rPr>
        <w:t xml:space="preserve"> </w:t>
      </w:r>
      <w:r w:rsidRPr="00BB2E09">
        <w:rPr>
          <w:lang w:val="en-AU"/>
          <w14:numForm w14:val="lining"/>
          <w14:numSpacing w14:val="proportional"/>
        </w:rPr>
        <w:t>the</w:t>
      </w:r>
      <w:r w:rsidRPr="00BB2E09">
        <w:rPr>
          <w:spacing w:val="-6"/>
          <w:lang w:val="en-AU"/>
          <w14:numForm w14:val="lining"/>
          <w14:numSpacing w14:val="proportional"/>
        </w:rPr>
        <w:t xml:space="preserve"> </w:t>
      </w:r>
      <w:r w:rsidRPr="00BB2E09">
        <w:rPr>
          <w:lang w:val="en-AU"/>
          <w14:numForm w14:val="lining"/>
          <w14:numSpacing w14:val="proportional"/>
        </w:rPr>
        <w:t>domestic</w:t>
      </w:r>
      <w:r w:rsidRPr="00BB2E09">
        <w:rPr>
          <w:spacing w:val="-6"/>
          <w:lang w:val="en-AU"/>
          <w14:numForm w14:val="lining"/>
          <w14:numSpacing w14:val="proportional"/>
        </w:rPr>
        <w:t xml:space="preserve"> </w:t>
      </w:r>
      <w:r w:rsidRPr="00BB2E09">
        <w:rPr>
          <w:lang w:val="en-AU"/>
          <w14:numForm w14:val="lining"/>
          <w14:numSpacing w14:val="proportional"/>
        </w:rPr>
        <w:t>and</w:t>
      </w:r>
      <w:r w:rsidRPr="00BB2E09">
        <w:rPr>
          <w:spacing w:val="-6"/>
          <w:lang w:val="en-AU"/>
          <w14:numForm w14:val="lining"/>
          <w14:numSpacing w14:val="proportional"/>
        </w:rPr>
        <w:t xml:space="preserve"> </w:t>
      </w:r>
      <w:r w:rsidRPr="00BB2E09">
        <w:rPr>
          <w:lang w:val="en-AU"/>
          <w14:numForm w14:val="lining"/>
          <w14:numSpacing w14:val="proportional"/>
        </w:rPr>
        <w:t>international</w:t>
      </w:r>
      <w:r w:rsidRPr="00BB2E09">
        <w:rPr>
          <w:spacing w:val="-6"/>
          <w:lang w:val="en-AU"/>
          <w14:numForm w14:val="lining"/>
          <w14:numSpacing w14:val="proportional"/>
        </w:rPr>
        <w:t xml:space="preserve"> </w:t>
      </w:r>
      <w:r w:rsidRPr="00BB2E09">
        <w:rPr>
          <w:lang w:val="en-AU"/>
          <w14:numForm w14:val="lining"/>
          <w14:numSpacing w14:val="proportional"/>
        </w:rPr>
        <w:t>policies driving the energy transition.</w:t>
      </w:r>
    </w:p>
    <w:p w14:paraId="123082AE" w14:textId="64F64BFA" w:rsidR="00E51FBA" w:rsidRPr="00E5087D" w:rsidRDefault="00E51FBA">
      <w:r w:rsidRPr="00E5087D">
        <w:rPr>
          <w:noProof/>
        </w:rPr>
        <mc:AlternateContent>
          <mc:Choice Requires="wps">
            <w:drawing>
              <wp:anchor distT="0" distB="0" distL="114300" distR="114300" simplePos="0" relativeHeight="251658246" behindDoc="0" locked="0" layoutInCell="1" allowOverlap="1" wp14:anchorId="5CC44FD9" wp14:editId="593332C7">
                <wp:simplePos x="0" y="0"/>
                <wp:positionH relativeFrom="column">
                  <wp:posOffset>-914400</wp:posOffset>
                </wp:positionH>
                <wp:positionV relativeFrom="page">
                  <wp:posOffset>10850880</wp:posOffset>
                </wp:positionV>
                <wp:extent cx="7559675" cy="5259705"/>
                <wp:effectExtent l="0" t="0" r="3175" b="0"/>
                <wp:wrapNone/>
                <wp:docPr id="3"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2DE5A"/>
                        </a:solidFill>
                      </wps:spPr>
                      <wps:txbx>
                        <w:txbxContent>
                          <w:p w14:paraId="38DC003D" w14:textId="77777777" w:rsidR="00E51FBA" w:rsidRPr="002F7925" w:rsidRDefault="00E51FBA" w:rsidP="00E51FBA">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6B01E439" w14:textId="77777777" w:rsidR="00E51FBA" w:rsidRPr="002F7925" w:rsidRDefault="00E51FBA" w:rsidP="00E51FBA">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429D4429" w14:textId="77777777" w:rsidR="00E51FBA" w:rsidRPr="002F7925" w:rsidRDefault="00E51FBA" w:rsidP="00E51FBA">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264CB0A3" w14:textId="77777777" w:rsidR="00E51FBA" w:rsidRDefault="00E51FBA" w:rsidP="00E51FBA">
                            <w:pPr>
                              <w:jc w:val="center"/>
                            </w:pPr>
                          </w:p>
                        </w:txbxContent>
                      </wps:txbx>
                      <wps:bodyPr wrap="square" lIns="0" tIns="0" rIns="0" bIns="0" rtlCol="0">
                        <a:prstTxWarp prst="textNoShape">
                          <a:avLst/>
                        </a:prstTxWarp>
                        <a:noAutofit/>
                      </wps:bodyPr>
                    </wps:wsp>
                  </a:graphicData>
                </a:graphic>
              </wp:anchor>
            </w:drawing>
          </mc:Choice>
          <mc:Fallback>
            <w:pict>
              <v:shape w14:anchorId="5CC44FD9" id="Freeform: Shape 3" o:spid="_x0000_s1027" alt="&quot;&quot;" style="position:absolute;margin-left:-1in;margin-top:854.4pt;width:595.25pt;height:414.15pt;z-index:251658246;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" adj="-11796480,,5400" path="m7559992,l,,,5259603r7559992,l7559992,xe" fillcolor="#d2de5a" stroked="f">
                <v:stroke joinstyle="miter"/>
                <v:formulas/>
                <v:path arrowok="t" o:connecttype="custom" textboxrect="0,0,7560309,5259705"/>
                <v:textbox inset="0,0,0,0">
                  <w:txbxContent>
                    <w:p w14:paraId="38DC003D" w14:textId="77777777" w:rsidR="00E51FBA" w:rsidRPr="002F7925" w:rsidRDefault="00E51FBA" w:rsidP="00E51FBA">
                      <w:pPr>
                        <w:spacing w:before="1200" w:after="0" w:line="240" w:lineRule="auto"/>
                        <w:ind w:left="1417"/>
                        <w:rPr>
                          <w:spacing w:val="-5"/>
                          <w:sz w:val="72"/>
                          <w14:numForm w14:val="lining"/>
                          <w14:numSpacing w14:val="proportional"/>
                        </w:rPr>
                      </w:pPr>
                      <w:r w:rsidRPr="002F7925">
                        <w:rPr>
                          <w:sz w:val="72"/>
                          <w14:numForm w14:val="lining"/>
                          <w14:numSpacing w14:val="proportional"/>
                        </w:rPr>
                        <w:t xml:space="preserve">Chapter </w:t>
                      </w:r>
                      <w:r w:rsidRPr="002F7925">
                        <w:rPr>
                          <w:spacing w:val="-5"/>
                          <w:sz w:val="72"/>
                          <w14:numForm w14:val="lining"/>
                          <w14:numSpacing w14:val="proportional"/>
                        </w:rPr>
                        <w:t>1</w:t>
                      </w:r>
                    </w:p>
                    <w:p w14:paraId="6B01E439" w14:textId="77777777" w:rsidR="00E51FBA" w:rsidRPr="002F7925" w:rsidRDefault="00E51FBA" w:rsidP="00E51FBA">
                      <w:pPr>
                        <w:spacing w:after="0" w:line="240" w:lineRule="auto"/>
                        <w:ind w:left="1417"/>
                        <w:rPr>
                          <w:b/>
                          <w:bCs/>
                          <w:sz w:val="92"/>
                          <w:szCs w:val="92"/>
                          <w14:numForm w14:val="lining"/>
                          <w14:numSpacing w14:val="proportional"/>
                        </w:rPr>
                      </w:pPr>
                      <w:r w:rsidRPr="002F7925">
                        <w:rPr>
                          <w:b/>
                          <w:bCs/>
                          <w:sz w:val="92"/>
                          <w:szCs w:val="92"/>
                          <w14:numForm w14:val="lining"/>
                          <w14:numSpacing w14:val="proportional"/>
                        </w:rPr>
                        <w:t>The</w:t>
                      </w:r>
                      <w:r w:rsidRPr="002F7925">
                        <w:rPr>
                          <w:b/>
                          <w:bCs/>
                          <w:spacing w:val="-2"/>
                          <w:sz w:val="92"/>
                          <w:szCs w:val="92"/>
                          <w14:numForm w14:val="lining"/>
                          <w14:numSpacing w14:val="proportional"/>
                        </w:rPr>
                        <w:t xml:space="preserve"> study</w:t>
                      </w:r>
                    </w:p>
                    <w:p w14:paraId="429D4429" w14:textId="77777777" w:rsidR="00E51FBA" w:rsidRPr="002F7925" w:rsidRDefault="00E51FBA" w:rsidP="00E51FBA">
                      <w:pPr>
                        <w:pStyle w:val="BodyText"/>
                        <w:spacing w:before="509"/>
                        <w:ind w:left="1417"/>
                        <w:rPr>
                          <w14:numForm w14:val="lining"/>
                          <w14:numSpacing w14:val="proportional"/>
                        </w:rPr>
                      </w:pPr>
                      <w:r w:rsidRPr="002F7925">
                        <w:rPr>
                          <w14:numForm w14:val="lining"/>
                          <w14:numSpacing w14:val="proportional"/>
                        </w:rPr>
                        <w:t>Provides the study’s purpose, approach and contextual information.</w:t>
                      </w:r>
                      <w:r w:rsidRPr="002F7925">
                        <w:rPr>
                          <w:spacing w:val="-6"/>
                          <w14:numForm w14:val="lining"/>
                          <w14:numSpacing w14:val="proportional"/>
                        </w:rPr>
                        <w:t xml:space="preserve"> </w:t>
                      </w:r>
                      <w:r w:rsidRPr="002F7925">
                        <w:rPr>
                          <w14:numForm w14:val="lining"/>
                          <w14:numSpacing w14:val="proportional"/>
                        </w:rPr>
                        <w:t>Outlines</w:t>
                      </w:r>
                      <w:r w:rsidRPr="002F7925">
                        <w:rPr>
                          <w:spacing w:val="-6"/>
                          <w14:numForm w14:val="lining"/>
                          <w14:numSpacing w14:val="proportional"/>
                        </w:rPr>
                        <w:t xml:space="preserve"> </w:t>
                      </w:r>
                      <w:r w:rsidRPr="002F7925">
                        <w:rPr>
                          <w14:numForm w14:val="lining"/>
                          <w14:numSpacing w14:val="proportional"/>
                        </w:rPr>
                        <w:t>the</w:t>
                      </w:r>
                      <w:r w:rsidRPr="002F7925">
                        <w:rPr>
                          <w:spacing w:val="-6"/>
                          <w14:numForm w14:val="lining"/>
                          <w14:numSpacing w14:val="proportional"/>
                        </w:rPr>
                        <w:t xml:space="preserve"> </w:t>
                      </w:r>
                      <w:r w:rsidRPr="002F7925">
                        <w:rPr>
                          <w14:numForm w14:val="lining"/>
                          <w14:numSpacing w14:val="proportional"/>
                        </w:rPr>
                        <w:t>domestic</w:t>
                      </w:r>
                      <w:r w:rsidRPr="002F7925">
                        <w:rPr>
                          <w:spacing w:val="-6"/>
                          <w14:numForm w14:val="lining"/>
                          <w14:numSpacing w14:val="proportional"/>
                        </w:rPr>
                        <w:t xml:space="preserve"> </w:t>
                      </w:r>
                      <w:r w:rsidRPr="002F7925">
                        <w:rPr>
                          <w14:numForm w14:val="lining"/>
                          <w14:numSpacing w14:val="proportional"/>
                        </w:rPr>
                        <w:t>and</w:t>
                      </w:r>
                      <w:r w:rsidRPr="002F7925">
                        <w:rPr>
                          <w:spacing w:val="-6"/>
                          <w14:numForm w14:val="lining"/>
                          <w14:numSpacing w14:val="proportional"/>
                        </w:rPr>
                        <w:t xml:space="preserve"> </w:t>
                      </w:r>
                      <w:r w:rsidRPr="002F7925">
                        <w:rPr>
                          <w14:numForm w14:val="lining"/>
                          <w14:numSpacing w14:val="proportional"/>
                        </w:rPr>
                        <w:t>international</w:t>
                      </w:r>
                      <w:r w:rsidRPr="002F7925">
                        <w:rPr>
                          <w:spacing w:val="-6"/>
                          <w14:numForm w14:val="lining"/>
                          <w14:numSpacing w14:val="proportional"/>
                        </w:rPr>
                        <w:t xml:space="preserve"> </w:t>
                      </w:r>
                      <w:r w:rsidRPr="002F7925">
                        <w:rPr>
                          <w14:numForm w14:val="lining"/>
                          <w14:numSpacing w14:val="proportional"/>
                        </w:rPr>
                        <w:t>policies driving the energy transition.</w:t>
                      </w:r>
                    </w:p>
                    <w:p w14:paraId="264CB0A3" w14:textId="77777777" w:rsidR="00E51FBA" w:rsidRDefault="00E51FBA" w:rsidP="00E51FBA">
                      <w:pPr>
                        <w:jc w:val="center"/>
                      </w:pPr>
                    </w:p>
                  </w:txbxContent>
                </v:textbox>
                <w10:wrap anchory="page"/>
              </v:shape>
            </w:pict>
          </mc:Fallback>
        </mc:AlternateContent>
      </w:r>
      <w:r w:rsidRPr="00E5087D">
        <w:br w:type="page"/>
      </w:r>
    </w:p>
    <w:p w14:paraId="70C9478A" w14:textId="77777777" w:rsidR="00E51FBA" w:rsidRDefault="00E51FBA" w:rsidP="00E51FBA">
      <w:pPr>
        <w:pStyle w:val="Heading2"/>
        <w:rPr>
          <w:b w:val="0"/>
          <w:bCs/>
        </w:rPr>
      </w:pPr>
      <w:bookmarkStart w:id="9" w:name="_Toc141863818"/>
      <w:bookmarkStart w:id="10" w:name="_Toc144458470"/>
      <w:bookmarkStart w:id="11" w:name="_Toc146210830"/>
      <w:bookmarkStart w:id="12" w:name="_Toc146892660"/>
      <w:r w:rsidRPr="00E5087D">
        <w:lastRenderedPageBreak/>
        <w:t>1</w:t>
      </w:r>
      <w:r w:rsidRPr="00E5087D">
        <w:rPr>
          <w:smallCaps/>
        </w:rPr>
        <w:t>a</w:t>
      </w:r>
      <w:r w:rsidRPr="00E5087D">
        <w:t xml:space="preserve">. </w:t>
      </w:r>
      <w:r w:rsidRPr="00E5087D">
        <w:rPr>
          <w:b w:val="0"/>
          <w:bCs/>
        </w:rPr>
        <w:t>Background</w:t>
      </w:r>
      <w:bookmarkEnd w:id="9"/>
      <w:bookmarkEnd w:id="10"/>
      <w:bookmarkEnd w:id="11"/>
      <w:bookmarkEnd w:id="12"/>
    </w:p>
    <w:p w14:paraId="74CA7D14" w14:textId="77777777" w:rsidR="00E51FBA" w:rsidRPr="00E5087D" w:rsidRDefault="00E51FBA" w:rsidP="00E51FBA">
      <w:pPr>
        <w:pStyle w:val="Heading3"/>
      </w:pPr>
      <w:bookmarkStart w:id="13" w:name="_Toc144458471"/>
      <w:bookmarkStart w:id="14" w:name="_Toc141863819"/>
      <w:r w:rsidRPr="00E5087D">
        <w:t>Purpose of the study</w:t>
      </w:r>
      <w:bookmarkEnd w:id="13"/>
      <w:r w:rsidRPr="00E5087D">
        <w:t xml:space="preserve"> </w:t>
      </w:r>
      <w:bookmarkEnd w:id="14"/>
    </w:p>
    <w:p w14:paraId="172D6387" w14:textId="77777777" w:rsidR="00E51FBA" w:rsidRPr="00E5087D" w:rsidRDefault="00E51FBA" w:rsidP="00E51FBA">
      <w:pPr>
        <w:pStyle w:val="Bodycopy"/>
        <w:spacing w:before="120" w:after="120" w:line="276" w:lineRule="auto"/>
        <w:rPr>
          <w14:ligatures w14:val="standard"/>
          <w14:numForm w14:val="lining"/>
          <w14:numSpacing w14:val="proportional"/>
        </w:rPr>
      </w:pPr>
      <w:r w:rsidRPr="00E5087D">
        <w:rPr>
          <w14:ligatures w14:val="standard"/>
          <w14:numForm w14:val="lining"/>
          <w14:numSpacing w14:val="proportional"/>
        </w:rPr>
        <w:t>Australia is reshaping the way we generate, use and export our energy. Significant investments in clean energy generation and the electrification of our houses, vehicles and industries will help reduce emissions and cut power costs.</w:t>
      </w:r>
    </w:p>
    <w:p w14:paraId="434FDDE0" w14:textId="77777777" w:rsidR="00E51FBA" w:rsidRPr="00E5087D" w:rsidRDefault="00E51FBA" w:rsidP="00E51FBA">
      <w:pPr>
        <w:pStyle w:val="Bodycopy"/>
        <w:spacing w:after="120" w:line="276" w:lineRule="auto"/>
        <w:rPr>
          <w14:ligatures w14:val="standard"/>
          <w14:numForm w14:val="lining"/>
          <w14:numSpacing w14:val="proportional"/>
        </w:rPr>
      </w:pPr>
      <w:r w:rsidRPr="00E5087D">
        <w:rPr>
          <w14:ligatures w14:val="standard"/>
          <w14:numForm w14:val="lining"/>
          <w14:numSpacing w14:val="proportional"/>
        </w:rPr>
        <w:t xml:space="preserve">However, this transition will only be possible with a workforce that is equipped with the right skills. New technologies mean new jobs, new skills and new industries. This report assesses the who, what, when, where and how of meeting the growing demand for clean energy skills. Just like any other element of the energy transition, our investment in workforce and skills </w:t>
      </w:r>
      <w:r w:rsidRPr="00E5087D">
        <w:rPr>
          <w14:numForm w14:val="lining"/>
          <w14:numSpacing w14:val="proportional"/>
        </w:rPr>
        <w:t xml:space="preserve">development </w:t>
      </w:r>
      <w:r w:rsidRPr="00E5087D">
        <w:rPr>
          <w14:ligatures w14:val="standard"/>
          <w14:numForm w14:val="lining"/>
          <w14:numSpacing w14:val="proportional"/>
        </w:rPr>
        <w:t xml:space="preserve">will take time and proper planning. </w:t>
      </w:r>
    </w:p>
    <w:p w14:paraId="69FFBE2D" w14:textId="21268756" w:rsidR="00E51FBA" w:rsidRPr="00E5087D" w:rsidRDefault="00E51FBA" w:rsidP="00E51FBA">
      <w:pPr>
        <w:pStyle w:val="Bodycopy"/>
        <w:spacing w:after="120" w:line="276" w:lineRule="auto"/>
        <w:rPr>
          <w14:numForm w14:val="lining"/>
          <w14:numSpacing w14:val="proportional"/>
        </w:rPr>
      </w:pPr>
      <w:r w:rsidRPr="00E5087D">
        <w:rPr>
          <w14:ligatures w14:val="standard"/>
          <w14:numForm w14:val="lining"/>
          <w14:numSpacing w14:val="proportional"/>
        </w:rPr>
        <w:t>Coordination will also be needed across education, training, migration and industry, which has proved challenging to this point. This independent report initiates these efforts by offering new evidence, data and insights to inform the Australian Government’s decisions about the future clean energy workforce</w:t>
      </w:r>
      <w:r w:rsidR="00324545">
        <w:rPr>
          <w14:ligatures w14:val="standard"/>
          <w14:numForm w14:val="lining"/>
          <w14:numSpacing w14:val="proportional"/>
        </w:rPr>
        <w:t>.</w:t>
      </w:r>
    </w:p>
    <w:p w14:paraId="132FC274" w14:textId="77777777" w:rsidR="00E51FBA" w:rsidRPr="00E5087D" w:rsidRDefault="00E51FBA" w:rsidP="002A06B9">
      <w:pPr>
        <w:pStyle w:val="Heading4"/>
        <w:spacing w:before="360" w:after="120"/>
      </w:pPr>
      <w:r w:rsidRPr="00E5087D">
        <w:t>Scope of this study</w:t>
      </w:r>
    </w:p>
    <w:p w14:paraId="2A43AA84" w14:textId="369109F3" w:rsidR="00E51FBA" w:rsidRPr="00E5087D" w:rsidRDefault="00E51FBA" w:rsidP="00E51FBA">
      <w:pPr>
        <w:pStyle w:val="Bodycopy"/>
        <w:spacing w:after="120" w:line="276" w:lineRule="auto"/>
        <w:rPr>
          <w14:numForm w14:val="lining"/>
          <w14:numSpacing w14:val="proportional"/>
        </w:rPr>
      </w:pPr>
      <w:r w:rsidRPr="00E5087D">
        <w:rPr>
          <w14:numForm w14:val="lining"/>
          <w14:numSpacing w14:val="proportional"/>
        </w:rPr>
        <w:t>The final Terms of Reference</w:t>
      </w:r>
      <w:r w:rsidR="00733CB9">
        <w:rPr>
          <w14:numForm w14:val="lining"/>
          <w14:numSpacing w14:val="proportional"/>
        </w:rPr>
        <w:t xml:space="preserve"> (Figure 1</w:t>
      </w:r>
      <w:r w:rsidR="00FC23ED">
        <w:rPr>
          <w14:numForm w14:val="lining"/>
          <w14:numSpacing w14:val="proportional"/>
        </w:rPr>
        <w:t>.1</w:t>
      </w:r>
      <w:r w:rsidR="00733CB9">
        <w:rPr>
          <w14:numForm w14:val="lining"/>
          <w14:numSpacing w14:val="proportional"/>
        </w:rPr>
        <w:t>)</w:t>
      </w:r>
      <w:r w:rsidRPr="00E5087D">
        <w:rPr>
          <w14:numForm w14:val="lining"/>
          <w14:numSpacing w14:val="proportional"/>
        </w:rPr>
        <w:t xml:space="preserve"> for the study were published on 4 April 2023 and incorporate feedback from state and territory governments, industry, unions, and the education and training sector. Our mandate was to:</w:t>
      </w:r>
    </w:p>
    <w:p w14:paraId="00F163A5" w14:textId="77777777" w:rsidR="00E51FBA" w:rsidRPr="00E5087D" w:rsidRDefault="00E51FBA" w:rsidP="00F25595">
      <w:pPr>
        <w:pStyle w:val="Bodycopy"/>
        <w:numPr>
          <w:ilvl w:val="0"/>
          <w:numId w:val="2"/>
        </w:numPr>
        <w:spacing w:after="120" w:line="276" w:lineRule="auto"/>
        <w:ind w:left="709"/>
        <w:rPr>
          <w14:numForm w14:val="lining"/>
          <w14:numSpacing w14:val="proportional"/>
        </w:rPr>
      </w:pPr>
      <w:r w:rsidRPr="00E5087D">
        <w:rPr>
          <w14:numForm w14:val="lining"/>
          <w14:numSpacing w14:val="proportional"/>
        </w:rPr>
        <w:t xml:space="preserve">help clarify what jobs and industries make up our clean energy workforce </w:t>
      </w:r>
    </w:p>
    <w:p w14:paraId="478874AD" w14:textId="77777777" w:rsidR="00E51FBA" w:rsidRPr="00E5087D" w:rsidRDefault="00E51FBA" w:rsidP="00F25595">
      <w:pPr>
        <w:pStyle w:val="Bodycopy"/>
        <w:numPr>
          <w:ilvl w:val="0"/>
          <w:numId w:val="2"/>
        </w:numPr>
        <w:spacing w:after="120" w:line="276" w:lineRule="auto"/>
        <w:ind w:left="709"/>
        <w:rPr>
          <w14:numForm w14:val="lining"/>
          <w14:numSpacing w14:val="proportional"/>
        </w:rPr>
      </w:pPr>
      <w:r w:rsidRPr="00E5087D">
        <w:rPr>
          <w14:numForm w14:val="lining"/>
          <w14:numSpacing w14:val="proportional"/>
        </w:rPr>
        <w:t xml:space="preserve">understand how different transition scenarios affect future workforce needs </w:t>
      </w:r>
    </w:p>
    <w:p w14:paraId="58F0F27B" w14:textId="02B10271" w:rsidR="00E51FBA" w:rsidRPr="00E5087D" w:rsidRDefault="00E51FBA" w:rsidP="00F25595">
      <w:pPr>
        <w:pStyle w:val="Bodycopy"/>
        <w:numPr>
          <w:ilvl w:val="0"/>
          <w:numId w:val="2"/>
        </w:numPr>
        <w:spacing w:after="120" w:line="276" w:lineRule="auto"/>
        <w:ind w:left="709"/>
        <w:rPr>
          <w14:numForm w14:val="lining"/>
          <w14:numSpacing w14:val="proportional"/>
        </w:rPr>
      </w:pPr>
      <w:r w:rsidRPr="00E5087D">
        <w:rPr>
          <w14:numForm w14:val="lining"/>
          <w14:numSpacing w14:val="proportional"/>
        </w:rPr>
        <w:t xml:space="preserve">explore how the workforce opportunities created by clean energy can be shared across regions and with First Nations </w:t>
      </w:r>
      <w:r w:rsidR="00AB7909">
        <w:rPr>
          <w14:numForm w14:val="lining"/>
          <w14:numSpacing w14:val="proportional"/>
        </w:rPr>
        <w:t>people</w:t>
      </w:r>
      <w:r w:rsidRPr="00E5087D">
        <w:rPr>
          <w14:numForm w14:val="lining"/>
          <w14:numSpacing w14:val="proportional"/>
        </w:rPr>
        <w:t xml:space="preserve">, women, people with disability and Australians from culturally and linguistically diverse </w:t>
      </w:r>
      <w:r w:rsidR="00B95170">
        <w:rPr>
          <w14:numForm w14:val="lining"/>
          <w14:numSpacing w14:val="proportional"/>
        </w:rPr>
        <w:t>(CALD)</w:t>
      </w:r>
      <w:r w:rsidRPr="00E5087D">
        <w:rPr>
          <w14:numForm w14:val="lining"/>
          <w14:numSpacing w14:val="proportional"/>
        </w:rPr>
        <w:t xml:space="preserve"> backgrounds</w:t>
      </w:r>
    </w:p>
    <w:p w14:paraId="2E9331A0" w14:textId="77777777" w:rsidR="00E51FBA" w:rsidRPr="00E5087D" w:rsidRDefault="00E51FBA" w:rsidP="00F25595">
      <w:pPr>
        <w:pStyle w:val="Bodycopy"/>
        <w:numPr>
          <w:ilvl w:val="0"/>
          <w:numId w:val="2"/>
        </w:numPr>
        <w:spacing w:after="120" w:line="276" w:lineRule="auto"/>
        <w:ind w:left="709"/>
      </w:pPr>
      <w:r w:rsidRPr="00E5087D">
        <w:rPr>
          <w14:numForm w14:val="lining"/>
          <w14:numSpacing w14:val="proportional"/>
        </w:rPr>
        <w:t>identify the education, training and migration pathways that we should be developing, and the underlying system settings needed to enable those pathways</w:t>
      </w:r>
      <w:r w:rsidRPr="00E5087D">
        <w:t>.</w:t>
      </w:r>
    </w:p>
    <w:p w14:paraId="679D5F42" w14:textId="736BE87E" w:rsidR="00E17EC6" w:rsidRPr="00E5087D" w:rsidRDefault="1B1708D1" w:rsidP="00F517EA">
      <w:pPr>
        <w:pStyle w:val="Bodycopy"/>
        <w:spacing w:before="160" w:after="120" w:line="276" w:lineRule="auto"/>
      </w:pPr>
      <w:r>
        <w:t xml:space="preserve">The study does not examine the merits of particular technologies, projects </w:t>
      </w:r>
      <w:r w:rsidR="3F8E7530">
        <w:t>n</w:t>
      </w:r>
      <w:r>
        <w:t xml:space="preserve">or investments, </w:t>
      </w:r>
      <w:r w:rsidR="4BBB07B2">
        <w:t>n</w:t>
      </w:r>
      <w:r>
        <w:t>or the non-workforce impacts of the clean energy transition.</w:t>
      </w:r>
    </w:p>
    <w:p w14:paraId="74C3BCD6" w14:textId="77777777" w:rsidR="00E17EC6" w:rsidRPr="00E5087D" w:rsidRDefault="00E17EC6">
      <w:r w:rsidRPr="00E5087D">
        <w:br w:type="page"/>
      </w:r>
    </w:p>
    <w:p w14:paraId="6A3D0CC9" w14:textId="0D611D19" w:rsidR="00E17EC6" w:rsidRPr="00E5087D" w:rsidRDefault="00E17EC6" w:rsidP="00E17EC6">
      <w:pPr>
        <w:pStyle w:val="Bodycopy"/>
        <w:spacing w:after="360" w:line="276" w:lineRule="auto"/>
        <w:rPr>
          <w:b/>
          <w:bCs/>
        </w:rPr>
      </w:pPr>
      <w:r w:rsidRPr="00E5087D">
        <w:rPr>
          <w:b/>
          <w:bCs/>
        </w:rPr>
        <w:lastRenderedPageBreak/>
        <w:t>Figure 1</w:t>
      </w:r>
      <w:r w:rsidR="00F333F7">
        <w:rPr>
          <w:b/>
          <w:bCs/>
        </w:rPr>
        <w:t>.1</w:t>
      </w:r>
      <w:r w:rsidR="00AD4AD9">
        <w:rPr>
          <w:b/>
          <w:bCs/>
        </w:rPr>
        <w:t>.</w:t>
      </w:r>
      <w:r w:rsidRPr="00E5087D">
        <w:rPr>
          <w:b/>
          <w:bCs/>
        </w:rPr>
        <w:t xml:space="preserve"> The study’s terms of reference</w:t>
      </w:r>
      <w:r w:rsidRPr="00E5087D">
        <w:rPr>
          <w:noProof/>
        </w:rPr>
        <w:drawing>
          <wp:inline distT="0" distB="0" distL="0" distR="0" wp14:anchorId="5904C21F" wp14:editId="4BD91E08">
            <wp:extent cx="5731510" cy="3617137"/>
            <wp:effectExtent l="0" t="0" r="2540" b="2540"/>
            <wp:docPr id="103" name="Picture 103" descr="This line chart highlights that employment for electricians will increase under all scenarios, with the strongest growth under the Net Zero Superpower scenario, followed by Net Zero Central and Net Zero Implementation scenario. The demand for electricians to 2050 under the Net Zero Slow Implementation experiences a steady increase in growth, followed by a marginal plateau in the demand 2046-20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is line chart highlights that employment for electricians will increase under all scenarios, with the strongest growth under the Net Zero Superpower scenario, followed by Net Zero Central and Net Zero Implementation scenario. The demand for electricians to 2050 under the Net Zero Slow Implementation experiences a steady increase in growth, followed by a marginal plateau in the demand 2046-2047.  "/>
                    <pic:cNvPicPr/>
                  </pic:nvPicPr>
                  <pic:blipFill rotWithShape="1">
                    <a:blip r:embed="rId26" cstate="screen">
                      <a:extLst>
                        <a:ext uri="{28A0092B-C50C-407E-A947-70E740481C1C}">
                          <a14:useLocalDpi xmlns:a14="http://schemas.microsoft.com/office/drawing/2010/main"/>
                        </a:ext>
                      </a:extLst>
                    </a:blip>
                    <a:srcRect t="1449"/>
                    <a:stretch/>
                  </pic:blipFill>
                  <pic:spPr bwMode="auto">
                    <a:xfrm>
                      <a:off x="0" y="0"/>
                      <a:ext cx="5731510" cy="3617137"/>
                    </a:xfrm>
                    <a:prstGeom prst="rect">
                      <a:avLst/>
                    </a:prstGeom>
                    <a:ln>
                      <a:noFill/>
                    </a:ln>
                    <a:extLst>
                      <a:ext uri="{53640926-AAD7-44D8-BBD7-CCE9431645EC}">
                        <a14:shadowObscured xmlns:a14="http://schemas.microsoft.com/office/drawing/2010/main"/>
                      </a:ext>
                    </a:extLst>
                  </pic:spPr>
                </pic:pic>
              </a:graphicData>
            </a:graphic>
          </wp:inline>
        </w:drawing>
      </w:r>
    </w:p>
    <w:p w14:paraId="4320583B" w14:textId="77777777" w:rsidR="00E17EC6" w:rsidRPr="00E5087D" w:rsidRDefault="00E17EC6" w:rsidP="00E17EC6">
      <w:pPr>
        <w:pStyle w:val="Heading4"/>
        <w:spacing w:before="480" w:after="120"/>
        <w:rPr>
          <w14:numForm w14:val="lining"/>
          <w14:numSpacing w14:val="proportional"/>
        </w:rPr>
      </w:pPr>
      <w:r w:rsidRPr="00E5087D">
        <w:t>The structure of this report</w:t>
      </w:r>
    </w:p>
    <w:p w14:paraId="4AE5A7C6" w14:textId="77777777" w:rsidR="00E17EC6" w:rsidRPr="00E5087D" w:rsidRDefault="00E17EC6" w:rsidP="00E17EC6">
      <w:pPr>
        <w:pStyle w:val="Bodycopy"/>
        <w:spacing w:before="120" w:line="276" w:lineRule="auto"/>
      </w:pPr>
      <w:r w:rsidRPr="00E5087D">
        <w:rPr>
          <w:b/>
          <w:bCs/>
          <w:noProof/>
        </w:rPr>
        <mc:AlternateContent>
          <mc:Choice Requires="wps">
            <w:drawing>
              <wp:anchor distT="0" distB="0" distL="114300" distR="114300" simplePos="0" relativeHeight="251658249" behindDoc="1" locked="0" layoutInCell="1" allowOverlap="1" wp14:anchorId="314D1453" wp14:editId="748AD801">
                <wp:simplePos x="0" y="0"/>
                <wp:positionH relativeFrom="column">
                  <wp:posOffset>14287</wp:posOffset>
                </wp:positionH>
                <wp:positionV relativeFrom="paragraph">
                  <wp:posOffset>256540</wp:posOffset>
                </wp:positionV>
                <wp:extent cx="1457325" cy="216000"/>
                <wp:effectExtent l="0" t="0" r="9525" b="0"/>
                <wp:wrapNone/>
                <wp:docPr id="1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7325" cy="216000"/>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28F27" id="Rectangle: Rounded Corners 11" o:spid="_x0000_s1026" alt="&quot;&quot;" style="position:absolute;margin-left:1.1pt;margin-top:20.2pt;width:114.75pt;height:17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" fillcolor="#d2de5a [3214]" stroked="f" strokeweight="1pt">
                <v:stroke joinstyle="miter"/>
              </v:roundrect>
            </w:pict>
          </mc:Fallback>
        </mc:AlternateContent>
      </w:r>
      <w:r w:rsidRPr="00E5087D">
        <w:t>This report is organised into 9 chapters that explore different elements of the study.</w:t>
      </w:r>
    </w:p>
    <w:p w14:paraId="676236B0" w14:textId="0FD20770"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0" behindDoc="1" locked="0" layoutInCell="1" allowOverlap="1" wp14:anchorId="39090E6B" wp14:editId="0D8D9487">
                <wp:simplePos x="0" y="0"/>
                <wp:positionH relativeFrom="column">
                  <wp:posOffset>15766</wp:posOffset>
                </wp:positionH>
                <wp:positionV relativeFrom="paragraph">
                  <wp:posOffset>454945</wp:posOffset>
                </wp:positionV>
                <wp:extent cx="3026979" cy="216000"/>
                <wp:effectExtent l="0" t="0" r="2540" b="0"/>
                <wp:wrapNone/>
                <wp:docPr id="12"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26979" cy="216000"/>
                        </a:xfrm>
                        <a:prstGeom prst="roundRect">
                          <a:avLst/>
                        </a:prstGeom>
                        <a:solidFill>
                          <a:srgbClr val="BAD9C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3BA0A" id="Rectangle: Rounded Corners 12" o:spid="_x0000_s1026" alt="&quot;&quot;" style="position:absolute;margin-left:1.25pt;margin-top:35.8pt;width:238.35pt;height:17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" fillcolor="#bad9c3" stroked="f" strokeweight="1pt">
                <v:stroke joinstyle="miter"/>
              </v:roundrect>
            </w:pict>
          </mc:Fallback>
        </mc:AlternateContent>
      </w:r>
      <w:r w:rsidRPr="00E5087D">
        <w:rPr>
          <w:b/>
          <w:bCs/>
        </w:rPr>
        <w:t>Chapter 1: The study</w:t>
      </w:r>
      <w:r w:rsidRPr="00E5087D">
        <w:t xml:space="preserve">. Provides the study’s purpose, approach and contextual information. Outlines the domestic and international policies driving the clean energy transition. </w:t>
      </w:r>
    </w:p>
    <w:p w14:paraId="3DD8DD06" w14:textId="1F2E94F5"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42" behindDoc="1" locked="0" layoutInCell="1" allowOverlap="1" wp14:anchorId="2628C0DD" wp14:editId="554153F0">
                <wp:simplePos x="0" y="0"/>
                <wp:positionH relativeFrom="column">
                  <wp:posOffset>14287</wp:posOffset>
                </wp:positionH>
                <wp:positionV relativeFrom="paragraph">
                  <wp:posOffset>441960</wp:posOffset>
                </wp:positionV>
                <wp:extent cx="2293143" cy="216000"/>
                <wp:effectExtent l="0" t="0" r="0" b="0"/>
                <wp:wrapNone/>
                <wp:docPr id="16"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93143" cy="216000"/>
                        </a:xfrm>
                        <a:prstGeom prst="roundRect">
                          <a:avLst/>
                        </a:prstGeom>
                        <a:solidFill>
                          <a:srgbClr val="A0D3F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FC6C0" id="Rectangle: Rounded Corners 16" o:spid="_x0000_s1026" alt="&quot;&quot;" style="position:absolute;margin-left:1.1pt;margin-top:34.8pt;width:180.55pt;height:17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" fillcolor="#a0d3f6" stroked="f" strokeweight="1pt">
                <v:stroke joinstyle="miter"/>
              </v:roundrect>
            </w:pict>
          </mc:Fallback>
        </mc:AlternateContent>
      </w:r>
      <w:r w:rsidRPr="00E5087D">
        <w:rPr>
          <w:b/>
          <w:bCs/>
        </w:rPr>
        <w:t>Chapter 2: Defining ‘clean energy</w:t>
      </w:r>
      <w:r w:rsidR="00F65C22">
        <w:rPr>
          <w:b/>
          <w:bCs/>
        </w:rPr>
        <w:t xml:space="preserve"> workforce</w:t>
      </w:r>
      <w:r w:rsidRPr="00E5087D">
        <w:rPr>
          <w:b/>
          <w:bCs/>
        </w:rPr>
        <w:t>’</w:t>
      </w:r>
      <w:r w:rsidRPr="00E5087D">
        <w:t xml:space="preserve">. Defines the clean energy workforce using industries and occupations. Includes background information and data limitations. </w:t>
      </w:r>
    </w:p>
    <w:p w14:paraId="43A3F5E9" w14:textId="77777777"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2" behindDoc="1" locked="0" layoutInCell="1" allowOverlap="1" wp14:anchorId="148AEC65" wp14:editId="726D8C3E">
                <wp:simplePos x="0" y="0"/>
                <wp:positionH relativeFrom="column">
                  <wp:posOffset>15240</wp:posOffset>
                </wp:positionH>
                <wp:positionV relativeFrom="paragraph">
                  <wp:posOffset>449104</wp:posOffset>
                </wp:positionV>
                <wp:extent cx="2160396" cy="216000"/>
                <wp:effectExtent l="0" t="0" r="0" b="0"/>
                <wp:wrapNone/>
                <wp:docPr id="23" name="Rectangle: Rounded Corners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60396" cy="216000"/>
                        </a:xfrm>
                        <a:prstGeom prst="roundRect">
                          <a:avLst/>
                        </a:prstGeom>
                        <a:solidFill>
                          <a:srgbClr val="DAE3F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41FA7C" id="Rectangle: Rounded Corners 23" o:spid="_x0000_s1026" alt="&quot;&quot;" style="position:absolute;margin-left:1.2pt;margin-top:35.35pt;width:170.1pt;height:17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" fillcolor="#dae3f5" stroked="f" strokeweight="1pt">
                <v:stroke joinstyle="miter"/>
              </v:roundrect>
            </w:pict>
          </mc:Fallback>
        </mc:AlternateContent>
      </w:r>
      <w:r w:rsidRPr="00E5087D">
        <w:rPr>
          <w:b/>
          <w:bCs/>
        </w:rPr>
        <w:t>Chapter 3: The current workforce</w:t>
      </w:r>
      <w:r w:rsidRPr="00E5087D">
        <w:t>.</w:t>
      </w:r>
      <w:r w:rsidRPr="00E5087D">
        <w:rPr>
          <w:b/>
          <w:bCs/>
        </w:rPr>
        <w:t xml:space="preserve"> </w:t>
      </w:r>
      <w:r w:rsidRPr="00E5087D">
        <w:t xml:space="preserve">Explores the size and composition of the clean energy workforce. Includes demographic, geographic and employment characteristics. </w:t>
      </w:r>
    </w:p>
    <w:p w14:paraId="041DD778" w14:textId="77777777"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1" behindDoc="1" locked="0" layoutInCell="1" allowOverlap="1" wp14:anchorId="59D35DD8" wp14:editId="0B87C3C1">
                <wp:simplePos x="0" y="0"/>
                <wp:positionH relativeFrom="margin">
                  <wp:posOffset>15875</wp:posOffset>
                </wp:positionH>
                <wp:positionV relativeFrom="paragraph">
                  <wp:posOffset>456724</wp:posOffset>
                </wp:positionV>
                <wp:extent cx="1984549" cy="216000"/>
                <wp:effectExtent l="0" t="0" r="0" b="0"/>
                <wp:wrapNone/>
                <wp:docPr id="22" name="Rectangle: Rounded Corners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84549" cy="216000"/>
                        </a:xfrm>
                        <a:prstGeom prst="roundRect">
                          <a:avLst/>
                        </a:prstGeom>
                        <a:solidFill>
                          <a:srgbClr val="F4B1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11252E" id="Rectangle: Rounded Corners 22" o:spid="_x0000_s1026" alt="&quot;&quot;" style="position:absolute;margin-left:1.25pt;margin-top:35.95pt;width:156.25pt;height:17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" fillcolor="#f4b183" stroked="f" strokeweight="1pt">
                <v:stroke joinstyle="miter"/>
                <w10:wrap anchorx="margin"/>
              </v:roundrect>
            </w:pict>
          </mc:Fallback>
        </mc:AlternateContent>
      </w:r>
      <w:r w:rsidRPr="00E5087D">
        <w:rPr>
          <w:b/>
          <w:bCs/>
        </w:rPr>
        <w:t>Chapter 4: Workforce pathways</w:t>
      </w:r>
      <w:r w:rsidRPr="00E5087D">
        <w:t xml:space="preserve">. Details the pathways into clean energy employment from VET, higher education, migration and industry transitions. </w:t>
      </w:r>
    </w:p>
    <w:p w14:paraId="07DFD8AF" w14:textId="07ACCD7F" w:rsidR="00E17EC6" w:rsidRPr="00E5087D" w:rsidRDefault="00B67F6B" w:rsidP="00782DB7">
      <w:pPr>
        <w:pStyle w:val="Bodycopy"/>
        <w:spacing w:line="276" w:lineRule="auto"/>
        <w:ind w:left="57"/>
      </w:pPr>
      <w:r w:rsidRPr="00E5087D">
        <w:rPr>
          <w:b/>
          <w:bCs/>
          <w:noProof/>
        </w:rPr>
        <mc:AlternateContent>
          <mc:Choice Requires="wps">
            <w:drawing>
              <wp:anchor distT="0" distB="0" distL="114300" distR="114300" simplePos="0" relativeHeight="251658253" behindDoc="1" locked="0" layoutInCell="1" allowOverlap="1" wp14:anchorId="2DD266CA" wp14:editId="6FAA0B26">
                <wp:simplePos x="0" y="0"/>
                <wp:positionH relativeFrom="column">
                  <wp:posOffset>14287</wp:posOffset>
                </wp:positionH>
                <wp:positionV relativeFrom="paragraph">
                  <wp:posOffset>450056</wp:posOffset>
                </wp:positionV>
                <wp:extent cx="3171825" cy="215900"/>
                <wp:effectExtent l="0" t="0" r="9525" b="0"/>
                <wp:wrapNone/>
                <wp:docPr id="24"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71825" cy="215900"/>
                        </a:xfrm>
                        <a:prstGeom prst="roundRect">
                          <a:avLst/>
                        </a:prstGeom>
                        <a:solidFill>
                          <a:srgbClr val="FBE5D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58039" id="Rectangle: Rounded Corners 24" o:spid="_x0000_s1026" alt="&quot;&quot;" style="position:absolute;margin-left:1.1pt;margin-top:35.45pt;width:249.75pt;height:17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" fillcolor="#fbe5d6" stroked="f" strokeweight="1pt">
                <v:stroke joinstyle="miter"/>
              </v:roundrect>
            </w:pict>
          </mc:Fallback>
        </mc:AlternateContent>
      </w:r>
      <w:r w:rsidR="00E17EC6" w:rsidRPr="00E5087D">
        <w:rPr>
          <w:b/>
          <w:bCs/>
        </w:rPr>
        <w:t>Chapter 5: Workforce futures</w:t>
      </w:r>
      <w:r w:rsidR="00E17EC6" w:rsidRPr="00E5087D">
        <w:t>.</w:t>
      </w:r>
      <w:r w:rsidR="00E17EC6" w:rsidRPr="00E5087D">
        <w:rPr>
          <w:b/>
          <w:bCs/>
        </w:rPr>
        <w:t xml:space="preserve"> </w:t>
      </w:r>
      <w:r w:rsidR="00E17EC6" w:rsidRPr="00E5087D">
        <w:t xml:space="preserve">Workforce estimates over 10, 20 and 30 years. Identified areas of pressure and contextualises different transition scenarios. </w:t>
      </w:r>
    </w:p>
    <w:p w14:paraId="31886CFE" w14:textId="415D9D39"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4" behindDoc="1" locked="0" layoutInCell="1" allowOverlap="1" wp14:anchorId="2AB1947D" wp14:editId="697AAEE8">
                <wp:simplePos x="0" y="0"/>
                <wp:positionH relativeFrom="column">
                  <wp:posOffset>14288</wp:posOffset>
                </wp:positionH>
                <wp:positionV relativeFrom="paragraph">
                  <wp:posOffset>450374</wp:posOffset>
                </wp:positionV>
                <wp:extent cx="3429000" cy="216000"/>
                <wp:effectExtent l="0" t="0" r="0" b="0"/>
                <wp:wrapNone/>
                <wp:docPr id="25" name="Rectangle: Rounded Corners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0" cy="216000"/>
                        </a:xfrm>
                        <a:prstGeom prst="roundRect">
                          <a:avLst/>
                        </a:prstGeom>
                        <a:solidFill>
                          <a:schemeClr val="tx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D5D50" id="Rectangle: Rounded Corners 25" o:spid="_x0000_s1026" alt="&quot;&quot;" style="position:absolute;margin-left:1.15pt;margin-top:35.45pt;width:270pt;height:17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" fillcolor="#dabcf5 [671]" stroked="f" strokeweight="1pt">
                <v:stroke joinstyle="miter"/>
              </v:roundrect>
            </w:pict>
          </mc:Fallback>
        </mc:AlternateContent>
      </w:r>
      <w:r w:rsidRPr="00E5087D">
        <w:rPr>
          <w:b/>
          <w:bCs/>
        </w:rPr>
        <w:t>Chapter 6: Emerging and transforming</w:t>
      </w:r>
      <w:r w:rsidR="00284376">
        <w:rPr>
          <w:b/>
          <w:bCs/>
        </w:rPr>
        <w:t xml:space="preserve"> sectors</w:t>
      </w:r>
      <w:r w:rsidRPr="00E5087D">
        <w:t>.</w:t>
      </w:r>
      <w:r w:rsidRPr="00E5087D">
        <w:rPr>
          <w:b/>
          <w:bCs/>
        </w:rPr>
        <w:t xml:space="preserve"> </w:t>
      </w:r>
      <w:r w:rsidRPr="00E5087D">
        <w:t xml:space="preserve">Explores future workforce needs of sectors that will emerge or be transformed through decarbonisation. </w:t>
      </w:r>
    </w:p>
    <w:p w14:paraId="59CA27AF" w14:textId="0B544194" w:rsidR="00E17EC6" w:rsidRPr="00E5087D" w:rsidRDefault="00B67F6B" w:rsidP="00782DB7">
      <w:pPr>
        <w:pStyle w:val="Bodycopy"/>
        <w:spacing w:line="276" w:lineRule="auto"/>
        <w:ind w:left="57"/>
      </w:pPr>
      <w:r w:rsidRPr="00E5087D">
        <w:rPr>
          <w:b/>
          <w:bCs/>
          <w:noProof/>
        </w:rPr>
        <mc:AlternateContent>
          <mc:Choice Requires="wps">
            <w:drawing>
              <wp:anchor distT="0" distB="0" distL="114300" distR="114300" simplePos="0" relativeHeight="251658256" behindDoc="1" locked="0" layoutInCell="1" allowOverlap="1" wp14:anchorId="497DB984" wp14:editId="46A54C60">
                <wp:simplePos x="0" y="0"/>
                <wp:positionH relativeFrom="column">
                  <wp:posOffset>14288</wp:posOffset>
                </wp:positionH>
                <wp:positionV relativeFrom="paragraph">
                  <wp:posOffset>444183</wp:posOffset>
                </wp:positionV>
                <wp:extent cx="3400425" cy="215900"/>
                <wp:effectExtent l="0" t="0" r="9525" b="0"/>
                <wp:wrapNone/>
                <wp:docPr id="27" name="Rectangle: Rounded Corners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00425" cy="215900"/>
                        </a:xfrm>
                        <a:prstGeom prst="round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C37585" id="Rectangle: Rounded Corners 27" o:spid="_x0000_s1026" alt="&quot;&quot;" style="position:absolute;margin-left:1.15pt;margin-top:35pt;width:267.75pt;height:17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" fillcolor="#e0d1f5 [660]" stroked="f" strokeweight="1pt">
                <v:stroke joinstyle="miter"/>
              </v:roundrect>
            </w:pict>
          </mc:Fallback>
        </mc:AlternateContent>
      </w:r>
      <w:r w:rsidR="00E17EC6" w:rsidRPr="00E5087D">
        <w:rPr>
          <w:b/>
          <w:bCs/>
        </w:rPr>
        <w:t>Chapter 7: Barriers: Education and training</w:t>
      </w:r>
      <w:r w:rsidR="00284376">
        <w:rPr>
          <w:b/>
          <w:bCs/>
        </w:rPr>
        <w:t xml:space="preserve"> reform</w:t>
      </w:r>
      <w:r w:rsidR="00E17EC6" w:rsidRPr="00E5087D">
        <w:t>.</w:t>
      </w:r>
      <w:r w:rsidR="00E17EC6" w:rsidRPr="00E5087D">
        <w:rPr>
          <w:b/>
          <w:bCs/>
        </w:rPr>
        <w:t xml:space="preserve"> </w:t>
      </w:r>
      <w:r w:rsidR="00E17EC6" w:rsidRPr="00E5087D">
        <w:t xml:space="preserve">Explores </w:t>
      </w:r>
      <w:r w:rsidR="0053113B">
        <w:t>opportunities to address</w:t>
      </w:r>
      <w:r w:rsidR="00E17EC6" w:rsidRPr="00E5087D">
        <w:t xml:space="preserve"> barriers faced by students and providers of education and training.</w:t>
      </w:r>
    </w:p>
    <w:p w14:paraId="3B61557E" w14:textId="38FF1303" w:rsidR="00E17EC6" w:rsidRPr="00E5087D" w:rsidRDefault="00E17EC6" w:rsidP="00782DB7">
      <w:pPr>
        <w:pStyle w:val="Bodycopy"/>
        <w:spacing w:line="276" w:lineRule="auto"/>
        <w:ind w:left="57"/>
      </w:pPr>
      <w:r w:rsidRPr="00E5087D">
        <w:rPr>
          <w:b/>
          <w:bCs/>
          <w:noProof/>
        </w:rPr>
        <mc:AlternateContent>
          <mc:Choice Requires="wps">
            <w:drawing>
              <wp:anchor distT="0" distB="0" distL="114300" distR="114300" simplePos="0" relativeHeight="251658255" behindDoc="1" locked="0" layoutInCell="1" allowOverlap="1" wp14:anchorId="5CAF5EF7" wp14:editId="2294EF19">
                <wp:simplePos x="0" y="0"/>
                <wp:positionH relativeFrom="column">
                  <wp:posOffset>14288</wp:posOffset>
                </wp:positionH>
                <wp:positionV relativeFrom="paragraph">
                  <wp:posOffset>444500</wp:posOffset>
                </wp:positionV>
                <wp:extent cx="2621756" cy="216000"/>
                <wp:effectExtent l="0" t="0" r="7620" b="0"/>
                <wp:wrapNone/>
                <wp:docPr id="26"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1756" cy="216000"/>
                        </a:xfrm>
                        <a:prstGeom prst="round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57F6AD" id="Rectangle: Rounded Corners 26" o:spid="_x0000_s1026" alt="&quot;&quot;" style="position:absolute;margin-left:1.15pt;margin-top:35pt;width:206.45pt;height:17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" fillcolor="#d8d8d8 [2732]" stroked="f" strokeweight="1pt">
                <v:stroke joinstyle="miter"/>
              </v:roundrect>
            </w:pict>
          </mc:Fallback>
        </mc:AlternateContent>
      </w:r>
      <w:r w:rsidRPr="00E5087D">
        <w:rPr>
          <w:b/>
          <w:bCs/>
        </w:rPr>
        <w:t>Chapter 8: Barriers: Workplaces and communities</w:t>
      </w:r>
      <w:r w:rsidRPr="00E5087D">
        <w:t xml:space="preserve">. Explores </w:t>
      </w:r>
      <w:r w:rsidR="0053113B">
        <w:t>opportunities to address barriers faced in workplaces and communities.</w:t>
      </w:r>
      <w:r w:rsidRPr="00E5087D">
        <w:t xml:space="preserve"> </w:t>
      </w:r>
    </w:p>
    <w:p w14:paraId="20199259" w14:textId="77777777" w:rsidR="00E17EC6" w:rsidRPr="00E5087D" w:rsidRDefault="00E17EC6" w:rsidP="00782DB7">
      <w:pPr>
        <w:pStyle w:val="Bodycopy"/>
        <w:spacing w:line="276" w:lineRule="auto"/>
        <w:ind w:left="57"/>
      </w:pPr>
      <w:r w:rsidRPr="00E5087D">
        <w:rPr>
          <w:b/>
          <w:bCs/>
        </w:rPr>
        <w:t>Chapter 9: Findings and Opportunities</w:t>
      </w:r>
      <w:r w:rsidRPr="00E5087D">
        <w:t>.</w:t>
      </w:r>
      <w:r w:rsidRPr="00E5087D">
        <w:rPr>
          <w:b/>
          <w:bCs/>
        </w:rPr>
        <w:t xml:space="preserve"> </w:t>
      </w:r>
      <w:r w:rsidRPr="00E5087D">
        <w:t>Learnings from what is working well and innovative approaches to workforce development.</w:t>
      </w:r>
    </w:p>
    <w:p w14:paraId="03DE5E58" w14:textId="65FFC9E9" w:rsidR="006D6F50" w:rsidRDefault="006D6F50" w:rsidP="006D6F50">
      <w:pPr>
        <w:spacing w:before="1080" w:line="240" w:lineRule="auto"/>
        <w:ind w:left="397" w:right="283"/>
        <w:rPr>
          <w:rFonts w:eastAsia="Arial" w:cs="Arial"/>
          <w:b/>
          <w:sz w:val="28"/>
          <w:szCs w:val="28"/>
        </w:rPr>
      </w:pPr>
      <w:r w:rsidRPr="00E5087D">
        <w:rPr>
          <w:noProof/>
          <w:color w:val="2B579A"/>
          <w:shd w:val="clear" w:color="auto" w:fill="E6E6E6"/>
          <w14:ligatures w14:val="standard"/>
          <w14:numForm w14:val="lining"/>
          <w14:numSpacing w14:val="proportional"/>
        </w:rPr>
        <w:lastRenderedPageBreak/>
        <mc:AlternateContent>
          <mc:Choice Requires="wpg">
            <w:drawing>
              <wp:anchor distT="0" distB="0" distL="114300" distR="114300" simplePos="0" relativeHeight="251658274" behindDoc="1" locked="0" layoutInCell="1" allowOverlap="1" wp14:anchorId="65950138" wp14:editId="20F1E236">
                <wp:simplePos x="0" y="0"/>
                <wp:positionH relativeFrom="margin">
                  <wp:posOffset>0</wp:posOffset>
                </wp:positionH>
                <wp:positionV relativeFrom="page">
                  <wp:posOffset>1117600</wp:posOffset>
                </wp:positionV>
                <wp:extent cx="5731510" cy="6045200"/>
                <wp:effectExtent l="0" t="0" r="2540" b="0"/>
                <wp:wrapNone/>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6045200"/>
                          <a:chOff x="0" y="0"/>
                          <a:chExt cx="5417820" cy="3722400"/>
                        </a:xfrm>
                      </wpg:grpSpPr>
                      <wps:wsp>
                        <wps:cNvPr id="20" name="Rectangle 20"/>
                        <wps:cNvSpPr/>
                        <wps:spPr>
                          <a:xfrm>
                            <a:off x="0" y="0"/>
                            <a:ext cx="5417820" cy="3721100"/>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07D11B1E" w14:textId="17D2B140" w:rsidR="00E17EC6" w:rsidRPr="001A746B" w:rsidRDefault="00E17EC6" w:rsidP="00E17EC6">
                              <w:pPr>
                                <w:pStyle w:val="Bodycopy"/>
                                <w:spacing w:before="160" w:after="0" w:line="276" w:lineRule="auto"/>
                                <w:rPr>
                                  <w14:numForm w14:val="lining"/>
                                  <w14:numSpacing w14:val="proportional"/>
                                </w:rPr>
                              </w:pPr>
                            </w:p>
                          </w:txbxContent>
                        </wps:txbx>
                        <wps:bodyPr spcFirstLastPara="0" wrap="square" lIns="288000" tIns="108000" rIns="144000" bIns="108000" anchor="t">
                          <a:noAutofit/>
                        </wps:bodyPr>
                      </wps:wsp>
                      <wps:wsp>
                        <wps:cNvPr id="21" name="Rectangle 21"/>
                        <wps:cNvSpPr/>
                        <wps:spPr>
                          <a:xfrm>
                            <a:off x="0" y="0"/>
                            <a:ext cx="133350" cy="37224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950138" id="Group 19" o:spid="_x0000_s1028" alt="&quot;&quot;" style="position:absolute;left:0;text-align:left;margin-left:0;margin-top:88pt;width:451.3pt;height:476pt;z-index:-251658206;mso-position-horizontal-relative:margin;mso-position-vertical-relative:page" coordsize="54178,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">
                <v:rect id="Rectangle 20" o:spid="_x0000_s1029" style="position:absolute;width:54178;height:3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" fillcolor="#f2f2f2 [3052]" stroked="f" strokeweight="1pt">
                  <v:textbox inset="8mm,3mm,4mm,3mm">
                    <w:txbxContent>
                      <w:p w14:paraId="07D11B1E" w14:textId="17D2B140" w:rsidR="00E17EC6" w:rsidRPr="001A746B" w:rsidRDefault="00E17EC6" w:rsidP="00E17EC6">
                        <w:pPr>
                          <w:pStyle w:val="Bodycopy"/>
                          <w:spacing w:before="160" w:after="0" w:line="276" w:lineRule="auto"/>
                          <w:rPr>
                            <w14:numForm w14:val="lining"/>
                            <w14:numSpacing w14:val="proportional"/>
                          </w:rPr>
                        </w:pPr>
                      </w:p>
                    </w:txbxContent>
                  </v:textbox>
                </v:rect>
                <v:rect id="Rectangle 21" o:spid="_x0000_s1030" style="position:absolute;width:1333;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" fillcolor="#d2de5a [3214]" stroked="f" strokeweight="1pt"/>
                <w10:wrap anchorx="margin" anchory="page"/>
              </v:group>
            </w:pict>
          </mc:Fallback>
        </mc:AlternateContent>
      </w:r>
    </w:p>
    <w:p w14:paraId="7137C5CB" w14:textId="167D750A" w:rsidR="006D6F50" w:rsidRPr="006A7109" w:rsidRDefault="006D6F50" w:rsidP="006D6F50">
      <w:pPr>
        <w:spacing w:before="240" w:line="240" w:lineRule="auto"/>
        <w:ind w:left="454" w:right="283"/>
        <w:rPr>
          <w:rFonts w:eastAsia="Arial" w:cs="Arial"/>
          <w:b/>
          <w:sz w:val="28"/>
          <w:szCs w:val="28"/>
        </w:rPr>
      </w:pPr>
      <w:r>
        <w:rPr>
          <w:rFonts w:eastAsia="Arial" w:cs="Arial"/>
          <w:b/>
          <w:sz w:val="28"/>
          <w:szCs w:val="28"/>
        </w:rPr>
        <w:t>What is Jobs and Skills Australia’s role?</w:t>
      </w:r>
    </w:p>
    <w:p w14:paraId="03ABE294" w14:textId="0DA3EA63" w:rsidR="006D6F50" w:rsidRDefault="006D6F50" w:rsidP="006D6F50">
      <w:pPr>
        <w:pStyle w:val="Bodycopy"/>
        <w:spacing w:after="120" w:line="276" w:lineRule="auto"/>
        <w:ind w:left="454" w:right="283"/>
        <w:rPr>
          <w:rFonts w:eastAsia="Arial" w:cs="Arial"/>
          <w14:numForm w14:val="lining"/>
          <w14:numSpacing w14:val="proportional"/>
        </w:rPr>
      </w:pPr>
      <w:r>
        <w:rPr>
          <w:rFonts w:eastAsia="Arial" w:cs="Arial"/>
          <w14:numForm w14:val="lining"/>
          <w14:numSpacing w14:val="proportional"/>
        </w:rPr>
        <w:t>Jobs and Skills Australia’s (JSA) purpose is to be a catalyst in activating Australia’s human capital potential to meet present and future skills needs.</w:t>
      </w:r>
    </w:p>
    <w:p w14:paraId="741FF58B" w14:textId="3AC474AD" w:rsidR="006D6F50" w:rsidRPr="00E270B2" w:rsidRDefault="006D6F50" w:rsidP="006D6F50">
      <w:pPr>
        <w:pStyle w:val="Bodycopy"/>
        <w:spacing w:after="120" w:line="276" w:lineRule="auto"/>
        <w:ind w:left="454" w:right="283"/>
        <w:rPr>
          <w:rFonts w:eastAsia="Arial" w:cs="Arial"/>
          <w14:numForm w14:val="lining"/>
          <w14:numSpacing w14:val="proportional"/>
        </w:rPr>
      </w:pPr>
      <w:r w:rsidRPr="00E270B2">
        <w:rPr>
          <w:rFonts w:eastAsia="Arial" w:cs="Arial"/>
          <w14:numForm w14:val="lining"/>
          <w14:numSpacing w14:val="proportional"/>
        </w:rPr>
        <w:t>Our role is to engage, advise and assist the Australian Government and other stakeholders in decision-making on the current, emerging and future skills and workforce needs of the Australian economy. This includes in regional, rural and remote Australia, and on the development of new industries and new technologies.</w:t>
      </w:r>
    </w:p>
    <w:p w14:paraId="091BD507" w14:textId="322BAB60" w:rsidR="006D6F50" w:rsidRPr="00E270B2" w:rsidRDefault="006D6F50" w:rsidP="006D6F50">
      <w:pPr>
        <w:pStyle w:val="Bodycopy"/>
        <w:spacing w:after="120" w:line="276" w:lineRule="auto"/>
        <w:ind w:left="454" w:right="283"/>
        <w:rPr>
          <w:rFonts w:eastAsia="Arial" w:cs="Arial"/>
          <w14:numForm w14:val="lining"/>
          <w14:numSpacing w14:val="proportional"/>
        </w:rPr>
      </w:pPr>
      <w:r w:rsidRPr="00E270B2">
        <w:rPr>
          <w:rFonts w:eastAsia="Arial" w:cs="Arial"/>
          <w14:numForm w14:val="lining"/>
          <w14:numSpacing w14:val="proportional"/>
        </w:rPr>
        <w:t xml:space="preserve">To do this, </w:t>
      </w:r>
      <w:r>
        <w:rPr>
          <w:rFonts w:eastAsia="Arial" w:cs="Arial"/>
          <w14:numForm w14:val="lining"/>
          <w14:numSpacing w14:val="proportional"/>
        </w:rPr>
        <w:t>JSA</w:t>
      </w:r>
      <w:r w:rsidRPr="00E270B2">
        <w:rPr>
          <w:rFonts w:eastAsia="Arial" w:cs="Arial"/>
          <w14:numForm w14:val="lining"/>
          <w14:numSpacing w14:val="proportional"/>
        </w:rPr>
        <w:t xml:space="preserve"> provide</w:t>
      </w:r>
      <w:r>
        <w:rPr>
          <w:rFonts w:eastAsia="Arial" w:cs="Arial"/>
          <w14:numForm w14:val="lining"/>
          <w14:numSpacing w14:val="proportional"/>
        </w:rPr>
        <w:t>s</w:t>
      </w:r>
      <w:r w:rsidRPr="00E270B2">
        <w:rPr>
          <w:rFonts w:eastAsia="Arial" w:cs="Arial"/>
          <w14:numForm w14:val="lining"/>
          <w14:numSpacing w14:val="proportional"/>
        </w:rPr>
        <w:t xml:space="preserve"> high quality data, analysis, and insights to better understand Australia’s skills and labour shortages across the economy. Providing advice on the effectiveness of Australia’s</w:t>
      </w:r>
      <w:r>
        <w:rPr>
          <w:rFonts w:eastAsia="Arial" w:cs="Arial"/>
          <w14:numForm w14:val="lining"/>
          <w14:numSpacing w14:val="proportional"/>
        </w:rPr>
        <w:t xml:space="preserve"> VET</w:t>
      </w:r>
      <w:r w:rsidRPr="00E270B2">
        <w:rPr>
          <w:rFonts w:eastAsia="Arial" w:cs="Arial"/>
          <w14:numForm w14:val="lining"/>
          <w14:numSpacing w14:val="proportional"/>
        </w:rPr>
        <w:t>, higher education, and migration systems to meet Australia’s future skills and workforce needs is also a priority for us.</w:t>
      </w:r>
    </w:p>
    <w:p w14:paraId="0BC82704" w14:textId="682A83C4" w:rsidR="006D6F50" w:rsidRPr="00E270B2" w:rsidRDefault="006D6F50" w:rsidP="006D6F50">
      <w:pPr>
        <w:pStyle w:val="Bodycopy"/>
        <w:spacing w:after="120" w:line="276" w:lineRule="auto"/>
        <w:ind w:left="454" w:right="283"/>
        <w:rPr>
          <w:rFonts w:eastAsia="Arial" w:cs="Arial"/>
          <w14:numForm w14:val="lining"/>
          <w14:numSpacing w14:val="proportional"/>
        </w:rPr>
      </w:pPr>
      <w:r>
        <w:rPr>
          <w:rFonts w:eastAsia="Arial" w:cs="Arial"/>
          <w14:numForm w14:val="lining"/>
          <w14:numSpacing w14:val="proportional"/>
        </w:rPr>
        <w:t xml:space="preserve">JSA’s </w:t>
      </w:r>
      <w:r w:rsidRPr="00E270B2">
        <w:rPr>
          <w:rFonts w:eastAsia="Arial" w:cs="Arial"/>
          <w14:numForm w14:val="lining"/>
          <w14:numSpacing w14:val="proportional"/>
        </w:rPr>
        <w:t xml:space="preserve">capacity studies assess the current and future demand for, and supply of, labour and skills in a critical area of the economy. They also make recommendations on how skill shortages (or surpluses) can be averted, within set time, resource and legislative constraints and government objectives. </w:t>
      </w:r>
    </w:p>
    <w:p w14:paraId="188D8425" w14:textId="77777777" w:rsidR="006D6F50" w:rsidRPr="001A746B" w:rsidRDefault="006D6F50" w:rsidP="006D6F50">
      <w:pPr>
        <w:pStyle w:val="Bodycopy"/>
        <w:spacing w:before="120" w:after="0" w:line="276" w:lineRule="auto"/>
        <w:ind w:left="454" w:right="283"/>
        <w:rPr>
          <w14:numForm w14:val="lining"/>
          <w14:numSpacing w14:val="proportional"/>
        </w:rPr>
      </w:pPr>
      <w:r w:rsidRPr="001A746B">
        <w:rPr>
          <w14:numForm w14:val="lining"/>
          <w14:numSpacing w14:val="proportional"/>
        </w:rPr>
        <w:t>JSA has established an ongoing capacity study function which will:</w:t>
      </w:r>
    </w:p>
    <w:p w14:paraId="0813420E" w14:textId="77777777"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 xml:space="preserve">bring together subject matter experts, data specialists and people with stakeholder engagement expertise </w:t>
      </w:r>
    </w:p>
    <w:p w14:paraId="65D9D8EB" w14:textId="77777777"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be informed by Project Steering Groups, with key stakeholders directly represented</w:t>
      </w:r>
    </w:p>
    <w:p w14:paraId="7163944C" w14:textId="4603BAFF"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provide a detailed assessment of labour and skills supply and demand, employment arrangements, and education, training and migration pathways</w:t>
      </w:r>
    </w:p>
    <w:p w14:paraId="143D1B27" w14:textId="7439C64F" w:rsidR="006D6F50" w:rsidRPr="001A746B" w:rsidRDefault="006D6F50" w:rsidP="00F25595">
      <w:pPr>
        <w:pStyle w:val="Bodycopy"/>
        <w:numPr>
          <w:ilvl w:val="0"/>
          <w:numId w:val="3"/>
        </w:numPr>
        <w:spacing w:before="120" w:after="0" w:line="276" w:lineRule="auto"/>
        <w:ind w:left="927" w:right="283"/>
        <w:rPr>
          <w14:numForm w14:val="lining"/>
          <w14:numSpacing w14:val="proportional"/>
        </w:rPr>
      </w:pPr>
      <w:r w:rsidRPr="001A746B">
        <w:rPr>
          <w14:numForm w14:val="lining"/>
          <w14:numSpacing w14:val="proportional"/>
        </w:rPr>
        <w:t>produce long-term modelling of future workforce demand and supply</w:t>
      </w:r>
      <w:r w:rsidR="00D05353">
        <w:rPr>
          <w14:numForm w14:val="lining"/>
          <w14:numSpacing w14:val="proportional"/>
        </w:rPr>
        <w:t>.</w:t>
      </w:r>
    </w:p>
    <w:p w14:paraId="07475E3E" w14:textId="77777777" w:rsidR="006D6F50" w:rsidRPr="001A746B" w:rsidRDefault="006D6F50" w:rsidP="006D6F50">
      <w:pPr>
        <w:pStyle w:val="Bodycopy"/>
        <w:spacing w:before="160" w:after="0" w:line="276" w:lineRule="auto"/>
        <w:ind w:left="454" w:right="283"/>
        <w:rPr>
          <w14:numForm w14:val="lining"/>
          <w14:numSpacing w14:val="proportional"/>
        </w:rPr>
      </w:pPr>
      <w:r>
        <w:rPr>
          <w14:numForm w14:val="lining"/>
          <w14:numSpacing w14:val="proportional"/>
        </w:rPr>
        <w:t xml:space="preserve">This first capacity study is focused on a specific sector – clean energy – however, future studies may come from the perspective of a particular occupation, region or cohort. The topic of future studies will be decided through JSA’s </w:t>
      </w:r>
      <w:hyperlink r:id="rId27" w:history="1">
        <w:r w:rsidRPr="00837A66">
          <w:rPr>
            <w:rStyle w:val="Hyperlink"/>
            <w:color w:val="6929C4" w:themeColor="accent1"/>
            <w14:numForm w14:val="lining"/>
            <w14:numSpacing w14:val="proportional"/>
          </w:rPr>
          <w:t>annual workplan</w:t>
        </w:r>
      </w:hyperlink>
      <w:r w:rsidRPr="00C94F5F">
        <w:rPr>
          <w:color w:val="084974" w:themeColor="accent3" w:themeShade="80"/>
          <w:u w:val="single"/>
          <w14:numForm w14:val="lining"/>
          <w14:numSpacing w14:val="proportional"/>
        </w:rPr>
        <w:t>.</w:t>
      </w:r>
    </w:p>
    <w:p w14:paraId="5FD96DC7" w14:textId="0645D23F" w:rsidR="00E17EC6" w:rsidRPr="00E5087D" w:rsidRDefault="00E17EC6" w:rsidP="009B41E9">
      <w:pPr>
        <w:pStyle w:val="Bodycopy"/>
        <w:spacing w:before="160" w:after="120" w:line="276" w:lineRule="auto"/>
      </w:pPr>
      <w:r w:rsidRPr="00E5087D">
        <w:br w:type="page"/>
      </w:r>
    </w:p>
    <w:p w14:paraId="44B6036A" w14:textId="77777777" w:rsidR="00E17EC6" w:rsidRPr="00E5087D" w:rsidRDefault="00E17EC6" w:rsidP="00E17EC6">
      <w:pPr>
        <w:pStyle w:val="Heading3"/>
      </w:pPr>
      <w:bookmarkStart w:id="15" w:name="_Toc141863820"/>
      <w:r w:rsidRPr="00E5087D">
        <w:lastRenderedPageBreak/>
        <w:t>Our approach</w:t>
      </w:r>
      <w:bookmarkEnd w:id="15"/>
    </w:p>
    <w:p w14:paraId="15ADC197" w14:textId="13F77251" w:rsidR="00E17EC6" w:rsidRDefault="00E17EC6" w:rsidP="00E17EC6">
      <w:pPr>
        <w:pStyle w:val="Bodycopy"/>
        <w:spacing w:before="160" w:after="240" w:line="276" w:lineRule="auto"/>
      </w:pPr>
      <w:r w:rsidRPr="00E5087D">
        <w:rPr>
          <w14:ligatures w14:val="standard"/>
          <w14:numForm w14:val="lining"/>
          <w14:numSpacing w14:val="proportional"/>
        </w:rPr>
        <w:t xml:space="preserve">Ambitious net zero policy must be matched with ambitious workforce and skills policy. </w:t>
      </w:r>
      <w:r w:rsidRPr="00E5087D">
        <w:t>While Australia has a clear net zero objective, it’s also important that we have clear objectives for our workforce. JSA has identified three overarching objectives to guide workforce planning and policy: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6"/>
        <w:gridCol w:w="6740"/>
      </w:tblGrid>
      <w:tr w:rsidR="007862B8" w:rsidRPr="00A221C0" w14:paraId="4AB98D10" w14:textId="77777777">
        <w:trPr>
          <w:trHeight w:val="964"/>
        </w:trPr>
        <w:tc>
          <w:tcPr>
            <w:tcW w:w="1156" w:type="dxa"/>
            <w:tcBorders>
              <w:top w:val="single" w:sz="4" w:space="0" w:color="BFBFBF" w:themeColor="background1" w:themeShade="BF"/>
              <w:bottom w:val="single" w:sz="4" w:space="0" w:color="BFBFBF" w:themeColor="background1" w:themeShade="BF"/>
            </w:tcBorders>
            <w:vAlign w:val="center"/>
          </w:tcPr>
          <w:p w14:paraId="2756B865" w14:textId="77777777" w:rsidR="007862B8" w:rsidRPr="00A221C0" w:rsidRDefault="007862B8">
            <w:pPr>
              <w:jc w:val="center"/>
              <w:rPr>
                <w:rStyle w:val="ui-provider"/>
                <w:rFonts w:cs="Arial"/>
                <w:sz w:val="21"/>
                <w:szCs w:val="21"/>
              </w:rPr>
            </w:pPr>
            <w:r w:rsidRPr="00A41B95">
              <w:rPr>
                <w:rStyle w:val="ui-provider"/>
                <w:rFonts w:cs="Arial"/>
                <w:noProof/>
                <w:sz w:val="21"/>
                <w:szCs w:val="21"/>
              </w:rPr>
              <w:drawing>
                <wp:inline distT="0" distB="0" distL="0" distR="0" wp14:anchorId="47E69FCA" wp14:editId="5F228F1C">
                  <wp:extent cx="1313180" cy="567055"/>
                  <wp:effectExtent l="0" t="0" r="1270" b="4445"/>
                  <wp:docPr id="27008485" name="Picture 27008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8485" name="Picture 27008485">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1328384" cy="573620"/>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vAlign w:val="center"/>
          </w:tcPr>
          <w:p w14:paraId="44ECC7CB" w14:textId="77777777" w:rsidR="007862B8" w:rsidRPr="00A221C0" w:rsidRDefault="007862B8" w:rsidP="007862B8">
            <w:pPr>
              <w:spacing w:before="240" w:after="240"/>
              <w:ind w:left="113" w:right="170"/>
              <w:rPr>
                <w:rStyle w:val="ui-provider"/>
                <w:rFonts w:cs="Arial"/>
                <w:sz w:val="21"/>
                <w:szCs w:val="21"/>
              </w:rPr>
            </w:pPr>
            <w:r w:rsidRPr="22A7AAF7">
              <w:rPr>
                <w:rFonts w:cs="Arial"/>
                <w:b/>
                <w:bCs/>
                <w:sz w:val="21"/>
                <w:szCs w:val="21"/>
              </w:rPr>
              <w:t>Objective one</w:t>
            </w:r>
            <w:r w:rsidRPr="22A7AAF7">
              <w:rPr>
                <w:rFonts w:cs="Arial"/>
                <w:sz w:val="21"/>
                <w:szCs w:val="21"/>
              </w:rPr>
              <w:t>: the energy transition isn’t hindered by skill shortages. Australia has the workforce it needs to meet and exceed our clean energy ambition.</w:t>
            </w:r>
          </w:p>
        </w:tc>
      </w:tr>
      <w:tr w:rsidR="007862B8" w:rsidRPr="00A221C0" w14:paraId="5D618500" w14:textId="77777777">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4B65823E" w14:textId="77777777" w:rsidR="007862B8" w:rsidRPr="00A221C0" w:rsidRDefault="007862B8">
            <w:pPr>
              <w:jc w:val="center"/>
              <w:rPr>
                <w:rStyle w:val="ui-provider"/>
                <w:rFonts w:cs="Arial"/>
                <w:sz w:val="21"/>
                <w:szCs w:val="21"/>
              </w:rPr>
            </w:pPr>
            <w:r w:rsidRPr="00A41B95">
              <w:rPr>
                <w:rStyle w:val="ui-provider"/>
                <w:rFonts w:cs="Arial"/>
                <w:noProof/>
                <w:sz w:val="21"/>
                <w:szCs w:val="21"/>
              </w:rPr>
              <w:drawing>
                <wp:inline distT="0" distB="0" distL="0" distR="0" wp14:anchorId="383FBCD9" wp14:editId="6AF8A017">
                  <wp:extent cx="614433" cy="630324"/>
                  <wp:effectExtent l="0" t="0" r="0" b="0"/>
                  <wp:docPr id="1921086189" name="Picture 1921086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86189" name="Picture 1921086189">
                            <a:extLst>
                              <a:ext uri="{C183D7F6-B498-43B3-948B-1728B52AA6E4}">
                                <adec:decorative xmlns:adec="http://schemas.microsoft.com/office/drawing/2017/decorative" val="1"/>
                              </a:ext>
                            </a:extLst>
                          </pic:cNvPr>
                          <pic:cNvPicPr/>
                        </pic:nvPicPr>
                        <pic:blipFill>
                          <a:blip r:embed="rId12" cstate="screen">
                            <a:extLst>
                              <a:ext uri="{28A0092B-C50C-407E-A947-70E740481C1C}">
                                <a14:useLocalDpi xmlns:a14="http://schemas.microsoft.com/office/drawing/2010/main"/>
                              </a:ext>
                            </a:extLst>
                          </a:blip>
                          <a:stretch>
                            <a:fillRect/>
                          </a:stretch>
                        </pic:blipFill>
                        <pic:spPr>
                          <a:xfrm>
                            <a:off x="0" y="0"/>
                            <a:ext cx="623373" cy="639495"/>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10425FCA" w14:textId="77777777" w:rsidR="007862B8" w:rsidRPr="00A221C0" w:rsidRDefault="007862B8" w:rsidP="007862B8">
            <w:pPr>
              <w:spacing w:before="240" w:after="240"/>
              <w:ind w:left="113" w:right="170"/>
              <w:rPr>
                <w:rStyle w:val="ui-provider"/>
                <w:rFonts w:cs="Arial"/>
                <w:sz w:val="21"/>
                <w:szCs w:val="21"/>
              </w:rPr>
            </w:pPr>
            <w:r w:rsidRPr="00A221C0">
              <w:rPr>
                <w:rStyle w:val="Strong"/>
                <w:rFonts w:cs="Arial"/>
                <w:sz w:val="21"/>
                <w:szCs w:val="21"/>
              </w:rPr>
              <w:t>Objective two</w:t>
            </w:r>
            <w:r w:rsidRPr="00A221C0">
              <w:rPr>
                <w:rStyle w:val="ui-provider"/>
                <w:rFonts w:cs="Arial"/>
                <w:sz w:val="21"/>
                <w:szCs w:val="21"/>
              </w:rPr>
              <w:t>: workforce opportunities are sustainable and equitably shared with all Australians, p</w:t>
            </w:r>
            <w:r w:rsidRPr="00A221C0">
              <w:rPr>
                <w:rFonts w:cs="Arial"/>
                <w:sz w:val="21"/>
                <w:szCs w:val="21"/>
              </w:rPr>
              <w:t>articularly</w:t>
            </w:r>
            <w:r w:rsidRPr="00A221C0">
              <w:rPr>
                <w:rStyle w:val="ui-provider"/>
                <w:rFonts w:cs="Arial"/>
                <w:sz w:val="21"/>
                <w:szCs w:val="21"/>
              </w:rPr>
              <w:t xml:space="preserve"> communities impacted by decarbonisation and disadvantaged groups that were underutilised in traditional energy.</w:t>
            </w:r>
          </w:p>
        </w:tc>
      </w:tr>
      <w:tr w:rsidR="007862B8" w:rsidRPr="00A221C0" w14:paraId="4A8ABFA3" w14:textId="77777777">
        <w:trPr>
          <w:trHeight w:val="1002"/>
        </w:trPr>
        <w:tc>
          <w:tcPr>
            <w:tcW w:w="1156" w:type="dxa"/>
            <w:tcBorders>
              <w:top w:val="single" w:sz="4" w:space="0" w:color="BFBFBF" w:themeColor="background1" w:themeShade="BF"/>
              <w:bottom w:val="single" w:sz="4" w:space="0" w:color="BFBFBF" w:themeColor="background1" w:themeShade="BF"/>
            </w:tcBorders>
            <w:vAlign w:val="center"/>
          </w:tcPr>
          <w:p w14:paraId="013828D2" w14:textId="77777777" w:rsidR="007862B8" w:rsidRPr="00A221C0" w:rsidRDefault="007862B8">
            <w:pPr>
              <w:jc w:val="center"/>
              <w:rPr>
                <w:rFonts w:cs="Arial"/>
                <w:sz w:val="21"/>
                <w:szCs w:val="21"/>
              </w:rPr>
            </w:pPr>
            <w:r w:rsidRPr="00A41B95">
              <w:rPr>
                <w:rFonts w:cs="Arial"/>
                <w:noProof/>
                <w:sz w:val="21"/>
                <w:szCs w:val="21"/>
              </w:rPr>
              <w:drawing>
                <wp:inline distT="0" distB="0" distL="0" distR="0" wp14:anchorId="2EBD8494" wp14:editId="003E2406">
                  <wp:extent cx="1313543" cy="577252"/>
                  <wp:effectExtent l="0" t="0" r="1270" b="0"/>
                  <wp:docPr id="1228350900" name="Picture 1228350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50900" name="Picture 1228350900">
                            <a:extLst>
                              <a:ext uri="{C183D7F6-B498-43B3-948B-1728B52AA6E4}">
                                <adec:decorative xmlns:adec="http://schemas.microsoft.com/office/drawing/2017/decorative" val="1"/>
                              </a:ext>
                            </a:extLst>
                          </pic:cNvPr>
                          <pic:cNvPicPr/>
                        </pic:nvPicPr>
                        <pic:blipFill>
                          <a:blip r:embed="rId13" cstate="screen">
                            <a:extLst>
                              <a:ext uri="{28A0092B-C50C-407E-A947-70E740481C1C}">
                                <a14:useLocalDpi xmlns:a14="http://schemas.microsoft.com/office/drawing/2010/main"/>
                              </a:ext>
                            </a:extLst>
                          </a:blip>
                          <a:stretch>
                            <a:fillRect/>
                          </a:stretch>
                        </pic:blipFill>
                        <pic:spPr>
                          <a:xfrm>
                            <a:off x="0" y="0"/>
                            <a:ext cx="1324834" cy="582214"/>
                          </a:xfrm>
                          <a:prstGeom prst="rect">
                            <a:avLst/>
                          </a:prstGeom>
                        </pic:spPr>
                      </pic:pic>
                    </a:graphicData>
                  </a:graphic>
                </wp:inline>
              </w:drawing>
            </w:r>
          </w:p>
        </w:tc>
        <w:tc>
          <w:tcPr>
            <w:tcW w:w="7870" w:type="dxa"/>
            <w:tcBorders>
              <w:top w:val="single" w:sz="4" w:space="0" w:color="BFBFBF" w:themeColor="background1" w:themeShade="BF"/>
              <w:bottom w:val="single" w:sz="4" w:space="0" w:color="BFBFBF" w:themeColor="background1" w:themeShade="BF"/>
            </w:tcBorders>
          </w:tcPr>
          <w:p w14:paraId="6282AF44" w14:textId="77777777" w:rsidR="007862B8" w:rsidRPr="00A221C0" w:rsidRDefault="007862B8" w:rsidP="007862B8">
            <w:pPr>
              <w:spacing w:before="240" w:after="240"/>
              <w:ind w:left="113" w:right="170"/>
              <w:rPr>
                <w:rStyle w:val="Strong"/>
                <w:rFonts w:cs="Arial"/>
                <w:b w:val="0"/>
                <w:bCs w:val="0"/>
                <w:sz w:val="21"/>
                <w:szCs w:val="21"/>
              </w:rPr>
            </w:pPr>
            <w:r w:rsidRPr="00A221C0">
              <w:rPr>
                <w:rStyle w:val="Strong"/>
                <w:rFonts w:cs="Arial"/>
                <w:sz w:val="21"/>
                <w:szCs w:val="21"/>
              </w:rPr>
              <w:t xml:space="preserve">Objective three: </w:t>
            </w:r>
            <w:r w:rsidRPr="007B2868">
              <w:rPr>
                <w:rStyle w:val="Strong"/>
                <w:rFonts w:cs="Arial"/>
                <w:b w:val="0"/>
                <w:bCs w:val="0"/>
                <w:sz w:val="21"/>
                <w:szCs w:val="21"/>
              </w:rPr>
              <w:t>people in transitioning sectors and their communities are given the support they need to access new employment opportunities that work for them.</w:t>
            </w:r>
          </w:p>
        </w:tc>
      </w:tr>
    </w:tbl>
    <w:p w14:paraId="11DB0EF7" w14:textId="77777777" w:rsidR="00E17EC6" w:rsidRPr="00E5087D" w:rsidRDefault="00E17EC6" w:rsidP="00D72814">
      <w:pPr>
        <w:pStyle w:val="Heading4"/>
        <w:spacing w:before="480" w:after="120"/>
        <w:rPr>
          <w14:numForm w14:val="lining"/>
          <w14:numSpacing w14:val="proportional"/>
        </w:rPr>
      </w:pPr>
      <w:r w:rsidRPr="00E5087D">
        <w:rPr>
          <w14:numForm w14:val="lining"/>
          <w14:numSpacing w14:val="proportional"/>
        </w:rPr>
        <w:t>The contribution of this report</w:t>
      </w:r>
    </w:p>
    <w:p w14:paraId="1BD9C1E5" w14:textId="77777777" w:rsidR="00E17EC6" w:rsidRPr="00E5087D" w:rsidRDefault="00E17EC6" w:rsidP="00E17EC6">
      <w:pPr>
        <w:pStyle w:val="Bodycopy"/>
        <w:spacing w:after="120" w:line="276" w:lineRule="auto"/>
        <w:rPr>
          <w:rFonts w:eastAsia="Arial" w:cs="Arial"/>
          <w14:numForm w14:val="lining"/>
          <w14:numSpacing w14:val="proportional"/>
        </w:rPr>
      </w:pPr>
      <w:r w:rsidRPr="00E5087D">
        <w:rPr>
          <w:rFonts w:eastAsia="Arial" w:cs="Arial"/>
          <w14:numForm w14:val="lining"/>
          <w14:numSpacing w14:val="proportional"/>
        </w:rPr>
        <w:t>While this isn’t the first report to look at the Australian clean energy workforce, it provides several new and unique contributions that others don’t. The study:</w:t>
      </w:r>
    </w:p>
    <w:p w14:paraId="18595700" w14:textId="53433B96" w:rsidR="00E17EC6" w:rsidRPr="00E5087D" w:rsidRDefault="00E17EC6"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 xml:space="preserve">Defines the </w:t>
      </w:r>
      <w:r w:rsidR="00F65C22">
        <w:rPr>
          <w:rFonts w:eastAsia="Arial" w:cs="Arial"/>
          <w:b/>
          <w:bCs/>
          <w14:numForm w14:val="lining"/>
          <w14:numSpacing w14:val="proportional"/>
        </w:rPr>
        <w:t>clean energy</w:t>
      </w:r>
      <w:r w:rsidRPr="00E5087D">
        <w:rPr>
          <w:rFonts w:eastAsia="Arial" w:cs="Arial"/>
          <w:b/>
          <w:bCs/>
          <w14:numForm w14:val="lining"/>
          <w14:numSpacing w14:val="proportional"/>
        </w:rPr>
        <w:t xml:space="preserve"> workforce</w:t>
      </w:r>
      <w:r w:rsidRPr="00E5087D">
        <w:rPr>
          <w:rFonts w:eastAsia="Arial" w:cs="Arial"/>
          <w14:numForm w14:val="lining"/>
          <w14:numSpacing w14:val="proportional"/>
        </w:rPr>
        <w:t>. For the first time, a comprehensive definition of the clean energy workforce has been produced. Every industry in the economy is categorised and grouped based on its role in meeting net zero.</w:t>
      </w:r>
    </w:p>
    <w:p w14:paraId="366B5705" w14:textId="420E2F8B" w:rsidR="00E17EC6" w:rsidRPr="00E5087D" w:rsidRDefault="00E17EC6"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 xml:space="preserve">Examines the supply of workers. </w:t>
      </w:r>
      <w:r w:rsidRPr="00E5087D">
        <w:rPr>
          <w:rFonts w:eastAsia="Arial" w:cs="Arial"/>
          <w14:numForm w14:val="lining"/>
          <w14:numSpacing w14:val="proportional"/>
        </w:rPr>
        <w:t>Unlike other studies, we have had to consider where the supply of workers will (or won’t) come from</w:t>
      </w:r>
      <w:r w:rsidR="002D27A9">
        <w:rPr>
          <w:rFonts w:eastAsia="Arial" w:cs="Arial"/>
          <w14:numForm w14:val="lining"/>
          <w14:numSpacing w14:val="proportional"/>
        </w:rPr>
        <w:t>.</w:t>
      </w:r>
      <w:r w:rsidRPr="00E5087D">
        <w:rPr>
          <w:rFonts w:eastAsia="Arial" w:cs="Arial"/>
          <w14:numForm w14:val="lining"/>
          <w14:numSpacing w14:val="proportional"/>
        </w:rPr>
        <w:t xml:space="preserve"> With a finite number of workers in Australia, this element is important to understand whether workforce demand can be met.</w:t>
      </w:r>
    </w:p>
    <w:p w14:paraId="4EF62140" w14:textId="77777777" w:rsidR="00E17EC6" w:rsidRPr="00E5087D" w:rsidRDefault="00E17EC6"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Takes a holistic view.</w:t>
      </w:r>
      <w:r w:rsidRPr="00E5087D">
        <w:rPr>
          <w:rFonts w:eastAsia="Arial" w:cs="Arial"/>
          <w14:numForm w14:val="lining"/>
          <w14:numSpacing w14:val="proportional"/>
        </w:rPr>
        <w:t xml:space="preserve"> By taking a whole-of-economy view, this study considers the broader impacts of the net zero transition. We also take a collective view of higher education, VET and migration systems to supply workers.</w:t>
      </w:r>
    </w:p>
    <w:p w14:paraId="53666433" w14:textId="4D4CD906" w:rsidR="00E17EC6" w:rsidRPr="00E5087D" w:rsidRDefault="17A41CE8" w:rsidP="00F25595">
      <w:pPr>
        <w:pStyle w:val="Bodycopy"/>
        <w:numPr>
          <w:ilvl w:val="0"/>
          <w:numId w:val="4"/>
        </w:numPr>
        <w:spacing w:after="120" w:line="276" w:lineRule="auto"/>
        <w:ind w:left="473"/>
        <w:rPr>
          <w:rFonts w:eastAsia="Arial" w:cs="Arial"/>
          <w14:numForm w14:val="lining"/>
          <w14:numSpacing w14:val="proportional"/>
        </w:rPr>
      </w:pPr>
      <w:r w:rsidRPr="00E5087D">
        <w:rPr>
          <w:rFonts w:eastAsia="Arial" w:cs="Arial"/>
          <w:b/>
          <w:bCs/>
          <w14:numForm w14:val="lining"/>
          <w14:numSpacing w14:val="proportional"/>
        </w:rPr>
        <w:t>Uses new data.</w:t>
      </w:r>
      <w:r w:rsidRPr="00E5087D">
        <w:rPr>
          <w:rFonts w:eastAsia="Arial" w:cs="Arial"/>
          <w14:numForm w14:val="lining"/>
          <w14:numSpacing w14:val="proportional"/>
        </w:rPr>
        <w:t xml:space="preserve"> JSA has pioneered the use of new data </w:t>
      </w:r>
      <w:r w:rsidR="52F217DB">
        <w:rPr>
          <w:rFonts w:eastAsia="Arial" w:cs="Arial"/>
          <w14:numForm w14:val="lining"/>
          <w14:numSpacing w14:val="proportional"/>
        </w:rPr>
        <w:t xml:space="preserve">and techniques </w:t>
      </w:r>
      <w:r w:rsidRPr="00E5087D">
        <w:rPr>
          <w:rFonts w:eastAsia="Arial" w:cs="Arial"/>
          <w14:numForm w14:val="lining"/>
          <w14:numSpacing w14:val="proportional"/>
        </w:rPr>
        <w:t xml:space="preserve">to analyse </w:t>
      </w:r>
      <w:r w:rsidR="52F217DB">
        <w:rPr>
          <w:rFonts w:eastAsia="Arial" w:cs="Arial"/>
          <w14:numForm w14:val="lining"/>
          <w14:numSpacing w14:val="proportional"/>
        </w:rPr>
        <w:t>th</w:t>
      </w:r>
      <w:r w:rsidR="68A90867">
        <w:rPr>
          <w:rFonts w:eastAsia="Arial" w:cs="Arial"/>
          <w14:numForm w14:val="lining"/>
          <w14:numSpacing w14:val="proportional"/>
        </w:rPr>
        <w:t>e clean energy</w:t>
      </w:r>
      <w:r w:rsidRPr="00E5087D">
        <w:rPr>
          <w:rFonts w:eastAsia="Arial" w:cs="Arial"/>
          <w14:numForm w14:val="lining"/>
          <w14:numSpacing w14:val="proportional"/>
        </w:rPr>
        <w:t xml:space="preserve"> workforce </w:t>
      </w:r>
      <w:r w:rsidR="68A90867">
        <w:rPr>
          <w:rFonts w:eastAsia="Arial" w:cs="Arial"/>
          <w14:numForm w14:val="lining"/>
          <w14:numSpacing w14:val="proportional"/>
        </w:rPr>
        <w:t>u</w:t>
      </w:r>
      <w:r w:rsidRPr="00E5087D">
        <w:rPr>
          <w:rFonts w:eastAsia="Arial" w:cs="Arial"/>
          <w14:numForm w14:val="lining"/>
          <w14:numSpacing w14:val="proportional"/>
        </w:rPr>
        <w:t xml:space="preserve">sing unit record data </w:t>
      </w:r>
      <w:r w:rsidR="474E3686" w:rsidRPr="00E5087D">
        <w:rPr>
          <w:rFonts w:eastAsia="Arial" w:cs="Arial"/>
          <w14:numForm w14:val="lining"/>
          <w14:numSpacing w14:val="proportional"/>
        </w:rPr>
        <w:t xml:space="preserve">to </w:t>
      </w:r>
      <w:r w:rsidRPr="00E5087D">
        <w:rPr>
          <w:rFonts w:eastAsia="Arial" w:cs="Arial"/>
          <w14:numForm w14:val="lining"/>
          <w14:numSpacing w14:val="proportional"/>
        </w:rPr>
        <w:t xml:space="preserve">let us explore characteristics of workers and </w:t>
      </w:r>
      <w:r w:rsidR="00E4445C">
        <w:rPr>
          <w:rFonts w:eastAsia="Arial" w:cs="Arial"/>
          <w14:numForm w14:val="lining"/>
          <w14:numSpacing w14:val="proportional"/>
        </w:rPr>
        <w:t>exam</w:t>
      </w:r>
      <w:r w:rsidR="00FF120D">
        <w:rPr>
          <w:rFonts w:eastAsia="Arial" w:cs="Arial"/>
          <w14:numForm w14:val="lining"/>
          <w14:numSpacing w14:val="proportional"/>
        </w:rPr>
        <w:t>ine</w:t>
      </w:r>
      <w:r w:rsidR="00E4445C">
        <w:rPr>
          <w:rFonts w:eastAsia="Arial" w:cs="Arial"/>
          <w14:numForm w14:val="lining"/>
          <w14:numSpacing w14:val="proportional"/>
        </w:rPr>
        <w:t xml:space="preserve"> </w:t>
      </w:r>
      <w:r w:rsidRPr="00E5087D">
        <w:rPr>
          <w:rFonts w:eastAsia="Arial" w:cs="Arial"/>
          <w14:numForm w14:val="lining"/>
          <w14:numSpacing w14:val="proportional"/>
        </w:rPr>
        <w:t>the real-world pathways they take into new roles.</w:t>
      </w:r>
    </w:p>
    <w:p w14:paraId="1A1ECB1A" w14:textId="6412D112" w:rsidR="00D72814" w:rsidRPr="00E5087D" w:rsidRDefault="17A41CE8" w:rsidP="00F25595">
      <w:pPr>
        <w:pStyle w:val="Bodycopy"/>
        <w:numPr>
          <w:ilvl w:val="0"/>
          <w:numId w:val="4"/>
        </w:numPr>
        <w:spacing w:line="276" w:lineRule="auto"/>
        <w:ind w:left="473"/>
        <w:rPr>
          <w:rFonts w:eastAsia="Arial" w:cs="Arial"/>
          <w14:numForm w14:val="lining"/>
          <w14:numSpacing w14:val="proportional"/>
        </w:rPr>
      </w:pPr>
      <w:r w:rsidRPr="00E5087D">
        <w:rPr>
          <w:rFonts w:eastAsia="Arial" w:cs="Arial"/>
          <w:b/>
          <w:bCs/>
          <w14:numForm w14:val="lining"/>
          <w14:numSpacing w14:val="proportional"/>
        </w:rPr>
        <w:t>Provides gap analysis.</w:t>
      </w:r>
      <w:r w:rsidRPr="00E5087D">
        <w:rPr>
          <w:rFonts w:eastAsia="Arial" w:cs="Arial"/>
          <w14:numForm w14:val="lining"/>
          <w14:numSpacing w14:val="proportional"/>
        </w:rPr>
        <w:t xml:space="preserve"> Our supply and demand modelling shows when and where workforce gaps will likely arise, helping government to pre-empt and mitigate skill shortages. This includes gap analysis across a range of scenarios and sensitivities.</w:t>
      </w:r>
    </w:p>
    <w:p w14:paraId="7722A1AC" w14:textId="77777777" w:rsidR="00D72814" w:rsidRPr="00E5087D" w:rsidRDefault="00D72814">
      <w:pPr>
        <w:rPr>
          <w:rFonts w:eastAsia="Arial" w:cs="Arial"/>
          <w14:numForm w14:val="lining"/>
          <w14:numSpacing w14:val="proportional"/>
        </w:rPr>
      </w:pPr>
      <w:r w:rsidRPr="00E5087D">
        <w:rPr>
          <w:rFonts w:eastAsia="Arial" w:cs="Arial"/>
          <w14:numForm w14:val="lining"/>
          <w14:numSpacing w14:val="proportional"/>
        </w:rPr>
        <w:br w:type="page"/>
      </w:r>
    </w:p>
    <w:p w14:paraId="58F42F33" w14:textId="74AD6A1A" w:rsidR="00D72814" w:rsidRPr="00E5087D" w:rsidRDefault="00D72814" w:rsidP="00D72814">
      <w:pPr>
        <w:pStyle w:val="Bodycopy"/>
        <w:spacing w:after="120" w:line="276" w:lineRule="auto"/>
        <w:rPr>
          <w:rFonts w:eastAsia="Arial" w:cs="Arial"/>
        </w:rPr>
      </w:pPr>
      <w:r w:rsidRPr="00E5087D">
        <w:rPr>
          <w:rFonts w:eastAsia="Arial" w:cs="Arial"/>
          <w14:numForm w14:val="lining"/>
          <w14:numSpacing w14:val="proportional"/>
        </w:rPr>
        <w:lastRenderedPageBreak/>
        <w:t xml:space="preserve">We have designed our work to align with existing plans and strategies. In particular, </w:t>
      </w:r>
      <w:r w:rsidR="00D97EC2">
        <w:rPr>
          <w:rFonts w:eastAsia="Arial" w:cs="Arial"/>
          <w14:numForm w14:val="lining"/>
          <w14:numSpacing w14:val="proportional"/>
        </w:rPr>
        <w:t>this report</w:t>
      </w:r>
      <w:r w:rsidRPr="00E5087D">
        <w:rPr>
          <w:rFonts w:eastAsia="Arial" w:cs="Arial"/>
          <w14:numForm w14:val="lining"/>
          <w14:numSpacing w14:val="proportional"/>
        </w:rPr>
        <w:t xml:space="preserve"> </w:t>
      </w:r>
      <w:r w:rsidR="00D97EC2">
        <w:rPr>
          <w:rFonts w:eastAsia="Arial" w:cs="Arial"/>
          <w14:numForm w14:val="lining"/>
          <w14:numSpacing w14:val="proportional"/>
        </w:rPr>
        <w:t>leverages</w:t>
      </w:r>
      <w:r w:rsidRPr="00E5087D">
        <w:rPr>
          <w:rFonts w:eastAsia="Arial" w:cs="Arial"/>
          <w14:numForm w14:val="lining"/>
          <w14:numSpacing w14:val="proportional"/>
        </w:rPr>
        <w:t xml:space="preserve"> the Australian Electricity Market Operator’s (AEMO) </w:t>
      </w:r>
      <w:r w:rsidR="002943A4">
        <w:rPr>
          <w:rFonts w:eastAsia="Arial" w:cs="Arial"/>
          <w14:numForm w14:val="lining"/>
          <w14:numSpacing w14:val="proportional"/>
        </w:rPr>
        <w:t>I</w:t>
      </w:r>
      <w:r w:rsidRPr="00E5087D">
        <w:rPr>
          <w:rFonts w:eastAsia="Arial" w:cs="Arial"/>
          <w14:numForm w14:val="lining"/>
          <w14:numSpacing w14:val="proportional"/>
        </w:rPr>
        <w:t xml:space="preserve">ntegrated </w:t>
      </w:r>
      <w:r w:rsidR="002943A4">
        <w:rPr>
          <w:rFonts w:eastAsia="Arial" w:cs="Arial"/>
          <w14:numForm w14:val="lining"/>
          <w14:numSpacing w14:val="proportional"/>
        </w:rPr>
        <w:t>S</w:t>
      </w:r>
      <w:r w:rsidRPr="00E5087D">
        <w:rPr>
          <w:rFonts w:eastAsia="Arial" w:cs="Arial"/>
          <w14:numForm w14:val="lining"/>
          <w14:numSpacing w14:val="proportional"/>
        </w:rPr>
        <w:t xml:space="preserve">ystem </w:t>
      </w:r>
      <w:r w:rsidR="002943A4">
        <w:rPr>
          <w:rFonts w:eastAsia="Arial" w:cs="Arial"/>
          <w14:numForm w14:val="lining"/>
          <w14:numSpacing w14:val="proportional"/>
        </w:rPr>
        <w:t>P</w:t>
      </w:r>
      <w:r w:rsidRPr="00E5087D">
        <w:rPr>
          <w:rFonts w:eastAsia="Arial" w:cs="Arial"/>
          <w14:numForm w14:val="lining"/>
          <w14:numSpacing w14:val="proportional"/>
        </w:rPr>
        <w:t>lan</w:t>
      </w:r>
      <w:r w:rsidR="002943A4">
        <w:rPr>
          <w:rFonts w:eastAsia="Arial" w:cs="Arial"/>
          <w14:numForm w14:val="lining"/>
          <w14:numSpacing w14:val="proportional"/>
        </w:rPr>
        <w:t xml:space="preserve"> (ISP)</w:t>
      </w:r>
      <w:r w:rsidRPr="00E5087D">
        <w:rPr>
          <w:rFonts w:eastAsia="Arial" w:cs="Arial"/>
          <w14:numForm w14:val="lining"/>
          <w14:numSpacing w14:val="proportional"/>
        </w:rPr>
        <w:t xml:space="preserve"> to build on what is already known and understood across the sector. This has been extended beyond the </w:t>
      </w:r>
      <w:r w:rsidR="008A55E2">
        <w:rPr>
          <w:rFonts w:eastAsia="Arial" w:cs="Arial"/>
          <w14:numForm w14:val="lining"/>
          <w14:numSpacing w14:val="proportional"/>
        </w:rPr>
        <w:t>NEM</w:t>
      </w:r>
      <w:r w:rsidRPr="00E5087D">
        <w:rPr>
          <w:rFonts w:eastAsia="Arial" w:cs="Arial"/>
          <w14:numForm w14:val="lining"/>
          <w14:numSpacing w14:val="proportional"/>
        </w:rPr>
        <w:t xml:space="preserve"> to look at the contribution of all regions and sectors to decarbonisation. </w:t>
      </w:r>
    </w:p>
    <w:p w14:paraId="2AC3A41A" w14:textId="659BD931" w:rsidR="00D72814" w:rsidRPr="00E5087D" w:rsidRDefault="00D72814" w:rsidP="00D72814">
      <w:pPr>
        <w:pStyle w:val="Bodycopy"/>
      </w:pPr>
      <w:r w:rsidRPr="00E5087D">
        <w:t xml:space="preserve">We also leverage the large volume of work led by agencies across all levels of government, as well as the pioneering research from industry groups and research bodies. </w:t>
      </w:r>
    </w:p>
    <w:p w14:paraId="2E7B347D" w14:textId="14E8CE6E" w:rsidR="00D72814" w:rsidRPr="00E5087D" w:rsidRDefault="00462E4E" w:rsidP="00D72814">
      <w:pPr>
        <w:pStyle w:val="Bodycopy"/>
        <w:spacing w:after="240"/>
      </w:pPr>
      <w:r>
        <w:rPr>
          <w:noProof/>
        </w:rPr>
        <w:drawing>
          <wp:inline distT="0" distB="0" distL="0" distR="0" wp14:anchorId="27F2E183" wp14:editId="1DD7F0D0">
            <wp:extent cx="5730875" cy="1987550"/>
            <wp:effectExtent l="0" t="0" r="3175" b="0"/>
            <wp:docPr id="96148150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81505" name="Picture 3">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730875" cy="1987550"/>
                    </a:xfrm>
                    <a:prstGeom prst="rect">
                      <a:avLst/>
                    </a:prstGeom>
                    <a:noFill/>
                  </pic:spPr>
                </pic:pic>
              </a:graphicData>
            </a:graphic>
          </wp:inline>
        </w:drawing>
      </w:r>
    </w:p>
    <w:p w14:paraId="47997E58" w14:textId="77777777" w:rsidR="00D72814" w:rsidRPr="00E5087D" w:rsidRDefault="00D72814" w:rsidP="00D72814">
      <w:pPr>
        <w:pStyle w:val="Heading4"/>
        <w:spacing w:before="600" w:after="120"/>
        <w:rPr>
          <w14:numForm w14:val="lining"/>
          <w14:numSpacing w14:val="proportional"/>
        </w:rPr>
      </w:pPr>
      <w:r w:rsidRPr="00E5087D">
        <w:rPr>
          <w14:numForm w14:val="lining"/>
          <w14:numSpacing w14:val="proportional"/>
        </w:rPr>
        <w:t>Whole of economy view</w:t>
      </w:r>
    </w:p>
    <w:p w14:paraId="6690D520" w14:textId="0FF1BC40" w:rsidR="00D72814" w:rsidRPr="00E5087D" w:rsidRDefault="00D72814" w:rsidP="00D72814">
      <w:pPr>
        <w:pStyle w:val="Bodycopy"/>
        <w:spacing w:after="120" w:line="276" w:lineRule="auto"/>
        <w:rPr>
          <w:rFonts w:eastAsia="Arial" w:cs="Arial"/>
          <w14:numForm w14:val="lining"/>
          <w14:numSpacing w14:val="proportional"/>
        </w:rPr>
      </w:pPr>
      <w:r w:rsidRPr="00E5087D">
        <w:rPr>
          <w:rFonts w:eastAsia="Arial" w:cs="Arial"/>
          <w14:numForm w14:val="lining"/>
          <w14:numSpacing w14:val="proportional"/>
        </w:rPr>
        <w:t>This report examines Australia's current clean energy workforce and identifies the workforce needed to achieve net-zero emissions by 2050. That means examining the industries and occupations with direct and indirect contributions to generating, usin</w:t>
      </w:r>
      <w:r w:rsidRPr="00E5087D">
        <w:rPr>
          <w:rFonts w:eastAsiaTheme="minorEastAsia"/>
          <w14:numForm w14:val="lining"/>
          <w14:numSpacing w14:val="proportional"/>
        </w:rPr>
        <w:t>g and managing clean energy, as well as the pathways</w:t>
      </w:r>
      <w:r w:rsidR="004032DC">
        <w:rPr>
          <w:rFonts w:eastAsiaTheme="minorEastAsia"/>
          <w14:numForm w14:val="lining"/>
          <w14:numSpacing w14:val="proportional"/>
        </w:rPr>
        <w:t>.</w:t>
      </w:r>
      <w:r w:rsidRPr="00E5087D">
        <w:rPr>
          <w:rFonts w:eastAsiaTheme="minorEastAsia"/>
          <w14:numForm w14:val="lining"/>
          <w14:numSpacing w14:val="proportional"/>
        </w:rPr>
        <w:t xml:space="preserve"> </w:t>
      </w:r>
    </w:p>
    <w:p w14:paraId="5D4D20B0" w14:textId="782C6251" w:rsidR="00D72814" w:rsidRPr="00E5087D" w:rsidRDefault="00D72814" w:rsidP="00D72814">
      <w:pPr>
        <w:spacing w:before="120" w:after="0" w:line="276" w:lineRule="auto"/>
        <w:rPr>
          <w14:numForm w14:val="lining"/>
          <w14:numSpacing w14:val="proportional"/>
        </w:rPr>
      </w:pPr>
      <w:r w:rsidRPr="00E5087D">
        <w:rPr>
          <w:rFonts w:eastAsia="Arial" w:cs="Arial"/>
          <w14:numForm w14:val="lining"/>
          <w14:numSpacing w14:val="proportional"/>
        </w:rPr>
        <w:t xml:space="preserve">This </w:t>
      </w:r>
      <w:r w:rsidR="007E26A6">
        <w:rPr>
          <w:rFonts w:eastAsia="Arial" w:cs="Arial"/>
          <w14:numForm w14:val="lining"/>
          <w14:numSpacing w14:val="proportional"/>
        </w:rPr>
        <w:t xml:space="preserve">analysis was undertaken </w:t>
      </w:r>
      <w:r w:rsidRPr="00E5087D">
        <w:rPr>
          <w:spacing w:val="2"/>
          <w14:ligatures w14:val="standard"/>
          <w14:numForm w14:val="lining"/>
          <w14:numSpacing w14:val="proportional"/>
        </w:rPr>
        <w:t xml:space="preserve">at a time of record low unemployment and increased workforce shortages (Figure </w:t>
      </w:r>
      <w:r w:rsidR="006B7B63">
        <w:rPr>
          <w:spacing w:val="2"/>
          <w14:ligatures w14:val="standard"/>
          <w14:numForm w14:val="lining"/>
          <w14:numSpacing w14:val="proportional"/>
        </w:rPr>
        <w:t>1.</w:t>
      </w:r>
      <w:r w:rsidRPr="00E5087D">
        <w:rPr>
          <w:spacing w:val="2"/>
          <w14:ligatures w14:val="standard"/>
          <w14:numForm w14:val="lining"/>
          <w14:numSpacing w14:val="proportional"/>
        </w:rPr>
        <w:t>2). In these tighter labour market conditions, clean energy employers may find it increasingly difficult to attract and retain skilled workers. While the clean energy sector has a unique value proposition, it is competing with several other large and growing sectors like construction and defence.</w:t>
      </w:r>
      <w:r w:rsidRPr="00E5087D">
        <w:rPr>
          <w:rStyle w:val="EndnoteReference"/>
          <w:spacing w:val="2"/>
          <w14:ligatures w14:val="standard"/>
          <w14:numForm w14:val="lining"/>
          <w14:numSpacing w14:val="proportional"/>
        </w:rPr>
        <w:endnoteReference w:id="2"/>
      </w:r>
    </w:p>
    <w:p w14:paraId="72EBE7A3" w14:textId="2CBD6029" w:rsidR="00D72814" w:rsidRPr="00E5087D" w:rsidRDefault="099738F3" w:rsidP="00D72814">
      <w:pPr>
        <w:spacing w:before="120" w:after="0" w:line="276" w:lineRule="auto"/>
      </w:pPr>
      <w:r w:rsidRPr="00E5087D">
        <w:rPr>
          <w:rFonts w:eastAsia="Arial" w:cs="Arial"/>
          <w14:numForm w14:val="lining"/>
          <w14:numSpacing w14:val="proportional"/>
        </w:rPr>
        <w:t xml:space="preserve">We also examine where workers, who are a finite but very important resource, will come from. This is particularly important as Australia’s students are being pulled in many directions across VET, higher education and the labour market. </w:t>
      </w:r>
      <w:r w:rsidRPr="00E5087D">
        <w:rPr>
          <w:spacing w:val="2"/>
          <w14:ligatures w14:val="standard"/>
          <w14:numForm w14:val="lining"/>
          <w14:numSpacing w14:val="proportional"/>
        </w:rPr>
        <w:t>As such, our advice reflects the total workforce impact of clean energy and the cumulative needs of our education, training and migration systems.</w:t>
      </w:r>
    </w:p>
    <w:p w14:paraId="0F578E52" w14:textId="77777777" w:rsidR="00D72814" w:rsidRPr="00E5087D" w:rsidRDefault="00D72814">
      <w:pPr>
        <w:rPr>
          <w:spacing w:val="2"/>
          <w14:ligatures w14:val="standard"/>
          <w14:numForm w14:val="lining"/>
          <w14:numSpacing w14:val="proportional"/>
        </w:rPr>
      </w:pPr>
      <w:r w:rsidRPr="00E5087D">
        <w:rPr>
          <w:spacing w:val="2"/>
          <w14:ligatures w14:val="standard"/>
          <w14:numForm w14:val="lining"/>
          <w14:numSpacing w14:val="proportional"/>
        </w:rPr>
        <w:br w:type="page"/>
      </w:r>
    </w:p>
    <w:p w14:paraId="05745F8B" w14:textId="74A4A388" w:rsidR="00D72814" w:rsidRPr="00E5087D" w:rsidRDefault="00D72814" w:rsidP="00BB11F0">
      <w:pPr>
        <w:pBdr>
          <w:top w:val="single" w:sz="4" w:space="5" w:color="BFBFBF" w:themeColor="background1" w:themeShade="BF"/>
        </w:pBdr>
        <w:spacing w:before="120" w:after="0"/>
        <w:rPr>
          <w:b/>
          <w:bCs/>
          <w:spacing w:val="2"/>
          <w:sz w:val="23"/>
          <w:szCs w:val="23"/>
          <w14:ligatures w14:val="standard"/>
          <w14:numForm w14:val="lining"/>
          <w14:numSpacing w14:val="proportional"/>
        </w:rPr>
      </w:pPr>
      <w:r w:rsidRPr="00E5087D">
        <w:rPr>
          <w:b/>
          <w:bCs/>
          <w:spacing w:val="2"/>
          <w:sz w:val="23"/>
          <w:szCs w:val="23"/>
          <w14:ligatures w14:val="standard"/>
          <w14:numForm w14:val="lining"/>
          <w14:numSpacing w14:val="proportional"/>
        </w:rPr>
        <w:lastRenderedPageBreak/>
        <w:t xml:space="preserve">Figure </w:t>
      </w:r>
      <w:r w:rsidR="00F333F7">
        <w:rPr>
          <w:b/>
          <w:bCs/>
          <w:spacing w:val="2"/>
          <w:sz w:val="23"/>
          <w:szCs w:val="23"/>
          <w14:ligatures w14:val="standard"/>
          <w14:numForm w14:val="lining"/>
          <w14:numSpacing w14:val="proportional"/>
        </w:rPr>
        <w:t>1.</w:t>
      </w:r>
      <w:r w:rsidRPr="00E5087D">
        <w:rPr>
          <w:b/>
          <w:bCs/>
          <w:spacing w:val="2"/>
          <w:sz w:val="23"/>
          <w:szCs w:val="23"/>
          <w14:ligatures w14:val="standard"/>
          <w14:numForm w14:val="lining"/>
          <w14:numSpacing w14:val="proportional"/>
        </w:rPr>
        <w:t>2</w:t>
      </w:r>
      <w:r w:rsidR="00AD4AD9">
        <w:rPr>
          <w:b/>
          <w:bCs/>
          <w:spacing w:val="2"/>
          <w:sz w:val="23"/>
          <w:szCs w:val="23"/>
          <w14:ligatures w14:val="standard"/>
          <w14:numForm w14:val="lining"/>
          <w14:numSpacing w14:val="proportional"/>
        </w:rPr>
        <w:t>.</w:t>
      </w:r>
      <w:r w:rsidRPr="00E5087D">
        <w:rPr>
          <w:b/>
          <w:bCs/>
          <w:spacing w:val="2"/>
          <w:sz w:val="23"/>
          <w:szCs w:val="23"/>
          <w14:ligatures w14:val="standard"/>
          <w14:numForm w14:val="lining"/>
          <w14:numSpacing w14:val="proportional"/>
        </w:rPr>
        <w:t xml:space="preserve"> Job advertisements and the unemployment rate, 2006 – 2023</w:t>
      </w:r>
    </w:p>
    <w:p w14:paraId="5E8F2456" w14:textId="11267051" w:rsidR="00D72814" w:rsidRPr="00E5087D" w:rsidRDefault="00D72814" w:rsidP="00D72814">
      <w:pPr>
        <w:spacing w:before="120" w:after="0" w:line="276" w:lineRule="auto"/>
      </w:pPr>
      <w:r w:rsidRPr="00E5087D">
        <w:rPr>
          <w:noProof/>
        </w:rPr>
        <w:drawing>
          <wp:inline distT="0" distB="0" distL="0" distR="0" wp14:anchorId="3601198E" wp14:editId="05E42E7C">
            <wp:extent cx="5419156" cy="3657600"/>
            <wp:effectExtent l="0" t="0" r="0" b="0"/>
            <wp:docPr id="28" name="Picture 28" descr="This figure contrasts jobs advertisements with the unemployment rate across the period of 2006 to 2023. The figure reflects that throughout the 2022 to 2023 period the rate of job advertisements has grown while the unemployment rate has de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is figure contrasts jobs advertisements with the unemployment rate across the period of 2006 to 2023. The figure reflects that throughout the 2022 to 2023 period the rate of job advertisements has grown while the unemployment rate has declined."/>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423846" cy="3660766"/>
                    </a:xfrm>
                    <a:prstGeom prst="rect">
                      <a:avLst/>
                    </a:prstGeom>
                    <a:noFill/>
                    <a:ln>
                      <a:noFill/>
                    </a:ln>
                  </pic:spPr>
                </pic:pic>
              </a:graphicData>
            </a:graphic>
          </wp:inline>
        </w:drawing>
      </w:r>
    </w:p>
    <w:p w14:paraId="01F321C6" w14:textId="77777777" w:rsidR="00D72814" w:rsidRPr="00E5087D" w:rsidRDefault="00D72814" w:rsidP="00D72814">
      <w:pPr>
        <w:spacing w:after="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Source: ABS Labour Force Survey July 2023; JSA Internet Vacancy Index July 2023</w:t>
      </w:r>
    </w:p>
    <w:p w14:paraId="782CF0AE" w14:textId="77777777" w:rsidR="00D72814" w:rsidRPr="00E5087D" w:rsidRDefault="00D72814" w:rsidP="00B13FDD">
      <w:pPr>
        <w:pStyle w:val="Heading4"/>
        <w:spacing w:before="360" w:after="120"/>
        <w:rPr>
          <w14:numForm w14:val="lining"/>
          <w14:numSpacing w14:val="proportional"/>
        </w:rPr>
      </w:pPr>
      <w:r w:rsidRPr="00E5087D">
        <w:rPr>
          <w14:numForm w14:val="lining"/>
          <w14:numSpacing w14:val="proportional"/>
        </w:rPr>
        <w:t>Partnering with stakeholders</w:t>
      </w:r>
    </w:p>
    <w:p w14:paraId="6F1A3420" w14:textId="77777777" w:rsidR="00D72814" w:rsidRPr="00E5087D" w:rsidRDefault="00D72814" w:rsidP="00D72814">
      <w:pPr>
        <w:pStyle w:val="Bodycopy"/>
        <w:spacing w:after="120" w:line="276" w:lineRule="auto"/>
        <w:rPr>
          <w:rFonts w:eastAsia="Arial"/>
          <w14:numForm w14:val="lining"/>
          <w14:numSpacing w14:val="proportional"/>
        </w:rPr>
      </w:pPr>
      <w:r w:rsidRPr="00E5087D">
        <w:rPr>
          <w:shd w:val="clear" w:color="auto" w:fill="FFFFFF"/>
          <w14:numForm w14:val="lining"/>
          <w14:numSpacing w14:val="proportional"/>
        </w:rPr>
        <w:t>Engagement is central to the way we work and achieve our priorities. JSA is committed to working with others in determining what we do and how we do it. This study has been informed by extensive engagement and partnerships with governments, industry, unions, universities, training providers, research bodies and subject matter experts. Key activities included:</w:t>
      </w:r>
    </w:p>
    <w:p w14:paraId="5B4EA5A3" w14:textId="0D6A16E0"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 xml:space="preserve">public consultation on </w:t>
      </w:r>
      <w:r w:rsidR="006A5A70">
        <w:rPr>
          <w:rFonts w:eastAsia="Arial" w:cs="Arial"/>
          <w14:numForm w14:val="lining"/>
          <w14:numSpacing w14:val="proportional"/>
        </w:rPr>
        <w:t>the study’s</w:t>
      </w:r>
      <w:r w:rsidRPr="00E5087D">
        <w:rPr>
          <w:rFonts w:eastAsia="Arial" w:cs="Arial"/>
          <w14:numForm w14:val="lining"/>
          <w14:numSpacing w14:val="proportional"/>
        </w:rPr>
        <w:t xml:space="preserve"> Terms of Reference</w:t>
      </w:r>
    </w:p>
    <w:p w14:paraId="73353B59" w14:textId="5BB514F6"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a 19-member Project Steering Group that met regularly throughout the project to inform the design of the modelling, stakeholder engagement and final report</w:t>
      </w:r>
    </w:p>
    <w:p w14:paraId="5C32BD11" w14:textId="77777777"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a Discussion Paper that was publicly released on 4 April 2023, to which we received 35 submissions</w:t>
      </w:r>
    </w:p>
    <w:p w14:paraId="218C1935" w14:textId="77777777"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roundtables and workshops with union representatives, educators from universities, TAFEs and other education and training providers, and businesses</w:t>
      </w:r>
    </w:p>
    <w:p w14:paraId="16AFCC8A" w14:textId="20156BB0" w:rsidR="00D72814" w:rsidRPr="00E5087D" w:rsidRDefault="099738F3"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monthly forums with states and territories to share learnings and ensure strategies, initiatives and perspectives from all jurisdictions were captured in the analysis</w:t>
      </w:r>
    </w:p>
    <w:p w14:paraId="71468C24" w14:textId="77777777" w:rsidR="00D72814"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international engagements, including with Skills Future Singapore</w:t>
      </w:r>
    </w:p>
    <w:p w14:paraId="5026F502" w14:textId="7C015C17" w:rsidR="00D92118" w:rsidRPr="00E5087D" w:rsidRDefault="00D72814" w:rsidP="00F25595">
      <w:pPr>
        <w:pStyle w:val="Bodycopy"/>
        <w:numPr>
          <w:ilvl w:val="0"/>
          <w:numId w:val="5"/>
        </w:numPr>
        <w:spacing w:after="120" w:line="276" w:lineRule="auto"/>
        <w:ind w:left="587"/>
        <w:rPr>
          <w:rFonts w:eastAsia="Arial" w:cs="Arial"/>
          <w14:numForm w14:val="lining"/>
          <w14:numSpacing w14:val="proportional"/>
        </w:rPr>
      </w:pPr>
      <w:r w:rsidRPr="00E5087D">
        <w:rPr>
          <w:rFonts w:eastAsia="Arial" w:cs="Arial"/>
          <w14:numForm w14:val="lining"/>
          <w14:numSpacing w14:val="proportional"/>
        </w:rPr>
        <w:t>consultations with the First Nations Clean Energy Network, Aboriginal Housing N</w:t>
      </w:r>
      <w:r w:rsidR="001E1C07">
        <w:rPr>
          <w:rFonts w:eastAsia="Arial" w:cs="Arial"/>
          <w14:numForm w14:val="lining"/>
          <w14:numSpacing w14:val="proportional"/>
        </w:rPr>
        <w:t xml:space="preserve">orthern </w:t>
      </w:r>
      <w:r w:rsidRPr="00E5087D">
        <w:rPr>
          <w:rFonts w:eastAsia="Arial" w:cs="Arial"/>
          <w14:numForm w14:val="lining"/>
          <w14:numSpacing w14:val="proportional"/>
        </w:rPr>
        <w:t>T</w:t>
      </w:r>
      <w:r w:rsidR="001E1C07">
        <w:rPr>
          <w:rFonts w:eastAsia="Arial" w:cs="Arial"/>
          <w14:numForm w14:val="lining"/>
          <w14:numSpacing w14:val="proportional"/>
        </w:rPr>
        <w:t>erritory</w:t>
      </w:r>
      <w:r w:rsidRPr="00E5087D">
        <w:rPr>
          <w:rFonts w:eastAsia="Arial" w:cs="Arial"/>
          <w14:numForm w14:val="lining"/>
          <w14:numSpacing w14:val="proportional"/>
        </w:rPr>
        <w:t>, the Central Land Council and energy providers and workers in remote areas.</w:t>
      </w:r>
    </w:p>
    <w:p w14:paraId="64054322" w14:textId="77777777" w:rsidR="00D72814" w:rsidRPr="00E5087D" w:rsidRDefault="00D72814" w:rsidP="00D72814">
      <w:pPr>
        <w:pStyle w:val="Heading4"/>
        <w:spacing w:before="240" w:after="120"/>
        <w:rPr>
          <w14:numForm w14:val="lining"/>
          <w14:numSpacing w14:val="proportional"/>
        </w:rPr>
      </w:pPr>
      <w:r w:rsidRPr="00E5087D">
        <w:rPr>
          <w14:numForm w14:val="lining"/>
          <w14:numSpacing w14:val="proportional"/>
        </w:rPr>
        <w:lastRenderedPageBreak/>
        <w:t>Future workforce estimates</w:t>
      </w:r>
    </w:p>
    <w:p w14:paraId="38ED5687" w14:textId="7A2E53D7" w:rsidR="00D72814" w:rsidRPr="008B65C5" w:rsidRDefault="08C1F6D8" w:rsidP="00D72814">
      <w:pPr>
        <w:pStyle w:val="Bodycopy"/>
        <w:spacing w:after="120" w:line="276" w:lineRule="auto"/>
        <w:rPr>
          <w:rFonts w:cs="Arial"/>
          <w:color w:val="auto"/>
          <w:spacing w:val="-2"/>
          <w:shd w:val="clear" w:color="auto" w:fill="FFFFFF"/>
          <w14:numForm w14:val="lining"/>
          <w14:numSpacing w14:val="proportional"/>
        </w:rPr>
      </w:pPr>
      <w:r w:rsidRPr="008B65C5">
        <w:rPr>
          <w:rFonts w:cs="Arial"/>
          <w:color w:val="auto"/>
          <w:spacing w:val="-2"/>
          <w:shd w:val="clear" w:color="auto" w:fill="FFFFFF"/>
          <w14:numForm w14:val="lining"/>
          <w14:numSpacing w14:val="proportional"/>
        </w:rPr>
        <w:t xml:space="preserve">JSA partnered with Deloitte Access Economics (DAE) to produce workforce estimates for the Australian economy out to 2050, covering a number of scenarios where we meet, exceed, and fall short of net zero (see </w:t>
      </w:r>
      <w:r w:rsidRPr="7E8B681F">
        <w:rPr>
          <w:rFonts w:cs="Arial"/>
          <w:b/>
          <w:bCs/>
          <w:color w:val="auto"/>
          <w:spacing w:val="-2"/>
          <w:shd w:val="clear" w:color="auto" w:fill="FFFFFF"/>
          <w14:numForm w14:val="lining"/>
          <w14:numSpacing w14:val="proportional"/>
        </w:rPr>
        <w:t>Chapter 5</w:t>
      </w:r>
      <w:r w:rsidRPr="008B65C5">
        <w:rPr>
          <w:rFonts w:cs="Arial"/>
          <w:color w:val="auto"/>
          <w:spacing w:val="-2"/>
          <w:shd w:val="clear" w:color="auto" w:fill="FFFFFF"/>
          <w14:numForm w14:val="lining"/>
          <w14:numSpacing w14:val="proportional"/>
        </w:rPr>
        <w:t>). These scenarios were developed in close consultation with our Project Steering Group and other experts across government.</w:t>
      </w:r>
    </w:p>
    <w:p w14:paraId="041D5775" w14:textId="40D64B78" w:rsidR="00D72814" w:rsidRPr="008B65C5" w:rsidRDefault="00D72814" w:rsidP="00D72814">
      <w:pPr>
        <w:pStyle w:val="Bodycopy"/>
        <w:spacing w:after="120" w:line="276" w:lineRule="auto"/>
        <w:rPr>
          <w:rFonts w:cs="Arial"/>
          <w:color w:val="auto"/>
          <w:spacing w:val="-2"/>
          <w:shd w:val="clear" w:color="auto" w:fill="FFFFFF"/>
          <w14:numForm w14:val="lining"/>
          <w14:numSpacing w14:val="proportional"/>
        </w:rPr>
      </w:pPr>
      <w:r w:rsidRPr="008B65C5">
        <w:rPr>
          <w:rFonts w:cs="Arial"/>
          <w:color w:val="auto"/>
          <w:spacing w:val="-2"/>
          <w:shd w:val="clear" w:color="auto" w:fill="FFFFFF"/>
          <w14:numForm w14:val="lining"/>
          <w14:numSpacing w14:val="proportional"/>
        </w:rPr>
        <w:t xml:space="preserve">JSA and DAE have also looked at the </w:t>
      </w:r>
      <w:r w:rsidR="00C1505E">
        <w:rPr>
          <w:rFonts w:cs="Arial"/>
          <w:color w:val="auto"/>
          <w:spacing w:val="-2"/>
          <w:shd w:val="clear" w:color="auto" w:fill="FFFFFF"/>
          <w14:numForm w14:val="lining"/>
          <w14:numSpacing w14:val="proportional"/>
        </w:rPr>
        <w:t>likely</w:t>
      </w:r>
      <w:r w:rsidRPr="008B65C5">
        <w:rPr>
          <w:rFonts w:cs="Arial"/>
          <w:color w:val="auto"/>
          <w:spacing w:val="-2"/>
          <w:shd w:val="clear" w:color="auto" w:fill="FFFFFF"/>
          <w14:numForm w14:val="lining"/>
          <w14:numSpacing w14:val="proportional"/>
        </w:rPr>
        <w:t xml:space="preserve"> pipeline of future workers over this thirty-year period, to assess where changes to existing education, training and migration settings may be needed and where the greatest opportunities to support workers impacted by decarbonisation may be. By working with a range of different scenarios, we can identify what is likely and how we might respond. This also includes the impacts of international policy on Australia’s workforce needs, which will occur regardless of domestic policy. </w:t>
      </w:r>
    </w:p>
    <w:p w14:paraId="280FF885" w14:textId="5FBDF2C9" w:rsidR="00D72814" w:rsidRPr="008B65C5" w:rsidRDefault="00D72814" w:rsidP="00D72814">
      <w:pPr>
        <w:pStyle w:val="Bodycopy"/>
        <w:spacing w:after="120" w:line="276" w:lineRule="auto"/>
        <w:rPr>
          <w:rFonts w:cs="Arial"/>
          <w:color w:val="auto"/>
          <w:spacing w:val="-2"/>
          <w:shd w:val="clear" w:color="auto" w:fill="FFFFFF"/>
          <w14:numForm w14:val="lining"/>
          <w14:numSpacing w14:val="proportional"/>
        </w:rPr>
      </w:pPr>
      <w:r w:rsidRPr="008B65C5">
        <w:rPr>
          <w:rFonts w:cs="Arial"/>
          <w:color w:val="auto"/>
          <w:spacing w:val="-2"/>
          <w:shd w:val="clear" w:color="auto" w:fill="FFFFFF"/>
          <w14:numForm w14:val="lining"/>
          <w14:numSpacing w14:val="proportional"/>
        </w:rPr>
        <w:t xml:space="preserve">However, no economic or workforce forecasts can predict with certainty, especially over a thirty-year period. Australia’s clean energy future will be heavily influenced by uncertain changes in technology, consumer preferences and global demand for energy. The </w:t>
      </w:r>
      <w:r w:rsidR="00EF4801">
        <w:rPr>
          <w:rFonts w:cs="Arial"/>
          <w:color w:val="auto"/>
          <w:spacing w:val="-2"/>
          <w:shd w:val="clear" w:color="auto" w:fill="FFFFFF"/>
          <w14:numForm w14:val="lining"/>
          <w14:numSpacing w14:val="proportional"/>
        </w:rPr>
        <w:t xml:space="preserve">scenarios </w:t>
      </w:r>
      <w:r w:rsidRPr="008B65C5">
        <w:rPr>
          <w:rFonts w:cs="Arial"/>
          <w:color w:val="auto"/>
          <w:spacing w:val="-2"/>
          <w:shd w:val="clear" w:color="auto" w:fill="FFFFFF"/>
          <w14:numForm w14:val="lining"/>
          <w14:numSpacing w14:val="proportional"/>
        </w:rPr>
        <w:t>are intended to guide and inform decision-making alongside quantitative and qualitative analysis. Between now and 2050, this type of modelling exercise will need to be repeated and supplemented with better data collection activities and frequent consultation.</w:t>
      </w:r>
    </w:p>
    <w:p w14:paraId="79100923" w14:textId="77777777" w:rsidR="00D72814" w:rsidRPr="00BB11F0" w:rsidRDefault="00D72814">
      <w:pPr>
        <w:rPr>
          <w:rStyle w:val="Heading1Char"/>
          <w:rFonts w:asciiTheme="majorHAnsi" w:hAnsiTheme="majorHAnsi" w:cstheme="majorHAnsi"/>
          <w:sz w:val="22"/>
          <w:szCs w:val="8"/>
        </w:rPr>
      </w:pPr>
      <w:r w:rsidRPr="00BB11F0">
        <w:rPr>
          <w:rStyle w:val="Heading1Char"/>
          <w:rFonts w:asciiTheme="majorHAnsi" w:hAnsiTheme="majorHAnsi" w:cstheme="majorHAnsi"/>
          <w:b w:val="0"/>
          <w:sz w:val="22"/>
          <w:szCs w:val="8"/>
        </w:rPr>
        <w:br w:type="page"/>
      </w:r>
    </w:p>
    <w:p w14:paraId="7B4FD223" w14:textId="3C7C0DD8" w:rsidR="00D72814" w:rsidRPr="00E5087D" w:rsidRDefault="00D72814" w:rsidP="00D72814">
      <w:pPr>
        <w:pStyle w:val="Heading2"/>
      </w:pPr>
      <w:bookmarkStart w:id="16" w:name="_Toc146210831"/>
      <w:bookmarkStart w:id="17" w:name="_Toc146892661"/>
      <w:r w:rsidRPr="00E5087D">
        <w:lastRenderedPageBreak/>
        <w:t>1</w:t>
      </w:r>
      <w:r w:rsidRPr="008E0DF7">
        <w:rPr>
          <w:rFonts w:asciiTheme="majorHAnsi" w:hAnsiTheme="majorHAnsi" w:cstheme="majorHAnsi"/>
          <w:smallCaps/>
        </w:rPr>
        <w:t>b</w:t>
      </w:r>
      <w:r w:rsidRPr="00E5087D">
        <w:t xml:space="preserve">. </w:t>
      </w:r>
      <w:r w:rsidRPr="00E5087D">
        <w:rPr>
          <w:b w:val="0"/>
          <w:bCs/>
        </w:rPr>
        <w:t>Drivers of change</w:t>
      </w:r>
      <w:bookmarkStart w:id="18" w:name="_Toc141863822"/>
      <w:bookmarkEnd w:id="16"/>
      <w:bookmarkEnd w:id="17"/>
    </w:p>
    <w:p w14:paraId="1C8170C1" w14:textId="1D3E5501" w:rsidR="00D72814" w:rsidRPr="00E5087D" w:rsidRDefault="00D72814" w:rsidP="008218F0">
      <w:pPr>
        <w:pStyle w:val="Heading3"/>
        <w:spacing w:after="160"/>
      </w:pPr>
      <w:r w:rsidRPr="00E5087D">
        <w:t>What determines our future workforce needs?</w:t>
      </w:r>
      <w:bookmarkEnd w:id="18"/>
    </w:p>
    <w:p w14:paraId="2CCF6B2A" w14:textId="4D56E9C3" w:rsidR="00D72814" w:rsidRPr="00E5087D" w:rsidRDefault="00D72814" w:rsidP="008218F0">
      <w:pPr>
        <w:spacing w:after="120" w:line="276" w:lineRule="auto"/>
        <w:rPr>
          <w14:numForm w14:val="lining"/>
          <w14:numSpacing w14:val="proportional"/>
        </w:rPr>
      </w:pPr>
      <w:r w:rsidRPr="00E5087D">
        <w:rPr>
          <w14:numForm w14:val="lining"/>
          <w14:numSpacing w14:val="proportional"/>
        </w:rPr>
        <w:t xml:space="preserve">The size and composition of the clean energy workforce is driven by the level and direction of investment into the generation, transmission, distribution, and use of energy (Figure </w:t>
      </w:r>
      <w:r w:rsidR="006B7B63">
        <w:rPr>
          <w14:numForm w14:val="lining"/>
          <w14:numSpacing w14:val="proportional"/>
        </w:rPr>
        <w:t>1.</w:t>
      </w:r>
      <w:r w:rsidRPr="00E5087D">
        <w:rPr>
          <w14:numForm w14:val="lining"/>
          <w14:numSpacing w14:val="proportional"/>
        </w:rPr>
        <w:t xml:space="preserve">3). The demand for energy and the development of new technologies guides this investment. Investment is also influenced by government policy, export markets and international commitments. </w:t>
      </w:r>
    </w:p>
    <w:p w14:paraId="2C4EF5F0" w14:textId="77777777" w:rsidR="00D72814" w:rsidRPr="00E5087D" w:rsidRDefault="00D72814" w:rsidP="00D72814">
      <w:pPr>
        <w:spacing w:after="120" w:line="276" w:lineRule="auto"/>
        <w:rPr>
          <w14:numForm w14:val="lining"/>
          <w14:numSpacing w14:val="proportional"/>
        </w:rPr>
      </w:pPr>
      <w:r w:rsidRPr="00E5087D">
        <w:rPr>
          <w14:numForm w14:val="lining"/>
          <w14:numSpacing w14:val="proportional"/>
        </w:rPr>
        <w:t>Each of these drivers has the potential to drastically change when, where, and how many workers we need. This can create uncertainty, which is a key reason why our clean energy workforce (and education, training and migration system) needs to be agile and adaptable. During the course of this study, a number of new announcements have been made that will impact this workforce, with more likely to come in response to the US Inflation Reduction Act:</w:t>
      </w:r>
    </w:p>
    <w:p w14:paraId="5CC32EDE" w14:textId="6CB9BE25" w:rsidR="00D72814" w:rsidRPr="00E5087D" w:rsidRDefault="00D72814" w:rsidP="0093728D">
      <w:pPr>
        <w:spacing w:after="120" w:line="276" w:lineRule="auto"/>
        <w:ind w:left="283"/>
      </w:pPr>
      <w:r w:rsidRPr="00E5087D">
        <w:rPr>
          <w:i/>
          <w:iCs/>
          <w14:numForm w14:val="lining"/>
          <w14:numSpacing w14:val="proportional"/>
        </w:rPr>
        <w:t>“… the green hydrogen head start is a down payment on our response to the Inflation Reduction Act. As down payments go, $2 billion isn’t bad, I’m quite pleased with it, but it’s a down payment, in terms of what else we need to do later in the year, and beyond to respond.”</w:t>
      </w:r>
      <w:r w:rsidRPr="00E5087D">
        <w:rPr>
          <w14:numForm w14:val="lining"/>
          <w14:numSpacing w14:val="proportional"/>
        </w:rPr>
        <w:t xml:space="preserve"> </w:t>
      </w:r>
    </w:p>
    <w:p w14:paraId="6C3DBD32" w14:textId="22E97C14" w:rsidR="00D72814" w:rsidRPr="00E5087D" w:rsidRDefault="00D72814" w:rsidP="4289ECC0">
      <w:pPr>
        <w:spacing w:after="120" w:line="276" w:lineRule="auto"/>
        <w:ind w:left="283"/>
        <w:jc w:val="center"/>
      </w:pPr>
      <w:r w:rsidRPr="00E5087D">
        <w:rPr>
          <w14:numForm w14:val="lining"/>
          <w14:numSpacing w14:val="proportional"/>
        </w:rPr>
        <w:t>– The Hon Christopher Bowen MP, Minister for Climate Change and Energy.</w:t>
      </w:r>
      <w:r w:rsidRPr="00E5087D">
        <w:rPr>
          <w:rStyle w:val="EndnoteReference"/>
          <w14:numForm w14:val="lining"/>
          <w14:numSpacing w14:val="proportional"/>
        </w:rPr>
        <w:endnoteReference w:id="3"/>
      </w:r>
    </w:p>
    <w:p w14:paraId="0C2FA1C5" w14:textId="6FCB5EC0" w:rsidR="00D72814" w:rsidRPr="00E5087D" w:rsidRDefault="00D72814" w:rsidP="008218F0">
      <w:pPr>
        <w:pBdr>
          <w:top w:val="single" w:sz="4" w:space="6" w:color="A6A6A6" w:themeColor="background1" w:themeShade="A6"/>
        </w:pBdr>
        <w:spacing w:before="360" w:after="0" w:line="276" w:lineRule="auto"/>
      </w:pPr>
      <w:r w:rsidRPr="00E5087D">
        <w:rPr>
          <w:b/>
          <w:bCs/>
          <w:spacing w:val="2"/>
          <w14:ligatures w14:val="standard"/>
          <w14:numForm w14:val="lining"/>
          <w14:numSpacing w14:val="proportional"/>
        </w:rPr>
        <w:t xml:space="preserve">Figure </w:t>
      </w:r>
      <w:r w:rsidR="00F333F7">
        <w:rPr>
          <w:b/>
          <w:bCs/>
          <w:spacing w:val="2"/>
          <w14:ligatures w14:val="standard"/>
          <w14:numForm w14:val="lining"/>
          <w14:numSpacing w14:val="proportional"/>
        </w:rPr>
        <w:t>1.</w:t>
      </w:r>
      <w:r w:rsidRPr="00E5087D">
        <w:rPr>
          <w:b/>
          <w:bCs/>
          <w:spacing w:val="2"/>
          <w14:ligatures w14:val="standard"/>
          <w14:numForm w14:val="lining"/>
          <w14:numSpacing w14:val="proportional"/>
        </w:rPr>
        <w:t>3</w:t>
      </w:r>
      <w:r w:rsidR="0005146C">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Influencers of workforce demand</w:t>
      </w:r>
    </w:p>
    <w:p w14:paraId="1A5DB55F" w14:textId="033FE6B9" w:rsidR="00D72814" w:rsidRPr="00E5087D" w:rsidRDefault="00462E4E" w:rsidP="00D72814">
      <w:pPr>
        <w:spacing w:after="0" w:line="276" w:lineRule="auto"/>
        <w:jc w:val="center"/>
        <w:rPr>
          <w:b/>
          <w:bCs/>
          <w:i/>
          <w:iCs/>
          <w:spacing w:val="2"/>
          <w14:ligatures w14:val="standard"/>
          <w14:numForm w14:val="lining"/>
          <w14:numSpacing w14:val="proportional"/>
        </w:rPr>
      </w:pPr>
      <w:r>
        <w:rPr>
          <w:b/>
          <w:bCs/>
          <w:i/>
          <w:iCs/>
          <w:noProof/>
          <w:spacing w:val="2"/>
          <w14:ligatures w14:val="standard"/>
          <w14:numForm w14:val="lining"/>
          <w14:numSpacing w14:val="proportional"/>
        </w:rPr>
        <w:drawing>
          <wp:inline distT="0" distB="0" distL="0" distR="0" wp14:anchorId="58FE434A" wp14:editId="0A29EFE1">
            <wp:extent cx="3169920" cy="3938270"/>
            <wp:effectExtent l="0" t="0" r="0" b="0"/>
            <wp:docPr id="29288464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84646" name="Picture 4">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169920" cy="3938270"/>
                    </a:xfrm>
                    <a:prstGeom prst="rect">
                      <a:avLst/>
                    </a:prstGeom>
                    <a:noFill/>
                  </pic:spPr>
                </pic:pic>
              </a:graphicData>
            </a:graphic>
          </wp:inline>
        </w:drawing>
      </w:r>
    </w:p>
    <w:p w14:paraId="26846A4D" w14:textId="77777777" w:rsidR="00B52752" w:rsidRPr="00E5087D" w:rsidRDefault="00B52752" w:rsidP="00B52752">
      <w:pPr>
        <w:pStyle w:val="Heading4"/>
        <w:spacing w:before="240" w:after="120" w:line="240" w:lineRule="auto"/>
        <w:rPr>
          <w14:numForm w14:val="lining"/>
          <w14:numSpacing w14:val="proportional"/>
        </w:rPr>
      </w:pPr>
      <w:r w:rsidRPr="00E5087D">
        <w:rPr>
          <w14:numForm w14:val="lining"/>
          <w14:numSpacing w14:val="proportional"/>
        </w:rPr>
        <w:lastRenderedPageBreak/>
        <w:t>Government targets</w:t>
      </w:r>
    </w:p>
    <w:p w14:paraId="40EEDE52" w14:textId="7C2E2DDB" w:rsidR="00B52752" w:rsidRPr="00E5087D" w:rsidRDefault="00B52752" w:rsidP="00B52752">
      <w:pPr>
        <w:spacing w:before="120" w:after="0" w:line="276" w:lineRule="auto"/>
        <w:rPr>
          <w:rFonts w:eastAsia="Arial" w:cs="Arial"/>
          <w:color w:val="000000"/>
          <w14:numForm w14:val="lining"/>
          <w14:numSpacing w14:val="proportional"/>
        </w:rPr>
      </w:pPr>
      <w:r w:rsidRPr="00E5087D">
        <w:rPr>
          <w:spacing w:val="2"/>
          <w14:ligatures w14:val="standard"/>
          <w14:numForm w14:val="lining"/>
          <w14:numSpacing w14:val="proportional"/>
        </w:rPr>
        <w:t>The</w:t>
      </w:r>
      <w:r w:rsidR="00F67C8F">
        <w:rPr>
          <w:spacing w:val="2"/>
          <w14:ligatures w14:val="standard"/>
          <w14:numForm w14:val="lining"/>
          <w14:numSpacing w14:val="proportional"/>
        </w:rPr>
        <w:t xml:space="preserve"> Australian</w:t>
      </w:r>
      <w:r w:rsidRPr="00E5087D">
        <w:rPr>
          <w:spacing w:val="2"/>
          <w14:ligatures w14:val="standard"/>
          <w14:numForm w14:val="lining"/>
          <w14:numSpacing w14:val="proportional"/>
        </w:rPr>
        <w:t xml:space="preserve"> Government has committed to a faster, more ambitious net zero trajectory for Australia</w:t>
      </w:r>
      <w:r w:rsidRPr="00E5087D">
        <w:rPr>
          <w:rFonts w:eastAsia="Arial" w:cs="Arial"/>
          <w:color w:val="000000"/>
          <w14:numForm w14:val="lining"/>
          <w14:numSpacing w14:val="proportional"/>
        </w:rPr>
        <w:t>. Three key targets are driving this increased scale and pace:</w:t>
      </w:r>
    </w:p>
    <w:p w14:paraId="01A8F46B" w14:textId="76FB3530" w:rsidR="00C87410" w:rsidRDefault="00C87410" w:rsidP="00F25595">
      <w:pPr>
        <w:pStyle w:val="ListParagraph"/>
        <w:numPr>
          <w:ilvl w:val="0"/>
          <w:numId w:val="6"/>
        </w:numPr>
        <w:spacing w:before="120" w:after="120" w:line="276" w:lineRule="auto"/>
        <w:contextualSpacing w:val="0"/>
        <w:rPr>
          <w:rFonts w:eastAsia="Arial" w:cs="Arial"/>
          <w:color w:val="000000"/>
          <w14:numForm w14:val="lining"/>
          <w14:numSpacing w14:val="proportional"/>
        </w:rPr>
      </w:pPr>
      <w:r w:rsidRPr="00E5087D">
        <w:rPr>
          <w:rFonts w:eastAsia="Arial" w:cs="Arial"/>
          <w:color w:val="000000"/>
          <w14:numForm w14:val="lining"/>
          <w14:numSpacing w14:val="proportional"/>
        </w:rPr>
        <w:t>a net-zero emissions target by 2050,</w:t>
      </w:r>
      <w:r w:rsidRPr="00E5087D">
        <w:rPr>
          <w:rFonts w:eastAsia="Arial" w:cs="Arial"/>
          <w:b/>
          <w:bCs/>
          <w:color w:val="000000"/>
          <w14:numForm w14:val="lining"/>
          <w14:numSpacing w14:val="proportional"/>
        </w:rPr>
        <w:t xml:space="preserve"> </w:t>
      </w:r>
      <w:r w:rsidRPr="00E5087D">
        <w:rPr>
          <w:rFonts w:eastAsia="Arial" w:cs="Arial"/>
          <w:color w:val="000000"/>
          <w14:numForm w14:val="lining"/>
          <w14:numSpacing w14:val="proportional"/>
        </w:rPr>
        <w:t xml:space="preserve">which has been </w:t>
      </w:r>
      <w:r>
        <w:rPr>
          <w:rFonts w:eastAsia="Arial" w:cs="Arial"/>
          <w:color w:val="000000"/>
          <w14:numForm w14:val="lining"/>
          <w14:numSpacing w14:val="proportional"/>
        </w:rPr>
        <w:t>enshrined</w:t>
      </w:r>
      <w:r w:rsidRPr="00E5087D">
        <w:rPr>
          <w:rFonts w:eastAsia="Arial" w:cs="Arial"/>
          <w:b/>
          <w:bCs/>
          <w:color w:val="000000"/>
          <w14:numForm w14:val="lining"/>
          <w14:numSpacing w14:val="proportional"/>
        </w:rPr>
        <w:t xml:space="preserve"> </w:t>
      </w:r>
      <w:r w:rsidRPr="00E5087D">
        <w:rPr>
          <w:rFonts w:eastAsia="Arial" w:cs="Arial"/>
          <w:color w:val="000000"/>
          <w14:numForm w14:val="lining"/>
          <w14:numSpacing w14:val="proportional"/>
        </w:rPr>
        <w:t>in law with the </w:t>
      </w:r>
      <w:r w:rsidRPr="388C0A0B">
        <w:rPr>
          <w:rFonts w:eastAsia="Arial" w:cs="Arial"/>
          <w:i/>
          <w:iCs/>
          <w:color w:val="000000"/>
          <w14:numForm w14:val="lining"/>
          <w14:numSpacing w14:val="proportional"/>
        </w:rPr>
        <w:t xml:space="preserve">Climate Change Act 2022, </w:t>
      </w:r>
      <w:r w:rsidRPr="00E5087D">
        <w:rPr>
          <w:rFonts w:eastAsia="Arial" w:cs="Arial"/>
          <w:color w:val="000000"/>
          <w14:numForm w14:val="lining"/>
          <w14:numSpacing w14:val="proportional"/>
        </w:rPr>
        <w:t>per commitments made under the Paris Agreement</w:t>
      </w:r>
    </w:p>
    <w:p w14:paraId="26D3BB2B" w14:textId="35402F64" w:rsidR="00B52752" w:rsidRDefault="00B52752" w:rsidP="00F25595">
      <w:pPr>
        <w:pStyle w:val="ListParagraph"/>
        <w:numPr>
          <w:ilvl w:val="0"/>
          <w:numId w:val="6"/>
        </w:numPr>
        <w:spacing w:before="120" w:after="120" w:line="276" w:lineRule="auto"/>
        <w:contextualSpacing w:val="0"/>
        <w:rPr>
          <w:rFonts w:eastAsia="Arial" w:cs="Arial"/>
          <w:color w:val="000000"/>
          <w14:numForm w14:val="lining"/>
          <w14:numSpacing w14:val="proportional"/>
        </w:rPr>
      </w:pPr>
      <w:r w:rsidRPr="00E5087D">
        <w:rPr>
          <w:rFonts w:eastAsia="Arial" w:cs="Arial"/>
          <w:color w:val="000000"/>
          <w14:numForm w14:val="lining"/>
          <w14:numSpacing w14:val="proportional"/>
        </w:rPr>
        <w:t>an emissions reduction target of 43%</w:t>
      </w:r>
      <w:r w:rsidR="0094221C">
        <w:rPr>
          <w:rFonts w:eastAsia="Arial" w:cs="Arial"/>
          <w:color w:val="000000"/>
          <w14:numForm w14:val="lining"/>
          <w14:numSpacing w14:val="proportional"/>
        </w:rPr>
        <w:t xml:space="preserve"> by 2030</w:t>
      </w:r>
      <w:r w:rsidR="00C42980">
        <w:rPr>
          <w:rFonts w:eastAsia="Arial" w:cs="Arial"/>
          <w:color w:val="000000"/>
          <w14:numForm w14:val="lining"/>
          <w14:numSpacing w14:val="proportional"/>
        </w:rPr>
        <w:t>, with 2035 targets in active development</w:t>
      </w:r>
    </w:p>
    <w:p w14:paraId="2E87971C" w14:textId="66DE5D7F" w:rsidR="00134EE2" w:rsidRPr="00134EE2" w:rsidRDefault="00134EE2" w:rsidP="00F25595">
      <w:pPr>
        <w:pStyle w:val="ListParagraph"/>
        <w:numPr>
          <w:ilvl w:val="0"/>
          <w:numId w:val="6"/>
        </w:numPr>
        <w:spacing w:before="120" w:after="120" w:line="276" w:lineRule="auto"/>
        <w:contextualSpacing w:val="0"/>
        <w:rPr>
          <w:rFonts w:eastAsia="Arial" w:cs="Arial"/>
          <w:color w:val="000000"/>
          <w14:numForm w14:val="lining"/>
          <w14:numSpacing w14:val="proportional"/>
        </w:rPr>
      </w:pPr>
      <w:r w:rsidRPr="00E5087D">
        <w:rPr>
          <w:rFonts w:eastAsia="Arial" w:cs="Arial"/>
          <w:color w:val="000000"/>
          <w14:numForm w14:val="lining"/>
          <w14:numSpacing w14:val="proportional"/>
        </w:rPr>
        <w:t>a Renewable Energy Target of 82% by 2030</w:t>
      </w:r>
      <w:r w:rsidR="00B132AC">
        <w:rPr>
          <w:rFonts w:eastAsia="Arial" w:cs="Arial"/>
          <w:color w:val="000000"/>
          <w14:numForm w14:val="lining"/>
          <w14:numSpacing w14:val="proportional"/>
        </w:rPr>
        <w:t xml:space="preserve"> for small and large-scale generation.</w:t>
      </w:r>
      <w:r w:rsidRPr="00E5087D">
        <w:rPr>
          <w:rFonts w:eastAsia="Arial" w:cs="Arial"/>
          <w:color w:val="000000"/>
          <w14:numForm w14:val="lining"/>
          <w14:numSpacing w14:val="proportional"/>
        </w:rPr>
        <w:t xml:space="preserve"> </w:t>
      </w:r>
      <w:r w:rsidRPr="00E5087D">
        <w:rPr>
          <w14:numForm w14:val="lining"/>
          <w14:numSpacing w14:val="proportional"/>
        </w:rPr>
        <w:t>The large-scale target encourages investment in large-scale renewable power stations to generate renewable electricity, whilst the small-scale scheme supports the installation of small-scale renewables, such as rooftop solar and solar hot water systems.</w:t>
      </w:r>
    </w:p>
    <w:p w14:paraId="23C0301F" w14:textId="09FEEC94" w:rsidR="00B52752" w:rsidRPr="00CD61BD" w:rsidRDefault="00C96A56" w:rsidP="00CD61BD">
      <w:pPr>
        <w:spacing w:before="120" w:after="120" w:line="276" w:lineRule="auto"/>
        <w:rPr>
          <w:rFonts w:eastAsia="Arial" w:cs="Arial"/>
          <w:color w:val="000000"/>
          <w14:numForm w14:val="lining"/>
          <w14:numSpacing w14:val="proportional"/>
        </w:rPr>
      </w:pPr>
      <w:r w:rsidRPr="00CD61BD">
        <w:rPr>
          <w:rFonts w:eastAsia="Arial" w:cs="Arial"/>
          <w:color w:val="000000"/>
          <w14:numForm w14:val="lining"/>
          <w14:numSpacing w14:val="proportional"/>
        </w:rPr>
        <w:t>Australia is also working with Pacific Island Nations, as well as New Zealand and the United States, on a range of energy and climate strategies and policies like the Quad Clean Energy Supply Chain Diversification Program and the Australia-United States Climate, Critical Minerals and Clean Energy Transformation compact.</w:t>
      </w:r>
    </w:p>
    <w:p w14:paraId="4D007C9C" w14:textId="5AF83E34" w:rsidR="00B52752" w:rsidRPr="00E5087D" w:rsidRDefault="00B52752" w:rsidP="00B52752">
      <w:pPr>
        <w:rPr>
          <w:spacing w:val="2"/>
          <w14:ligatures w14:val="standard"/>
          <w14:numForm w14:val="lining"/>
          <w14:numSpacing w14:val="proportional"/>
        </w:rPr>
      </w:pPr>
      <w:r w:rsidRPr="00E5087D">
        <w:rPr>
          <w:spacing w:val="2"/>
          <w14:ligatures w14:val="standard"/>
          <w14:numForm w14:val="lining"/>
          <w14:numSpacing w14:val="proportional"/>
        </w:rPr>
        <w:t>To reach net zero by 2050, Australia’s pace of emissions reduction needs to more than double.</w:t>
      </w:r>
      <w:r w:rsidRPr="00E5087D">
        <w:rPr>
          <w:rStyle w:val="EndnoteReference"/>
          <w:spacing w:val="2"/>
          <w14:ligatures w14:val="standard"/>
          <w14:numForm w14:val="lining"/>
          <w14:numSpacing w14:val="proportional"/>
        </w:rPr>
        <w:endnoteReference w:id="4"/>
      </w:r>
      <w:r w:rsidRPr="00E5087D">
        <w:rPr>
          <w:spacing w:val="2"/>
          <w14:ligatures w14:val="standard"/>
          <w14:numForm w14:val="lining"/>
          <w14:numSpacing w14:val="proportional"/>
        </w:rPr>
        <w:t xml:space="preserve"> This means a much larger pipeline of renewable projects is required, many of which will be significantly larger in scale. It also means that expansion in renewable electricity will need to be complemented by initiatives to improve energy performance and reduce emissions from transport</w:t>
      </w:r>
      <w:r w:rsidR="00305CDC">
        <w:rPr>
          <w:spacing w:val="2"/>
          <w14:ligatures w14:val="standard"/>
          <w14:numForm w14:val="lining"/>
          <w14:numSpacing w14:val="proportional"/>
        </w:rPr>
        <w:t>, buildings and industry</w:t>
      </w:r>
      <w:r w:rsidRPr="00E5087D">
        <w:rPr>
          <w:spacing w:val="2"/>
          <w14:ligatures w14:val="standard"/>
          <w14:numForm w14:val="lining"/>
          <w14:numSpacing w14:val="proportional"/>
        </w:rPr>
        <w:t xml:space="preserve">. A larger pipeline of projects means a larger workforce. </w:t>
      </w:r>
    </w:p>
    <w:p w14:paraId="26B953ED" w14:textId="77777777" w:rsidR="00B52752" w:rsidRPr="00E5087D" w:rsidRDefault="24799D97" w:rsidP="000B666F">
      <w:pPr>
        <w:pStyle w:val="Heading4"/>
        <w:keepNext/>
        <w:spacing w:before="360" w:after="120" w:line="240" w:lineRule="auto"/>
      </w:pPr>
      <w:r w:rsidRPr="00E5087D">
        <w:rPr>
          <w14:numForm w14:val="lining"/>
          <w14:numSpacing w14:val="proportional"/>
        </w:rPr>
        <w:t>Ambition</w:t>
      </w:r>
    </w:p>
    <w:p w14:paraId="2ED56A1D" w14:textId="77777777" w:rsidR="00B52752" w:rsidRPr="00E5087D" w:rsidRDefault="00B52752" w:rsidP="008218F0">
      <w:pPr>
        <w:spacing w:after="480" w:line="276" w:lineRule="auto"/>
      </w:pPr>
      <w:r w:rsidRPr="00E5087D">
        <w:t>Beyond targets and carbon limits, the Australian Government has committed to a bolder ambition for our clean energy future:</w:t>
      </w:r>
    </w:p>
    <w:p w14:paraId="23929C21" w14:textId="77777777" w:rsidR="00C01AA8" w:rsidRPr="00E5087D" w:rsidRDefault="00B52752" w:rsidP="00C01AA8">
      <w:pPr>
        <w:pStyle w:val="IntenseQuote"/>
        <w:pBdr>
          <w:top w:val="single" w:sz="4" w:space="10" w:color="B4C227" w:themeColor="background2" w:themeShade="BF"/>
          <w:bottom w:val="single" w:sz="4" w:space="10" w:color="B4C227" w:themeColor="background2" w:themeShade="BF"/>
        </w:pBdr>
        <w:spacing w:before="240" w:after="120"/>
        <w:ind w:left="680" w:right="680"/>
        <w:rPr>
          <w:color w:val="000000" w:themeColor="text1"/>
        </w:rPr>
      </w:pPr>
      <w:r w:rsidRPr="00E5087D">
        <w:rPr>
          <w:color w:val="000000" w:themeColor="text1"/>
        </w:rPr>
        <w:t xml:space="preserve">“Australia is among the countries best positioned to benefit from this transformation. Our abundance of sun, wind and land means Australia can generate large volumes of cheap electricity to power our homes and industries, and to export. Our unique endowment of critical minerals means Australia will also play a key role in supply chains for net zero technologies like batteries. </w:t>
      </w:r>
    </w:p>
    <w:p w14:paraId="0CB8B8BA" w14:textId="25936B93" w:rsidR="00C01AA8" w:rsidRPr="00E5087D" w:rsidRDefault="00B52752" w:rsidP="00C01AA8">
      <w:pPr>
        <w:pStyle w:val="IntenseQuote"/>
        <w:pBdr>
          <w:top w:val="single" w:sz="4" w:space="10" w:color="B4C227" w:themeColor="background2" w:themeShade="BF"/>
          <w:bottom w:val="single" w:sz="4" w:space="10" w:color="B4C227" w:themeColor="background2" w:themeShade="BF"/>
        </w:pBdr>
        <w:spacing w:before="120" w:after="120"/>
        <w:ind w:left="680" w:right="680"/>
        <w:rPr>
          <w:color w:val="000000" w:themeColor="text1"/>
        </w:rPr>
      </w:pPr>
      <w:r w:rsidRPr="00E5087D">
        <w:rPr>
          <w:color w:val="000000" w:themeColor="text1"/>
        </w:rPr>
        <w:t xml:space="preserve">Australia can convert these natural advantages into broad growth opportunities across industries to drive sustainable growth from our regions and make Australia a renewable energy superpower” </w:t>
      </w:r>
    </w:p>
    <w:p w14:paraId="67370874" w14:textId="42889494" w:rsidR="00B52752" w:rsidRPr="00E5087D" w:rsidRDefault="00B52752" w:rsidP="00C01AA8">
      <w:pPr>
        <w:pStyle w:val="IntenseQuote"/>
        <w:pBdr>
          <w:top w:val="single" w:sz="4" w:space="10" w:color="B4C227" w:themeColor="background2" w:themeShade="BF"/>
          <w:bottom w:val="single" w:sz="4" w:space="10" w:color="B4C227" w:themeColor="background2" w:themeShade="BF"/>
        </w:pBdr>
        <w:spacing w:before="120" w:after="240"/>
        <w:ind w:left="680" w:right="680"/>
        <w:rPr>
          <w:i w:val="0"/>
          <w:iCs w:val="0"/>
          <w:color w:val="78821A" w:themeColor="background2" w:themeShade="80"/>
        </w:rPr>
      </w:pPr>
      <w:r w:rsidRPr="00217E05">
        <w:rPr>
          <w:i w:val="0"/>
          <w:iCs w:val="0"/>
          <w:color w:val="005D5D" w:themeColor="accent2"/>
        </w:rPr>
        <w:t>– Australian Federal Budget 2023-24.</w:t>
      </w:r>
      <w:r w:rsidRPr="00217E05">
        <w:rPr>
          <w:rStyle w:val="EndnoteReference"/>
          <w:i w:val="0"/>
          <w:iCs w:val="0"/>
          <w:color w:val="005D5D" w:themeColor="accent2"/>
          <w14:numForm w14:val="lining"/>
          <w14:numSpacing w14:val="proportional"/>
        </w:rPr>
        <w:endnoteReference w:id="5"/>
      </w:r>
    </w:p>
    <w:p w14:paraId="23E6472B" w14:textId="77777777" w:rsidR="008218F0" w:rsidRDefault="008218F0">
      <w:r>
        <w:br w:type="page"/>
      </w:r>
    </w:p>
    <w:p w14:paraId="454C2BB2" w14:textId="4628BCF8" w:rsidR="00B52752" w:rsidRPr="00E5087D" w:rsidRDefault="00B52752" w:rsidP="00B13FDD">
      <w:pPr>
        <w:spacing w:before="360" w:after="120" w:line="276" w:lineRule="auto"/>
      </w:pPr>
      <w:r w:rsidRPr="00E5087D">
        <w:lastRenderedPageBreak/>
        <w:t>This ambition cuts across multiple government objectives:</w:t>
      </w:r>
    </w:p>
    <w:p w14:paraId="1635388A" w14:textId="77777777" w:rsidR="00B52752" w:rsidRPr="00E5087D" w:rsidRDefault="00B52752" w:rsidP="00F25595">
      <w:pPr>
        <w:pStyle w:val="Bodycopy"/>
        <w:numPr>
          <w:ilvl w:val="0"/>
          <w:numId w:val="2"/>
        </w:numPr>
        <w:spacing w:before="120" w:after="120" w:line="276" w:lineRule="auto"/>
        <w:ind w:left="709"/>
      </w:pPr>
      <w:r w:rsidRPr="00E5087D">
        <w:t>generating renewable energy for export markets (including hydrogen)</w:t>
      </w:r>
    </w:p>
    <w:p w14:paraId="12C6B6B0" w14:textId="77777777" w:rsidR="00B52752" w:rsidRPr="00E5087D" w:rsidRDefault="00B52752" w:rsidP="00F25595">
      <w:pPr>
        <w:pStyle w:val="Bodycopy"/>
        <w:numPr>
          <w:ilvl w:val="0"/>
          <w:numId w:val="2"/>
        </w:numPr>
        <w:spacing w:before="120" w:after="120" w:line="276" w:lineRule="auto"/>
        <w:ind w:left="709"/>
      </w:pPr>
      <w:r w:rsidRPr="00E5087D">
        <w:t>improving the energy performance of homes, businesses and industry</w:t>
      </w:r>
    </w:p>
    <w:p w14:paraId="6C5B4C63" w14:textId="77777777" w:rsidR="00B52752" w:rsidRPr="00E5087D" w:rsidRDefault="00B52752" w:rsidP="00F25595">
      <w:pPr>
        <w:pStyle w:val="Bodycopy"/>
        <w:numPr>
          <w:ilvl w:val="0"/>
          <w:numId w:val="2"/>
        </w:numPr>
        <w:spacing w:before="120" w:after="120" w:line="276" w:lineRule="auto"/>
        <w:ind w:left="709"/>
      </w:pPr>
      <w:r w:rsidRPr="00E5087D">
        <w:t>onshoring more processing and manufacturing, including critical minerals</w:t>
      </w:r>
    </w:p>
    <w:p w14:paraId="058E52A0" w14:textId="560EE73D" w:rsidR="00B52752" w:rsidRPr="00E5087D" w:rsidRDefault="00B52752" w:rsidP="00F25595">
      <w:pPr>
        <w:pStyle w:val="Bodycopy"/>
        <w:numPr>
          <w:ilvl w:val="0"/>
          <w:numId w:val="2"/>
        </w:numPr>
        <w:spacing w:before="120" w:after="120" w:line="276" w:lineRule="auto"/>
        <w:ind w:left="709"/>
      </w:pPr>
      <w:r w:rsidRPr="00E5087D">
        <w:t xml:space="preserve">supporting a faster transition to </w:t>
      </w:r>
      <w:r w:rsidR="00DF3F8D">
        <w:rPr>
          <w:rFonts w:cs="Arial"/>
          <w14:numForm w14:val="lining"/>
          <w14:numSpacing w14:val="proportional"/>
        </w:rPr>
        <w:t>E</w:t>
      </w:r>
      <w:r w:rsidR="00212364">
        <w:rPr>
          <w:rFonts w:cs="Arial"/>
          <w14:numForm w14:val="lining"/>
          <w14:numSpacing w14:val="proportional"/>
        </w:rPr>
        <w:t>lectri</w:t>
      </w:r>
      <w:r w:rsidR="002B7555">
        <w:rPr>
          <w:rFonts w:cs="Arial"/>
          <w14:numForm w14:val="lining"/>
          <w14:numSpacing w14:val="proportional"/>
        </w:rPr>
        <w:t>c</w:t>
      </w:r>
      <w:r w:rsidR="00212364">
        <w:rPr>
          <w:rFonts w:cs="Arial"/>
          <w14:numForm w14:val="lining"/>
          <w14:numSpacing w14:val="proportional"/>
        </w:rPr>
        <w:t xml:space="preserve"> </w:t>
      </w:r>
      <w:r w:rsidR="00DF3F8D">
        <w:rPr>
          <w:rFonts w:cs="Arial"/>
          <w14:numForm w14:val="lining"/>
          <w14:numSpacing w14:val="proportional"/>
        </w:rPr>
        <w:t>V</w:t>
      </w:r>
      <w:r w:rsidR="002B7555">
        <w:rPr>
          <w:rFonts w:cs="Arial"/>
          <w14:numForm w14:val="lining"/>
          <w14:numSpacing w14:val="proportional"/>
        </w:rPr>
        <w:t>ehicles (EVs)</w:t>
      </w:r>
      <w:r w:rsidRPr="00E5087D">
        <w:t xml:space="preserve"> for individuals and businesses</w:t>
      </w:r>
      <w:r w:rsidR="001B58FB">
        <w:t>.</w:t>
      </w:r>
      <w:r w:rsidRPr="00E5087D">
        <w:t xml:space="preserve"> </w:t>
      </w:r>
    </w:p>
    <w:p w14:paraId="3EDD9750" w14:textId="77777777" w:rsidR="00B52752" w:rsidRPr="00E5087D" w:rsidRDefault="00B52752" w:rsidP="00E4377B">
      <w:pPr>
        <w:spacing w:before="240" w:after="120" w:line="276" w:lineRule="auto"/>
      </w:pPr>
      <w:r w:rsidRPr="00E5087D">
        <w:rPr>
          <w14:numForm w14:val="lining"/>
          <w14:numSpacing w14:val="proportional"/>
        </w:rPr>
        <w:t>Australia is also working with Pacific Island Nations, as well as New Zealand and the United States, on a range of energy and climate strategies to support the transition in our region.</w:t>
      </w:r>
    </w:p>
    <w:p w14:paraId="0166B0DA" w14:textId="77777777" w:rsidR="00B52752" w:rsidRPr="00E5087D" w:rsidRDefault="00B52752" w:rsidP="00B52752">
      <w:pPr>
        <w:pStyle w:val="Heading4"/>
        <w:spacing w:before="360" w:after="120" w:line="240" w:lineRule="auto"/>
        <w:rPr>
          <w14:numForm w14:val="lining"/>
          <w14:numSpacing w14:val="proportional"/>
        </w:rPr>
      </w:pPr>
      <w:r w:rsidRPr="00E5087D">
        <w:rPr>
          <w14:numForm w14:val="lining"/>
          <w14:numSpacing w14:val="proportional"/>
        </w:rPr>
        <w:t>Investment and incentives</w:t>
      </w:r>
    </w:p>
    <w:p w14:paraId="5B9B42AE" w14:textId="623BDD60" w:rsidR="00B52752" w:rsidRPr="00E5087D" w:rsidRDefault="00B52752" w:rsidP="00B52752">
      <w:pPr>
        <w:spacing w:before="120" w:after="120" w:line="276" w:lineRule="auto"/>
        <w:rPr>
          <w:rFonts w:eastAsia="Arial" w:cs="Arial"/>
          <w:color w:val="000000"/>
          <w14:numForm w14:val="lining"/>
          <w14:numSpacing w14:val="proportional"/>
        </w:rPr>
      </w:pPr>
      <w:bookmarkStart w:id="19" w:name="_Hlk146812351"/>
      <w:r w:rsidRPr="00E5087D">
        <w:rPr>
          <w:rFonts w:eastAsia="Arial" w:cs="Arial"/>
          <w:color w:val="000000"/>
          <w14:numForm w14:val="lining"/>
          <w14:numSpacing w14:val="proportional"/>
        </w:rPr>
        <w:t>The 2023-24 budget</w:t>
      </w:r>
      <w:r w:rsidR="0031721F">
        <w:rPr>
          <w:rFonts w:eastAsia="Arial" w:cs="Arial"/>
          <w:color w:val="000000"/>
          <w14:numForm w14:val="lining"/>
          <w14:numSpacing w14:val="proportional"/>
        </w:rPr>
        <w:t xml:space="preserve"> invested</w:t>
      </w:r>
      <w:r w:rsidRPr="00E5087D">
        <w:rPr>
          <w:rFonts w:eastAsia="Arial" w:cs="Arial"/>
          <w:color w:val="000000"/>
          <w14:numForm w14:val="lining"/>
          <w14:numSpacing w14:val="proportional"/>
        </w:rPr>
        <w:t xml:space="preserve"> </w:t>
      </w:r>
      <w:r w:rsidR="00E376D3">
        <w:rPr>
          <w:rFonts w:eastAsia="Arial" w:cs="Arial"/>
          <w:color w:val="000000"/>
          <w14:numForm w14:val="lining"/>
          <w14:numSpacing w14:val="proportional"/>
        </w:rPr>
        <w:t xml:space="preserve">a further $4 billion in its plan to become a renewable </w:t>
      </w:r>
      <w:r w:rsidR="00D6652C">
        <w:rPr>
          <w:rFonts w:eastAsia="Arial" w:cs="Arial"/>
          <w:color w:val="000000"/>
          <w14:numForm w14:val="lining"/>
          <w14:numSpacing w14:val="proportional"/>
        </w:rPr>
        <w:t>e</w:t>
      </w:r>
      <w:r w:rsidR="00E376D3">
        <w:rPr>
          <w:rFonts w:eastAsia="Arial" w:cs="Arial"/>
          <w:color w:val="000000"/>
          <w14:numForm w14:val="lining"/>
          <w14:numSpacing w14:val="proportional"/>
        </w:rPr>
        <w:t>nergy superpower, lifting the Government’s total investment in this plan to over $40 billion</w:t>
      </w:r>
      <w:r w:rsidR="0018631E">
        <w:rPr>
          <w:rFonts w:eastAsia="Arial" w:cs="Arial"/>
          <w:color w:val="000000"/>
          <w14:numForm w14:val="lining"/>
          <w14:numSpacing w14:val="proportional"/>
        </w:rPr>
        <w:t>.</w:t>
      </w:r>
      <w:r w:rsidRPr="00E5087D">
        <w:rPr>
          <w:rFonts w:eastAsia="Arial" w:cs="Arial"/>
          <w:color w:val="000000"/>
          <w14:numForm w14:val="lining"/>
          <w14:numSpacing w14:val="proportional"/>
        </w:rPr>
        <w:t xml:space="preserve"> </w:t>
      </w:r>
      <w:r w:rsidR="003047FB">
        <w:rPr>
          <w:rFonts w:eastAsia="Arial" w:cs="Arial"/>
          <w:color w:val="000000"/>
          <w14:numForm w14:val="lining"/>
          <w14:numSpacing w14:val="proportional"/>
        </w:rPr>
        <w:t xml:space="preserve">The establishment of Rewiring the Nation program </w:t>
      </w:r>
      <w:r w:rsidR="003776D0">
        <w:rPr>
          <w:rFonts w:eastAsia="Arial" w:cs="Arial"/>
          <w:color w:val="000000"/>
          <w14:numForm w14:val="lining"/>
          <w14:numSpacing w14:val="proportional"/>
        </w:rPr>
        <w:t>under</w:t>
      </w:r>
      <w:r w:rsidR="003047FB">
        <w:rPr>
          <w:rFonts w:eastAsia="Arial" w:cs="Arial"/>
          <w:color w:val="000000"/>
          <w14:numForm w14:val="lining"/>
          <w14:numSpacing w14:val="proportional"/>
        </w:rPr>
        <w:t xml:space="preserve"> the 2022-23 </w:t>
      </w:r>
      <w:r w:rsidR="00295429">
        <w:rPr>
          <w:rFonts w:eastAsia="Arial" w:cs="Arial"/>
          <w:color w:val="000000"/>
          <w14:numForm w14:val="lining"/>
          <w14:numSpacing w14:val="proportional"/>
        </w:rPr>
        <w:t>Commonwealth B</w:t>
      </w:r>
      <w:r w:rsidR="003047FB">
        <w:rPr>
          <w:rFonts w:eastAsia="Arial" w:cs="Arial"/>
          <w:color w:val="000000"/>
          <w14:numForm w14:val="lining"/>
          <w14:numSpacing w14:val="proportional"/>
        </w:rPr>
        <w:t xml:space="preserve">udget provides $20 billion in low-cost financing </w:t>
      </w:r>
      <w:r w:rsidR="003776D0">
        <w:rPr>
          <w:rFonts w:eastAsia="Arial" w:cs="Arial"/>
          <w:color w:val="000000"/>
          <w14:numForm w14:val="lining"/>
          <w14:numSpacing w14:val="proportional"/>
        </w:rPr>
        <w:t xml:space="preserve">to </w:t>
      </w:r>
      <w:r w:rsidR="00315FC7">
        <w:rPr>
          <w:rFonts w:eastAsia="Arial" w:cs="Arial"/>
          <w:color w:val="000000"/>
          <w14:numForm w14:val="lining"/>
          <w14:numSpacing w14:val="proportional"/>
        </w:rPr>
        <w:t xml:space="preserve">capitalise and </w:t>
      </w:r>
      <w:r w:rsidR="003776D0">
        <w:rPr>
          <w:rFonts w:eastAsia="Arial" w:cs="Arial"/>
          <w:color w:val="000000"/>
          <w14:numForm w14:val="lining"/>
          <w14:numSpacing w14:val="proportional"/>
        </w:rPr>
        <w:t xml:space="preserve">modernise our electricity grid and infrastructure, </w:t>
      </w:r>
      <w:r w:rsidR="00315FC7">
        <w:rPr>
          <w:rFonts w:eastAsia="Arial" w:cs="Arial"/>
          <w:color w:val="000000"/>
          <w14:numForm w14:val="lining"/>
          <w14:numSpacing w14:val="proportional"/>
        </w:rPr>
        <w:t>with more than $12 billion being allocated to priority transmission projects since September 2022</w:t>
      </w:r>
      <w:r w:rsidR="003776D0">
        <w:rPr>
          <w:rFonts w:eastAsia="Arial" w:cs="Arial"/>
          <w:color w:val="000000"/>
          <w14:numForm w14:val="lining"/>
          <w14:numSpacing w14:val="proportional"/>
        </w:rPr>
        <w:t>.</w:t>
      </w:r>
      <w:r w:rsidRPr="00E5087D">
        <w:rPr>
          <w:rFonts w:eastAsia="Arial" w:cs="Arial"/>
          <w:color w:val="000000"/>
          <w14:numForm w14:val="lining"/>
          <w14:numSpacing w14:val="proportional"/>
        </w:rPr>
        <w:t xml:space="preserve"> Each of these measures will have an impact on the demand for workers.</w:t>
      </w:r>
    </w:p>
    <w:bookmarkEnd w:id="19"/>
    <w:p w14:paraId="6E5A02D9" w14:textId="2EC72E3D" w:rsidR="00B52752" w:rsidRPr="00E5087D" w:rsidRDefault="00B52752" w:rsidP="00B52752">
      <w:pPr>
        <w:spacing w:after="120" w:line="276" w:lineRule="auto"/>
      </w:pPr>
      <w:r w:rsidRPr="00E5087D">
        <w:rPr>
          <w14:numForm w14:val="lining"/>
          <w14:numSpacing w14:val="proportional"/>
        </w:rPr>
        <w:t>Selected measures include:</w:t>
      </w:r>
    </w:p>
    <w:p w14:paraId="2AD65DA9" w14:textId="48156B56" w:rsidR="00EF6D06" w:rsidRPr="00EF6D06" w:rsidRDefault="00EF6D06" w:rsidP="00F25595">
      <w:pPr>
        <w:pStyle w:val="Bodycopy"/>
        <w:numPr>
          <w:ilvl w:val="0"/>
          <w:numId w:val="2"/>
        </w:numPr>
        <w:spacing w:after="80" w:line="276" w:lineRule="auto"/>
        <w:ind w:left="567"/>
        <w:rPr>
          <w14:numForm w14:val="lining"/>
          <w14:numSpacing w14:val="proportional"/>
        </w:rPr>
      </w:pPr>
      <w:r w:rsidRPr="00EF6D06">
        <w:rPr>
          <w14:numForm w14:val="lining"/>
          <w14:numSpacing w14:val="proportional"/>
        </w:rPr>
        <w:t>The Powering the Regions Fund supports regional Australia to reduce emissions in existing industries, foster new clean energy industries, and develop associated workforces through $1.4 billion in competitive grant programs</w:t>
      </w:r>
    </w:p>
    <w:p w14:paraId="74110C03" w14:textId="423CA017" w:rsidR="00B52752" w:rsidRPr="00E5087D" w:rsidRDefault="00B52752" w:rsidP="00F25595">
      <w:pPr>
        <w:pStyle w:val="Bodycopy"/>
        <w:numPr>
          <w:ilvl w:val="0"/>
          <w:numId w:val="2"/>
        </w:numPr>
        <w:spacing w:after="80" w:line="276" w:lineRule="auto"/>
        <w:ind w:left="567"/>
      </w:pPr>
      <w:r w:rsidRPr="00E5087D">
        <w:rPr>
          <w14:numForm w14:val="lining"/>
          <w14:numSpacing w14:val="proportional"/>
        </w:rPr>
        <w:t>Hydrogen Headstart program, provides $2 billion of revenue support for large-scale renewable hydrogen projects to accelerate the development of Australia’s hydrogen industry</w:t>
      </w:r>
    </w:p>
    <w:p w14:paraId="4D06B644" w14:textId="05A63361" w:rsidR="00B52752" w:rsidRPr="00E5087D" w:rsidRDefault="00C42980" w:rsidP="00F25595">
      <w:pPr>
        <w:pStyle w:val="Bodycopy"/>
        <w:numPr>
          <w:ilvl w:val="0"/>
          <w:numId w:val="2"/>
        </w:numPr>
        <w:spacing w:after="80" w:line="276" w:lineRule="auto"/>
        <w:ind w:left="567"/>
        <w:rPr>
          <w14:numForm w14:val="lining"/>
          <w14:numSpacing w14:val="proportional"/>
        </w:rPr>
      </w:pPr>
      <w:r>
        <w:rPr>
          <w14:numForm w14:val="lining"/>
          <w14:numSpacing w14:val="proportional"/>
        </w:rPr>
        <w:t xml:space="preserve">National Reconstruction Fund </w:t>
      </w:r>
      <w:r w:rsidR="00C91707">
        <w:rPr>
          <w14:numForm w14:val="lining"/>
          <w14:numSpacing w14:val="proportional"/>
        </w:rPr>
        <w:t>has an announced investment target of up to $3</w:t>
      </w:r>
      <w:r w:rsidR="009A5EDE">
        <w:rPr>
          <w14:numForm w14:val="lining"/>
          <w14:numSpacing w14:val="proportional"/>
        </w:rPr>
        <w:t xml:space="preserve"> </w:t>
      </w:r>
      <w:r w:rsidR="00C91707">
        <w:rPr>
          <w14:numForm w14:val="lining"/>
          <w14:numSpacing w14:val="proportional"/>
        </w:rPr>
        <w:t>b</w:t>
      </w:r>
      <w:r w:rsidR="009A5EDE">
        <w:rPr>
          <w14:numForm w14:val="lining"/>
          <w14:numSpacing w14:val="proportional"/>
        </w:rPr>
        <w:t>illio</w:t>
      </w:r>
      <w:r w:rsidR="00C91707">
        <w:rPr>
          <w14:numForm w14:val="lining"/>
          <w14:numSpacing w14:val="proportional"/>
        </w:rPr>
        <w:t xml:space="preserve">n of finance to support the development of </w:t>
      </w:r>
      <w:r w:rsidR="001E30E3">
        <w:rPr>
          <w14:numForm w14:val="lining"/>
          <w14:numSpacing w14:val="proportional"/>
        </w:rPr>
        <w:t>renewables</w:t>
      </w:r>
      <w:r w:rsidR="00C91707">
        <w:rPr>
          <w14:numForm w14:val="lining"/>
          <w14:numSpacing w14:val="proportional"/>
        </w:rPr>
        <w:t xml:space="preserve"> and low emissions technologies</w:t>
      </w:r>
    </w:p>
    <w:p w14:paraId="158B2D31" w14:textId="444343FC" w:rsidR="00B52752" w:rsidRPr="00E5087D" w:rsidRDefault="00B52752" w:rsidP="00F25595">
      <w:pPr>
        <w:pStyle w:val="Bodycopy"/>
        <w:numPr>
          <w:ilvl w:val="0"/>
          <w:numId w:val="2"/>
        </w:numPr>
        <w:spacing w:after="80" w:line="276" w:lineRule="auto"/>
        <w:ind w:left="567"/>
      </w:pPr>
      <w:r w:rsidRPr="00E5087D">
        <w:rPr>
          <w14:numForm w14:val="lining"/>
          <w14:numSpacing w14:val="proportional"/>
        </w:rPr>
        <w:t xml:space="preserve">The National Electric Vehicle Strategy will support the increased uptake of </w:t>
      </w:r>
      <w:r w:rsidR="00DF3F8D">
        <w:rPr>
          <w:rFonts w:cs="Arial"/>
          <w14:numForm w14:val="lining"/>
          <w14:numSpacing w14:val="proportional"/>
        </w:rPr>
        <w:t>EV</w:t>
      </w:r>
      <w:r w:rsidRPr="00E5087D">
        <w:rPr>
          <w14:numForm w14:val="lining"/>
          <w14:numSpacing w14:val="proportional"/>
        </w:rPr>
        <w:t>s across Australia, including the $345 million Electric Car Discount Bill and the $</w:t>
      </w:r>
      <w:r w:rsidR="00305CDC">
        <w:rPr>
          <w14:numForm w14:val="lining"/>
          <w14:numSpacing w14:val="proportional"/>
        </w:rPr>
        <w:t>500</w:t>
      </w:r>
      <w:r w:rsidRPr="00E5087D">
        <w:rPr>
          <w14:numForm w14:val="lining"/>
          <w14:numSpacing w14:val="proportional"/>
        </w:rPr>
        <w:t xml:space="preserve"> million Driving the Nation Fund to help reduce transport emissions, including </w:t>
      </w:r>
      <w:r w:rsidR="00DF3F8D">
        <w:rPr>
          <w:rFonts w:cs="Arial"/>
          <w14:numForm w14:val="lining"/>
          <w14:numSpacing w14:val="proportional"/>
        </w:rPr>
        <w:t>EV</w:t>
      </w:r>
      <w:r w:rsidRPr="00E5087D">
        <w:rPr>
          <w14:numForm w14:val="lining"/>
          <w14:numSpacing w14:val="proportional"/>
        </w:rPr>
        <w:t xml:space="preserve"> charging infrastructure and hydrogen highways</w:t>
      </w:r>
    </w:p>
    <w:p w14:paraId="088CF43C" w14:textId="77777777" w:rsidR="000A3CD9" w:rsidRDefault="00C8650A" w:rsidP="00F25595">
      <w:pPr>
        <w:pStyle w:val="Bodycopy"/>
        <w:numPr>
          <w:ilvl w:val="0"/>
          <w:numId w:val="2"/>
        </w:numPr>
        <w:spacing w:after="80" w:line="276" w:lineRule="auto"/>
        <w:ind w:left="567"/>
        <w:rPr>
          <w14:numForm w14:val="lining"/>
          <w14:numSpacing w14:val="proportional"/>
        </w:rPr>
      </w:pPr>
      <w:r w:rsidRPr="00C8650A">
        <w:rPr>
          <w14:numForm w14:val="lining"/>
          <w14:numSpacing w14:val="proportional"/>
        </w:rPr>
        <w:t>$1.3 billion to enhance our</w:t>
      </w:r>
      <w:r>
        <w:rPr>
          <w14:numForm w14:val="lining"/>
          <w14:numSpacing w14:val="proportional"/>
        </w:rPr>
        <w:t xml:space="preserve"> </w:t>
      </w:r>
      <w:r w:rsidRPr="00C8650A">
        <w:rPr>
          <w14:numForm w14:val="lining"/>
          <w14:numSpacing w14:val="proportional"/>
        </w:rPr>
        <w:t>energy performance. This includes the Household</w:t>
      </w:r>
      <w:r>
        <w:rPr>
          <w14:numForm w14:val="lining"/>
          <w14:numSpacing w14:val="proportional"/>
        </w:rPr>
        <w:t xml:space="preserve"> </w:t>
      </w:r>
      <w:r w:rsidRPr="00C8650A">
        <w:rPr>
          <w14:numForm w14:val="lining"/>
          <w14:numSpacing w14:val="proportional"/>
        </w:rPr>
        <w:t>Energy</w:t>
      </w:r>
      <w:r>
        <w:rPr>
          <w14:numForm w14:val="lining"/>
          <w14:numSpacing w14:val="proportional"/>
        </w:rPr>
        <w:t xml:space="preserve"> </w:t>
      </w:r>
      <w:r w:rsidR="000A3CD9">
        <w:rPr>
          <w14:numForm w14:val="lining"/>
          <w14:numSpacing w14:val="proportional"/>
        </w:rPr>
        <w:t>U</w:t>
      </w:r>
      <w:r w:rsidRPr="00C8650A">
        <w:rPr>
          <w14:numForm w14:val="lining"/>
          <w14:numSpacing w14:val="proportional"/>
        </w:rPr>
        <w:t>pgrades Fund, with $1 billion being</w:t>
      </w:r>
      <w:r w:rsidR="000A3CD9">
        <w:rPr>
          <w14:numForm w14:val="lining"/>
          <w14:numSpacing w14:val="proportional"/>
        </w:rPr>
        <w:t xml:space="preserve"> </w:t>
      </w:r>
      <w:r w:rsidRPr="00C8650A">
        <w:rPr>
          <w14:numForm w14:val="lining"/>
          <w14:numSpacing w14:val="proportional"/>
        </w:rPr>
        <w:t>provided to the Clean Energy Finance Corporation</w:t>
      </w:r>
      <w:r w:rsidR="000A3CD9">
        <w:rPr>
          <w14:numForm w14:val="lining"/>
          <w14:numSpacing w14:val="proportional"/>
        </w:rPr>
        <w:t xml:space="preserve"> </w:t>
      </w:r>
      <w:r w:rsidRPr="00C8650A">
        <w:rPr>
          <w14:numForm w14:val="lining"/>
          <w14:numSpacing w14:val="proportional"/>
        </w:rPr>
        <w:t>to partner with banks and financial institutions to</w:t>
      </w:r>
      <w:r w:rsidR="000A3CD9">
        <w:rPr>
          <w14:numForm w14:val="lining"/>
          <w14:numSpacing w14:val="proportional"/>
        </w:rPr>
        <w:t xml:space="preserve"> </w:t>
      </w:r>
      <w:r w:rsidRPr="00C8650A">
        <w:rPr>
          <w14:numForm w14:val="lining"/>
          <w14:numSpacing w14:val="proportional"/>
        </w:rPr>
        <w:t>invest in household energy upgrades</w:t>
      </w:r>
      <w:r w:rsidR="000A3CD9">
        <w:rPr>
          <w14:numForm w14:val="lining"/>
          <w14:numSpacing w14:val="proportional"/>
        </w:rPr>
        <w:t>.</w:t>
      </w:r>
    </w:p>
    <w:p w14:paraId="0D5102B4" w14:textId="77777777" w:rsidR="00CD61BD" w:rsidRDefault="00CD61BD">
      <w:pPr>
        <w:rPr>
          <w:spacing w:val="2"/>
          <w14:ligatures w14:val="standard"/>
          <w14:numForm w14:val="lining"/>
          <w14:numSpacing w14:val="proportional"/>
        </w:rPr>
      </w:pPr>
      <w:r>
        <w:rPr>
          <w:spacing w:val="2"/>
          <w14:ligatures w14:val="standard"/>
          <w14:numForm w14:val="lining"/>
          <w14:numSpacing w14:val="proportional"/>
        </w:rPr>
        <w:br w:type="page"/>
      </w:r>
    </w:p>
    <w:p w14:paraId="349E0AE3" w14:textId="0BF9E849" w:rsidR="00B52752" w:rsidRPr="00E5087D" w:rsidRDefault="00B52752" w:rsidP="00CD61BD">
      <w:pPr>
        <w:pStyle w:val="Bodycopy"/>
        <w:spacing w:before="120" w:after="120" w:line="276" w:lineRule="auto"/>
      </w:pPr>
      <w:r w:rsidRPr="00C8650A">
        <w:rPr>
          <w:spacing w:val="2"/>
          <w14:ligatures w14:val="standard"/>
          <w14:numForm w14:val="lining"/>
          <w14:numSpacing w14:val="proportional"/>
        </w:rPr>
        <w:lastRenderedPageBreak/>
        <w:t>The clean energy transformation is a national effort that involves employers, employees and networks operating across state and territory borders. However, energy policy is predominantly the domain of state and territory governments, with the Australian Government supporting national arrangements, oversight and funding.</w:t>
      </w:r>
      <w:r w:rsidRPr="00E5087D">
        <w:rPr>
          <w:rStyle w:val="EndnoteReference"/>
          <w:spacing w:val="2"/>
          <w14:ligatures w14:val="standard"/>
          <w14:numForm w14:val="lining"/>
          <w14:numSpacing w14:val="proportional"/>
        </w:rPr>
        <w:endnoteReference w:id="6"/>
      </w:r>
      <w:r w:rsidRPr="00C8650A">
        <w:rPr>
          <w:spacing w:val="2"/>
          <w14:ligatures w14:val="standard"/>
          <w14:numForm w14:val="lining"/>
          <w14:numSpacing w14:val="proportional"/>
        </w:rPr>
        <w:t xml:space="preserve"> </w:t>
      </w:r>
    </w:p>
    <w:p w14:paraId="2E147E0F" w14:textId="5292BD85" w:rsidR="00B52752" w:rsidRPr="00E5087D" w:rsidRDefault="00B52752" w:rsidP="00B52752">
      <w:pPr>
        <w:spacing w:after="120" w:line="276" w:lineRule="auto"/>
        <w:rPr>
          <w:color w:val="auto"/>
          <w14:numForm w14:val="lining"/>
          <w14:numSpacing w14:val="proportional"/>
        </w:rPr>
      </w:pPr>
      <w:r w:rsidRPr="00E5087D">
        <w:rPr>
          <w:spacing w:val="2"/>
          <w14:ligatures w14:val="standard"/>
          <w14:numForm w14:val="lining"/>
          <w14:numSpacing w14:val="proportional"/>
        </w:rPr>
        <w:t>Each state and territory is pursuing its own energy investments and developments that cater to individual strengths and priorities. For example, Tasmania tailors its policies to hydro</w:t>
      </w:r>
      <w:r w:rsidR="00113404">
        <w:rPr>
          <w:spacing w:val="2"/>
          <w14:ligatures w14:val="standard"/>
          <w14:numForm w14:val="lining"/>
          <w14:numSpacing w14:val="proportional"/>
        </w:rPr>
        <w:t>electricity</w:t>
      </w:r>
      <w:r w:rsidRPr="00E5087D">
        <w:rPr>
          <w:spacing w:val="2"/>
          <w14:ligatures w14:val="standard"/>
          <w14:numForm w14:val="lining"/>
          <w14:numSpacing w14:val="proportional"/>
        </w:rPr>
        <w:t xml:space="preserve"> and offshore wind, while Western Australia is looking to transition its coal power plants and develop a new hydrogen industry. There are also major</w:t>
      </w:r>
      <w:r w:rsidRPr="00E5087D">
        <w:rPr>
          <w:color w:val="auto"/>
          <w14:numForm w14:val="lining"/>
          <w14:numSpacing w14:val="proportional"/>
        </w:rPr>
        <w:t xml:space="preserve"> differences in the energy networks, with a mix of public and private ownership across Australia, and a </w:t>
      </w:r>
      <w:r w:rsidR="0D219287" w:rsidRPr="00E5087D">
        <w:rPr>
          <w:color w:val="auto"/>
          <w14:numForm w14:val="lining"/>
          <w14:numSpacing w14:val="proportional"/>
        </w:rPr>
        <w:t xml:space="preserve">NEM </w:t>
      </w:r>
      <w:r w:rsidRPr="00E5087D">
        <w:rPr>
          <w:color w:val="auto"/>
          <w14:numForm w14:val="lining"/>
          <w14:numSpacing w14:val="proportional"/>
        </w:rPr>
        <w:t>that excludes Western Australia and the Northern Territory.</w:t>
      </w:r>
    </w:p>
    <w:p w14:paraId="7A987765" w14:textId="77005410" w:rsidR="00B52752" w:rsidRPr="00E5087D" w:rsidRDefault="00B52752" w:rsidP="00B52752">
      <w:pPr>
        <w:spacing w:after="120" w:line="276" w:lineRule="auto"/>
        <w:rPr>
          <w14:numForm w14:val="lining"/>
          <w14:numSpacing w14:val="proportional"/>
        </w:rPr>
      </w:pPr>
      <w:r w:rsidRPr="00E5087D">
        <w:rPr>
          <w14:numForm w14:val="lining"/>
          <w14:numSpacing w14:val="proportional"/>
        </w:rPr>
        <w:t xml:space="preserve">The National Energy Transformation Partnership provides a framework for national alignment and cooperative action to support Australia’s energy sector transformation to net zero. At the same time, the </w:t>
      </w:r>
      <w:r w:rsidR="003408B1">
        <w:rPr>
          <w14:numForm w14:val="lining"/>
          <w14:numSpacing w14:val="proportional"/>
        </w:rPr>
        <w:t>P</w:t>
      </w:r>
      <w:r w:rsidRPr="00E5087D">
        <w:rPr>
          <w14:numForm w14:val="lining"/>
          <w14:numSpacing w14:val="proportional"/>
        </w:rPr>
        <w:t>artnership acknowledges the individual needs and circumstances of each jurisdiction:</w:t>
      </w:r>
    </w:p>
    <w:p w14:paraId="4629470A" w14:textId="656EF664" w:rsidR="00B52752" w:rsidRPr="00E5087D" w:rsidRDefault="00B52752" w:rsidP="00B52752">
      <w:pPr>
        <w:pStyle w:val="IntenseQuote"/>
        <w:pBdr>
          <w:top w:val="single" w:sz="4" w:space="10" w:color="B4C227" w:themeColor="background2" w:themeShade="BF"/>
          <w:bottom w:val="single" w:sz="4" w:space="10" w:color="B4C227" w:themeColor="background2" w:themeShade="BF"/>
        </w:pBdr>
        <w:spacing w:after="120"/>
        <w:rPr>
          <w:color w:val="000000" w:themeColor="text1"/>
        </w:rPr>
      </w:pPr>
      <w:r w:rsidRPr="00E5087D">
        <w:rPr>
          <w:color w:val="000000" w:themeColor="text1"/>
        </w:rPr>
        <w:t xml:space="preserve">“[the </w:t>
      </w:r>
      <w:r w:rsidR="003408B1">
        <w:rPr>
          <w:color w:val="000000" w:themeColor="text1"/>
        </w:rPr>
        <w:t>P</w:t>
      </w:r>
      <w:r w:rsidRPr="00E5087D">
        <w:rPr>
          <w:color w:val="000000" w:themeColor="text1"/>
        </w:rPr>
        <w:t xml:space="preserve">artnership] recognises the importance of working together to maintain energy security, reliability and affordability as Australian energy markets face unprecedented change and global challenges. It also recognises that each jurisdiction can pursue its own policies on energy transformation according to individual needs and circumstances but will work collaboratively to deliver the best outcomes at a national level”. </w:t>
      </w:r>
    </w:p>
    <w:p w14:paraId="38973375" w14:textId="4AC52FFB" w:rsidR="00B52752" w:rsidRPr="00E5087D" w:rsidRDefault="00B52752" w:rsidP="00B52752">
      <w:pPr>
        <w:pStyle w:val="IntenseQuote"/>
        <w:pBdr>
          <w:top w:val="single" w:sz="4" w:space="10" w:color="B4C227" w:themeColor="background2" w:themeShade="BF"/>
          <w:bottom w:val="single" w:sz="4" w:space="10" w:color="B4C227" w:themeColor="background2" w:themeShade="BF"/>
        </w:pBdr>
        <w:spacing w:before="120"/>
        <w:rPr>
          <w:rFonts w:cs="Arial"/>
          <w:b/>
          <w:i w:val="0"/>
          <w:color w:val="78821A" w:themeColor="background2" w:themeShade="80"/>
          <w:sz w:val="28"/>
          <w:szCs w:val="28"/>
          <w14:numForm w14:val="lining"/>
          <w14:numSpacing w14:val="proportional"/>
        </w:rPr>
      </w:pPr>
      <w:r w:rsidRPr="68E9CD35">
        <w:rPr>
          <w:i w:val="0"/>
          <w:iCs w:val="0"/>
          <w:color w:val="78821A" w:themeColor="background2" w:themeShade="80"/>
        </w:rPr>
        <w:t>– National Energy Transformation Partnership</w:t>
      </w:r>
      <w:r w:rsidR="3F00A327" w:rsidRPr="68E9CD35">
        <w:rPr>
          <w:i w:val="0"/>
          <w:iCs w:val="0"/>
          <w:color w:val="78821A" w:themeColor="background2" w:themeShade="80"/>
        </w:rPr>
        <w:t>.</w:t>
      </w:r>
      <w:r w:rsidRPr="68E9CD35">
        <w:rPr>
          <w:rStyle w:val="EndnoteReference"/>
          <w:rFonts w:cs="Arial"/>
          <w:i w:val="0"/>
          <w:iCs w:val="0"/>
          <w:color w:val="78821A" w:themeColor="background2" w:themeShade="80"/>
        </w:rPr>
        <w:endnoteReference w:id="7"/>
      </w:r>
      <w:r w:rsidRPr="68E9CD35">
        <w:rPr>
          <w:rFonts w:cs="Arial"/>
          <w:i w:val="0"/>
          <w:iCs w:val="0"/>
          <w:color w:val="78821A" w:themeColor="background2" w:themeShade="80"/>
        </w:rPr>
        <w:t xml:space="preserve"> </w:t>
      </w:r>
    </w:p>
    <w:p w14:paraId="3583B2F3" w14:textId="77777777" w:rsidR="00CD61BD" w:rsidRDefault="00CD61BD">
      <w:pPr>
        <w:rPr>
          <w:rFonts w:cs="Arial"/>
          <w:b/>
          <w:bCs/>
          <w:color w:val="005D5D" w:themeColor="accent2"/>
          <w:sz w:val="28"/>
          <w14:numForm w14:val="lining"/>
          <w14:numSpacing w14:val="proportional"/>
        </w:rPr>
      </w:pPr>
      <w:r>
        <w:rPr>
          <w14:numForm w14:val="lining"/>
          <w14:numSpacing w14:val="proportional"/>
        </w:rPr>
        <w:br w:type="page"/>
      </w:r>
    </w:p>
    <w:p w14:paraId="5AF602BF" w14:textId="75F0E4BA" w:rsidR="00B52752" w:rsidRPr="00E5087D" w:rsidRDefault="00B52752" w:rsidP="00B52752">
      <w:pPr>
        <w:pStyle w:val="Heading4"/>
        <w:spacing w:before="360" w:after="120" w:line="240" w:lineRule="auto"/>
        <w:rPr>
          <w14:numForm w14:val="lining"/>
          <w14:numSpacing w14:val="proportional"/>
        </w:rPr>
      </w:pPr>
      <w:r w:rsidRPr="00E5087D">
        <w:rPr>
          <w14:numForm w14:val="lining"/>
          <w14:numSpacing w14:val="proportional"/>
        </w:rPr>
        <w:lastRenderedPageBreak/>
        <w:t xml:space="preserve">Energy consumers </w:t>
      </w:r>
    </w:p>
    <w:p w14:paraId="2AD45146" w14:textId="5C4C1CDE" w:rsidR="00B52752" w:rsidRPr="00E5087D" w:rsidRDefault="24799D97" w:rsidP="00B52752">
      <w:pPr>
        <w:pStyle w:val="Bodycopy"/>
        <w:spacing w:after="120" w:line="276" w:lineRule="auto"/>
      </w:pPr>
      <w:r w:rsidRPr="00E5087D">
        <w:rPr>
          <w14:numForm w14:val="lining"/>
          <w14:numSpacing w14:val="proportional"/>
        </w:rPr>
        <w:t>Residential, commercial, and industrial energy consumers also influence Australia’s</w:t>
      </w:r>
      <w:r w:rsidR="55417AD2" w:rsidRPr="00E5087D">
        <w:rPr>
          <w14:numForm w14:val="lining"/>
          <w14:numSpacing w14:val="proportional"/>
        </w:rPr>
        <w:t xml:space="preserve"> energy use and therefore</w:t>
      </w:r>
      <w:r w:rsidRPr="00E5087D">
        <w:rPr>
          <w14:numForm w14:val="lining"/>
          <w14:numSpacing w14:val="proportional"/>
        </w:rPr>
        <w:t xml:space="preserve"> workforce needs. Decisions to reduce emissions (through electrification), lower costs (through energy efficiency), and improve energy independence (through distributed generation) will result in a higher demand for workers in population centres. Household solar and battery installation have been growing strongly in Australia, a trend now followed by business installations (Figure </w:t>
      </w:r>
      <w:r w:rsidR="5A8E0CC4">
        <w:rPr>
          <w14:numForm w14:val="lining"/>
          <w14:numSpacing w14:val="proportional"/>
        </w:rPr>
        <w:t>1.</w:t>
      </w:r>
      <w:r w:rsidRPr="00E5087D">
        <w:rPr>
          <w14:numForm w14:val="lining"/>
          <w14:numSpacing w14:val="proportional"/>
        </w:rPr>
        <w:t>4).</w:t>
      </w:r>
    </w:p>
    <w:p w14:paraId="36D47592" w14:textId="48149CFE" w:rsidR="00B52752" w:rsidRPr="00E5087D" w:rsidRDefault="00B52752" w:rsidP="00107A59">
      <w:pPr>
        <w:pBdr>
          <w:top w:val="single" w:sz="4" w:space="6" w:color="A6A6A6" w:themeColor="background1" w:themeShade="A6"/>
        </w:pBdr>
        <w:spacing w:before="240" w:after="80"/>
        <w:rPr>
          <w:b/>
          <w:bCs/>
        </w:rPr>
      </w:pPr>
      <w:r w:rsidRPr="00E5087D">
        <w:rPr>
          <w:b/>
          <w:bCs/>
        </w:rPr>
        <w:t xml:space="preserve">Figure </w:t>
      </w:r>
      <w:r w:rsidR="00F333F7">
        <w:rPr>
          <w:b/>
          <w:bCs/>
        </w:rPr>
        <w:t>1.</w:t>
      </w:r>
      <w:r w:rsidRPr="00E5087D">
        <w:rPr>
          <w:b/>
          <w:bCs/>
        </w:rPr>
        <w:t>4. Distributed energy in Australia, rated capacity (kVA)</w:t>
      </w:r>
    </w:p>
    <w:p w14:paraId="0FAF2D0C" w14:textId="0AF98208" w:rsidR="00B52752" w:rsidRPr="00E5087D" w:rsidRDefault="00B52752" w:rsidP="00B52752">
      <w:pPr>
        <w:spacing w:after="0"/>
      </w:pPr>
      <w:r w:rsidRPr="00E5087D">
        <w:rPr>
          <w:noProof/>
        </w:rPr>
        <w:drawing>
          <wp:inline distT="0" distB="0" distL="0" distR="0" wp14:anchorId="20FE282D" wp14:editId="5F4935E3">
            <wp:extent cx="5731510" cy="2625090"/>
            <wp:effectExtent l="0" t="0" r="0" b="0"/>
            <wp:docPr id="31" name="Graphic 31" descr="This figure contrasts the rated capacity of distributed energy in Australia  between residential and business use, showing that residential use is much higher. Capacity for residential and business has grown annually sin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This figure contrasts the rated capacity of distributed energy in Australia  between residential and business use, showing that residential use is much higher. Capacity for residential and business has grown annually since 2014."/>
                    <pic:cNvPicPr/>
                  </pic:nvPicPr>
                  <pic:blipFill>
                    <a:blip r:embed="rId31">
                      <a:extLst>
                        <a:ext uri="{96DAC541-7B7A-43D3-8B79-37D633B846F1}">
                          <asvg:svgBlip xmlns:asvg="http://schemas.microsoft.com/office/drawing/2016/SVG/main" r:embed="rId32"/>
                        </a:ext>
                      </a:extLst>
                    </a:blip>
                    <a:stretch>
                      <a:fillRect/>
                    </a:stretch>
                  </pic:blipFill>
                  <pic:spPr>
                    <a:xfrm>
                      <a:off x="0" y="0"/>
                      <a:ext cx="5731510" cy="2625090"/>
                    </a:xfrm>
                    <a:prstGeom prst="rect">
                      <a:avLst/>
                    </a:prstGeom>
                  </pic:spPr>
                </pic:pic>
              </a:graphicData>
            </a:graphic>
          </wp:inline>
        </w:drawing>
      </w:r>
    </w:p>
    <w:p w14:paraId="4E5FD204" w14:textId="77777777" w:rsidR="00B52752" w:rsidRPr="00E5087D" w:rsidRDefault="00B52752" w:rsidP="00B52752">
      <w:pPr>
        <w:spacing w:before="40" w:after="80"/>
        <w:rPr>
          <w:sz w:val="20"/>
          <w:szCs w:val="20"/>
          <w14:numForm w14:val="lining"/>
          <w14:numSpacing w14:val="proportional"/>
        </w:rPr>
      </w:pPr>
      <w:r w:rsidRPr="00E5087D">
        <w:rPr>
          <w:sz w:val="18"/>
          <w:szCs w:val="18"/>
        </w:rPr>
        <w:t>Source: Australian Energy Market Operator, Distributed Energy Resource Register, July 2023.</w:t>
      </w:r>
    </w:p>
    <w:p w14:paraId="4D08C72F" w14:textId="77777777" w:rsidR="00B52752" w:rsidRPr="00E5087D" w:rsidRDefault="00B52752" w:rsidP="00107A59">
      <w:pPr>
        <w:spacing w:before="240" w:after="120" w:line="276" w:lineRule="auto"/>
        <w:rPr>
          <w14:numForm w14:val="lining"/>
          <w14:numSpacing w14:val="proportional"/>
        </w:rPr>
      </w:pPr>
      <w:r w:rsidRPr="00E5087D">
        <w:rPr>
          <w14:numForm w14:val="lining"/>
          <w14:numSpacing w14:val="proportional"/>
        </w:rPr>
        <w:t xml:space="preserve">We are also seeing industry investment in clean energy technologies to diversify their business. For example, steel manufacturers are looking to power new electric arc furnaces with renewable energy to produce green steel. These new and changing industries are explored in </w:t>
      </w:r>
      <w:r w:rsidRPr="00E5087D">
        <w:rPr>
          <w:b/>
          <w:bCs/>
          <w14:numForm w14:val="lining"/>
          <w14:numSpacing w14:val="proportional"/>
        </w:rPr>
        <w:t>Chapter 6</w:t>
      </w:r>
      <w:r w:rsidRPr="00E5087D">
        <w:rPr>
          <w14:numForm w14:val="lining"/>
          <w14:numSpacing w14:val="proportional"/>
        </w:rPr>
        <w:t>.</w:t>
      </w:r>
    </w:p>
    <w:p w14:paraId="400483E4" w14:textId="1BCCBEEE" w:rsidR="00B52752" w:rsidRPr="00E5087D" w:rsidRDefault="00B52752" w:rsidP="00333510">
      <w:pPr>
        <w:spacing w:line="276" w:lineRule="auto"/>
        <w:rPr>
          <w:rFonts w:eastAsia="Arial" w:cs="Arial"/>
          <w:color w:val="000000"/>
        </w:rPr>
      </w:pPr>
      <w:r w:rsidRPr="00E5087D">
        <w:rPr>
          <w14:numForm w14:val="lining"/>
          <w14:numSpacing w14:val="proportional"/>
        </w:rPr>
        <w:t xml:space="preserve">Most of Australia’s energy is exported (around 81% in 2020-21. See Figure </w:t>
      </w:r>
      <w:r w:rsidR="00B631F8">
        <w:rPr>
          <w14:numForm w14:val="lining"/>
          <w14:numSpacing w14:val="proportional"/>
        </w:rPr>
        <w:t>1.</w:t>
      </w:r>
      <w:r w:rsidRPr="00E5087D">
        <w:rPr>
          <w14:numForm w14:val="lining"/>
          <w14:numSpacing w14:val="proportional"/>
        </w:rPr>
        <w:t xml:space="preserve">5), mainly as black coal, </w:t>
      </w:r>
      <w:r w:rsidR="00D83C99" w:rsidRPr="00E5087D">
        <w:rPr>
          <w14:numForm w14:val="lining"/>
          <w14:numSpacing w14:val="proportional"/>
        </w:rPr>
        <w:t>lique</w:t>
      </w:r>
      <w:r w:rsidR="00D83C99">
        <w:rPr>
          <w14:numForm w14:val="lining"/>
          <w14:numSpacing w14:val="proportional"/>
        </w:rPr>
        <w:t>fied</w:t>
      </w:r>
      <w:r w:rsidRPr="00E5087D">
        <w:rPr>
          <w14:numForm w14:val="lining"/>
          <w14:numSpacing w14:val="proportional"/>
        </w:rPr>
        <w:t xml:space="preserve"> natural gas and crude oil. As export markets continue to decarboni</w:t>
      </w:r>
      <w:r w:rsidR="00BF760C">
        <w:rPr>
          <w14:numForm w14:val="lining"/>
          <w14:numSpacing w14:val="proportional"/>
        </w:rPr>
        <w:t>s</w:t>
      </w:r>
      <w:r w:rsidRPr="00E5087D">
        <w:rPr>
          <w14:numForm w14:val="lining"/>
          <w14:numSpacing w14:val="proportional"/>
        </w:rPr>
        <w:t xml:space="preserve">e, the amount and type of energy Australia produces will change. This will substantially affect employment in traditional energy sectors and create opportunities for new ones, like hydrogen. </w:t>
      </w:r>
    </w:p>
    <w:p w14:paraId="386238C3" w14:textId="0D4D9D39" w:rsidR="00CD61BD" w:rsidRDefault="00B52752" w:rsidP="00107A59">
      <w:pPr>
        <w:spacing w:after="240" w:line="276" w:lineRule="auto"/>
        <w:rPr>
          <w14:numForm w14:val="lining"/>
          <w14:numSpacing w14:val="proportional"/>
        </w:rPr>
      </w:pPr>
      <w:r w:rsidRPr="00E5087D">
        <w:rPr>
          <w14:numForm w14:val="lining"/>
          <w14:numSpacing w14:val="proportional"/>
        </w:rPr>
        <w:t>Australia also imports a lot of energy, mostly refined fuels like diesel and petroleum, but also crude oil. How these imports are produced overseas, transported, and used in Australia will also evolve.</w:t>
      </w:r>
    </w:p>
    <w:p w14:paraId="75954D8C" w14:textId="77777777" w:rsidR="00CD61BD" w:rsidRDefault="00CD61BD">
      <w:pPr>
        <w:rPr>
          <w14:numForm w14:val="lining"/>
          <w14:numSpacing w14:val="proportional"/>
        </w:rPr>
      </w:pPr>
      <w:r>
        <w:rPr>
          <w14:numForm w14:val="lining"/>
          <w14:numSpacing w14:val="proportional"/>
        </w:rPr>
        <w:br w:type="page"/>
      </w:r>
    </w:p>
    <w:p w14:paraId="46B9FC18" w14:textId="4D2E30F2" w:rsidR="00B52752" w:rsidRPr="00E5087D" w:rsidRDefault="00B52752" w:rsidP="00107A59">
      <w:pPr>
        <w:pBdr>
          <w:top w:val="single" w:sz="4" w:space="6" w:color="A6A6A6" w:themeColor="background1" w:themeShade="A6"/>
        </w:pBdr>
        <w:spacing w:before="240" w:after="80"/>
        <w:rPr>
          <w:b/>
          <w:bCs/>
        </w:rPr>
      </w:pPr>
      <w:r w:rsidRPr="00E5087D">
        <w:rPr>
          <w:b/>
          <w:bCs/>
        </w:rPr>
        <w:lastRenderedPageBreak/>
        <w:t xml:space="preserve">Figure </w:t>
      </w:r>
      <w:r w:rsidR="00FC23ED">
        <w:rPr>
          <w:b/>
          <w:bCs/>
        </w:rPr>
        <w:t>1.</w:t>
      </w:r>
      <w:r w:rsidRPr="00E5087D">
        <w:rPr>
          <w:b/>
          <w:bCs/>
        </w:rPr>
        <w:t>5. Australian energy balance</w:t>
      </w:r>
    </w:p>
    <w:p w14:paraId="6808EF6C" w14:textId="1B6F90BC" w:rsidR="00B52752" w:rsidRPr="00E5087D" w:rsidRDefault="00B52752" w:rsidP="00B52752">
      <w:pPr>
        <w:spacing w:after="0"/>
      </w:pPr>
      <w:r w:rsidRPr="00E5087D">
        <w:rPr>
          <w:noProof/>
        </w:rPr>
        <w:drawing>
          <wp:inline distT="0" distB="0" distL="0" distR="0" wp14:anchorId="221037F1" wp14:editId="23D67E4A">
            <wp:extent cx="5731510" cy="3037205"/>
            <wp:effectExtent l="0" t="0" r="2540" b="0"/>
            <wp:docPr id="32" name="Graphic 32" descr="This figure reflects Australia's energy balance across the areas of production, consumption and export across the period of 1980 to 2021, showing that whilst consumption has remained relatively stable, production and exports have grown considerab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This figure reflects Australia's energy balance across the areas of production, consumption and export across the period of 1980 to 2021, showing that whilst consumption has remained relatively stable, production and exports have grown considerably. "/>
                    <pic:cNvPicPr/>
                  </pic:nvPicPr>
                  <pic:blipFill>
                    <a:blip r:embed="rId33">
                      <a:extLst>
                        <a:ext uri="{96DAC541-7B7A-43D3-8B79-37D633B846F1}">
                          <asvg:svgBlip xmlns:asvg="http://schemas.microsoft.com/office/drawing/2016/SVG/main" r:embed="rId34"/>
                        </a:ext>
                      </a:extLst>
                    </a:blip>
                    <a:stretch>
                      <a:fillRect/>
                    </a:stretch>
                  </pic:blipFill>
                  <pic:spPr>
                    <a:xfrm>
                      <a:off x="0" y="0"/>
                      <a:ext cx="5731510" cy="3037205"/>
                    </a:xfrm>
                    <a:prstGeom prst="rect">
                      <a:avLst/>
                    </a:prstGeom>
                  </pic:spPr>
                </pic:pic>
              </a:graphicData>
            </a:graphic>
          </wp:inline>
        </w:drawing>
      </w:r>
    </w:p>
    <w:p w14:paraId="39D5DFBF" w14:textId="77777777" w:rsidR="00B52752" w:rsidRPr="00E5087D" w:rsidRDefault="00B52752" w:rsidP="00B52752">
      <w:pPr>
        <w:spacing w:before="40" w:after="80"/>
        <w:rPr>
          <w:sz w:val="18"/>
          <w:szCs w:val="18"/>
        </w:rPr>
      </w:pPr>
      <w:r w:rsidRPr="00E5087D">
        <w:rPr>
          <w:sz w:val="18"/>
          <w:szCs w:val="18"/>
        </w:rPr>
        <w:t>Source: Department of Climate Change, Energy, the Environment and Water (DCCEEW) (2022), Australian Energy Statistics, Tables C, J.</w:t>
      </w:r>
    </w:p>
    <w:p w14:paraId="5CF5703C" w14:textId="77777777" w:rsidR="00B52752" w:rsidRPr="00E5087D" w:rsidRDefault="00B52752" w:rsidP="00B52752">
      <w:pPr>
        <w:pStyle w:val="Heading4"/>
        <w:spacing w:before="360" w:after="120" w:line="240" w:lineRule="auto"/>
        <w:rPr>
          <w14:numForm w14:val="lining"/>
          <w14:numSpacing w14:val="proportional"/>
        </w:rPr>
      </w:pPr>
      <w:r w:rsidRPr="00E5087D">
        <w:rPr>
          <w14:numForm w14:val="lining"/>
          <w14:numSpacing w14:val="proportional"/>
        </w:rPr>
        <w:t>Technology development</w:t>
      </w:r>
    </w:p>
    <w:p w14:paraId="4EDFA36F" w14:textId="22D7FAB2" w:rsidR="00B52752" w:rsidRPr="00E5087D" w:rsidRDefault="24799D97" w:rsidP="00B52752">
      <w:r w:rsidRPr="00E5087D">
        <w:rPr>
          <w:spacing w:val="2"/>
          <w14:ligatures w14:val="standard"/>
          <w14:numForm w14:val="lining"/>
          <w14:numSpacing w14:val="proportional"/>
        </w:rPr>
        <w:t xml:space="preserve">To date, most emissions reduction has centred around decarbonising the </w:t>
      </w:r>
      <w:r w:rsidR="7C0EB327" w:rsidRPr="00E5087D">
        <w:rPr>
          <w:spacing w:val="2"/>
          <w14:ligatures w14:val="standard"/>
          <w14:numForm w14:val="lining"/>
          <w14:numSpacing w14:val="proportional"/>
        </w:rPr>
        <w:t xml:space="preserve">electricity </w:t>
      </w:r>
      <w:r w:rsidRPr="00E5087D">
        <w:rPr>
          <w:spacing w:val="2"/>
          <w14:ligatures w14:val="standard"/>
          <w14:numForm w14:val="lining"/>
          <w14:numSpacing w14:val="proportional"/>
        </w:rPr>
        <w:t>grid with renewable energy. This attention is starting to shift as new priorities and technologies emerge. The Australian Government has already committed to new targets, investments and strategies across many emerging sectors, including:</w:t>
      </w:r>
    </w:p>
    <w:p w14:paraId="748DB9E7" w14:textId="21053107"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Transport </w:t>
      </w:r>
      <w:r w:rsidR="00C07A8D">
        <w:rPr>
          <w:spacing w:val="2"/>
          <w14:ligatures w14:val="standard"/>
          <w14:numForm w14:val="lining"/>
          <w14:numSpacing w14:val="proportional"/>
        </w:rPr>
        <w:t xml:space="preserve">makes up around one-fifth of Australia’s total emissions, while </w:t>
      </w:r>
      <w:r w:rsidR="00DF3F8D">
        <w:rPr>
          <w:rFonts w:cs="Arial"/>
          <w14:numForm w14:val="lining"/>
          <w14:numSpacing w14:val="proportional"/>
        </w:rPr>
        <w:t>EV</w:t>
      </w:r>
      <w:r w:rsidR="00C07A8D">
        <w:rPr>
          <w:spacing w:val="2"/>
          <w14:ligatures w14:val="standard"/>
          <w14:numForm w14:val="lining"/>
          <w14:numSpacing w14:val="proportional"/>
        </w:rPr>
        <w:t xml:space="preserve">s only account for 3.8% of light vehicle sales in 2022. </w:t>
      </w:r>
      <w:r w:rsidRPr="00E5087D">
        <w:rPr>
          <w:spacing w:val="2"/>
          <w14:ligatures w14:val="standard"/>
          <w14:numForm w14:val="lining"/>
          <w14:numSpacing w14:val="proportional"/>
        </w:rPr>
        <w:t xml:space="preserve">The new National Electric Vehicle Strategy looks to increase the number </w:t>
      </w:r>
      <w:r w:rsidR="00DF3F8D">
        <w:rPr>
          <w:rFonts w:cs="Arial"/>
          <w14:numForm w14:val="lining"/>
          <w14:numSpacing w14:val="proportional"/>
        </w:rPr>
        <w:t>EV</w:t>
      </w:r>
      <w:r w:rsidRPr="00E5087D">
        <w:rPr>
          <w:spacing w:val="2"/>
          <w14:ligatures w14:val="standard"/>
          <w14:numForm w14:val="lining"/>
          <w14:numSpacing w14:val="proportional"/>
        </w:rPr>
        <w:t>s on our roads and the amount of supporting charging infrastructure. Focus is also starting to turn to decarbonising road, rail, maritime and air freight.</w:t>
      </w:r>
      <w:r w:rsidRPr="00E5087D">
        <w:rPr>
          <w:rStyle w:val="EndnoteReference"/>
          <w:spacing w:val="2"/>
          <w14:ligatures w14:val="standard"/>
          <w14:numForm w14:val="lining"/>
          <w14:numSpacing w14:val="proportional"/>
        </w:rPr>
        <w:endnoteReference w:id="8"/>
      </w:r>
    </w:p>
    <w:p w14:paraId="7C21D849" w14:textId="77777777"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Energy performance </w:t>
      </w:r>
      <w:r w:rsidRPr="00E5087D">
        <w:rPr>
          <w:spacing w:val="2"/>
          <w14:ligatures w14:val="standard"/>
          <w14:numForm w14:val="lining"/>
          <w14:numSpacing w14:val="proportional"/>
        </w:rPr>
        <w:t>will help Australia reduce its demand for energy and decarbonise faster through electrification and efficiency. The Australian Government is developing a National Energy Performance Strategy to accelerate these activities across residential, commercial and industrial settings. The 2023-24 budget included several initiatives for households and businesses to improve their energy performance.</w:t>
      </w:r>
    </w:p>
    <w:p w14:paraId="39737503" w14:textId="48848600" w:rsidR="00CD61BD" w:rsidRDefault="00B52752" w:rsidP="00F25595">
      <w:pPr>
        <w:pStyle w:val="ListParagraph"/>
        <w:numPr>
          <w:ilvl w:val="0"/>
          <w:numId w:val="7"/>
        </w:numPr>
        <w:spacing w:after="120" w:line="240" w:lineRule="auto"/>
        <w:ind w:left="567" w:hanging="357"/>
        <w:contextualSpacing w:val="0"/>
        <w:rPr>
          <w:spacing w:val="2"/>
          <w14:ligatures w14:val="standard"/>
          <w14:numForm w14:val="lining"/>
          <w14:numSpacing w14:val="proportional"/>
        </w:rPr>
      </w:pPr>
      <w:r w:rsidRPr="00E5087D">
        <w:rPr>
          <w:b/>
          <w:bCs/>
          <w:spacing w:val="2"/>
          <w14:ligatures w14:val="standard"/>
          <w14:numForm w14:val="lining"/>
          <w14:numSpacing w14:val="proportional"/>
        </w:rPr>
        <w:t xml:space="preserve">Hydrogen </w:t>
      </w:r>
      <w:r w:rsidRPr="00E5087D">
        <w:rPr>
          <w:spacing w:val="2"/>
          <w14:ligatures w14:val="standard"/>
          <w14:numForm w14:val="lining"/>
          <w14:numSpacing w14:val="proportional"/>
        </w:rPr>
        <w:t>production, use and export are all being explored for Australia. This includes opportunities to use hydrogen as an alternate fuel in manufacturing and heavy transport as well as scal</w:t>
      </w:r>
      <w:r w:rsidR="00294F3A">
        <w:rPr>
          <w:spacing w:val="2"/>
          <w14:ligatures w14:val="standard"/>
          <w14:numForm w14:val="lining"/>
          <w14:numSpacing w14:val="proportional"/>
        </w:rPr>
        <w:t>ing</w:t>
      </w:r>
      <w:r w:rsidRPr="00E5087D">
        <w:rPr>
          <w:spacing w:val="2"/>
          <w14:ligatures w14:val="standard"/>
          <w14:numForm w14:val="lining"/>
          <w14:numSpacing w14:val="proportional"/>
        </w:rPr>
        <w:t xml:space="preserve"> its potential for storing energy produced from renewable sources. The Government’s recent $2bn Hydrogen Headstart Program aims</w:t>
      </w:r>
      <w:r w:rsidR="00294F3A">
        <w:rPr>
          <w:spacing w:val="2"/>
          <w14:ligatures w14:val="standard"/>
          <w14:numForm w14:val="lining"/>
          <w14:numSpacing w14:val="proportional"/>
        </w:rPr>
        <w:t xml:space="preserve"> to</w:t>
      </w:r>
      <w:r w:rsidRPr="00E5087D">
        <w:rPr>
          <w:spacing w:val="2"/>
          <w14:ligatures w14:val="standard"/>
          <w14:numForm w14:val="lining"/>
          <w14:numSpacing w14:val="proportional"/>
        </w:rPr>
        <w:t xml:space="preserve"> help </w:t>
      </w:r>
      <w:r w:rsidR="00294F3A">
        <w:rPr>
          <w:spacing w:val="2"/>
          <w14:ligatures w14:val="standard"/>
          <w14:numForm w14:val="lining"/>
          <w14:numSpacing w14:val="proportional"/>
        </w:rPr>
        <w:t xml:space="preserve">grow </w:t>
      </w:r>
      <w:r w:rsidRPr="00E5087D">
        <w:rPr>
          <w:spacing w:val="2"/>
          <w14:ligatures w14:val="standard"/>
          <w14:numForm w14:val="lining"/>
          <w14:numSpacing w14:val="proportional"/>
        </w:rPr>
        <w:t>local production of large-scale electrolysers.</w:t>
      </w:r>
      <w:r w:rsidR="00D83C99">
        <w:rPr>
          <w:rStyle w:val="FootnoteReference"/>
          <w:spacing w:val="2"/>
          <w14:ligatures w14:val="standard"/>
          <w14:numForm w14:val="lining"/>
          <w14:numSpacing w14:val="proportional"/>
        </w:rPr>
        <w:footnoteReference w:id="2"/>
      </w:r>
      <w:r w:rsidRPr="00E5087D">
        <w:rPr>
          <w:spacing w:val="2"/>
          <w14:ligatures w14:val="standard"/>
          <w14:numForm w14:val="lining"/>
          <w14:numSpacing w14:val="proportional"/>
        </w:rPr>
        <w:t xml:space="preserve"> </w:t>
      </w:r>
    </w:p>
    <w:p w14:paraId="4AEEDC41" w14:textId="7EF9404D" w:rsidR="00B52752" w:rsidRPr="00CD61BD" w:rsidRDefault="00CD61BD" w:rsidP="00CD61BD">
      <w:pPr>
        <w:rPr>
          <w:spacing w:val="2"/>
          <w14:ligatures w14:val="standard"/>
          <w14:numForm w14:val="lining"/>
          <w14:numSpacing w14:val="proportional"/>
        </w:rPr>
      </w:pPr>
      <w:r>
        <w:rPr>
          <w:spacing w:val="2"/>
          <w14:ligatures w14:val="standard"/>
          <w14:numForm w14:val="lining"/>
          <w14:numSpacing w14:val="proportional"/>
        </w:rPr>
        <w:br w:type="page"/>
      </w:r>
    </w:p>
    <w:p w14:paraId="1D5CBDBF" w14:textId="77777777"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lastRenderedPageBreak/>
        <w:t xml:space="preserve">Offshore wind </w:t>
      </w:r>
      <w:r w:rsidRPr="00E5087D">
        <w:rPr>
          <w:spacing w:val="2"/>
          <w14:ligatures w14:val="standard"/>
          <w14:numForm w14:val="lining"/>
          <w14:numSpacing w14:val="proportional"/>
        </w:rPr>
        <w:t>has the potential to meet a large part of Australia’s energy needs, with Victoria setting ambitious targets of at least 2 GW of capacity by 2032, 4 GW by 2035 and 9 GW by 2040. This will involve a complex mix of fabrication, installation, undersea cabling and maintenance activities.</w:t>
      </w:r>
    </w:p>
    <w:p w14:paraId="09E81112" w14:textId="64D4627F" w:rsidR="00B52752" w:rsidRPr="00E5087D"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Manufacturing </w:t>
      </w:r>
      <w:r w:rsidRPr="00E5087D">
        <w:rPr>
          <w:spacing w:val="2"/>
          <w14:ligatures w14:val="standard"/>
          <w14:numForm w14:val="lining"/>
          <w14:numSpacing w14:val="proportional"/>
        </w:rPr>
        <w:t xml:space="preserve">renewables and low emissions technologies is </w:t>
      </w:r>
      <w:r w:rsidR="0A86F698" w:rsidRPr="00E5087D">
        <w:rPr>
          <w:spacing w:val="2"/>
          <w14:ligatures w14:val="standard"/>
          <w14:numForm w14:val="lining"/>
          <w14:numSpacing w14:val="proportional"/>
        </w:rPr>
        <w:t xml:space="preserve">a </w:t>
      </w:r>
      <w:r w:rsidR="001D2F29">
        <w:rPr>
          <w:spacing w:val="2"/>
          <w14:ligatures w14:val="standard"/>
          <w14:numForm w14:val="lining"/>
          <w14:numSpacing w14:val="proportional"/>
        </w:rPr>
        <w:t xml:space="preserve">priority area </w:t>
      </w:r>
      <w:r w:rsidRPr="00E5087D">
        <w:rPr>
          <w:spacing w:val="2"/>
          <w14:ligatures w14:val="standard"/>
          <w14:numForm w14:val="lining"/>
          <w14:numSpacing w14:val="proportional"/>
        </w:rPr>
        <w:t xml:space="preserve">of the </w:t>
      </w:r>
      <w:r w:rsidR="001D2F29">
        <w:rPr>
          <w:spacing w:val="2"/>
          <w14:ligatures w14:val="standard"/>
          <w14:numForm w14:val="lining"/>
          <w14:numSpacing w14:val="proportional"/>
        </w:rPr>
        <w:t>Australian G</w:t>
      </w:r>
      <w:r w:rsidRPr="00E5087D">
        <w:rPr>
          <w:spacing w:val="2"/>
          <w14:ligatures w14:val="standard"/>
          <w14:numForm w14:val="lining"/>
          <w14:numSpacing w14:val="proportional"/>
        </w:rPr>
        <w:t>overnment’s National Reconstruction Fund that aims to diversify and transform Australia’s industrial base.</w:t>
      </w:r>
      <w:r w:rsidR="00F515FA">
        <w:rPr>
          <w:spacing w:val="2"/>
          <w14:ligatures w14:val="standard"/>
          <w14:numForm w14:val="lining"/>
          <w14:numSpacing w14:val="proportional"/>
        </w:rPr>
        <w:t xml:space="preserve"> It includes a $3bn allocation for green metals (</w:t>
      </w:r>
      <w:r w:rsidR="00620D26">
        <w:rPr>
          <w:spacing w:val="2"/>
          <w14:ligatures w14:val="standard"/>
          <w14:numForm w14:val="lining"/>
          <w14:numSpacing w14:val="proportional"/>
        </w:rPr>
        <w:t>s</w:t>
      </w:r>
      <w:r w:rsidR="00F515FA">
        <w:rPr>
          <w:spacing w:val="2"/>
          <w14:ligatures w14:val="standard"/>
          <w14:numForm w14:val="lining"/>
          <w14:numSpacing w14:val="proportional"/>
        </w:rPr>
        <w:t>teel, alumina</w:t>
      </w:r>
      <w:r w:rsidR="00620D26">
        <w:rPr>
          <w:spacing w:val="2"/>
          <w14:ligatures w14:val="standard"/>
          <w14:numForm w14:val="lining"/>
          <w14:numSpacing w14:val="proportional"/>
        </w:rPr>
        <w:t xml:space="preserve"> </w:t>
      </w:r>
      <w:r w:rsidR="00F515FA">
        <w:rPr>
          <w:spacing w:val="2"/>
          <w14:ligatures w14:val="standard"/>
          <w14:numForm w14:val="lining"/>
          <w14:numSpacing w14:val="proportional"/>
        </w:rPr>
        <w:t xml:space="preserve">and </w:t>
      </w:r>
      <w:r w:rsidR="00620D26">
        <w:rPr>
          <w:spacing w:val="2"/>
          <w14:ligatures w14:val="standard"/>
          <w14:numForm w14:val="lining"/>
          <w14:numSpacing w14:val="proportional"/>
        </w:rPr>
        <w:t>aluminium</w:t>
      </w:r>
      <w:r w:rsidR="00F515FA">
        <w:rPr>
          <w:spacing w:val="2"/>
          <w14:ligatures w14:val="standard"/>
          <w14:numForm w14:val="lining"/>
          <w14:numSpacing w14:val="proportional"/>
        </w:rPr>
        <w:t>), clean energy component manufacturing, hydrogen electrolysers and fuel switch</w:t>
      </w:r>
      <w:r w:rsidR="00620D26">
        <w:rPr>
          <w:spacing w:val="2"/>
          <w14:ligatures w14:val="standard"/>
          <w14:numForm w14:val="lining"/>
          <w14:numSpacing w14:val="proportional"/>
        </w:rPr>
        <w:t>ing</w:t>
      </w:r>
      <w:r w:rsidR="00F515FA">
        <w:rPr>
          <w:spacing w:val="2"/>
          <w14:ligatures w14:val="standard"/>
          <w14:numForm w14:val="lining"/>
          <w14:numSpacing w14:val="proportional"/>
        </w:rPr>
        <w:t>,</w:t>
      </w:r>
      <w:r w:rsidR="00620D26">
        <w:rPr>
          <w:spacing w:val="2"/>
          <w14:ligatures w14:val="standard"/>
          <w14:numForm w14:val="lining"/>
          <w14:numSpacing w14:val="proportional"/>
        </w:rPr>
        <w:t xml:space="preserve"> agriculture methane reduction and waste reduction.</w:t>
      </w:r>
    </w:p>
    <w:p w14:paraId="26E39A5C" w14:textId="77777777" w:rsidR="00B52752" w:rsidRPr="001E30E3" w:rsidRDefault="00B52752"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Battery storage </w:t>
      </w:r>
      <w:r w:rsidRPr="00E5087D">
        <w:rPr>
          <w:spacing w:val="2"/>
          <w14:ligatures w14:val="standard"/>
          <w14:numForm w14:val="lining"/>
          <w14:numSpacing w14:val="proportional"/>
        </w:rPr>
        <w:t>will be a critical feature of Australia’s future energy supply, both at grid-scale to support transmission but also in houses and businesses in tandem with small-scale solar. The government is delivering a National Battery Strategy to boost investment across the battery value chain.</w:t>
      </w:r>
    </w:p>
    <w:p w14:paraId="0FF52668" w14:textId="2E47491F" w:rsidR="001E30E3" w:rsidRPr="00E5087D" w:rsidRDefault="001E30E3" w:rsidP="00F25595">
      <w:pPr>
        <w:pStyle w:val="ListParagraph"/>
        <w:numPr>
          <w:ilvl w:val="0"/>
          <w:numId w:val="7"/>
        </w:numPr>
        <w:spacing w:after="120" w:line="240" w:lineRule="auto"/>
        <w:ind w:left="567" w:hanging="357"/>
        <w:contextualSpacing w:val="0"/>
        <w:rPr>
          <w:b/>
          <w:bCs/>
          <w:spacing w:val="2"/>
          <w14:ligatures w14:val="standard"/>
          <w14:numForm w14:val="lining"/>
          <w14:numSpacing w14:val="proportional"/>
        </w:rPr>
      </w:pPr>
      <w:r>
        <w:rPr>
          <w:b/>
          <w:bCs/>
          <w:spacing w:val="2"/>
          <w14:ligatures w14:val="standard"/>
          <w14:numForm w14:val="lining"/>
          <w14:numSpacing w14:val="proportional"/>
        </w:rPr>
        <w:t>Critical minerals</w:t>
      </w:r>
      <w:r w:rsidR="005F15E7">
        <w:rPr>
          <w:b/>
          <w:bCs/>
          <w:spacing w:val="2"/>
          <w14:ligatures w14:val="standard"/>
          <w14:numForm w14:val="lining"/>
          <w14:numSpacing w14:val="proportional"/>
        </w:rPr>
        <w:t xml:space="preserve"> </w:t>
      </w:r>
      <w:r w:rsidR="00D1218E">
        <w:rPr>
          <w:spacing w:val="2"/>
          <w14:ligatures w14:val="standard"/>
          <w14:numForm w14:val="lining"/>
          <w14:numSpacing w14:val="proportional"/>
        </w:rPr>
        <w:t>are</w:t>
      </w:r>
      <w:r w:rsidR="00101E2D">
        <w:rPr>
          <w:spacing w:val="2"/>
          <w14:ligatures w14:val="standard"/>
          <w14:numForm w14:val="lining"/>
          <w14:numSpacing w14:val="proportional"/>
        </w:rPr>
        <w:t xml:space="preserve"> </w:t>
      </w:r>
      <w:r w:rsidR="00291AAC">
        <w:rPr>
          <w:spacing w:val="2"/>
          <w14:ligatures w14:val="standard"/>
          <w14:numForm w14:val="lining"/>
          <w14:numSpacing w14:val="proportional"/>
        </w:rPr>
        <w:t xml:space="preserve">essential </w:t>
      </w:r>
      <w:r w:rsidR="00D1218E">
        <w:rPr>
          <w:spacing w:val="2"/>
          <w14:ligatures w14:val="standard"/>
          <w14:numForm w14:val="lining"/>
          <w14:numSpacing w14:val="proportional"/>
        </w:rPr>
        <w:t xml:space="preserve">inputs </w:t>
      </w:r>
      <w:r w:rsidR="00291AAC">
        <w:rPr>
          <w:spacing w:val="2"/>
          <w14:ligatures w14:val="standard"/>
          <w14:numForm w14:val="lining"/>
          <w14:numSpacing w14:val="proportional"/>
        </w:rPr>
        <w:t xml:space="preserve">for </w:t>
      </w:r>
      <w:r w:rsidR="00D1218E">
        <w:rPr>
          <w:spacing w:val="2"/>
          <w14:ligatures w14:val="standard"/>
          <w14:numForm w14:val="lining"/>
          <w14:numSpacing w14:val="proportional"/>
        </w:rPr>
        <w:t xml:space="preserve">a </w:t>
      </w:r>
      <w:r w:rsidR="00C07A8D">
        <w:rPr>
          <w:spacing w:val="2"/>
          <w14:ligatures w14:val="standard"/>
          <w14:numForm w14:val="lining"/>
          <w14:numSpacing w14:val="proportional"/>
        </w:rPr>
        <w:t>wide</w:t>
      </w:r>
      <w:r w:rsidR="00D1218E">
        <w:rPr>
          <w:spacing w:val="2"/>
          <w14:ligatures w14:val="standard"/>
          <w14:numForm w14:val="lining"/>
          <w14:numSpacing w14:val="proportional"/>
        </w:rPr>
        <w:t xml:space="preserve"> </w:t>
      </w:r>
      <w:r w:rsidR="00C07A8D">
        <w:rPr>
          <w:spacing w:val="2"/>
          <w14:ligatures w14:val="standard"/>
          <w14:numForm w14:val="lining"/>
          <w14:numSpacing w14:val="proportional"/>
        </w:rPr>
        <w:t>range</w:t>
      </w:r>
      <w:r w:rsidR="00D1218E">
        <w:rPr>
          <w:spacing w:val="2"/>
          <w14:ligatures w14:val="standard"/>
          <w14:numForm w14:val="lining"/>
          <w14:numSpacing w14:val="proportional"/>
        </w:rPr>
        <w:t xml:space="preserve"> of clean energy technologies</w:t>
      </w:r>
      <w:r w:rsidR="00291AAC">
        <w:rPr>
          <w:spacing w:val="2"/>
          <w14:ligatures w14:val="standard"/>
          <w14:numForm w14:val="lining"/>
          <w14:numSpacing w14:val="proportional"/>
        </w:rPr>
        <w:t>. The Critical Minerals Strategy 2023-2030 will support Australia to unlock our vast potential as a major supplier of the critical minera</w:t>
      </w:r>
      <w:r w:rsidR="00D1218E">
        <w:rPr>
          <w:spacing w:val="2"/>
          <w14:ligatures w14:val="standard"/>
          <w14:numForm w14:val="lining"/>
          <w14:numSpacing w14:val="proportional"/>
        </w:rPr>
        <w:t xml:space="preserve">ls needed to decarbonise the global economy. </w:t>
      </w:r>
    </w:p>
    <w:p w14:paraId="04A58574" w14:textId="77777777" w:rsidR="00B52752" w:rsidRPr="00E5087D" w:rsidRDefault="00B52752" w:rsidP="00B52752">
      <w:r w:rsidRPr="00E5087D">
        <w:rPr>
          <w:spacing w:val="2"/>
          <w14:ligatures w14:val="standard"/>
          <w14:numForm w14:val="lining"/>
          <w14:numSpacing w14:val="proportional"/>
        </w:rPr>
        <w:t xml:space="preserve">New technology has the potential to radically change the way we generate and use energy in Australia, which will ultimately impact the type of workforce we need. These new technologies and their potential impacts are explored in </w:t>
      </w:r>
      <w:r w:rsidRPr="00E5087D">
        <w:rPr>
          <w:b/>
          <w:bCs/>
          <w:spacing w:val="2"/>
          <w14:ligatures w14:val="standard"/>
          <w14:numForm w14:val="lining"/>
          <w14:numSpacing w14:val="proportional"/>
        </w:rPr>
        <w:t>Chapter 6</w:t>
      </w:r>
      <w:r w:rsidRPr="00E5087D">
        <w:rPr>
          <w:spacing w:val="2"/>
          <w14:ligatures w14:val="standard"/>
          <w14:numForm w14:val="lining"/>
          <w14:numSpacing w14:val="proportional"/>
        </w:rPr>
        <w:t>.</w:t>
      </w:r>
    </w:p>
    <w:p w14:paraId="45F0973E" w14:textId="77777777" w:rsidR="00B52752" w:rsidRPr="00E5087D" w:rsidRDefault="00B52752" w:rsidP="00E079FA">
      <w:pPr>
        <w:pStyle w:val="Heading4"/>
        <w:spacing w:before="480" w:after="120" w:line="240" w:lineRule="auto"/>
        <w:rPr>
          <w14:numForm w14:val="lining"/>
          <w14:numSpacing w14:val="proportional"/>
        </w:rPr>
      </w:pPr>
      <w:r w:rsidRPr="00E5087D">
        <w:rPr>
          <w14:numForm w14:val="lining"/>
          <w14:numSpacing w14:val="proportional"/>
        </w:rPr>
        <w:t>International competition and commitments</w:t>
      </w:r>
    </w:p>
    <w:p w14:paraId="39E6F2B3" w14:textId="41F3E695" w:rsidR="00B52752" w:rsidRPr="00E5087D" w:rsidRDefault="00E0703A" w:rsidP="00B52752">
      <w:pPr>
        <w:spacing w:after="120" w:line="276" w:lineRule="auto"/>
        <w:rPr>
          <w14:numForm w14:val="lining"/>
          <w14:numSpacing w14:val="proportional"/>
        </w:rPr>
      </w:pPr>
      <w:r w:rsidRPr="00E0703A">
        <w:rPr>
          <w14:numForm w14:val="lining"/>
          <w14:numSpacing w14:val="proportional"/>
        </w:rPr>
        <w:t>More than 150 countries have committed to achieving a net zero target, a significant milestone representing around 90</w:t>
      </w:r>
      <w:r w:rsidR="003576A3">
        <w:rPr>
          <w14:numForm w14:val="lining"/>
          <w14:numSpacing w14:val="proportional"/>
        </w:rPr>
        <w:t xml:space="preserve">% </w:t>
      </w:r>
      <w:r w:rsidRPr="00E0703A">
        <w:rPr>
          <w14:numForm w14:val="lining"/>
          <w14:numSpacing w14:val="proportional"/>
        </w:rPr>
        <w:t>of global population.</w:t>
      </w:r>
      <w:r>
        <w:rPr>
          <w14:numForm w14:val="lining"/>
          <w14:numSpacing w14:val="proportional"/>
        </w:rPr>
        <w:t xml:space="preserve"> </w:t>
      </w:r>
      <w:r w:rsidR="00B52752" w:rsidRPr="00E5087D">
        <w:rPr>
          <w14:numForm w14:val="lining"/>
          <w14:numSpacing w14:val="proportional"/>
        </w:rPr>
        <w:t xml:space="preserve">The energy transition will require a coordinated effort from all regions and nations, but the scale and pace of transformation will largely be driven by the major energy powers: China, the United States and the European Union. Collectively, these regions account for the majority of global energy supply and demand and are the three highest carbon emitters. </w:t>
      </w:r>
    </w:p>
    <w:p w14:paraId="6BF99A50" w14:textId="20230E46" w:rsidR="00B52752" w:rsidRPr="00E5087D" w:rsidRDefault="00B52752" w:rsidP="00B52752">
      <w:pPr>
        <w:spacing w:after="120" w:line="276" w:lineRule="auto"/>
        <w:rPr>
          <w14:numForm w14:val="lining"/>
          <w14:numSpacing w14:val="proportional"/>
        </w:rPr>
      </w:pPr>
      <w:r w:rsidRPr="00E5087D">
        <w:rPr>
          <w14:numForm w14:val="lining"/>
          <w14:numSpacing w14:val="proportional"/>
        </w:rPr>
        <w:t>The policy settings and fiscal incentives of these major powers (and countries like Japan and India) will heavily influence the flow of capital for clean energy projects. Therefore it’s important to note that regardless of Australia’s domestic policies, our energy workforce needs will radically change.</w:t>
      </w:r>
    </w:p>
    <w:p w14:paraId="0C430AFF" w14:textId="10790157" w:rsidR="00CD2512" w:rsidRDefault="00B52752" w:rsidP="00A47876">
      <w:pPr>
        <w:spacing w:after="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With many nations looking to transition their economies, secure energy supply, and develop new industries, the competition for workers will grow. As a result, Australia will likely find it harder to attract skilled migrants and retain local workers.</w:t>
      </w:r>
      <w:r w:rsidRPr="00E5087D">
        <w:rPr>
          <w:rStyle w:val="EndnoteReference"/>
          <w:rFonts w:cs="Arial"/>
          <w:spacing w:val="2"/>
          <w14:ligatures w14:val="standard"/>
          <w14:numForm w14:val="lining"/>
          <w14:numSpacing w14:val="proportional"/>
        </w:rPr>
        <w:endnoteReference w:id="9"/>
      </w:r>
    </w:p>
    <w:p w14:paraId="04D069FF" w14:textId="77777777" w:rsidR="00E51A99" w:rsidRPr="00E5087D" w:rsidRDefault="00B52752" w:rsidP="002A35E6">
      <w:pPr>
        <w:pStyle w:val="IntenseQuote"/>
        <w:pBdr>
          <w:top w:val="single" w:sz="4" w:space="10" w:color="B4C227" w:themeColor="background2" w:themeShade="BF"/>
          <w:bottom w:val="single" w:sz="4" w:space="10" w:color="B4C227" w:themeColor="background2" w:themeShade="BF"/>
        </w:pBdr>
        <w:spacing w:after="120"/>
        <w:rPr>
          <w:color w:val="000000" w:themeColor="text1"/>
        </w:rPr>
      </w:pPr>
      <w:r w:rsidRPr="00E5087D">
        <w:rPr>
          <w:color w:val="000000" w:themeColor="text1"/>
        </w:rPr>
        <w:t>“A clean-tech race is in full swing. The largest economies in the world – from the United States to India, from China to Japan – have all started to invest massively in green innovation. While this can only be good news for our planet, it is of course a lot of pressure on the EU’s own clean transition.”</w:t>
      </w:r>
    </w:p>
    <w:p w14:paraId="1776EE27" w14:textId="335E9528" w:rsidR="00B52752" w:rsidRPr="00E65EC1" w:rsidRDefault="00E51A99" w:rsidP="00E51A99">
      <w:pPr>
        <w:pStyle w:val="IntenseQuote"/>
        <w:pBdr>
          <w:top w:val="single" w:sz="4" w:space="10" w:color="B4C227" w:themeColor="background2" w:themeShade="BF"/>
          <w:bottom w:val="single" w:sz="4" w:space="10" w:color="B4C227" w:themeColor="background2" w:themeShade="BF"/>
        </w:pBdr>
        <w:spacing w:before="120" w:after="0"/>
        <w:rPr>
          <w:i w:val="0"/>
          <w:iCs w:val="0"/>
          <w:color w:val="78821A" w:themeColor="background2" w:themeShade="80"/>
        </w:rPr>
      </w:pPr>
      <w:r w:rsidRPr="00E65EC1">
        <w:rPr>
          <w:i w:val="0"/>
          <w:iCs w:val="0"/>
          <w:color w:val="78821A" w:themeColor="background2" w:themeShade="80"/>
        </w:rPr>
        <w:t>– The European Commission.</w:t>
      </w:r>
      <w:r w:rsidR="00B52752" w:rsidRPr="00E65EC1">
        <w:rPr>
          <w:i w:val="0"/>
          <w:iCs w:val="0"/>
          <w:color w:val="78821A" w:themeColor="background2" w:themeShade="80"/>
          <w:vertAlign w:val="superscript"/>
        </w:rPr>
        <w:endnoteReference w:id="10"/>
      </w:r>
    </w:p>
    <w:p w14:paraId="489B0743" w14:textId="2BDFA348" w:rsidR="00B52752" w:rsidRPr="00E5087D" w:rsidRDefault="00B52752" w:rsidP="00B52752">
      <w:pPr>
        <w:spacing w:before="240" w:after="120" w:line="276" w:lineRule="auto"/>
        <w:rPr>
          <w14:numForm w14:val="lining"/>
          <w14:numSpacing w14:val="proportional"/>
        </w:rPr>
      </w:pPr>
      <w:r w:rsidRPr="00E5087D">
        <w:rPr>
          <w14:numForm w14:val="lining"/>
          <w14:numSpacing w14:val="proportional"/>
        </w:rPr>
        <w:lastRenderedPageBreak/>
        <w:t>Understanding the clean energy policy settings and fiscal incentives of the major energy powers will be critical to ensuring Australia is competitive, resilient and responsive to the shifting landscape of the international energy market.</w:t>
      </w:r>
    </w:p>
    <w:p w14:paraId="7E727EE9" w14:textId="4B189B0E" w:rsidR="00B52752" w:rsidRPr="00E5087D" w:rsidRDefault="00B52752" w:rsidP="00F25595">
      <w:pPr>
        <w:pStyle w:val="Bodycopy"/>
        <w:numPr>
          <w:ilvl w:val="0"/>
          <w:numId w:val="8"/>
        </w:numPr>
        <w:spacing w:after="120" w:line="276" w:lineRule="auto"/>
        <w:ind w:left="426"/>
        <w:rPr>
          <w14:numForm w14:val="lining"/>
          <w14:numSpacing w14:val="proportional"/>
        </w:rPr>
      </w:pPr>
      <w:r w:rsidRPr="00E5087D">
        <w:rPr>
          <w14:numForm w14:val="lining"/>
          <w14:numSpacing w14:val="proportional"/>
        </w:rPr>
        <w:t>China has ratified the Paris Agreement, which centres on a commitment to reduce emissions, limit global temperature increases and mitigate the impacts of climate change. China is considered a developing country by the United Nations and is accordingly held to more lenient ratification requirements than highly developed countries. In 2020, China committed to achieving carbon neutrality by 2060.</w:t>
      </w:r>
    </w:p>
    <w:p w14:paraId="63369888" w14:textId="77777777" w:rsidR="00B52752" w:rsidRPr="00E5087D" w:rsidRDefault="00B52752" w:rsidP="00BB11F0">
      <w:pPr>
        <w:pStyle w:val="Bodycopy"/>
        <w:numPr>
          <w:ilvl w:val="0"/>
          <w:numId w:val="8"/>
        </w:numPr>
        <w:spacing w:after="120" w:line="276" w:lineRule="auto"/>
        <w:ind w:left="426"/>
        <w:rPr>
          <w14:numForm w14:val="lining"/>
          <w14:numSpacing w14:val="proportional"/>
        </w:rPr>
      </w:pPr>
      <w:r w:rsidRPr="00E5087D">
        <w:rPr>
          <w14:numForm w14:val="lining"/>
          <w14:numSpacing w14:val="proportional"/>
        </w:rPr>
        <w:t>The U.S. is a party to the Paris Agreement</w:t>
      </w:r>
      <w:r w:rsidR="00E0703A">
        <w:rPr>
          <w14:numForm w14:val="lining"/>
          <w14:numSpacing w14:val="proportional"/>
        </w:rPr>
        <w:t xml:space="preserve"> and u</w:t>
      </w:r>
      <w:r w:rsidR="00E0703A" w:rsidRPr="00E0703A">
        <w:rPr>
          <w14:numForm w14:val="lining"/>
          <w14:numSpacing w14:val="proportional"/>
        </w:rPr>
        <w:t>pon re-joining the Paris Agreement in 2021, the US set an emissions reduction target of 50-52% on 2005 levels by 2030 and has committed to achieving carbon neutrality by 2050</w:t>
      </w:r>
      <w:r w:rsidRPr="00E5087D">
        <w:rPr>
          <w14:numForm w14:val="lining"/>
          <w14:numSpacing w14:val="proportional"/>
        </w:rPr>
        <w:t>.</w:t>
      </w:r>
    </w:p>
    <w:p w14:paraId="3A754620" w14:textId="53E0695B" w:rsidR="00E301A0" w:rsidRPr="00E5087D" w:rsidRDefault="00E301A0" w:rsidP="00BB11F0">
      <w:pPr>
        <w:pStyle w:val="Bodycopy"/>
        <w:numPr>
          <w:ilvl w:val="0"/>
          <w:numId w:val="8"/>
        </w:numPr>
        <w:spacing w:after="120" w:line="276" w:lineRule="auto"/>
        <w:ind w:left="426"/>
        <w:rPr>
          <w14:numForm w14:val="lining"/>
          <w14:numSpacing w14:val="proportional"/>
        </w:rPr>
      </w:pPr>
      <w:r w:rsidRPr="0064636D">
        <w:rPr>
          <w14:numForm w14:val="lining"/>
          <w14:numSpacing w14:val="proportional"/>
        </w:rPr>
        <w:t>The Inflation Reduction Act (2022) was designed to ensure that the United States remains a global leader in clean energy technology, manufacturing, and innovation. The IRA earmarks AU$520 billion for clean energy investments across a range of sectors, with a view to strengthen the U.S. economy, job market and supply chains as well as conserve and restore the natural environment.</w:t>
      </w:r>
      <w:r>
        <w:rPr>
          <w14:numForm w14:val="lining"/>
          <w14:numSpacing w14:val="proportional"/>
        </w:rPr>
        <w:t xml:space="preserve"> </w:t>
      </w:r>
      <w:r w:rsidRPr="0064636D">
        <w:rPr>
          <w14:numForm w14:val="lining"/>
          <w14:numSpacing w14:val="proportional"/>
        </w:rPr>
        <w:t>This transformational investment is expected to create around 9 million jobs</w:t>
      </w:r>
      <w:r>
        <w:rPr>
          <w14:numForm w14:val="lining"/>
          <w14:numSpacing w14:val="proportional"/>
        </w:rPr>
        <w:t>.</w:t>
      </w:r>
    </w:p>
    <w:p w14:paraId="75188610" w14:textId="16E93B5C" w:rsidR="006B10EA" w:rsidRDefault="00B52752" w:rsidP="00F25595">
      <w:pPr>
        <w:pStyle w:val="Bodycopy"/>
        <w:numPr>
          <w:ilvl w:val="0"/>
          <w:numId w:val="8"/>
        </w:numPr>
        <w:spacing w:after="120" w:line="276" w:lineRule="auto"/>
        <w:ind w:left="426"/>
        <w:rPr>
          <w14:numForm w14:val="lining"/>
          <w14:numSpacing w14:val="proportional"/>
        </w:rPr>
      </w:pPr>
      <w:r w:rsidRPr="00E5087D">
        <w:rPr>
          <w14:numForm w14:val="lining"/>
          <w14:numSpacing w14:val="proportional"/>
        </w:rPr>
        <w:t>The EU is a party to the Paris Agreement and has committed to achieve carbon neutrality by 2050. Each of the EU’s 27 Member States are required to develop their own national strategies in support of these shared aims.</w:t>
      </w:r>
    </w:p>
    <w:p w14:paraId="7E652C87" w14:textId="526917CA" w:rsidR="006B10EA" w:rsidRPr="006B10EA" w:rsidRDefault="006B10EA" w:rsidP="00FC3A13">
      <w:pPr>
        <w:pStyle w:val="Bodycopy"/>
        <w:spacing w:after="360" w:line="276" w:lineRule="auto"/>
        <w:ind w:left="66"/>
        <w:rPr>
          <w:rStyle w:val="EndnoteReference"/>
          <w14:numForm w14:val="lining"/>
          <w14:numSpacing w14:val="proportional"/>
        </w:rPr>
      </w:pPr>
      <w:r w:rsidRPr="00FC3A13">
        <w:rPr>
          <w14:numForm w14:val="lining"/>
          <w14:numSpacing w14:val="proportional"/>
        </w:rPr>
        <w:t>The nationally determined nature of a country’s emissions targets factors in the various starting positions of each country and their capacity to contribute to overarching global climate change objectives.</w:t>
      </w:r>
    </w:p>
    <w:p w14:paraId="558BDE30" w14:textId="77777777" w:rsidR="00E43EEA" w:rsidRDefault="00E43EEA">
      <w:pPr>
        <w:rPr>
          <w:rFonts w:asciiTheme="minorHAnsi" w:eastAsiaTheme="majorEastAsia" w:hAnsiTheme="minorHAnsi" w:cstheme="minorHAnsi"/>
          <w:b/>
          <w:sz w:val="56"/>
          <w:szCs w:val="26"/>
        </w:rPr>
      </w:pPr>
      <w:bookmarkStart w:id="20" w:name="_Toc141863823"/>
      <w:bookmarkStart w:id="21" w:name="_Toc146210832"/>
      <w:r>
        <w:rPr>
          <w:rFonts w:asciiTheme="minorHAnsi" w:hAnsiTheme="minorHAnsi" w:cstheme="minorHAnsi"/>
        </w:rPr>
        <w:br w:type="page"/>
      </w:r>
    </w:p>
    <w:p w14:paraId="56EA0898" w14:textId="2352A66D" w:rsidR="00027F65" w:rsidRPr="00FA2F46" w:rsidRDefault="00FA2F46" w:rsidP="00FA2F46">
      <w:pPr>
        <w:pStyle w:val="Heading2"/>
        <w:rPr>
          <w:b w:val="0"/>
          <w:bCs/>
        </w:rPr>
      </w:pPr>
      <w:bookmarkStart w:id="22" w:name="_Toc146892662"/>
      <w:r w:rsidRPr="00E0628A">
        <w:rPr>
          <w:rFonts w:asciiTheme="minorHAnsi" w:hAnsiTheme="minorHAnsi" w:cstheme="minorHAnsi"/>
        </w:rPr>
        <w:lastRenderedPageBreak/>
        <w:t>1</w:t>
      </w:r>
      <w:r w:rsidRPr="00E0628A">
        <w:rPr>
          <w:rFonts w:asciiTheme="minorHAnsi" w:hAnsiTheme="minorHAnsi" w:cstheme="minorHAnsi"/>
          <w:smallCaps/>
        </w:rPr>
        <w:t>c</w:t>
      </w:r>
      <w:r w:rsidRPr="00E0628A">
        <w:rPr>
          <w:rFonts w:asciiTheme="minorHAnsi" w:hAnsiTheme="minorHAnsi" w:cstheme="minorHAnsi"/>
        </w:rPr>
        <w:t>.</w:t>
      </w:r>
      <w:r w:rsidRPr="00E0628A">
        <w:rPr>
          <w:rFonts w:asciiTheme="minorHAnsi" w:hAnsiTheme="minorHAnsi" w:cstheme="minorHAnsi"/>
          <w:b w:val="0"/>
          <w:bCs/>
        </w:rPr>
        <w:t xml:space="preserve"> </w:t>
      </w:r>
      <w:r w:rsidR="00027F65" w:rsidRPr="00FA2F46">
        <w:rPr>
          <w:b w:val="0"/>
          <w:bCs/>
          <w:sz w:val="52"/>
          <w:szCs w:val="52"/>
        </w:rPr>
        <w:t>How do we currently use energy?</w:t>
      </w:r>
      <w:bookmarkEnd w:id="20"/>
      <w:bookmarkEnd w:id="21"/>
      <w:bookmarkEnd w:id="22"/>
    </w:p>
    <w:p w14:paraId="3EAE74B3" w14:textId="0EC768F7" w:rsidR="00027F65" w:rsidRPr="00E5087D" w:rsidRDefault="00027F65" w:rsidP="001D7F52">
      <w:pPr>
        <w:pStyle w:val="Bodycopy"/>
        <w:spacing w:line="276" w:lineRule="auto"/>
        <w:rPr>
          <w:sz w:val="14"/>
          <w:szCs w:val="14"/>
          <w14:numForm w14:val="lining"/>
          <w14:numSpacing w14:val="proportional"/>
        </w:rPr>
      </w:pPr>
      <w:r w:rsidRPr="00E5087D">
        <w:rPr>
          <w14:numForm w14:val="lining"/>
          <w14:numSpacing w14:val="proportional"/>
        </w:rPr>
        <w:t>Energy is more than just electricity. It includes the fuel we use to heat our homes, fuel our vehicles and power our industries. Most of Australia’s energy consumption comes from fossil fuels – about 92</w:t>
      </w:r>
      <w:r w:rsidR="00695B7C">
        <w:rPr>
          <w14:numForm w14:val="lining"/>
          <w14:numSpacing w14:val="proportional"/>
        </w:rPr>
        <w:t>%</w:t>
      </w:r>
      <w:r w:rsidRPr="00E5087D">
        <w:rPr>
          <w14:numForm w14:val="lining"/>
          <w14:numSpacing w14:val="proportional"/>
        </w:rPr>
        <w:t xml:space="preserve"> in 2020-21</w:t>
      </w:r>
      <w:r w:rsidR="002B3A93">
        <w:rPr>
          <w14:numForm w14:val="lining"/>
          <w14:numSpacing w14:val="proportional"/>
        </w:rPr>
        <w:t xml:space="preserve"> (Figure </w:t>
      </w:r>
      <w:r w:rsidR="00B631F8">
        <w:rPr>
          <w14:numForm w14:val="lining"/>
          <w14:numSpacing w14:val="proportional"/>
        </w:rPr>
        <w:t>1.</w:t>
      </w:r>
      <w:r w:rsidR="002B3A93">
        <w:rPr>
          <w14:numForm w14:val="lining"/>
          <w14:numSpacing w14:val="proportional"/>
        </w:rPr>
        <w:t>6)</w:t>
      </w:r>
      <w:r w:rsidRPr="00E5087D">
        <w:rPr>
          <w14:numForm w14:val="lining"/>
          <w14:numSpacing w14:val="proportional"/>
        </w:rPr>
        <w:t xml:space="preserve">. Oil is the largest fuel source (mostly for transport), followed by coal and gas used to generate electricity and </w:t>
      </w:r>
      <w:r w:rsidR="00CF4AFC">
        <w:rPr>
          <w14:numForm w14:val="lining"/>
          <w14:numSpacing w14:val="proportional"/>
        </w:rPr>
        <w:t xml:space="preserve">in </w:t>
      </w:r>
      <w:r w:rsidRPr="00E5087D">
        <w:rPr>
          <w14:numForm w14:val="lining"/>
          <w14:numSpacing w14:val="proportional"/>
        </w:rPr>
        <w:t xml:space="preserve">heavy industry. The renewable share has grown from around 5% in 2010-11 to 8% in 2020-21. </w:t>
      </w:r>
      <w:r w:rsidRPr="00827331">
        <w:rPr>
          <w:b/>
          <w:bCs/>
          <w14:numForm w14:val="lining"/>
          <w14:numSpacing w14:val="proportional"/>
        </w:rPr>
        <w:t>Chapter 5</w:t>
      </w:r>
      <w:r w:rsidRPr="00885DA6">
        <w:rPr>
          <w14:numForm w14:val="lining"/>
          <w14:numSpacing w14:val="proportional"/>
        </w:rPr>
        <w:t xml:space="preserve"> explores</w:t>
      </w:r>
      <w:r w:rsidRPr="00E5087D">
        <w:rPr>
          <w14:numForm w14:val="lining"/>
          <w14:numSpacing w14:val="proportional"/>
        </w:rPr>
        <w:t xml:space="preserve"> how our </w:t>
      </w:r>
      <w:r w:rsidR="0055373A">
        <w:rPr>
          <w14:numForm w14:val="lining"/>
          <w14:numSpacing w14:val="proportional"/>
        </w:rPr>
        <w:t xml:space="preserve">workforce needs may need to change considering different scenarios based on </w:t>
      </w:r>
      <w:r w:rsidR="00C94E6A">
        <w:rPr>
          <w14:numForm w14:val="lining"/>
          <w14:numSpacing w14:val="proportional"/>
        </w:rPr>
        <w:t xml:space="preserve">how </w:t>
      </w:r>
      <w:r w:rsidR="0055373A">
        <w:rPr>
          <w14:numForm w14:val="lining"/>
          <w14:numSpacing w14:val="proportional"/>
        </w:rPr>
        <w:t xml:space="preserve">the </w:t>
      </w:r>
      <w:r w:rsidRPr="00E5087D">
        <w:rPr>
          <w14:numForm w14:val="lining"/>
          <w14:numSpacing w14:val="proportional"/>
        </w:rPr>
        <w:t xml:space="preserve">energy mix </w:t>
      </w:r>
      <w:r w:rsidR="00C94E6A">
        <w:rPr>
          <w14:numForm w14:val="lining"/>
          <w14:numSpacing w14:val="proportional"/>
        </w:rPr>
        <w:t xml:space="preserve">may </w:t>
      </w:r>
      <w:r w:rsidRPr="00E5087D">
        <w:rPr>
          <w14:numForm w14:val="lining"/>
          <w14:numSpacing w14:val="proportional"/>
        </w:rPr>
        <w:t xml:space="preserve">change </w:t>
      </w:r>
      <w:r w:rsidR="00E4377B">
        <w:rPr>
          <w14:numForm w14:val="lining"/>
          <w14:numSpacing w14:val="proportional"/>
        </w:rPr>
        <w:t>overtime.</w:t>
      </w:r>
    </w:p>
    <w:p w14:paraId="45BFC986" w14:textId="607EEF33" w:rsidR="00027F65" w:rsidRPr="00E5087D" w:rsidRDefault="00027F65" w:rsidP="001D7F52">
      <w:pPr>
        <w:pBdr>
          <w:top w:val="single" w:sz="4" w:space="4" w:color="A6A6A6" w:themeColor="background1" w:themeShade="A6"/>
        </w:pBdr>
        <w:spacing w:before="40" w:after="0"/>
        <w:rPr>
          <w:b/>
          <w:bCs/>
        </w:rPr>
      </w:pPr>
      <w:r w:rsidRPr="00E5087D">
        <w:rPr>
          <w:b/>
          <w:bCs/>
        </w:rPr>
        <w:t xml:space="preserve">Figure </w:t>
      </w:r>
      <w:r w:rsidR="00FC23ED">
        <w:rPr>
          <w:b/>
          <w:bCs/>
        </w:rPr>
        <w:t>1.</w:t>
      </w:r>
      <w:r w:rsidRPr="00E5087D">
        <w:rPr>
          <w:b/>
          <w:bCs/>
        </w:rPr>
        <w:t>6</w:t>
      </w:r>
      <w:r w:rsidR="0005146C">
        <w:rPr>
          <w:b/>
          <w:bCs/>
        </w:rPr>
        <w:t>.</w:t>
      </w:r>
      <w:r w:rsidRPr="00E5087D">
        <w:rPr>
          <w:b/>
          <w:bCs/>
        </w:rPr>
        <w:t xml:space="preserve"> Australian energy consumption, by fuel type</w:t>
      </w:r>
    </w:p>
    <w:p w14:paraId="69A2F2FE" w14:textId="0F9E8DEE" w:rsidR="00027F65" w:rsidRPr="00E5087D" w:rsidRDefault="00027F65" w:rsidP="00CF4AFC">
      <w:pPr>
        <w:pStyle w:val="Bodycopy"/>
        <w:spacing w:before="80" w:after="0" w:line="240" w:lineRule="auto"/>
        <w:jc w:val="center"/>
        <w:rPr>
          <w:sz w:val="16"/>
          <w:szCs w:val="16"/>
        </w:rPr>
      </w:pPr>
      <w:r w:rsidRPr="00E5087D">
        <w:rPr>
          <w:noProof/>
        </w:rPr>
        <w:drawing>
          <wp:inline distT="0" distB="0" distL="0" distR="0" wp14:anchorId="50B79FA1" wp14:editId="1E777F44">
            <wp:extent cx="5406390" cy="2482769"/>
            <wp:effectExtent l="0" t="0" r="3810" b="0"/>
            <wp:docPr id="37" name="Graphic 37" descr="This figure captures Australia's energy consumption by fuel type across the four categories of renewables, gas, oil and coal across the period 1975 to 2021, showing that oil and coal currently dominate domestic consum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This figure captures Australia's energy consumption by fuel type across the four categories of renewables, gas, oil and coal across the period 1975 to 2021, showing that oil and coal currently dominate domestic consumption. "/>
                    <pic:cNvPicPr/>
                  </pic:nvPicPr>
                  <pic:blipFill>
                    <a:blip r:embed="rId35">
                      <a:extLst>
                        <a:ext uri="{96DAC541-7B7A-43D3-8B79-37D633B846F1}">
                          <asvg:svgBlip xmlns:asvg="http://schemas.microsoft.com/office/drawing/2016/SVG/main" r:embed="rId36"/>
                        </a:ext>
                      </a:extLst>
                    </a:blip>
                    <a:stretch>
                      <a:fillRect/>
                    </a:stretch>
                  </pic:blipFill>
                  <pic:spPr>
                    <a:xfrm>
                      <a:off x="0" y="0"/>
                      <a:ext cx="5429181" cy="2493235"/>
                    </a:xfrm>
                    <a:prstGeom prst="rect">
                      <a:avLst/>
                    </a:prstGeom>
                  </pic:spPr>
                </pic:pic>
              </a:graphicData>
            </a:graphic>
          </wp:inline>
        </w:drawing>
      </w:r>
    </w:p>
    <w:p w14:paraId="2B50E7E5" w14:textId="4CFD7C33" w:rsidR="00027F65" w:rsidRPr="00E5087D" w:rsidRDefault="00027F65" w:rsidP="00027F65">
      <w:pPr>
        <w:pStyle w:val="Bodycopy"/>
        <w:spacing w:before="80" w:after="80" w:line="240" w:lineRule="auto"/>
        <w:rPr>
          <w:sz w:val="18"/>
          <w:szCs w:val="18"/>
        </w:rPr>
      </w:pPr>
      <w:r w:rsidRPr="00E5087D">
        <w:rPr>
          <w:sz w:val="18"/>
          <w:szCs w:val="18"/>
        </w:rPr>
        <w:t>Source: DCCEEW</w:t>
      </w:r>
      <w:r w:rsidR="0009125B">
        <w:rPr>
          <w:sz w:val="18"/>
          <w:szCs w:val="18"/>
        </w:rPr>
        <w:t xml:space="preserve"> (2022)</w:t>
      </w:r>
      <w:r w:rsidRPr="00E5087D">
        <w:rPr>
          <w:sz w:val="18"/>
          <w:szCs w:val="18"/>
        </w:rPr>
        <w:t xml:space="preserve">, </w:t>
      </w:r>
      <w:r w:rsidRPr="00E5087D">
        <w:rPr>
          <w:i/>
          <w:iCs/>
          <w:sz w:val="18"/>
          <w:szCs w:val="18"/>
        </w:rPr>
        <w:t xml:space="preserve">Australian Energy Statistics, </w:t>
      </w:r>
      <w:r w:rsidRPr="00E5087D">
        <w:rPr>
          <w:sz w:val="18"/>
          <w:szCs w:val="18"/>
        </w:rPr>
        <w:t>Table C.</w:t>
      </w:r>
    </w:p>
    <w:p w14:paraId="1024B3C8" w14:textId="0C976163" w:rsidR="00027F65" w:rsidRPr="00E5087D" w:rsidRDefault="00027F65" w:rsidP="00422A5A">
      <w:pPr>
        <w:pStyle w:val="Bodycopy"/>
        <w:spacing w:before="240" w:after="200" w:line="276" w:lineRule="auto"/>
        <w:rPr>
          <w14:numForm w14:val="lining"/>
          <w14:numSpacing w14:val="proportional"/>
        </w:rPr>
      </w:pPr>
      <w:r w:rsidRPr="00E5087D">
        <w:rPr>
          <w14:numForm w14:val="lining"/>
          <w14:numSpacing w14:val="proportional"/>
        </w:rPr>
        <w:t>Energy consumption varies substantially by state and territory, although oil use is largely consistent</w:t>
      </w:r>
      <w:r w:rsidR="001D7F52">
        <w:rPr>
          <w14:numForm w14:val="lining"/>
          <w14:numSpacing w14:val="proportional"/>
        </w:rPr>
        <w:t xml:space="preserve"> (Figure </w:t>
      </w:r>
      <w:r w:rsidR="00B631F8">
        <w:rPr>
          <w14:numForm w14:val="lining"/>
          <w14:numSpacing w14:val="proportional"/>
        </w:rPr>
        <w:t>1.</w:t>
      </w:r>
      <w:r w:rsidR="001D7F52">
        <w:rPr>
          <w14:numForm w14:val="lining"/>
          <w14:numSpacing w14:val="proportional"/>
        </w:rPr>
        <w:t>7)</w:t>
      </w:r>
      <w:r w:rsidRPr="00E5087D">
        <w:rPr>
          <w14:numForm w14:val="lining"/>
          <w14:numSpacing w14:val="proportional"/>
        </w:rPr>
        <w:t>. Tasmania has the largest share of renewable energy, mostly sourced from hydro</w:t>
      </w:r>
      <w:r w:rsidR="00113404">
        <w:rPr>
          <w14:numForm w14:val="lining"/>
          <w14:numSpacing w14:val="proportional"/>
        </w:rPr>
        <w:t>electricity</w:t>
      </w:r>
      <w:r w:rsidRPr="00E5087D">
        <w:rPr>
          <w14:numForm w14:val="lining"/>
          <w14:numSpacing w14:val="proportional"/>
        </w:rPr>
        <w:t xml:space="preserve">. South Australia uses renewables for electricity generation; however, gas and coal are still commonly used in industry, cooking and heating. </w:t>
      </w:r>
    </w:p>
    <w:p w14:paraId="22A73ECA" w14:textId="1561F849" w:rsidR="00027F65" w:rsidRPr="00E5087D" w:rsidRDefault="00027F65" w:rsidP="000327FD">
      <w:pPr>
        <w:pBdr>
          <w:top w:val="single" w:sz="4" w:space="4" w:color="A6A6A6" w:themeColor="background1" w:themeShade="A6"/>
        </w:pBdr>
        <w:spacing w:before="40" w:after="40"/>
        <w:rPr>
          <w:b/>
          <w:bCs/>
        </w:rPr>
      </w:pPr>
      <w:r w:rsidRPr="00E5087D">
        <w:rPr>
          <w:b/>
          <w:bCs/>
        </w:rPr>
        <w:t xml:space="preserve">Figure </w:t>
      </w:r>
      <w:r w:rsidR="00B631F8">
        <w:rPr>
          <w:b/>
          <w:bCs/>
        </w:rPr>
        <w:t>1.</w:t>
      </w:r>
      <w:r w:rsidRPr="00E5087D">
        <w:rPr>
          <w:b/>
          <w:bCs/>
        </w:rPr>
        <w:t>7. Australian energy mix, by state and territory, 2020-21</w:t>
      </w:r>
    </w:p>
    <w:p w14:paraId="05209F3B" w14:textId="3C86F906" w:rsidR="00027F65" w:rsidRPr="00E5087D" w:rsidRDefault="00027F65" w:rsidP="000327FD">
      <w:pPr>
        <w:pStyle w:val="Bodycopy"/>
        <w:spacing w:after="80" w:line="240" w:lineRule="auto"/>
        <w:jc w:val="center"/>
        <w:rPr>
          <w:b/>
          <w:bCs/>
        </w:rPr>
      </w:pPr>
      <w:r w:rsidRPr="00E5087D">
        <w:rPr>
          <w:noProof/>
        </w:rPr>
        <w:drawing>
          <wp:inline distT="0" distB="0" distL="0" distR="0" wp14:anchorId="210C31E0" wp14:editId="617F07D0">
            <wp:extent cx="5222240" cy="2110300"/>
            <wp:effectExtent l="0" t="0" r="0" b="4445"/>
            <wp:docPr id="38" name="Graphic 38" descr="This figure captures Australia's energy mix in the 2020-21 financial year broken down by state and territory. This figure shows that Tasmania has the highest proportion of renewables, whilst Western Australia and the Northern Territory have the lowest proportions of renew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This figure captures Australia's energy mix in the 2020-21 financial year broken down by state and territory. This figure shows that Tasmania has the highest proportion of renewables, whilst Western Australia and the Northern Territory have the lowest proportions of renewables."/>
                    <pic:cNvPicPr/>
                  </pic:nvPicPr>
                  <pic:blipFill rotWithShape="1">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rcRect t="4618"/>
                    <a:stretch/>
                  </pic:blipFill>
                  <pic:spPr bwMode="auto">
                    <a:xfrm>
                      <a:off x="0" y="0"/>
                      <a:ext cx="5247397" cy="2120466"/>
                    </a:xfrm>
                    <a:prstGeom prst="rect">
                      <a:avLst/>
                    </a:prstGeom>
                    <a:ln>
                      <a:noFill/>
                    </a:ln>
                    <a:extLst>
                      <a:ext uri="{53640926-AAD7-44D8-BBD7-CCE9431645EC}">
                        <a14:shadowObscured xmlns:a14="http://schemas.microsoft.com/office/drawing/2010/main"/>
                      </a:ext>
                    </a:extLst>
                  </pic:spPr>
                </pic:pic>
              </a:graphicData>
            </a:graphic>
          </wp:inline>
        </w:drawing>
      </w:r>
    </w:p>
    <w:p w14:paraId="4F8957B9" w14:textId="76C07CE4" w:rsidR="00027F65" w:rsidRPr="00E5087D" w:rsidRDefault="39EA1806" w:rsidP="00CF4AFC">
      <w:pPr>
        <w:pStyle w:val="Bodycopy"/>
        <w:spacing w:after="40" w:line="240" w:lineRule="auto"/>
        <w:rPr>
          <w:sz w:val="18"/>
          <w:szCs w:val="18"/>
        </w:rPr>
      </w:pPr>
      <w:r w:rsidRPr="388C0A0B">
        <w:rPr>
          <w:sz w:val="18"/>
          <w:szCs w:val="18"/>
        </w:rPr>
        <w:t>Source: DCCEEW</w:t>
      </w:r>
      <w:r w:rsidR="6ED3B582" w:rsidRPr="388C0A0B">
        <w:rPr>
          <w:sz w:val="18"/>
          <w:szCs w:val="18"/>
        </w:rPr>
        <w:t xml:space="preserve"> (2022)</w:t>
      </w:r>
      <w:r w:rsidRPr="388C0A0B">
        <w:rPr>
          <w:sz w:val="18"/>
          <w:szCs w:val="18"/>
        </w:rPr>
        <w:t xml:space="preserve">, </w:t>
      </w:r>
      <w:r w:rsidRPr="388C0A0B">
        <w:rPr>
          <w:i/>
          <w:iCs/>
          <w:sz w:val="18"/>
          <w:szCs w:val="18"/>
        </w:rPr>
        <w:t xml:space="preserve">Australian Energy Statistics, </w:t>
      </w:r>
      <w:r w:rsidRPr="388C0A0B">
        <w:rPr>
          <w:sz w:val="18"/>
          <w:szCs w:val="18"/>
        </w:rPr>
        <w:t xml:space="preserve">Table C. Note, this is </w:t>
      </w:r>
      <w:r w:rsidRPr="388C0A0B">
        <w:rPr>
          <w:i/>
          <w:iCs/>
          <w:sz w:val="18"/>
          <w:szCs w:val="18"/>
        </w:rPr>
        <w:t>total energy use</w:t>
      </w:r>
      <w:r w:rsidRPr="388C0A0B">
        <w:rPr>
          <w:sz w:val="18"/>
          <w:szCs w:val="18"/>
        </w:rPr>
        <w:t>, and includes energy used directly by industry (like coal and gas in manufacturing) and for heating.</w:t>
      </w:r>
      <w:r w:rsidR="00604613">
        <w:rPr>
          <w:sz w:val="18"/>
          <w:szCs w:val="18"/>
        </w:rPr>
        <w:t xml:space="preserve"> ACT is included in NSW.</w:t>
      </w:r>
    </w:p>
    <w:p w14:paraId="4306ED7E" w14:textId="6BF5E1E8" w:rsidR="00027F65" w:rsidRPr="00E5087D" w:rsidRDefault="39EA1806" w:rsidP="00027F65">
      <w:pPr>
        <w:spacing w:after="120"/>
      </w:pPr>
      <w:r>
        <w:lastRenderedPageBreak/>
        <w:t>The main uses of energy in Australia are electricity supply (25%), transport (25%) and manufacturing (18%</w:t>
      </w:r>
      <w:r w:rsidR="76BF2DEB">
        <w:t>)</w:t>
      </w:r>
      <w:r>
        <w:t xml:space="preserve"> </w:t>
      </w:r>
      <w:r w:rsidR="67B7274D">
        <w:t>(</w:t>
      </w:r>
      <w:r>
        <w:t xml:space="preserve">Figure </w:t>
      </w:r>
      <w:r w:rsidR="38F4331D">
        <w:t>1.</w:t>
      </w:r>
      <w:r w:rsidR="089D985D">
        <w:t>8</w:t>
      </w:r>
      <w:r>
        <w:t>). In 2021:</w:t>
      </w:r>
    </w:p>
    <w:p w14:paraId="7BD1D3B6" w14:textId="77777777" w:rsidR="00027F65" w:rsidRPr="00E5087D" w:rsidRDefault="00027F65" w:rsidP="00F25595">
      <w:pPr>
        <w:pStyle w:val="ListParagraph"/>
        <w:numPr>
          <w:ilvl w:val="0"/>
          <w:numId w:val="9"/>
        </w:numPr>
        <w:spacing w:after="120"/>
        <w:ind w:left="714" w:hanging="357"/>
        <w:contextualSpacing w:val="0"/>
      </w:pPr>
      <w:r w:rsidRPr="00E5087D">
        <w:t>just over half of all electricity was generated using coal (mostly black coal), followed by renewables (29%) and natural gas (18%)</w:t>
      </w:r>
    </w:p>
    <w:p w14:paraId="3BB3DE42" w14:textId="3B0774A7" w:rsidR="00027F65" w:rsidRPr="00E5087D" w:rsidRDefault="00027F65" w:rsidP="00F25595">
      <w:pPr>
        <w:pStyle w:val="ListParagraph"/>
        <w:numPr>
          <w:ilvl w:val="0"/>
          <w:numId w:val="9"/>
        </w:numPr>
        <w:spacing w:after="120"/>
        <w:ind w:left="714" w:hanging="357"/>
      </w:pPr>
      <w:r w:rsidRPr="00E5087D">
        <w:t>around 8</w:t>
      </w:r>
      <w:r w:rsidR="0009125B">
        <w:t>0</w:t>
      </w:r>
      <w:r w:rsidRPr="00E5087D">
        <w:t>% of transport energy use was for road transport, followed by air (9%) and rail (5%). Diesel was the most common fuel used, followed by petrol and aviation fuel</w:t>
      </w:r>
    </w:p>
    <w:p w14:paraId="7E626E9A" w14:textId="77777777" w:rsidR="00027F65" w:rsidRPr="00E5087D" w:rsidRDefault="00027F65" w:rsidP="00F25595">
      <w:pPr>
        <w:pStyle w:val="ListParagraph"/>
        <w:numPr>
          <w:ilvl w:val="0"/>
          <w:numId w:val="9"/>
        </w:numPr>
        <w:spacing w:after="240"/>
        <w:ind w:left="714" w:hanging="357"/>
      </w:pPr>
      <w:r w:rsidRPr="00E5087D">
        <w:t>in manufacturing, the largest energy consumption was for non-ferrous metals (like aluminium and copper), followed by chemicals, food, beverages and tobacco.</w:t>
      </w:r>
    </w:p>
    <w:p w14:paraId="4A50C960" w14:textId="4F4C3A94" w:rsidR="00027F65" w:rsidRPr="00E5087D" w:rsidRDefault="00027F65" w:rsidP="00E4377B">
      <w:pPr>
        <w:pBdr>
          <w:top w:val="single" w:sz="4" w:space="4" w:color="A6A6A6" w:themeColor="background1" w:themeShade="A6"/>
        </w:pBdr>
        <w:spacing w:before="40" w:after="0"/>
        <w:rPr>
          <w:b/>
          <w:bCs/>
        </w:rPr>
      </w:pPr>
      <w:r w:rsidRPr="00E5087D">
        <w:rPr>
          <w:b/>
          <w:bCs/>
        </w:rPr>
        <w:t xml:space="preserve">Figure </w:t>
      </w:r>
      <w:r w:rsidR="0005146C">
        <w:rPr>
          <w:b/>
          <w:bCs/>
        </w:rPr>
        <w:t>1.</w:t>
      </w:r>
      <w:r w:rsidRPr="00E5087D">
        <w:rPr>
          <w:b/>
          <w:bCs/>
        </w:rPr>
        <w:t>8. Australian energy consumption, by sector 2020-21</w:t>
      </w:r>
    </w:p>
    <w:p w14:paraId="184A53A0" w14:textId="55CDB153" w:rsidR="00027F65" w:rsidRPr="00E5087D" w:rsidRDefault="00FE325B" w:rsidP="00027F65">
      <w:pPr>
        <w:pStyle w:val="Bodycopy"/>
        <w:spacing w:after="0"/>
        <w:rPr>
          <w:sz w:val="17"/>
          <w:szCs w:val="17"/>
        </w:rPr>
      </w:pPr>
      <w:r w:rsidRPr="00E5087D">
        <w:rPr>
          <w:noProof/>
        </w:rPr>
        <w:drawing>
          <wp:inline distT="0" distB="0" distL="0" distR="0" wp14:anchorId="7DCA5C30" wp14:editId="67932565">
            <wp:extent cx="5731510" cy="2948305"/>
            <wp:effectExtent l="0" t="0" r="2540" b="4445"/>
            <wp:docPr id="39" name="Graphic 39" descr="This figure captures Australian energy consumption by sector in the 2020-21 financial, showing that electricity supply and transport are the highest energy consuming 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This figure captures Australian energy consumption by sector in the 2020-21 financial, showing that electricity supply and transport are the highest energy consuming sectors."/>
                    <pic:cNvPicPr/>
                  </pic:nvPicPr>
                  <pic:blipFill>
                    <a:blip r:embed="rId39">
                      <a:extLst>
                        <a:ext uri="{96DAC541-7B7A-43D3-8B79-37D633B846F1}">
                          <asvg:svgBlip xmlns:asvg="http://schemas.microsoft.com/office/drawing/2016/SVG/main" r:embed="rId40"/>
                        </a:ext>
                      </a:extLst>
                    </a:blip>
                    <a:stretch>
                      <a:fillRect/>
                    </a:stretch>
                  </pic:blipFill>
                  <pic:spPr>
                    <a:xfrm>
                      <a:off x="0" y="0"/>
                      <a:ext cx="5731510" cy="2948305"/>
                    </a:xfrm>
                    <a:prstGeom prst="rect">
                      <a:avLst/>
                    </a:prstGeom>
                  </pic:spPr>
                </pic:pic>
              </a:graphicData>
            </a:graphic>
          </wp:inline>
        </w:drawing>
      </w:r>
      <w:r w:rsidR="00027F65" w:rsidRPr="00E5087D">
        <w:rPr>
          <w:sz w:val="18"/>
          <w:szCs w:val="18"/>
        </w:rPr>
        <w:t>Source: DCCEEW</w:t>
      </w:r>
      <w:r w:rsidR="0009125B">
        <w:rPr>
          <w:sz w:val="18"/>
          <w:szCs w:val="18"/>
        </w:rPr>
        <w:t xml:space="preserve"> (2022)</w:t>
      </w:r>
      <w:r w:rsidR="00027F65" w:rsidRPr="00E5087D">
        <w:rPr>
          <w:sz w:val="18"/>
          <w:szCs w:val="18"/>
        </w:rPr>
        <w:t xml:space="preserve">, </w:t>
      </w:r>
      <w:r w:rsidR="00027F65" w:rsidRPr="00E5087D">
        <w:rPr>
          <w:i/>
          <w:iCs/>
          <w:sz w:val="18"/>
          <w:szCs w:val="18"/>
        </w:rPr>
        <w:t xml:space="preserve">Australian Energy Statistics, </w:t>
      </w:r>
      <w:r w:rsidR="00027F65" w:rsidRPr="00E5087D">
        <w:rPr>
          <w:sz w:val="18"/>
          <w:szCs w:val="18"/>
        </w:rPr>
        <w:t>Table E.</w:t>
      </w:r>
      <w:r w:rsidR="00AD0395">
        <w:rPr>
          <w:sz w:val="18"/>
          <w:szCs w:val="18"/>
        </w:rPr>
        <w:t xml:space="preserve"> Electricity supply includes renewable and non-renewable electricity generation.</w:t>
      </w:r>
    </w:p>
    <w:p w14:paraId="48EC1C6D" w14:textId="3E0D9DBE" w:rsidR="00027F65" w:rsidRPr="00E5087D" w:rsidRDefault="00027F65" w:rsidP="00422A5A">
      <w:pPr>
        <w:spacing w:before="240" w:after="200"/>
      </w:pPr>
      <w:r w:rsidRPr="00E5087D">
        <w:t xml:space="preserve">Australia’s renewable energy mainly comes from solar and wind electricity generation (Figure </w:t>
      </w:r>
      <w:r w:rsidR="0005146C">
        <w:t>1.</w:t>
      </w:r>
      <w:r w:rsidR="006328FD" w:rsidRPr="00E5087D">
        <w:t>9</w:t>
      </w:r>
      <w:r w:rsidRPr="00E5087D">
        <w:t>), which have grown rapidly over the past decade. While hydro</w:t>
      </w:r>
      <w:r w:rsidR="00113404">
        <w:t>electricity</w:t>
      </w:r>
      <w:r w:rsidRPr="00E5087D">
        <w:t xml:space="preserve"> makes a sizeable contribution</w:t>
      </w:r>
      <w:r w:rsidR="00E6553F">
        <w:t xml:space="preserve"> (predominantly from Tasmania and NSW)</w:t>
      </w:r>
      <w:r w:rsidRPr="00E5087D">
        <w:t>, it’s been at roughly the same levels for several decades.</w:t>
      </w:r>
    </w:p>
    <w:p w14:paraId="3FEDA74A" w14:textId="2A6851D4" w:rsidR="00027F65" w:rsidRPr="00E5087D" w:rsidRDefault="00027F65" w:rsidP="00E4377B">
      <w:pPr>
        <w:pBdr>
          <w:top w:val="single" w:sz="4" w:space="4" w:color="A6A6A6" w:themeColor="background1" w:themeShade="A6"/>
        </w:pBdr>
        <w:spacing w:before="40" w:after="0"/>
        <w:rPr>
          <w:b/>
          <w:bCs/>
        </w:rPr>
      </w:pPr>
      <w:r w:rsidRPr="00E5087D">
        <w:rPr>
          <w:b/>
          <w:bCs/>
        </w:rPr>
        <w:t xml:space="preserve">Figure </w:t>
      </w:r>
      <w:r w:rsidR="0005146C">
        <w:rPr>
          <w:b/>
          <w:bCs/>
        </w:rPr>
        <w:t>1.</w:t>
      </w:r>
      <w:r w:rsidRPr="00E5087D">
        <w:rPr>
          <w:b/>
          <w:bCs/>
        </w:rPr>
        <w:t>9. Australian renewable energy consumption, by fuel type, 2020-21</w:t>
      </w:r>
    </w:p>
    <w:p w14:paraId="1B37A611" w14:textId="25A14AC4" w:rsidR="00027F65" w:rsidRPr="00E5087D" w:rsidRDefault="00FE325B" w:rsidP="008218F0">
      <w:pPr>
        <w:pStyle w:val="Bodycopy"/>
        <w:spacing w:after="0" w:line="240" w:lineRule="auto"/>
        <w:rPr>
          <w:sz w:val="16"/>
          <w:szCs w:val="16"/>
        </w:rPr>
      </w:pPr>
      <w:r w:rsidRPr="00E5087D">
        <w:rPr>
          <w:noProof/>
        </w:rPr>
        <w:drawing>
          <wp:inline distT="0" distB="0" distL="0" distR="0" wp14:anchorId="37BE06D0" wp14:editId="6AD8EEDA">
            <wp:extent cx="5731510" cy="1812925"/>
            <wp:effectExtent l="0" t="0" r="0" b="0"/>
            <wp:docPr id="40" name="Graphic 40" descr="This figure captures Australian renewable energy by fuel type, showing that the highest contributing renewable sources  are Solar PV and Wind, and the lowest is Biof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descr="This figure captures Australian renewable energy by fuel type, showing that the highest contributing renewable sources  are Solar PV and Wind, and the lowest is Biofuels."/>
                    <pic:cNvPicPr/>
                  </pic:nvPicPr>
                  <pic:blipFill>
                    <a:blip r:embed="rId41">
                      <a:extLst>
                        <a:ext uri="{96DAC541-7B7A-43D3-8B79-37D633B846F1}">
                          <asvg:svgBlip xmlns:asvg="http://schemas.microsoft.com/office/drawing/2016/SVG/main" r:embed="rId42"/>
                        </a:ext>
                      </a:extLst>
                    </a:blip>
                    <a:stretch>
                      <a:fillRect/>
                    </a:stretch>
                  </pic:blipFill>
                  <pic:spPr>
                    <a:xfrm>
                      <a:off x="0" y="0"/>
                      <a:ext cx="5731510" cy="1812925"/>
                    </a:xfrm>
                    <a:prstGeom prst="rect">
                      <a:avLst/>
                    </a:prstGeom>
                  </pic:spPr>
                </pic:pic>
              </a:graphicData>
            </a:graphic>
          </wp:inline>
        </w:drawing>
      </w:r>
    </w:p>
    <w:p w14:paraId="0359AEB7" w14:textId="5A97CDB1" w:rsidR="00FE325B" w:rsidRPr="00E5087D" w:rsidRDefault="00027F65" w:rsidP="00FE325B">
      <w:pPr>
        <w:pStyle w:val="Bodycopy"/>
        <w:spacing w:before="120" w:after="0" w:line="240" w:lineRule="auto"/>
        <w:rPr>
          <w:sz w:val="18"/>
          <w:szCs w:val="18"/>
        </w:rPr>
      </w:pPr>
      <w:r w:rsidRPr="00E5087D">
        <w:rPr>
          <w:sz w:val="18"/>
          <w:szCs w:val="18"/>
        </w:rPr>
        <w:t xml:space="preserve">DCCEEW </w:t>
      </w:r>
      <w:r w:rsidR="0009125B">
        <w:rPr>
          <w:sz w:val="18"/>
          <w:szCs w:val="18"/>
        </w:rPr>
        <w:t>(</w:t>
      </w:r>
      <w:r w:rsidRPr="00E5087D">
        <w:rPr>
          <w:sz w:val="18"/>
          <w:szCs w:val="18"/>
        </w:rPr>
        <w:t>2022</w:t>
      </w:r>
      <w:r w:rsidR="0009125B">
        <w:rPr>
          <w:sz w:val="18"/>
          <w:szCs w:val="18"/>
        </w:rPr>
        <w:t>)</w:t>
      </w:r>
      <w:r w:rsidRPr="00E5087D">
        <w:rPr>
          <w:sz w:val="18"/>
          <w:szCs w:val="18"/>
        </w:rPr>
        <w:t>, Australian Energy Update. Excludes biomass (wood, waste, charcoal, etc.).</w:t>
      </w:r>
    </w:p>
    <w:p w14:paraId="66800289" w14:textId="77777777" w:rsidR="00FE325B" w:rsidRPr="00E5087D" w:rsidRDefault="00FE325B">
      <w:pPr>
        <w:rPr>
          <w:sz w:val="18"/>
          <w:szCs w:val="18"/>
        </w:rPr>
      </w:pPr>
      <w:r w:rsidRPr="00E5087D">
        <w:rPr>
          <w:sz w:val="18"/>
          <w:szCs w:val="18"/>
        </w:rPr>
        <w:br w:type="page"/>
      </w:r>
    </w:p>
    <w:p w14:paraId="06671724" w14:textId="77777777" w:rsidR="00DA0E66" w:rsidRPr="00E5087D" w:rsidRDefault="00DA0E66" w:rsidP="00292E04">
      <w:pPr>
        <w:pStyle w:val="Heading3"/>
        <w:spacing w:after="120"/>
      </w:pPr>
      <w:bookmarkStart w:id="23" w:name="_Toc141863824"/>
      <w:r w:rsidRPr="00E5087D">
        <w:lastRenderedPageBreak/>
        <w:t>Winding down fossil fuel generation</w:t>
      </w:r>
      <w:bookmarkEnd w:id="23"/>
    </w:p>
    <w:p w14:paraId="3BEF8610" w14:textId="693C90C9" w:rsidR="00DA0E66" w:rsidRPr="00E5087D" w:rsidRDefault="00DA0E66" w:rsidP="00C45EFD">
      <w:pPr>
        <w:spacing w:after="240" w:line="276" w:lineRule="auto"/>
        <w:rPr>
          <w14:numForm w14:val="lining"/>
          <w14:numSpacing w14:val="proportional"/>
        </w:rPr>
      </w:pPr>
      <w:r w:rsidRPr="00E5087D">
        <w:rPr>
          <w14:numForm w14:val="lining"/>
          <w14:numSpacing w14:val="proportional"/>
        </w:rPr>
        <w:t xml:space="preserve">The future of Australia’s energy workforce will also be impacted by the declining use of fossil fuels. While this will impact many industries, like transport and manufacturing, the most immediate impact will be coal-fired power generation. Some power stations, like Hazelwood and Liddell </w:t>
      </w:r>
      <w:r w:rsidR="00697CF8">
        <w:rPr>
          <w14:numForm w14:val="lining"/>
          <w14:numSpacing w14:val="proportional"/>
        </w:rPr>
        <w:t>(</w:t>
      </w:r>
      <w:r w:rsidRPr="00E5087D">
        <w:rPr>
          <w14:numForm w14:val="lining"/>
          <w14:numSpacing w14:val="proportional"/>
        </w:rPr>
        <w:t>in</w:t>
      </w:r>
      <w:r w:rsidR="00697CF8">
        <w:rPr>
          <w14:numForm w14:val="lining"/>
          <w14:numSpacing w14:val="proportional"/>
        </w:rPr>
        <w:t xml:space="preserve"> 2017 and</w:t>
      </w:r>
      <w:r w:rsidRPr="00E5087D">
        <w:rPr>
          <w14:numForm w14:val="lining"/>
          <w14:numSpacing w14:val="proportional"/>
        </w:rPr>
        <w:t xml:space="preserve"> 202</w:t>
      </w:r>
      <w:r w:rsidR="00DB046B">
        <w:rPr>
          <w14:numForm w14:val="lining"/>
          <w14:numSpacing w14:val="proportional"/>
        </w:rPr>
        <w:t>3</w:t>
      </w:r>
      <w:r w:rsidR="00697CF8">
        <w:rPr>
          <w14:numForm w14:val="lining"/>
          <w14:numSpacing w14:val="proportional"/>
        </w:rPr>
        <w:t xml:space="preserve"> respectively)</w:t>
      </w:r>
      <w:r w:rsidRPr="00E5087D">
        <w:rPr>
          <w14:numForm w14:val="lining"/>
          <w14:numSpacing w14:val="proportional"/>
        </w:rPr>
        <w:t xml:space="preserve">, have already ceased operation, impacting local workforces. Figure </w:t>
      </w:r>
      <w:r w:rsidR="0073012C">
        <w:rPr>
          <w14:numForm w14:val="lining"/>
          <w14:numSpacing w14:val="proportional"/>
        </w:rPr>
        <w:t>1.</w:t>
      </w:r>
      <w:r w:rsidR="006328FD" w:rsidRPr="00E5087D">
        <w:rPr>
          <w14:numForm w14:val="lining"/>
          <w14:numSpacing w14:val="proportional"/>
        </w:rPr>
        <w:t>10</w:t>
      </w:r>
      <w:r w:rsidRPr="00E5087D">
        <w:rPr>
          <w14:numForm w14:val="lining"/>
          <w14:numSpacing w14:val="proportional"/>
        </w:rPr>
        <w:t xml:space="preserve"> shows the expected closure timeline for Australia’s remaining coal-fired plants, with six expected to close by 2030. </w:t>
      </w:r>
      <w:r w:rsidRPr="00E5087D">
        <w:rPr>
          <w:b/>
          <w:bCs/>
          <w14:numForm w14:val="lining"/>
          <w14:numSpacing w14:val="proportional"/>
        </w:rPr>
        <w:t>Chapter 4</w:t>
      </w:r>
      <w:r w:rsidRPr="00E5087D">
        <w:rPr>
          <w14:numForm w14:val="lining"/>
          <w14:numSpacing w14:val="proportional"/>
        </w:rPr>
        <w:t xml:space="preserve"> of this report explores the transition options for workers in these industries and others, while </w:t>
      </w:r>
      <w:r w:rsidRPr="00E5087D">
        <w:rPr>
          <w:b/>
          <w:bCs/>
          <w14:numForm w14:val="lining"/>
          <w14:numSpacing w14:val="proportional"/>
        </w:rPr>
        <w:t>Chapter 8</w:t>
      </w:r>
      <w:r w:rsidRPr="00E5087D">
        <w:rPr>
          <w14:numForm w14:val="lining"/>
          <w14:numSpacing w14:val="proportional"/>
        </w:rPr>
        <w:t xml:space="preserve"> explores the barriers and enablers for a successful transition.</w:t>
      </w:r>
    </w:p>
    <w:p w14:paraId="1008485D" w14:textId="3EED011A" w:rsidR="00DA0E66" w:rsidRPr="00E5087D" w:rsidRDefault="00DA0E66" w:rsidP="00C45EFD">
      <w:pPr>
        <w:pBdr>
          <w:top w:val="single" w:sz="4" w:space="4" w:color="A6A6A6" w:themeColor="background1" w:themeShade="A6"/>
        </w:pBdr>
        <w:spacing w:before="40" w:after="120"/>
        <w:rPr>
          <w:b/>
          <w:bCs/>
        </w:rPr>
      </w:pPr>
      <w:r w:rsidRPr="00E5087D">
        <w:rPr>
          <w:b/>
          <w:bCs/>
        </w:rPr>
        <w:t xml:space="preserve">Figure </w:t>
      </w:r>
      <w:r w:rsidR="0073012C">
        <w:rPr>
          <w:b/>
          <w:bCs/>
        </w:rPr>
        <w:t>1.</w:t>
      </w:r>
      <w:r w:rsidRPr="00E5087D">
        <w:rPr>
          <w:b/>
          <w:bCs/>
        </w:rPr>
        <w:t>10. Timeline of expected coal-fired power plant closures</w:t>
      </w:r>
    </w:p>
    <w:p w14:paraId="28CCCF75" w14:textId="77777777" w:rsidR="00DA0E66" w:rsidRPr="00E5087D" w:rsidRDefault="00DA0E66" w:rsidP="00DA0E66">
      <w:pPr>
        <w:spacing w:after="0" w:line="276" w:lineRule="auto"/>
        <w:jc w:val="center"/>
        <w:rPr>
          <w:b/>
          <w:bCs/>
        </w:rPr>
      </w:pPr>
      <w:r w:rsidRPr="00E5087D">
        <w:rPr>
          <w:noProof/>
        </w:rPr>
        <w:drawing>
          <wp:inline distT="0" distB="0" distL="0" distR="0" wp14:anchorId="05E41744" wp14:editId="5C38CD54">
            <wp:extent cx="2446020" cy="253365"/>
            <wp:effectExtent l="0" t="0" r="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446020" cy="253365"/>
                    </a:xfrm>
                    <a:prstGeom prst="rect">
                      <a:avLst/>
                    </a:prstGeom>
                    <a:noFill/>
                    <a:ln>
                      <a:noFill/>
                    </a:ln>
                  </pic:spPr>
                </pic:pic>
              </a:graphicData>
            </a:graphic>
          </wp:inline>
        </w:drawing>
      </w:r>
    </w:p>
    <w:p w14:paraId="543F93C5" w14:textId="77777777" w:rsidR="00DA0E66" w:rsidRPr="00E5087D" w:rsidRDefault="00DA0E66" w:rsidP="00DA0E66">
      <w:pPr>
        <w:spacing w:after="0" w:line="276" w:lineRule="auto"/>
        <w:jc w:val="center"/>
      </w:pPr>
      <w:r w:rsidRPr="00E5087D">
        <w:rPr>
          <w:noProof/>
        </w:rPr>
        <w:drawing>
          <wp:inline distT="0" distB="0" distL="0" distR="0" wp14:anchorId="0921F8CC" wp14:editId="443C6699">
            <wp:extent cx="4505899" cy="6198021"/>
            <wp:effectExtent l="0" t="0" r="9525" b="0"/>
            <wp:docPr id="57" name="Picture 57" descr="This figure charts the timeline of expected coal-fired power plant closures across the New South Wales, Queensland, Victoria and Western Australia from 2025 to 2051. The figure conveys that plants in New South Wales and Victoria generally close earlier than those in Queensland and Wester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his figure charts the timeline of expected coal-fired power plant closures across the New South Wales, Queensland, Victoria and Western Australia from 2025 to 2051. The figure conveys that plants in New South Wales and Victoria generally close earlier than those in Queensland and Western Australia. "/>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508448" cy="6201528"/>
                    </a:xfrm>
                    <a:prstGeom prst="rect">
                      <a:avLst/>
                    </a:prstGeom>
                    <a:noFill/>
                    <a:ln>
                      <a:noFill/>
                    </a:ln>
                  </pic:spPr>
                </pic:pic>
              </a:graphicData>
            </a:graphic>
          </wp:inline>
        </w:drawing>
      </w:r>
    </w:p>
    <w:p w14:paraId="2614C55C" w14:textId="77777777" w:rsidR="00DA0E66" w:rsidRPr="00E5087D" w:rsidRDefault="5FE723E3" w:rsidP="00292E04">
      <w:pPr>
        <w:pStyle w:val="Bodycopy"/>
        <w:spacing w:after="0" w:line="240" w:lineRule="auto"/>
        <w:rPr>
          <w:sz w:val="16"/>
          <w:szCs w:val="16"/>
        </w:rPr>
      </w:pPr>
      <w:r w:rsidRPr="388C0A0B">
        <w:rPr>
          <w:sz w:val="16"/>
          <w:szCs w:val="16"/>
        </w:rPr>
        <w:t>Source: AEMO, Generating united expected closure year, July 2023.</w:t>
      </w:r>
    </w:p>
    <w:p w14:paraId="00138A39" w14:textId="0B74711B" w:rsidR="004439CD" w:rsidRPr="00E5087D" w:rsidRDefault="004439CD" w:rsidP="004439CD">
      <w:pPr>
        <w:pStyle w:val="Heading2"/>
      </w:pPr>
      <w:bookmarkStart w:id="24" w:name="_Toc141863825"/>
      <w:bookmarkStart w:id="25" w:name="_Toc146210833"/>
      <w:bookmarkStart w:id="26" w:name="_Toc146892663"/>
      <w:r w:rsidRPr="00E5087D">
        <w:lastRenderedPageBreak/>
        <w:t>1</w:t>
      </w:r>
      <w:r w:rsidR="00E0628A">
        <w:rPr>
          <w:smallCaps/>
        </w:rPr>
        <w:t>d</w:t>
      </w:r>
      <w:r w:rsidRPr="00E5087D">
        <w:t xml:space="preserve">. </w:t>
      </w:r>
      <w:bookmarkEnd w:id="24"/>
      <w:r w:rsidRPr="00E5087D">
        <w:rPr>
          <w:b w:val="0"/>
          <w:bCs/>
        </w:rPr>
        <w:t>Roles and responsibilities</w:t>
      </w:r>
      <w:bookmarkEnd w:id="25"/>
      <w:bookmarkEnd w:id="26"/>
    </w:p>
    <w:p w14:paraId="08AA65CE" w14:textId="77777777" w:rsidR="004439CD" w:rsidRPr="00E5087D" w:rsidRDefault="004439CD" w:rsidP="004439CD">
      <w:pPr>
        <w:pStyle w:val="Heading3"/>
        <w:spacing w:after="120"/>
      </w:pPr>
      <w:r w:rsidRPr="00E5087D">
        <w:t>Clear and coordinated action by government</w:t>
      </w:r>
    </w:p>
    <w:p w14:paraId="0C10530D" w14:textId="00A7B223" w:rsidR="004439CD" w:rsidRPr="00E5087D" w:rsidRDefault="004439CD" w:rsidP="00C45EFD">
      <w:pPr>
        <w:spacing w:before="120" w:after="240" w:line="276" w:lineRule="auto"/>
      </w:pPr>
      <w:r w:rsidRPr="00E5087D">
        <w:t>The clean energy workforce challenge can’t be solved by one area of government, let alone one initiative or program. The implications of this study will require action across a range of portfolios, including energy, employment, education, skills and training</w:t>
      </w:r>
      <w:r w:rsidR="00F20500">
        <w:t xml:space="preserve"> and </w:t>
      </w:r>
      <w:r w:rsidR="00F20500" w:rsidRPr="00E5087D">
        <w:t>migration</w:t>
      </w:r>
      <w:r w:rsidRPr="00E5087D">
        <w:t>. There are already major reforms underway across each of the workforce pipelines, which will greatly impact this sector</w:t>
      </w:r>
      <w:r w:rsidR="00601B88">
        <w:t xml:space="preserve"> (Figure </w:t>
      </w:r>
      <w:r w:rsidR="0073012C">
        <w:t>1.</w:t>
      </w:r>
      <w:r w:rsidR="00601B88">
        <w:t>11)</w:t>
      </w:r>
      <w:r w:rsidRPr="00E5087D">
        <w:t>. The Australian Government has also announced several initiatives to support the clean energy transition, like the New Energy Apprenticeships Program, that seek to boost the supply of workers.</w:t>
      </w:r>
    </w:p>
    <w:p w14:paraId="10CA3429" w14:textId="1A21316F" w:rsidR="004439CD" w:rsidRPr="00E5087D" w:rsidRDefault="004439CD" w:rsidP="00FD384C">
      <w:pPr>
        <w:pBdr>
          <w:top w:val="single" w:sz="4" w:space="4" w:color="A6A6A6" w:themeColor="background1" w:themeShade="A6"/>
        </w:pBdr>
        <w:spacing w:before="40" w:after="40"/>
        <w:rPr>
          <w:b/>
          <w:bCs/>
        </w:rPr>
      </w:pPr>
      <w:r w:rsidRPr="00E5087D">
        <w:rPr>
          <w:b/>
          <w:bCs/>
        </w:rPr>
        <w:t xml:space="preserve">Figure </w:t>
      </w:r>
      <w:r w:rsidR="0073012C">
        <w:rPr>
          <w:b/>
          <w:bCs/>
        </w:rPr>
        <w:t>1.</w:t>
      </w:r>
      <w:r w:rsidRPr="00E5087D">
        <w:rPr>
          <w:b/>
          <w:bCs/>
        </w:rPr>
        <w:t>11. The Australian Government’s key energy workforce activities</w:t>
      </w:r>
    </w:p>
    <w:p w14:paraId="383FB94D" w14:textId="472997E0" w:rsidR="004439CD" w:rsidRPr="00E5087D" w:rsidRDefault="00DE34B1" w:rsidP="00FD384C">
      <w:pPr>
        <w:spacing w:after="0"/>
        <w:jc w:val="center"/>
      </w:pPr>
      <w:r w:rsidRPr="00DE34B1">
        <w:rPr>
          <w:noProof/>
        </w:rPr>
        <w:drawing>
          <wp:inline distT="0" distB="0" distL="0" distR="0" wp14:anchorId="6CB64F59" wp14:editId="2490E9D1">
            <wp:extent cx="5049520" cy="2901180"/>
            <wp:effectExtent l="0" t="0" r="0" b="0"/>
            <wp:docPr id="473104048" name="Picture 473104048" descr="This figure captures the Australian Government's key energy workforce activities across both initiatives and reforms. It includes the Australian Energy Employment Report, National Energy Strategy and the National Energy Transformation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04048" name="Picture 473104048" descr="This figure captures the Australian Government's key energy workforce activities across both initiatives and reforms. It includes the Australian Energy Employment Report, National Energy Strategy and the National Energy Transformation Partnership."/>
                    <pic:cNvPicPr/>
                  </pic:nvPicPr>
                  <pic:blipFill>
                    <a:blip r:embed="rId45"/>
                    <a:stretch>
                      <a:fillRect/>
                    </a:stretch>
                  </pic:blipFill>
                  <pic:spPr>
                    <a:xfrm>
                      <a:off x="0" y="0"/>
                      <a:ext cx="5085321" cy="2921750"/>
                    </a:xfrm>
                    <a:prstGeom prst="rect">
                      <a:avLst/>
                    </a:prstGeom>
                  </pic:spPr>
                </pic:pic>
              </a:graphicData>
            </a:graphic>
          </wp:inline>
        </w:drawing>
      </w:r>
    </w:p>
    <w:p w14:paraId="17F6619D" w14:textId="7DE5807C" w:rsidR="00827331" w:rsidRDefault="007454B8" w:rsidP="000327FD">
      <w:pPr>
        <w:spacing w:before="120" w:after="120" w:line="276" w:lineRule="auto"/>
      </w:pPr>
      <w:r>
        <w:t>An effective whole-of-government approach will be critical to ensure initiatives are designed and delivered in collaboration.</w:t>
      </w:r>
      <w:r w:rsidR="00A85A6A">
        <w:t xml:space="preserve"> </w:t>
      </w:r>
      <w:r w:rsidR="004439CD" w:rsidRPr="00E5087D">
        <w:t xml:space="preserve">There are at least six government strategies for energy sectors, all impacting the workforce. These will soon be joined by </w:t>
      </w:r>
      <w:r w:rsidR="009464D6">
        <w:t xml:space="preserve">a National Energy Workforce Strategy and </w:t>
      </w:r>
      <w:r w:rsidR="004439CD" w:rsidRPr="00E5087D">
        <w:t xml:space="preserve">six net zero sectoral plans </w:t>
      </w:r>
      <w:r w:rsidR="00FB0E22">
        <w:t xml:space="preserve">individually </w:t>
      </w:r>
      <w:r w:rsidR="004439CD" w:rsidRPr="00E5087D">
        <w:t>led by</w:t>
      </w:r>
      <w:r w:rsidR="00DC7D7C">
        <w:t xml:space="preserve"> each responsible portfolio minister</w:t>
      </w:r>
      <w:r w:rsidR="00E42139">
        <w:t>.</w:t>
      </w:r>
      <w:r w:rsidR="004439CD" w:rsidRPr="00E5087D">
        <w:t xml:space="preserve"> </w:t>
      </w:r>
      <w:r w:rsidR="00F412D9">
        <w:t>The stra</w:t>
      </w:r>
      <w:r w:rsidR="00905AA5">
        <w:t xml:space="preserve">tegy </w:t>
      </w:r>
      <w:r w:rsidR="005E0286">
        <w:t xml:space="preserve">will </w:t>
      </w:r>
      <w:r w:rsidR="00D93B7C">
        <w:t>provide a national framework</w:t>
      </w:r>
      <w:r w:rsidR="00F62008">
        <w:t xml:space="preserve"> for this workforce</w:t>
      </w:r>
      <w:r w:rsidR="00D93B7C">
        <w:t xml:space="preserve">, while the sectoral plans </w:t>
      </w:r>
      <w:r w:rsidR="00E42139">
        <w:t xml:space="preserve">will </w:t>
      </w:r>
      <w:r w:rsidR="00B21BDD">
        <w:t xml:space="preserve">guide the </w:t>
      </w:r>
      <w:r w:rsidR="00505EE8">
        <w:t>decarbonis</w:t>
      </w:r>
      <w:r w:rsidR="00B21BDD">
        <w:t>ation of</w:t>
      </w:r>
      <w:r w:rsidR="00505EE8">
        <w:t xml:space="preserve"> key sectors like energy, </w:t>
      </w:r>
      <w:r w:rsidR="00521811">
        <w:t>agriculture</w:t>
      </w:r>
      <w:r w:rsidR="00F62008">
        <w:t xml:space="preserve"> and </w:t>
      </w:r>
      <w:r w:rsidR="00521811">
        <w:t>transport</w:t>
      </w:r>
      <w:r w:rsidR="00E42139">
        <w:t xml:space="preserve"> in support of the 2050 Net Zero Plan</w:t>
      </w:r>
      <w:r w:rsidR="00521811">
        <w:t>.</w:t>
      </w:r>
      <w:r w:rsidR="00505EE8">
        <w:t xml:space="preserve"> </w:t>
      </w:r>
    </w:p>
    <w:p w14:paraId="74D84984" w14:textId="742BE3EF" w:rsidR="00742411" w:rsidRDefault="009464D6" w:rsidP="000327FD">
      <w:pPr>
        <w:spacing w:before="120" w:after="80" w:line="276" w:lineRule="auto"/>
      </w:pPr>
      <w:r>
        <w:t>A</w:t>
      </w:r>
      <w:r w:rsidR="004439CD" w:rsidRPr="00E5087D">
        <w:t xml:space="preserve"> </w:t>
      </w:r>
      <w:r w:rsidR="00AD3456">
        <w:t xml:space="preserve">new </w:t>
      </w:r>
      <w:r w:rsidR="004439CD" w:rsidRPr="00E5087D">
        <w:t xml:space="preserve">Net Zero Authority </w:t>
      </w:r>
      <w:r w:rsidR="005A7718">
        <w:t xml:space="preserve">(NZA) </w:t>
      </w:r>
      <w:r w:rsidR="004439CD" w:rsidRPr="00E5087D">
        <w:t>within the Department of Prime Minister and Cabinet</w:t>
      </w:r>
      <w:r w:rsidR="00431543">
        <w:t xml:space="preserve"> </w:t>
      </w:r>
      <w:r w:rsidR="00DC465C">
        <w:t>will also be legislated to</w:t>
      </w:r>
      <w:r w:rsidR="00742411">
        <w:t>:</w:t>
      </w:r>
    </w:p>
    <w:p w14:paraId="07EEF165" w14:textId="77777777" w:rsidR="00742411" w:rsidRPr="00C45EFD" w:rsidRDefault="00742411" w:rsidP="00F25595">
      <w:pPr>
        <w:pStyle w:val="ListParagraph"/>
        <w:numPr>
          <w:ilvl w:val="0"/>
          <w:numId w:val="54"/>
        </w:numPr>
        <w:spacing w:before="80" w:after="120" w:line="240" w:lineRule="auto"/>
        <w:ind w:left="567" w:hanging="357"/>
        <w:contextualSpacing w:val="0"/>
        <w:rPr>
          <w14:numForm w14:val="lining"/>
          <w14:numSpacing w14:val="proportional"/>
        </w:rPr>
      </w:pPr>
      <w:r w:rsidRPr="00C45EFD">
        <w:rPr>
          <w14:numForm w14:val="lining"/>
          <w14:numSpacing w14:val="proportional"/>
        </w:rPr>
        <w:t xml:space="preserve">Support </w:t>
      </w:r>
      <w:r w:rsidRPr="00C45EFD">
        <w:rPr>
          <w:b/>
          <w:bCs/>
          <w14:numForm w14:val="lining"/>
          <w14:numSpacing w14:val="proportional"/>
        </w:rPr>
        <w:t>workers</w:t>
      </w:r>
      <w:r w:rsidRPr="00C45EFD">
        <w:rPr>
          <w14:numForm w14:val="lining"/>
          <w14:numSpacing w14:val="proportional"/>
        </w:rPr>
        <w:t xml:space="preserve"> in emissions-intensive sectors to access new employment, skills and support as the net zero transformation continues.</w:t>
      </w:r>
    </w:p>
    <w:p w14:paraId="68968AC5" w14:textId="77777777" w:rsidR="004C34BE" w:rsidRPr="00C45EFD" w:rsidRDefault="00742411" w:rsidP="00F25595">
      <w:pPr>
        <w:pStyle w:val="ListParagraph"/>
        <w:numPr>
          <w:ilvl w:val="0"/>
          <w:numId w:val="54"/>
        </w:numPr>
        <w:spacing w:before="80" w:after="120" w:line="240" w:lineRule="auto"/>
        <w:ind w:left="567" w:hanging="357"/>
        <w:contextualSpacing w:val="0"/>
        <w:rPr>
          <w14:numForm w14:val="lining"/>
          <w14:numSpacing w14:val="proportional"/>
        </w:rPr>
      </w:pPr>
      <w:r w:rsidRPr="00C45EFD">
        <w:rPr>
          <w14:numForm w14:val="lining"/>
          <w14:numSpacing w14:val="proportional"/>
        </w:rPr>
        <w:t xml:space="preserve">Coordinate programs and policies across government to support </w:t>
      </w:r>
      <w:r w:rsidRPr="00C45EFD">
        <w:rPr>
          <w:b/>
          <w:bCs/>
          <w14:numForm w14:val="lining"/>
          <w14:numSpacing w14:val="proportional"/>
        </w:rPr>
        <w:t>regions</w:t>
      </w:r>
      <w:r w:rsidRPr="00C45EFD">
        <w:rPr>
          <w14:numForm w14:val="lining"/>
          <w14:numSpacing w14:val="proportional"/>
        </w:rPr>
        <w:t xml:space="preserve"> and </w:t>
      </w:r>
      <w:r w:rsidRPr="00C45EFD">
        <w:rPr>
          <w:b/>
          <w:bCs/>
          <w14:numForm w14:val="lining"/>
          <w14:numSpacing w14:val="proportional"/>
        </w:rPr>
        <w:t>communities</w:t>
      </w:r>
      <w:r w:rsidRPr="00C45EFD">
        <w:rPr>
          <w14:numForm w14:val="lining"/>
          <w14:numSpacing w14:val="proportional"/>
        </w:rPr>
        <w:t xml:space="preserve"> to attract and take advantage of new clean energy industries and set those industries up for success.</w:t>
      </w:r>
    </w:p>
    <w:p w14:paraId="7289BA74" w14:textId="07B36FAF" w:rsidR="00F62008" w:rsidRDefault="004C34BE" w:rsidP="00F25595">
      <w:pPr>
        <w:pStyle w:val="ListParagraph"/>
        <w:numPr>
          <w:ilvl w:val="0"/>
          <w:numId w:val="54"/>
        </w:numPr>
        <w:spacing w:before="80" w:after="80" w:line="240" w:lineRule="auto"/>
        <w:ind w:left="567" w:hanging="357"/>
        <w:contextualSpacing w:val="0"/>
      </w:pPr>
      <w:r w:rsidRPr="00C623CE">
        <w:rPr>
          <w14:numForm w14:val="lining"/>
          <w14:numSpacing w14:val="proportional"/>
        </w:rPr>
        <w:t xml:space="preserve">Help </w:t>
      </w:r>
      <w:r w:rsidRPr="00C623CE">
        <w:rPr>
          <w:b/>
          <w:bCs/>
          <w14:numForm w14:val="lining"/>
          <w14:numSpacing w14:val="proportional"/>
        </w:rPr>
        <w:t>investors</w:t>
      </w:r>
      <w:r w:rsidRPr="00C623CE">
        <w:rPr>
          <w14:numForm w14:val="lining"/>
          <w14:numSpacing w14:val="proportional"/>
        </w:rPr>
        <w:t xml:space="preserve"> and </w:t>
      </w:r>
      <w:r w:rsidRPr="00C623CE">
        <w:rPr>
          <w:b/>
          <w:bCs/>
          <w14:numForm w14:val="lining"/>
          <w14:numSpacing w14:val="proportional"/>
        </w:rPr>
        <w:t>companies</w:t>
      </w:r>
      <w:r w:rsidRPr="00C623CE">
        <w:rPr>
          <w14:numForm w14:val="lining"/>
          <w14:numSpacing w14:val="proportional"/>
        </w:rPr>
        <w:t xml:space="preserve"> to engage with net zero transformation opportunities.</w:t>
      </w:r>
      <w:r w:rsidR="00BE714A" w:rsidRPr="00C45EFD">
        <w:rPr>
          <w:rStyle w:val="EndnoteReference"/>
          <w14:numForm w14:val="lining"/>
          <w14:numSpacing w14:val="proportional"/>
        </w:rPr>
        <w:endnoteReference w:id="11"/>
      </w:r>
    </w:p>
    <w:p w14:paraId="60372C08" w14:textId="21B9279C" w:rsidR="00B21BDD" w:rsidRDefault="004439CD" w:rsidP="00AD3456">
      <w:pPr>
        <w:spacing w:before="240" w:after="120" w:line="276" w:lineRule="auto"/>
      </w:pPr>
      <w:r w:rsidRPr="00E5087D">
        <w:lastRenderedPageBreak/>
        <w:t>Jobs and Skills Councils</w:t>
      </w:r>
      <w:r w:rsidR="009F3ADC">
        <w:t xml:space="preserve"> (JSC)</w:t>
      </w:r>
      <w:r w:rsidRPr="00E5087D">
        <w:t xml:space="preserve">, led from the Department of Employment and Workplace Relations (DEWR), </w:t>
      </w:r>
      <w:r w:rsidR="00AD3456">
        <w:t xml:space="preserve">have </w:t>
      </w:r>
      <w:r w:rsidRPr="00E5087D">
        <w:t xml:space="preserve">also </w:t>
      </w:r>
      <w:r w:rsidR="00AD3456">
        <w:t xml:space="preserve">been </w:t>
      </w:r>
      <w:r w:rsidRPr="00E5087D">
        <w:t xml:space="preserve">tasked with developing </w:t>
      </w:r>
      <w:r w:rsidR="00DC63AD">
        <w:t xml:space="preserve">workforce </w:t>
      </w:r>
      <w:r w:rsidRPr="00E5087D">
        <w:t xml:space="preserve">plans for their sectors, </w:t>
      </w:r>
      <w:r w:rsidR="00AD3456">
        <w:t>which include energy, transport and other relevant areas. T</w:t>
      </w:r>
      <w:r w:rsidRPr="00E5087D">
        <w:t>his department also deliver</w:t>
      </w:r>
      <w:r w:rsidR="003122E1">
        <w:t>s</w:t>
      </w:r>
      <w:r w:rsidRPr="00E5087D">
        <w:t xml:space="preserve"> employment services and retrenchment supports</w:t>
      </w:r>
      <w:r w:rsidR="00AD3456">
        <w:t xml:space="preserve"> for workers impacted by structural adjustments, including coal-fired power station closures.</w:t>
      </w:r>
    </w:p>
    <w:p w14:paraId="5BF76121" w14:textId="17800BE9" w:rsidR="0051002D" w:rsidRDefault="0051002D" w:rsidP="00D378AB">
      <w:pPr>
        <w:spacing w:before="120" w:after="120" w:line="276" w:lineRule="auto"/>
      </w:pPr>
      <w:r>
        <w:t xml:space="preserve">Governments also have an important role in shaping markets </w:t>
      </w:r>
      <w:r w:rsidR="00223ABA">
        <w:t>through public investment. For example, the $15</w:t>
      </w:r>
      <w:r w:rsidR="00617E3F">
        <w:t xml:space="preserve"> </w:t>
      </w:r>
      <w:r w:rsidR="00223ABA">
        <w:t>b</w:t>
      </w:r>
      <w:r w:rsidR="00617E3F">
        <w:t>illio</w:t>
      </w:r>
      <w:r w:rsidR="00223ABA">
        <w:t xml:space="preserve">n National Reconstruction Fund will provide </w:t>
      </w:r>
      <w:r w:rsidR="00EC692B">
        <w:t>loans, guarantees and equity to support projects that create secure, well-paid jobs and diversify Australia’s economy.</w:t>
      </w:r>
      <w:r w:rsidR="00255702">
        <w:t xml:space="preserve"> Likewise, the Clean Energy Finance Corporation (CEFC) acts</w:t>
      </w:r>
      <w:r w:rsidR="00255702" w:rsidRPr="00255702">
        <w:t xml:space="preserve"> a</w:t>
      </w:r>
      <w:r w:rsidR="00255702">
        <w:t>s a</w:t>
      </w:r>
      <w:r w:rsidR="00255702" w:rsidRPr="00255702">
        <w:t xml:space="preserve"> specialist investor to spur substantial investment where it will have the greatest impact</w:t>
      </w:r>
      <w:r w:rsidR="00A562E4">
        <w:t xml:space="preserve">. </w:t>
      </w:r>
      <w:r w:rsidR="00A562E4" w:rsidRPr="00482240">
        <w:rPr>
          <w:b/>
          <w:bCs/>
        </w:rPr>
        <w:t>Chapters 7 and 8</w:t>
      </w:r>
      <w:r w:rsidR="00A562E4">
        <w:t xml:space="preserve"> explore how government procurement can </w:t>
      </w:r>
      <w:r w:rsidR="00464914">
        <w:t xml:space="preserve">and does </w:t>
      </w:r>
      <w:r w:rsidR="00A562E4">
        <w:t>influence</w:t>
      </w:r>
      <w:r w:rsidR="00464914">
        <w:t xml:space="preserve"> the development of our workforces.</w:t>
      </w:r>
    </w:p>
    <w:p w14:paraId="4A8BA0F2" w14:textId="71B793FF" w:rsidR="004439CD" w:rsidRPr="00E5087D" w:rsidRDefault="004439CD" w:rsidP="00AD3456">
      <w:pPr>
        <w:spacing w:before="120" w:after="240" w:line="276" w:lineRule="auto"/>
      </w:pPr>
      <w:r w:rsidRPr="00E5087D">
        <w:t xml:space="preserve">Unclear and overlapping responsibilities make it hard for government entities to align their activities and combine efforts, while </w:t>
      </w:r>
      <w:r w:rsidR="7317B41A">
        <w:t>also</w:t>
      </w:r>
      <w:r>
        <w:t xml:space="preserve"> </w:t>
      </w:r>
      <w:r w:rsidR="00D63BC3">
        <w:t xml:space="preserve">being </w:t>
      </w:r>
      <w:r w:rsidRPr="00E5087D">
        <w:t>difficult for stakeholders and communities to navigate</w:t>
      </w:r>
      <w:r w:rsidR="00D63BC3">
        <w:t xml:space="preserve">. Each of these initiatives </w:t>
      </w:r>
      <w:r w:rsidR="00C37212">
        <w:t xml:space="preserve">and roles are promising, but need to be carefully managed to </w:t>
      </w:r>
      <w:r w:rsidR="008312F3">
        <w:t>avoid overcrowding and duplication.</w:t>
      </w:r>
    </w:p>
    <w:p w14:paraId="4DE465CA" w14:textId="77777777" w:rsidR="004439CD" w:rsidRPr="00E5087D" w:rsidRDefault="004439CD" w:rsidP="008C74CC">
      <w:pPr>
        <w:pStyle w:val="Heading3"/>
        <w:spacing w:after="120"/>
      </w:pPr>
      <w:bookmarkStart w:id="27" w:name="_Toc141863827"/>
      <w:r w:rsidRPr="00E5087D">
        <w:t xml:space="preserve">A </w:t>
      </w:r>
      <w:bookmarkEnd w:id="27"/>
      <w:r w:rsidRPr="00E5087D">
        <w:t xml:space="preserve">national effort </w:t>
      </w:r>
    </w:p>
    <w:p w14:paraId="4E21D731" w14:textId="293E9B62" w:rsidR="004439CD" w:rsidRPr="00E5087D" w:rsidRDefault="004439CD" w:rsidP="004439CD">
      <w:pPr>
        <w:spacing w:after="120" w:line="276" w:lineRule="auto"/>
      </w:pPr>
      <w:r w:rsidRPr="00E5087D">
        <w:rPr>
          <w14:numForm w14:val="lining"/>
          <w14:numSpacing w14:val="proportional"/>
        </w:rPr>
        <w:t xml:space="preserve">The transition to net zero is a shared responsibility between governments, industry, workers, and communities. Australia’s state and territory governments are all developing their own strategies and plans to grow their workforces; however, there is little consistency or collaboration. A complete mapping of these initiatives is available at </w:t>
      </w:r>
      <w:r w:rsidRPr="00E5087D">
        <w:rPr>
          <w:b/>
          <w:bCs/>
          <w14:numForm w14:val="lining"/>
          <w14:numSpacing w14:val="proportional"/>
        </w:rPr>
        <w:t>Attachment A</w:t>
      </w:r>
      <w:r w:rsidRPr="00E5087D">
        <w:rPr>
          <w14:numForm w14:val="lining"/>
          <w14:numSpacing w14:val="proportional"/>
        </w:rPr>
        <w:t xml:space="preserve">. </w:t>
      </w:r>
      <w:r w:rsidRPr="00E5087D">
        <w:t>States and territories also have different registration requirements that can lead to differences in training and limit mobility opportunities for workers.</w:t>
      </w:r>
      <w:r w:rsidRPr="00E5087D">
        <w:rPr>
          <w:rStyle w:val="EndnoteReference"/>
        </w:rPr>
        <w:endnoteReference w:id="12"/>
      </w:r>
    </w:p>
    <w:p w14:paraId="0349405B" w14:textId="0D972A90" w:rsidR="004439CD" w:rsidRPr="00E5087D" w:rsidRDefault="004439CD" w:rsidP="008C74CC">
      <w:pPr>
        <w:spacing w:before="120" w:after="0" w:line="276" w:lineRule="auto"/>
        <w:rPr>
          <w:spacing w:val="2"/>
          <w14:ligatures w14:val="standard"/>
          <w14:numForm w14:val="lining"/>
          <w14:numSpacing w14:val="proportional"/>
        </w:rPr>
      </w:pPr>
      <w:r w:rsidRPr="00E5087D">
        <w:rPr>
          <w:spacing w:val="2"/>
          <w14:ligatures w14:val="standard"/>
          <w14:numForm w14:val="lining"/>
          <w14:numSpacing w14:val="proportional"/>
        </w:rPr>
        <w:t>There is an appetite for the Australian Government to provide greater coordination and stewardship for the clean energy workforce.</w:t>
      </w:r>
      <w:r w:rsidRPr="00E5087D">
        <w:rPr>
          <w:rStyle w:val="CommentReference"/>
        </w:rPr>
        <w:t xml:space="preserve"> </w:t>
      </w:r>
      <w:r w:rsidRPr="00E5087D">
        <w:rPr>
          <w:spacing w:val="2"/>
          <w14:ligatures w14:val="standard"/>
          <w14:numForm w14:val="lining"/>
          <w14:numSpacing w14:val="proportional"/>
        </w:rPr>
        <w:t xml:space="preserve">The National Energy Transformation Partnership </w:t>
      </w:r>
      <w:r w:rsidR="003122E1">
        <w:rPr>
          <w:spacing w:val="2"/>
          <w14:ligatures w14:val="standard"/>
          <w14:numForm w14:val="lining"/>
          <w14:numSpacing w14:val="proportional"/>
        </w:rPr>
        <w:t>offers</w:t>
      </w:r>
      <w:r w:rsidRPr="00E5087D">
        <w:rPr>
          <w:spacing w:val="2"/>
          <w14:ligatures w14:val="standard"/>
          <w14:numForm w14:val="lining"/>
          <w14:numSpacing w14:val="proportional"/>
        </w:rPr>
        <w:t xml:space="preserve"> a framework for national alignment and cooperative action by governments to support energy transformation.</w:t>
      </w:r>
      <w:r w:rsidRPr="00E5087D">
        <w:rPr>
          <w:rStyle w:val="EndnoteReference"/>
          <w:spacing w:val="2"/>
          <w14:ligatures w14:val="standard"/>
          <w14:numForm w14:val="lining"/>
          <w14:numSpacing w14:val="proportional"/>
        </w:rPr>
        <w:endnoteReference w:id="13"/>
      </w:r>
      <w:r w:rsidRPr="00E5087D">
        <w:rPr>
          <w:spacing w:val="2"/>
          <w14:ligatures w14:val="standard"/>
          <w14:numForm w14:val="lining"/>
          <w14:numSpacing w14:val="proportional"/>
        </w:rPr>
        <w:t xml:space="preserve"> As workforce is one of the key priorities for this partnership, the Australian Government should consider how its wide range of initiatives </w:t>
      </w:r>
      <w:r w:rsidR="00A27434">
        <w:rPr>
          <w:spacing w:val="2"/>
          <w14:ligatures w14:val="standard"/>
          <w14:numForm w14:val="lining"/>
          <w14:numSpacing w14:val="proportional"/>
        </w:rPr>
        <w:t>c</w:t>
      </w:r>
      <w:r w:rsidRPr="00E5087D">
        <w:rPr>
          <w:spacing w:val="2"/>
          <w14:ligatures w14:val="standard"/>
          <w14:numForm w14:val="lining"/>
          <w14:numSpacing w14:val="proportional"/>
        </w:rPr>
        <w:t xml:space="preserve">ould contribute </w:t>
      </w:r>
      <w:r w:rsidR="00A27434">
        <w:rPr>
          <w:spacing w:val="2"/>
          <w14:ligatures w14:val="standard"/>
          <w14:numForm w14:val="lining"/>
          <w14:numSpacing w14:val="proportional"/>
        </w:rPr>
        <w:t>under the P</w:t>
      </w:r>
      <w:r w:rsidRPr="00E5087D">
        <w:rPr>
          <w:spacing w:val="2"/>
          <w14:ligatures w14:val="standard"/>
          <w14:numForm w14:val="lining"/>
          <w14:numSpacing w14:val="proportional"/>
        </w:rPr>
        <w:t>artnership</w:t>
      </w:r>
      <w:r w:rsidR="00A27434">
        <w:rPr>
          <w:spacing w:val="2"/>
          <w14:ligatures w14:val="standard"/>
          <w14:numForm w14:val="lining"/>
          <w14:numSpacing w14:val="proportional"/>
        </w:rPr>
        <w:t xml:space="preserve"> framework</w:t>
      </w:r>
      <w:r w:rsidRPr="00E5087D">
        <w:rPr>
          <w:spacing w:val="2"/>
          <w14:ligatures w14:val="standard"/>
          <w14:numForm w14:val="lining"/>
          <w14:numSpacing w14:val="proportional"/>
        </w:rPr>
        <w:t xml:space="preserve">. Greater collaboration between the Australian Government and states and territories could also be supported through the National Energy Workforce Strategy, Net Zero Authority and </w:t>
      </w:r>
      <w:r w:rsidR="00584E18">
        <w:t>JSCs</w:t>
      </w:r>
      <w:r w:rsidRPr="00E5087D">
        <w:rPr>
          <w:spacing w:val="2"/>
          <w14:ligatures w14:val="standard"/>
          <w14:numForm w14:val="lining"/>
          <w14:numSpacing w14:val="proportional"/>
        </w:rPr>
        <w:t>.</w:t>
      </w:r>
    </w:p>
    <w:p w14:paraId="0E29BD8A" w14:textId="77777777" w:rsidR="008C74CC" w:rsidRPr="00E5087D" w:rsidRDefault="004439CD" w:rsidP="008C74CC">
      <w:pPr>
        <w:pStyle w:val="IntenseQuote"/>
        <w:pBdr>
          <w:top w:val="single" w:sz="4" w:space="10" w:color="B4C227" w:themeColor="background2" w:themeShade="BF"/>
          <w:bottom w:val="single" w:sz="4" w:space="10" w:color="B4C227" w:themeColor="background2" w:themeShade="BF"/>
        </w:pBdr>
        <w:spacing w:after="120"/>
        <w:rPr>
          <w:color w:val="000000" w:themeColor="text1"/>
        </w:rPr>
      </w:pPr>
      <w:r w:rsidRPr="00E5087D">
        <w:rPr>
          <w:color w:val="000000" w:themeColor="text1"/>
        </w:rPr>
        <w:t xml:space="preserve">“State governments should coordinate their workforce needs by sharing information and harmonising their requirements for local employment, apprentices and local supply chain through the REZs [renewable energy zones], rather than competing. The Federal Government could play a role in brokering such an arrangement”. </w:t>
      </w:r>
    </w:p>
    <w:p w14:paraId="1AC83056" w14:textId="52489769" w:rsidR="00616BE0" w:rsidRDefault="004439CD" w:rsidP="00616BE0">
      <w:pPr>
        <w:pStyle w:val="IntenseQuote"/>
        <w:pBdr>
          <w:top w:val="single" w:sz="4" w:space="10" w:color="B4C227" w:themeColor="background2" w:themeShade="BF"/>
          <w:bottom w:val="single" w:sz="4" w:space="10" w:color="B4C227" w:themeColor="background2" w:themeShade="BF"/>
        </w:pBdr>
        <w:spacing w:before="120" w:after="480"/>
        <w:rPr>
          <w:i w:val="0"/>
          <w:iCs w:val="0"/>
          <w:color w:val="78821A" w:themeColor="background2" w:themeShade="80"/>
        </w:rPr>
      </w:pPr>
      <w:r w:rsidRPr="00E5087D">
        <w:rPr>
          <w:i w:val="0"/>
          <w:iCs w:val="0"/>
          <w:color w:val="78821A" w:themeColor="background2" w:themeShade="80"/>
        </w:rPr>
        <w:t>– Clean Energy Council.</w:t>
      </w:r>
      <w:r w:rsidRPr="00E5087D">
        <w:rPr>
          <w:i w:val="0"/>
          <w:iCs w:val="0"/>
          <w:color w:val="78821A" w:themeColor="background2" w:themeShade="80"/>
          <w:vertAlign w:val="superscript"/>
        </w:rPr>
        <w:endnoteReference w:id="14"/>
      </w:r>
    </w:p>
    <w:p w14:paraId="1260761F" w14:textId="13BC43AE" w:rsidR="00D15236" w:rsidRDefault="00D15236">
      <w:pPr>
        <w:rPr>
          <w:b/>
          <w:bCs/>
          <w14:numForm w14:val="lining"/>
          <w14:numSpacing w14:val="proportional"/>
        </w:rPr>
      </w:pPr>
      <w:r>
        <w:rPr>
          <w:b/>
          <w:bCs/>
          <w14:numForm w14:val="lining"/>
          <w14:numSpacing w14:val="proportional"/>
        </w:rPr>
        <w:br w:type="page"/>
      </w:r>
    </w:p>
    <w:p w14:paraId="3FFD7A7A" w14:textId="37246358" w:rsidR="00976C24" w:rsidRDefault="00976C24" w:rsidP="00976C24">
      <w:pPr>
        <w:spacing w:before="240" w:after="0" w:line="240" w:lineRule="auto"/>
        <w:ind w:left="170"/>
        <w:rPr>
          <w:b/>
          <w:bCs/>
          <w14:numForm w14:val="lining"/>
          <w14:numSpacing w14:val="proportional"/>
        </w:rPr>
      </w:pPr>
    </w:p>
    <w:p w14:paraId="2BA8D1B8" w14:textId="0A03F665" w:rsidR="00D15236" w:rsidRPr="006E07A7" w:rsidRDefault="00976C24" w:rsidP="00976C24">
      <w:pPr>
        <w:spacing w:before="240" w:after="0" w:line="240" w:lineRule="auto"/>
        <w:ind w:left="170"/>
        <w:rPr>
          <w:b/>
          <w:bCs/>
          <w14:numForm w14:val="lining"/>
          <w14:numSpacing w14:val="proportional"/>
        </w:rPr>
      </w:pPr>
      <w:r w:rsidRPr="00E5087D">
        <w:rPr>
          <w:noProof/>
        </w:rPr>
        <mc:AlternateContent>
          <mc:Choice Requires="wpg">
            <w:drawing>
              <wp:anchor distT="0" distB="0" distL="114300" distR="114300" simplePos="0" relativeHeight="251658275" behindDoc="1" locked="0" layoutInCell="1" allowOverlap="1" wp14:anchorId="76F46550" wp14:editId="18CAC555">
                <wp:simplePos x="0" y="0"/>
                <wp:positionH relativeFrom="column">
                  <wp:posOffset>0</wp:posOffset>
                </wp:positionH>
                <wp:positionV relativeFrom="page">
                  <wp:posOffset>1187291</wp:posOffset>
                </wp:positionV>
                <wp:extent cx="5731510" cy="914400"/>
                <wp:effectExtent l="0" t="0" r="21590" b="19050"/>
                <wp:wrapNone/>
                <wp:docPr id="70" name="Group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14400"/>
                          <a:chOff x="0" y="0"/>
                          <a:chExt cx="5731511" cy="914401"/>
                        </a:xfrm>
                      </wpg:grpSpPr>
                      <wps:wsp>
                        <wps:cNvPr id="69" name="Rectangle: Top Corners Rounded 69"/>
                        <wps:cNvSpPr/>
                        <wps:spPr>
                          <a:xfrm>
                            <a:off x="0" y="0"/>
                            <a:ext cx="1656000" cy="232791"/>
                          </a:xfrm>
                          <a:prstGeom prst="round2Same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81F9B9" w14:textId="5428CD76" w:rsidR="00616BE0" w:rsidRPr="006E07A7" w:rsidRDefault="00616BE0" w:rsidP="00976C24">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7" name="Rectangle 67"/>
                        <wps:cNvSpPr/>
                        <wps:spPr>
                          <a:xfrm>
                            <a:off x="1" y="230607"/>
                            <a:ext cx="5731510" cy="683794"/>
                          </a:xfrm>
                          <a:prstGeom prst="rect">
                            <a:avLst/>
                          </a:prstGeom>
                          <a:solidFill>
                            <a:srgbClr val="F2F2F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6124F" w14:textId="696B4AFD" w:rsidR="00616BE0" w:rsidRPr="00A90F3C" w:rsidRDefault="00616BE0" w:rsidP="00976C24">
                              <w:pPr>
                                <w:spacing w:after="0" w:line="240" w:lineRule="auto"/>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F46550" id="Group 70" o:spid="_x0000_s1031" alt="&quot;&quot;" style="position:absolute;left:0;text-align:left;margin-left:0;margin-top:93.5pt;width:451.3pt;height:1in;z-index:-251658205;mso-position-vertical-relative:page" coordsize="57315,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">
                <v:shape id="Rectangle: Top Corners Rounded 69" o:spid="_x0000_s1032" style="position:absolute;width:16560;height:2327;visibility:visible;mso-wrap-style:square;v-text-anchor:middle" coordsize="1656000,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" adj="-11796480,,5400" path="m38799,l1617201,v21428,,38799,17371,38799,38799l1656000,232791r,l,232791r,l,38799c,17371,17371,,38799,xe" fillcolor="#d2de5a [3214]" strokecolor="#d2de5a [3214]" strokeweight="1pt">
                  <v:stroke joinstyle="miter"/>
                  <v:formulas/>
                  <v:path arrowok="t" o:connecttype="custom" o:connectlocs="38799,0;1617201,0;1656000,38799;1656000,232791;1656000,232791;0,232791;0,232791;0,38799;38799,0" o:connectangles="0,0,0,0,0,0,0,0,0" textboxrect="0,0,1656000,232791"/>
                  <v:textbox inset=",0,,0">
                    <w:txbxContent>
                      <w:p w14:paraId="6C81F9B9" w14:textId="5428CD76" w:rsidR="00616BE0" w:rsidRPr="006E07A7" w:rsidRDefault="00616BE0" w:rsidP="00976C24">
                        <w:pPr>
                          <w:spacing w:after="0" w:line="240" w:lineRule="auto"/>
                          <w:rPr>
                            <w:b/>
                            <w:bCs/>
                            <w14:numForm w14:val="lining"/>
                            <w14:numSpacing w14:val="proportional"/>
                          </w:rPr>
                        </w:pPr>
                      </w:p>
                    </w:txbxContent>
                  </v:textbox>
                </v:shape>
                <v:rect id="Rectangle 67" o:spid="_x0000_s1033" style="position:absolute;top:2306;width:57315;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" fillcolor="#f2f2f2" strokecolor="#d2de5a [3214]" strokeweight="1pt">
                  <v:textbox inset="2mm,1mm,2mm,1mm">
                    <w:txbxContent>
                      <w:p w14:paraId="5156124F" w14:textId="696B4AFD" w:rsidR="00616BE0" w:rsidRPr="00A90F3C" w:rsidRDefault="00616BE0" w:rsidP="00976C24">
                        <w:pPr>
                          <w:spacing w:after="0" w:line="240" w:lineRule="auto"/>
                          <w:rPr>
                            <w:lang w:val="en-US"/>
                          </w:rPr>
                        </w:pPr>
                      </w:p>
                    </w:txbxContent>
                  </v:textbox>
                </v:rect>
                <w10:wrap anchory="page"/>
              </v:group>
            </w:pict>
          </mc:Fallback>
        </mc:AlternateContent>
      </w:r>
      <w:r w:rsidR="00D15236" w:rsidRPr="006E07A7">
        <w:rPr>
          <w:b/>
          <w:bCs/>
          <w14:numForm w14:val="lining"/>
          <w14:numSpacing w14:val="proportional"/>
        </w:rPr>
        <w:t>Recommendation 1</w:t>
      </w:r>
      <w:r w:rsidR="00D15236">
        <w:rPr>
          <w:b/>
          <w:bCs/>
          <w14:numForm w14:val="lining"/>
          <w14:numSpacing w14:val="proportional"/>
        </w:rPr>
        <w:t>.1</w:t>
      </w:r>
    </w:p>
    <w:p w14:paraId="5EB19D21" w14:textId="1A7D5943" w:rsidR="00D15236" w:rsidRDefault="00D15236" w:rsidP="00976C24">
      <w:pPr>
        <w:spacing w:before="200" w:after="0" w:line="240" w:lineRule="auto"/>
        <w:ind w:left="170" w:right="340"/>
        <w:rPr>
          <w:lang w:val="en-US"/>
        </w:rPr>
      </w:pPr>
      <w:r w:rsidRPr="00B0732E">
        <w:rPr>
          <w:lang w:val="en-US"/>
        </w:rPr>
        <w:t>The upcoming National Energy Workforce Strategy should be empowered to provide a coordinated, whole-of-government and whole-of-sector approach for this workforce, serving as a singular, coherent voice.</w:t>
      </w:r>
    </w:p>
    <w:p w14:paraId="33A6055D" w14:textId="066C7170" w:rsidR="00976C24" w:rsidRPr="006E07A7" w:rsidRDefault="006E36CC" w:rsidP="006E36CC">
      <w:pPr>
        <w:spacing w:before="600" w:after="0" w:line="240" w:lineRule="auto"/>
        <w:ind w:left="170"/>
        <w:rPr>
          <w:b/>
          <w:bCs/>
          <w14:numForm w14:val="lining"/>
          <w14:numSpacing w14:val="proportional"/>
        </w:rPr>
      </w:pPr>
      <w:r w:rsidRPr="00E5087D">
        <w:rPr>
          <w:noProof/>
        </w:rPr>
        <mc:AlternateContent>
          <mc:Choice Requires="wpg">
            <w:drawing>
              <wp:anchor distT="0" distB="0" distL="114300" distR="114300" simplePos="0" relativeHeight="251658276" behindDoc="1" locked="0" layoutInCell="1" allowOverlap="1" wp14:anchorId="434A09E5" wp14:editId="360118E2">
                <wp:simplePos x="0" y="0"/>
                <wp:positionH relativeFrom="column">
                  <wp:posOffset>0</wp:posOffset>
                </wp:positionH>
                <wp:positionV relativeFrom="paragraph">
                  <wp:posOffset>338931</wp:posOffset>
                </wp:positionV>
                <wp:extent cx="5731510" cy="950120"/>
                <wp:effectExtent l="0" t="0" r="21590" b="21590"/>
                <wp:wrapNone/>
                <wp:docPr id="1087981685" name="Group 1087981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50120"/>
                          <a:chOff x="0" y="0"/>
                          <a:chExt cx="5880735" cy="975185"/>
                        </a:xfrm>
                      </wpg:grpSpPr>
                      <wps:wsp>
                        <wps:cNvPr id="1087981686" name="Rectangle: Top Corners Rounded 1087981686"/>
                        <wps:cNvSpPr/>
                        <wps:spPr>
                          <a:xfrm>
                            <a:off x="0" y="0"/>
                            <a:ext cx="1699115" cy="232792"/>
                          </a:xfrm>
                          <a:prstGeom prst="round2Same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AEF012" w14:textId="619870D0" w:rsidR="00616BE0" w:rsidRPr="006E07A7" w:rsidRDefault="00616BE0" w:rsidP="00616BE0">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87981687" name="Rectangle 1087981687"/>
                        <wps:cNvSpPr/>
                        <wps:spPr>
                          <a:xfrm>
                            <a:off x="0" y="230660"/>
                            <a:ext cx="5880735" cy="744525"/>
                          </a:xfrm>
                          <a:prstGeom prst="rect">
                            <a:avLst/>
                          </a:prstGeom>
                          <a:solidFill>
                            <a:srgbClr val="F2F2F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CBB1C" w14:textId="302CD1E0" w:rsidR="00616BE0" w:rsidRPr="00C71027" w:rsidRDefault="00616BE0" w:rsidP="00616BE0">
                              <w:pPr>
                                <w:spacing w:before="60" w:after="60" w:line="240" w:lineRule="auto"/>
                                <w:rPr>
                                  <w:rFonts w:cs="Arial"/>
                                  <w:b/>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34A09E5" id="Group 1087981685" o:spid="_x0000_s1034" alt="&quot;&quot;" style="position:absolute;left:0;text-align:left;margin-left:0;margin-top:26.7pt;width:451.3pt;height:74.8pt;z-index:-251658204;mso-height-relative:margin" coordsize="58807,9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">
                <v:shape id="Rectangle: Top Corners Rounded 1087981686" o:spid="_x0000_s1035" style="position:absolute;width:16991;height:2327;visibility:visible;mso-wrap-style:square;v-text-anchor:middle" coordsize="1699115,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" adj="-11796480,,5400" path="m38799,l1660316,v21428,,38799,17371,38799,38799l1699115,232792r,l,232792r,l,38799c,17371,17371,,38799,xe" fillcolor="#d2de5a [3214]" strokecolor="#d2de5a [3214]" strokeweight="1pt">
                  <v:stroke joinstyle="miter"/>
                  <v:formulas/>
                  <v:path arrowok="t" o:connecttype="custom" o:connectlocs="38799,0;1660316,0;1699115,38799;1699115,232792;1699115,232792;0,232792;0,232792;0,38799;38799,0" o:connectangles="0,0,0,0,0,0,0,0,0" textboxrect="0,0,1699115,232792"/>
                  <v:textbox inset=",0,,0">
                    <w:txbxContent>
                      <w:p w14:paraId="2EAEF012" w14:textId="619870D0" w:rsidR="00616BE0" w:rsidRPr="006E07A7" w:rsidRDefault="00616BE0" w:rsidP="00616BE0">
                        <w:pPr>
                          <w:spacing w:after="0" w:line="240" w:lineRule="auto"/>
                          <w:rPr>
                            <w:b/>
                            <w:bCs/>
                            <w14:numForm w14:val="lining"/>
                            <w14:numSpacing w14:val="proportional"/>
                          </w:rPr>
                        </w:pPr>
                      </w:p>
                    </w:txbxContent>
                  </v:textbox>
                </v:shape>
                <v:rect id="Rectangle 1087981687" o:spid="_x0000_s1036" style="position:absolute;top:2306;width:58807;height:7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" fillcolor="#f2f2f2" strokecolor="#d2de5a [3214]" strokeweight="1pt">
                  <v:textbox inset="2mm,1mm,2mm,1mm">
                    <w:txbxContent>
                      <w:p w14:paraId="083CBB1C" w14:textId="302CD1E0" w:rsidR="00616BE0" w:rsidRPr="00C71027" w:rsidRDefault="00616BE0" w:rsidP="00616BE0">
                        <w:pPr>
                          <w:spacing w:before="60" w:after="60" w:line="240" w:lineRule="auto"/>
                          <w:rPr>
                            <w:rFonts w:cs="Arial"/>
                            <w:b/>
                          </w:rPr>
                        </w:pPr>
                      </w:p>
                    </w:txbxContent>
                  </v:textbox>
                </v:rect>
              </v:group>
            </w:pict>
          </mc:Fallback>
        </mc:AlternateContent>
      </w:r>
      <w:r w:rsidR="00976C24" w:rsidRPr="006E07A7">
        <w:rPr>
          <w:b/>
          <w:bCs/>
          <w14:numForm w14:val="lining"/>
          <w14:numSpacing w14:val="proportional"/>
        </w:rPr>
        <w:t xml:space="preserve">Recommendation </w:t>
      </w:r>
      <w:r w:rsidR="00976C24">
        <w:rPr>
          <w:b/>
          <w:bCs/>
          <w14:numForm w14:val="lining"/>
          <w14:numSpacing w14:val="proportional"/>
        </w:rPr>
        <w:t>1.2</w:t>
      </w:r>
    </w:p>
    <w:p w14:paraId="53E3ECE5" w14:textId="248EA7B0" w:rsidR="00976C24" w:rsidRPr="005D0A2B" w:rsidRDefault="006E36CC" w:rsidP="005D0A2B">
      <w:pPr>
        <w:spacing w:before="240" w:after="60" w:line="240" w:lineRule="auto"/>
        <w:ind w:left="170" w:right="113"/>
        <w:rPr>
          <w:rFonts w:cs="Arial"/>
          <w:b/>
        </w:rPr>
      </w:pPr>
      <w:r w:rsidRPr="00616BE0">
        <w:rPr>
          <w:rFonts w:cs="Arial"/>
        </w:rPr>
        <w:t xml:space="preserve">The National Energy Workforce Strategy should involve all states and territories, leverage the National Energy Transformation Partnership and pursue genuine collaboration and consolidation opportunities. </w:t>
      </w:r>
    </w:p>
    <w:p w14:paraId="21869796" w14:textId="0FC3DFC2" w:rsidR="005D0A2B" w:rsidRPr="006E07A7" w:rsidRDefault="005D0A2B" w:rsidP="005D0A2B">
      <w:pPr>
        <w:spacing w:before="600" w:after="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77" behindDoc="1" locked="0" layoutInCell="1" allowOverlap="1" wp14:anchorId="6FCCB02A" wp14:editId="6324691F">
                <wp:simplePos x="0" y="0"/>
                <wp:positionH relativeFrom="column">
                  <wp:posOffset>0</wp:posOffset>
                </wp:positionH>
                <wp:positionV relativeFrom="paragraph">
                  <wp:posOffset>310674</wp:posOffset>
                </wp:positionV>
                <wp:extent cx="5731510" cy="792955"/>
                <wp:effectExtent l="0" t="0" r="21590" b="26670"/>
                <wp:wrapNone/>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92955"/>
                          <a:chOff x="-1" y="0"/>
                          <a:chExt cx="5757902" cy="818102"/>
                        </a:xfrm>
                      </wpg:grpSpPr>
                      <wps:wsp>
                        <wps:cNvPr id="43" name="Rectangle: Top Corners Rounded 43"/>
                        <wps:cNvSpPr/>
                        <wps:spPr>
                          <a:xfrm>
                            <a:off x="-1" y="0"/>
                            <a:ext cx="1663625" cy="232791"/>
                          </a:xfrm>
                          <a:prstGeom prst="round2Same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8019F3" w14:textId="2184F568" w:rsidR="005F0CDE" w:rsidRPr="006E07A7" w:rsidRDefault="005F0CDE" w:rsidP="005F0CDE">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44" name="Rectangle 44"/>
                        <wps:cNvSpPr/>
                        <wps:spPr>
                          <a:xfrm>
                            <a:off x="0" y="230313"/>
                            <a:ext cx="5757901" cy="587789"/>
                          </a:xfrm>
                          <a:prstGeom prst="rect">
                            <a:avLst/>
                          </a:prstGeom>
                          <a:solidFill>
                            <a:srgbClr val="F2F2F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03FF1" w14:textId="04C76C81" w:rsidR="005F0CDE" w:rsidRPr="001B15F9" w:rsidRDefault="005F0CDE" w:rsidP="005F0CDE">
                              <w:pPr>
                                <w:spacing w:after="0" w:line="240" w:lineRule="auto"/>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CCB02A" id="Group 41" o:spid="_x0000_s1037" alt="&quot;&quot;" style="position:absolute;left:0;text-align:left;margin-left:0;margin-top:24.45pt;width:451.3pt;height:62.45pt;z-index:-251658203;mso-height-relative:margin" coordorigin="" coordsize="57579,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">
                <v:shape id="Rectangle: Top Corners Rounded 43" o:spid="_x0000_s1038" style="position:absolute;width:16636;height:2327;visibility:visible;mso-wrap-style:square;v-text-anchor:middle" coordsize="1663625,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" adj="-11796480,,5400" path="m38799,l1624826,v21428,,38799,17371,38799,38799l1663625,232791r,l,232791r,l,38799c,17371,17371,,38799,xe" fillcolor="#d2de5a [3214]" strokecolor="#d2de5a [3214]" strokeweight="1pt">
                  <v:stroke joinstyle="miter"/>
                  <v:formulas/>
                  <v:path arrowok="t" o:connecttype="custom" o:connectlocs="38799,0;1624826,0;1663625,38799;1663625,232791;1663625,232791;0,232791;0,232791;0,38799;38799,0" o:connectangles="0,0,0,0,0,0,0,0,0" textboxrect="0,0,1663625,232791"/>
                  <v:textbox inset=",0,,0">
                    <w:txbxContent>
                      <w:p w14:paraId="348019F3" w14:textId="2184F568" w:rsidR="005F0CDE" w:rsidRPr="006E07A7" w:rsidRDefault="005F0CDE" w:rsidP="005F0CDE">
                        <w:pPr>
                          <w:spacing w:after="0" w:line="240" w:lineRule="auto"/>
                          <w:rPr>
                            <w:b/>
                            <w:bCs/>
                            <w14:numForm w14:val="lining"/>
                            <w14:numSpacing w14:val="proportional"/>
                          </w:rPr>
                        </w:pPr>
                      </w:p>
                    </w:txbxContent>
                  </v:textbox>
                </v:shape>
                <v:rect id="Rectangle 44" o:spid="_x0000_s1039" style="position:absolute;top:2303;width:57579;height:5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" fillcolor="#f2f2f2" strokecolor="#d2de5a [3214]" strokeweight="1pt">
                  <v:textbox inset="2mm,1mm,2mm,1mm">
                    <w:txbxContent>
                      <w:p w14:paraId="31703FF1" w14:textId="04C76C81" w:rsidR="005F0CDE" w:rsidRPr="001B15F9" w:rsidRDefault="005F0CDE" w:rsidP="005F0CDE">
                        <w:pPr>
                          <w:spacing w:after="0" w:line="240" w:lineRule="auto"/>
                          <w:rPr>
                            <w:lang w:val="en-US"/>
                          </w:rPr>
                        </w:pPr>
                      </w:p>
                    </w:txbxContent>
                  </v:textbox>
                </v:rect>
              </v:group>
            </w:pict>
          </mc:Fallback>
        </mc:AlternateContent>
      </w:r>
      <w:r w:rsidRPr="006E07A7">
        <w:rPr>
          <w:b/>
          <w:bCs/>
          <w14:numForm w14:val="lining"/>
          <w14:numSpacing w14:val="proportional"/>
        </w:rPr>
        <w:t>Recommendation 1</w:t>
      </w:r>
      <w:r>
        <w:rPr>
          <w:b/>
          <w:bCs/>
          <w14:numForm w14:val="lining"/>
          <w14:numSpacing w14:val="proportional"/>
        </w:rPr>
        <w:t>.3</w:t>
      </w:r>
    </w:p>
    <w:p w14:paraId="7988294A" w14:textId="7B76855B" w:rsidR="005F0CDE" w:rsidRPr="003D178D" w:rsidRDefault="005D0A2B" w:rsidP="003D178D">
      <w:pPr>
        <w:spacing w:before="240" w:after="0" w:line="240" w:lineRule="auto"/>
        <w:ind w:left="170" w:right="113"/>
        <w:rPr>
          <w:lang w:val="en-US"/>
        </w:rPr>
      </w:pPr>
      <w:r w:rsidRPr="0083198B">
        <w:rPr>
          <w:rFonts w:cs="Arial"/>
        </w:rPr>
        <w:t>Clearly identify, differentiate and communicate the roles of the Net Zero Authority and existing government agencies to avoid confusion and duplication of effort.</w:t>
      </w:r>
    </w:p>
    <w:p w14:paraId="683F46AA" w14:textId="211B8B93" w:rsidR="007F3187" w:rsidRPr="00E5087D" w:rsidRDefault="007F3187">
      <w:pPr>
        <w:rPr>
          <w:sz w:val="18"/>
          <w:szCs w:val="18"/>
        </w:rPr>
      </w:pPr>
      <w:r w:rsidRPr="00E5087D">
        <w:rPr>
          <w:sz w:val="18"/>
          <w:szCs w:val="18"/>
        </w:rPr>
        <w:br w:type="page"/>
      </w:r>
    </w:p>
    <w:p w14:paraId="5E86C6B1" w14:textId="77777777" w:rsidR="007F3187" w:rsidRPr="00E5087D" w:rsidRDefault="007F3187" w:rsidP="007F3187">
      <w:pPr>
        <w:spacing w:before="120" w:after="0" w:line="276" w:lineRule="auto"/>
        <w:rPr>
          <w:sz w:val="18"/>
          <w:szCs w:val="18"/>
        </w:rPr>
        <w:sectPr w:rsidR="007F3187" w:rsidRPr="00E5087D" w:rsidSect="00E17EC6">
          <w:headerReference w:type="default" r:id="rId46"/>
          <w:endnotePr>
            <w:numFmt w:val="decimal"/>
          </w:endnotePr>
          <w:type w:val="continuous"/>
          <w:pgSz w:w="11906" w:h="16838"/>
          <w:pgMar w:top="1440" w:right="1440" w:bottom="1440" w:left="1440" w:header="0" w:footer="709" w:gutter="0"/>
          <w:cols w:space="708"/>
          <w:docGrid w:linePitch="360"/>
        </w:sectPr>
      </w:pPr>
    </w:p>
    <w:p w14:paraId="0D69F271" w14:textId="3828CE3B" w:rsidR="00BF6C01" w:rsidRPr="0067115B" w:rsidRDefault="00462E4E" w:rsidP="00362B1E">
      <w:pPr>
        <w:pStyle w:val="Heading1"/>
        <w:spacing w:before="8000" w:line="240" w:lineRule="auto"/>
        <w:ind w:left="283"/>
        <w:rPr>
          <w:b w:val="0"/>
          <w:bCs/>
          <w:sz w:val="72"/>
          <w:szCs w:val="72"/>
        </w:rPr>
      </w:pPr>
      <w:bookmarkStart w:id="28" w:name="_Toc146210834"/>
      <w:bookmarkStart w:id="29" w:name="_Toc146892664"/>
      <w:r>
        <w:rPr>
          <w:b w:val="0"/>
          <w:bCs/>
          <w:noProof/>
          <w:sz w:val="72"/>
          <w:szCs w:val="72"/>
        </w:rPr>
        <w:lastRenderedPageBreak/>
        <w:drawing>
          <wp:anchor distT="0" distB="0" distL="114300" distR="114300" simplePos="0" relativeHeight="251661412" behindDoc="0" locked="0" layoutInCell="1" allowOverlap="1" wp14:anchorId="0A0EE836" wp14:editId="36B12099">
            <wp:simplePos x="0" y="0"/>
            <wp:positionH relativeFrom="column">
              <wp:posOffset>-912611</wp:posOffset>
            </wp:positionH>
            <wp:positionV relativeFrom="paragraph">
              <wp:posOffset>-907390</wp:posOffset>
            </wp:positionV>
            <wp:extent cx="7559675" cy="5431790"/>
            <wp:effectExtent l="0" t="0" r="3175" b="0"/>
            <wp:wrapNone/>
            <wp:docPr id="156467421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74212" name="Picture 5">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anchor>
        </w:drawing>
      </w:r>
      <w:r w:rsidR="0052111D">
        <w:rPr>
          <w:b w:val="0"/>
          <w:bCs/>
          <w:noProof/>
          <w:sz w:val="72"/>
          <w:szCs w:val="72"/>
        </w:rPr>
        <mc:AlternateContent>
          <mc:Choice Requires="wps">
            <w:drawing>
              <wp:anchor distT="0" distB="0" distL="114300" distR="114300" simplePos="0" relativeHeight="251658258" behindDoc="1" locked="0" layoutInCell="1" allowOverlap="1" wp14:anchorId="27494E84" wp14:editId="3415B648">
                <wp:simplePos x="0" y="0"/>
                <wp:positionH relativeFrom="page">
                  <wp:align>left</wp:align>
                </wp:positionH>
                <wp:positionV relativeFrom="page">
                  <wp:align>bottom</wp:align>
                </wp:positionV>
                <wp:extent cx="7559040" cy="5259070"/>
                <wp:effectExtent l="0" t="0" r="3810" b="0"/>
                <wp:wrapNone/>
                <wp:docPr id="54" name="Freeform: Shape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040" cy="5259070"/>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BAD9C3"/>
                        </a:solidFill>
                      </wps:spPr>
                      <wps:txbx>
                        <w:txbxContent>
                          <w:p w14:paraId="57F79E29" w14:textId="6B686984" w:rsidR="007B716E" w:rsidRPr="00461A25" w:rsidRDefault="007B716E" w:rsidP="007B716E">
                            <w:pPr>
                              <w:spacing w:before="510" w:line="240" w:lineRule="auto"/>
                              <w:ind w:left="1417" w:right="907"/>
                              <w:rPr>
                                <w:b/>
                                <w:bCs/>
                                <w:sz w:val="92"/>
                                <w:szCs w:val="92"/>
                              </w:rPr>
                            </w:pPr>
                          </w:p>
                          <w:p w14:paraId="2C4E107C" w14:textId="77777777" w:rsidR="007B716E" w:rsidRDefault="007B716E"/>
                        </w:txbxContent>
                      </wps:txbx>
                      <wps:bodyPr wrap="square" lIns="0" tIns="0" rIns="0" bIns="0" rtlCol="0">
                        <a:prstTxWarp prst="textNoShape">
                          <a:avLst/>
                        </a:prstTxWarp>
                        <a:noAutofit/>
                      </wps:bodyPr>
                    </wps:wsp>
                  </a:graphicData>
                </a:graphic>
              </wp:anchor>
            </w:drawing>
          </mc:Choice>
          <mc:Fallback>
            <w:pict>
              <v:shape w14:anchorId="27494E84" id="Freeform: Shape 54" o:spid="_x0000_s1040" alt="&quot;&quot;" style="position:absolute;left:0;text-align:left;margin-left:0;margin-top:0;width:595.2pt;height:414.1pt;z-index:-251658222;visibility:visible;mso-wrap-style:square;mso-wrap-distance-left:9pt;mso-wrap-distance-top:0;mso-wrap-distance-right:9pt;mso-wrap-distance-bottom:0;mso-position-horizontal:left;mso-position-horizontal-relative:page;mso-position-vertical:bottom;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" adj="-11796480,,5400" path="m7559992,l,,,5259603r7559992,l7559992,xe" fillcolor="#bad9c3" stroked="f">
                <v:stroke joinstyle="miter"/>
                <v:formulas/>
                <v:path arrowok="t" o:connecttype="custom" textboxrect="0,0,7560309,5259705"/>
                <v:textbox inset="0,0,0,0">
                  <w:txbxContent>
                    <w:p w14:paraId="57F79E29" w14:textId="6B686984" w:rsidR="007B716E" w:rsidRPr="00461A25" w:rsidRDefault="007B716E" w:rsidP="007B716E">
                      <w:pPr>
                        <w:spacing w:before="510" w:line="240" w:lineRule="auto"/>
                        <w:ind w:left="1417" w:right="907"/>
                        <w:rPr>
                          <w:b/>
                          <w:bCs/>
                          <w:sz w:val="92"/>
                          <w:szCs w:val="92"/>
                        </w:rPr>
                      </w:pPr>
                    </w:p>
                    <w:p w14:paraId="2C4E107C" w14:textId="77777777" w:rsidR="007B716E" w:rsidRDefault="007B716E"/>
                  </w:txbxContent>
                </v:textbox>
                <w10:wrap anchorx="page" anchory="page"/>
              </v:shape>
            </w:pict>
          </mc:Fallback>
        </mc:AlternateContent>
      </w:r>
      <w:r w:rsidR="00BF6C01" w:rsidRPr="0067115B">
        <w:rPr>
          <w:b w:val="0"/>
          <w:bCs/>
          <w:sz w:val="72"/>
          <w:szCs w:val="72"/>
        </w:rPr>
        <w:t>Chapter 2</w:t>
      </w:r>
      <w:r w:rsidR="00BF6C01">
        <w:rPr>
          <w:b w:val="0"/>
          <w:bCs/>
          <w:sz w:val="72"/>
          <w:szCs w:val="72"/>
        </w:rPr>
        <w:t>:</w:t>
      </w:r>
      <w:r w:rsidR="00BF6C01">
        <w:rPr>
          <w:b w:val="0"/>
          <w:bCs/>
          <w:sz w:val="72"/>
          <w:szCs w:val="72"/>
        </w:rPr>
        <w:br/>
      </w:r>
      <w:r w:rsidR="00BF6C01" w:rsidRPr="0067115B">
        <w:rPr>
          <w:sz w:val="92"/>
          <w:szCs w:val="92"/>
        </w:rPr>
        <w:t>Defining</w:t>
      </w:r>
      <w:r w:rsidR="00BF6C01" w:rsidRPr="0067115B">
        <w:rPr>
          <w:sz w:val="92"/>
          <w:szCs w:val="92"/>
        </w:rPr>
        <w:br/>
        <w:t>‘clean energy’</w:t>
      </w:r>
      <w:bookmarkEnd w:id="28"/>
      <w:bookmarkEnd w:id="29"/>
    </w:p>
    <w:p w14:paraId="3AF44279" w14:textId="526DA8DF" w:rsidR="007F3187" w:rsidRPr="00E5087D" w:rsidRDefault="00BF6C01" w:rsidP="00F51379">
      <w:pPr>
        <w:ind w:left="283" w:right="283"/>
        <w:rPr>
          <w:sz w:val="18"/>
          <w:szCs w:val="18"/>
        </w:rPr>
      </w:pPr>
      <w:r w:rsidRPr="00A57003">
        <w:rPr>
          <w:sz w:val="32"/>
          <w:szCs w:val="32"/>
        </w:rPr>
        <w:t>Defines the clean energy workforce using industries, occupations and skills. Includes background information and data limitations.</w:t>
      </w:r>
      <w:r w:rsidR="007F3187" w:rsidRPr="00E5087D">
        <w:rPr>
          <w:sz w:val="18"/>
          <w:szCs w:val="18"/>
        </w:rPr>
        <w:br w:type="page"/>
      </w:r>
    </w:p>
    <w:p w14:paraId="310F14D1" w14:textId="531C466F" w:rsidR="00EF4BF5" w:rsidRPr="00E5087D" w:rsidRDefault="00EF4BF5" w:rsidP="002D5F4B">
      <w:pPr>
        <w:pStyle w:val="Heading2"/>
      </w:pPr>
      <w:bookmarkStart w:id="30" w:name="_Toc146892665"/>
      <w:r w:rsidRPr="00E5087D">
        <w:lastRenderedPageBreak/>
        <w:t>2</w:t>
      </w:r>
      <w:r w:rsidRPr="00E5087D">
        <w:rPr>
          <w:smallCaps/>
        </w:rPr>
        <w:t>a</w:t>
      </w:r>
      <w:r w:rsidRPr="00E5087D">
        <w:t xml:space="preserve">. </w:t>
      </w:r>
      <w:r w:rsidRPr="00E5087D">
        <w:rPr>
          <w:b w:val="0"/>
          <w:bCs/>
        </w:rPr>
        <w:t>Our definition</w:t>
      </w:r>
      <w:bookmarkEnd w:id="30"/>
    </w:p>
    <w:p w14:paraId="2A9E662D" w14:textId="77777777" w:rsidR="00EF4BF5" w:rsidRPr="00E5087D" w:rsidRDefault="00EF4BF5" w:rsidP="002D5F4B">
      <w:pPr>
        <w:pStyle w:val="Heading3"/>
      </w:pPr>
      <w:r w:rsidRPr="00E5087D">
        <w:t>The approach</w:t>
      </w:r>
    </w:p>
    <w:p w14:paraId="19C2946E" w14:textId="189C0727" w:rsidR="00EF4BF5" w:rsidRPr="00E5087D" w:rsidRDefault="23C3C2A0" w:rsidP="00EF4BF5">
      <w:pPr>
        <w:pStyle w:val="Bodycopy"/>
        <w:spacing w:before="120" w:after="120" w:line="276" w:lineRule="auto"/>
      </w:pPr>
      <w:r w:rsidRPr="00E5087D">
        <w:rPr>
          <w14:numForm w14:val="lining"/>
          <w14:numSpacing w14:val="proportional"/>
        </w:rPr>
        <w:t>In this chapter, we define the clean energy workforce, using the Australia and New Zealand Standard Industr</w:t>
      </w:r>
      <w:r w:rsidR="028F86B4" w:rsidRPr="00E5087D">
        <w:rPr>
          <w14:numForm w14:val="lining"/>
          <w14:numSpacing w14:val="proportional"/>
        </w:rPr>
        <w:t>ial</w:t>
      </w:r>
      <w:r w:rsidRPr="00E5087D">
        <w:rPr>
          <w14:numForm w14:val="lining"/>
          <w14:numSpacing w14:val="proportional"/>
        </w:rPr>
        <w:t xml:space="preserve"> Classification (ANZSIC). This is an exhaustive process, to show how the clean energy workforce fits within the whole Australian labour market and economy.</w:t>
      </w:r>
    </w:p>
    <w:p w14:paraId="58C50FC2" w14:textId="3C6C5E70" w:rsidR="00EF4BF5" w:rsidRPr="00E5087D" w:rsidRDefault="00CB617E" w:rsidP="00EF4BF5">
      <w:pPr>
        <w:pStyle w:val="Bodycopy"/>
        <w:spacing w:after="120" w:line="276" w:lineRule="auto"/>
        <w:rPr>
          <w14:numForm w14:val="lining"/>
          <w14:numSpacing w14:val="proportional"/>
        </w:rPr>
      </w:pPr>
      <w:r>
        <w:rPr>
          <w14:numForm w14:val="lining"/>
          <w14:numSpacing w14:val="proportional"/>
        </w:rPr>
        <w:t>This report provides</w:t>
      </w:r>
      <w:r w:rsidR="00EF4BF5" w:rsidRPr="00E5087D">
        <w:rPr>
          <w14:numForm w14:val="lining"/>
          <w14:numSpacing w14:val="proportional"/>
        </w:rPr>
        <w:t xml:space="preserve"> estimat</w:t>
      </w:r>
      <w:r>
        <w:rPr>
          <w14:numForm w14:val="lining"/>
          <w14:numSpacing w14:val="proportional"/>
        </w:rPr>
        <w:t>es</w:t>
      </w:r>
      <w:r w:rsidR="00EF4BF5" w:rsidRPr="00E5087D">
        <w:rPr>
          <w14:numForm w14:val="lining"/>
          <w14:numSpacing w14:val="proportional"/>
        </w:rPr>
        <w:t xml:space="preserve"> of how large the clean energy workforce is, noting that in some sectors the number of workers directly involved in clean energy activities is small (and not easily measured), but which we know will grow substantially as we head toward net zero by 2050.</w:t>
      </w:r>
    </w:p>
    <w:p w14:paraId="1AFA707A" w14:textId="7EA03C48" w:rsidR="00EF4BF5" w:rsidRPr="00E5087D" w:rsidRDefault="23C3C2A0" w:rsidP="00EF4BF5">
      <w:pPr>
        <w:pStyle w:val="Bodycopy"/>
        <w:spacing w:after="120" w:line="276" w:lineRule="auto"/>
      </w:pPr>
      <w:r w:rsidRPr="00E5087D">
        <w:rPr>
          <w14:numForm w14:val="lining"/>
          <w14:numSpacing w14:val="proportional"/>
        </w:rPr>
        <w:t>We then identify the critical occupations for clean energy</w:t>
      </w:r>
      <w:r w:rsidR="00E42139">
        <w:rPr>
          <w14:numForm w14:val="lining"/>
          <w14:numSpacing w14:val="proportional"/>
        </w:rPr>
        <w:t xml:space="preserve">, as classified </w:t>
      </w:r>
      <w:r w:rsidR="00B23EEF">
        <w:rPr>
          <w14:numForm w14:val="lining"/>
          <w14:numSpacing w14:val="proportional"/>
        </w:rPr>
        <w:t>in ANZSCO</w:t>
      </w:r>
      <w:r w:rsidRPr="00E5087D">
        <w:rPr>
          <w14:numForm w14:val="lining"/>
          <w14:numSpacing w14:val="proportional"/>
        </w:rPr>
        <w:t>. An occupation is considered to be critical to the industry where:</w:t>
      </w:r>
    </w:p>
    <w:p w14:paraId="14B9BA7C" w14:textId="429D4836" w:rsidR="00EF4BF5" w:rsidRPr="00E5087D" w:rsidRDefault="31420FA9" w:rsidP="00F25595">
      <w:pPr>
        <w:pStyle w:val="Bodycopy"/>
        <w:numPr>
          <w:ilvl w:val="0"/>
          <w:numId w:val="10"/>
        </w:numPr>
        <w:spacing w:after="80" w:line="276" w:lineRule="auto"/>
      </w:pPr>
      <w:r w:rsidRPr="00E5087D">
        <w:rPr>
          <w14:numForm w14:val="lining"/>
          <w14:numSpacing w14:val="proportional"/>
        </w:rPr>
        <w:t>i</w:t>
      </w:r>
      <w:r w:rsidR="23C3C2A0" w:rsidRPr="00E5087D">
        <w:rPr>
          <w14:numForm w14:val="lining"/>
          <w14:numSpacing w14:val="proportional"/>
        </w:rPr>
        <w:t xml:space="preserve">t is commonly occurring in a clean energy </w:t>
      </w:r>
      <w:r w:rsidR="008B65C5">
        <w:rPr>
          <w14:numForm w14:val="lining"/>
          <w14:numSpacing w14:val="proportional"/>
        </w:rPr>
        <w:t>segment</w:t>
      </w:r>
      <w:r w:rsidR="23C3C2A0" w:rsidRPr="00E5087D">
        <w:rPr>
          <w14:numForm w14:val="lining"/>
          <w14:numSpacing w14:val="proportional"/>
        </w:rPr>
        <w:t>, and/or</w:t>
      </w:r>
    </w:p>
    <w:p w14:paraId="3433E96F" w14:textId="47B8358E" w:rsidR="00EF4BF5" w:rsidRPr="00E5087D" w:rsidRDefault="1A8223A3" w:rsidP="00F25595">
      <w:pPr>
        <w:pStyle w:val="Bodycopy"/>
        <w:numPr>
          <w:ilvl w:val="0"/>
          <w:numId w:val="10"/>
        </w:numPr>
        <w:spacing w:after="80" w:line="276" w:lineRule="auto"/>
      </w:pPr>
      <w:r w:rsidRPr="00E5087D">
        <w:rPr>
          <w14:numForm w14:val="lining"/>
          <w14:numSpacing w14:val="proportional"/>
        </w:rPr>
        <w:t>a</w:t>
      </w:r>
      <w:r w:rsidR="23C3C2A0" w:rsidRPr="00E5087D">
        <w:rPr>
          <w14:numForm w14:val="lining"/>
          <w14:numSpacing w14:val="proportional"/>
        </w:rPr>
        <w:t xml:space="preserve"> relatively large proportion of workers in the occupation may be found in clean energy segments rather than in other segments, but this may not necessarily be the case</w:t>
      </w:r>
    </w:p>
    <w:p w14:paraId="468F1E9E" w14:textId="04636506" w:rsidR="00EF4BF5" w:rsidRPr="00E5087D" w:rsidRDefault="2C8A9DE5" w:rsidP="00F25595">
      <w:pPr>
        <w:pStyle w:val="Bodycopy"/>
        <w:numPr>
          <w:ilvl w:val="0"/>
          <w:numId w:val="10"/>
        </w:numPr>
        <w:spacing w:after="80" w:line="276" w:lineRule="auto"/>
      </w:pPr>
      <w:r w:rsidRPr="00E5087D">
        <w:rPr>
          <w14:numForm w14:val="lining"/>
          <w14:numSpacing w14:val="proportional"/>
        </w:rPr>
        <w:t>i</w:t>
      </w:r>
      <w:r w:rsidR="23C3C2A0" w:rsidRPr="00E5087D">
        <w:rPr>
          <w14:numForm w14:val="lining"/>
          <w14:numSpacing w14:val="proportional"/>
        </w:rPr>
        <w:t>t takes a long time to train this occupation (whether through higher education, VET or on the job), and</w:t>
      </w:r>
    </w:p>
    <w:p w14:paraId="7B965E53" w14:textId="494ABFF1" w:rsidR="00EF4BF5" w:rsidRPr="00E5087D" w:rsidRDefault="2E49890B" w:rsidP="00F25595">
      <w:pPr>
        <w:pStyle w:val="Bodycopy"/>
        <w:numPr>
          <w:ilvl w:val="0"/>
          <w:numId w:val="10"/>
        </w:numPr>
        <w:spacing w:after="120" w:line="276" w:lineRule="auto"/>
      </w:pPr>
      <w:r w:rsidRPr="00E5087D">
        <w:rPr>
          <w14:numForm w14:val="lining"/>
          <w14:numSpacing w14:val="proportional"/>
        </w:rPr>
        <w:t>t</w:t>
      </w:r>
      <w:r w:rsidR="23C3C2A0" w:rsidRPr="00E5087D">
        <w:rPr>
          <w14:numForm w14:val="lining"/>
          <w14:numSpacing w14:val="proportional"/>
        </w:rPr>
        <w:t>o be able to work in clean energy requires specific additional skills or expertise.</w:t>
      </w:r>
    </w:p>
    <w:p w14:paraId="665D0A99" w14:textId="48ACE97C" w:rsidR="00EF4BF5" w:rsidRPr="00E5087D" w:rsidRDefault="00EF4BF5" w:rsidP="002D5F4B">
      <w:pPr>
        <w:pStyle w:val="Heading3"/>
      </w:pPr>
      <w:r w:rsidRPr="00E5087D">
        <w:t>Activities covered</w:t>
      </w:r>
    </w:p>
    <w:p w14:paraId="1A6C8D50" w14:textId="77777777" w:rsidR="00EF4BF5" w:rsidRPr="00E5087D" w:rsidRDefault="00EF4BF5" w:rsidP="00EF4BF5">
      <w:pPr>
        <w:spacing w:after="120" w:line="276" w:lineRule="auto"/>
        <w:rPr>
          <w14:numForm w14:val="lining"/>
          <w14:numSpacing w14:val="proportional"/>
        </w:rPr>
      </w:pPr>
      <w:r w:rsidRPr="00E5087D">
        <w:rPr>
          <w14:numForm w14:val="lining"/>
          <w14:numSpacing w14:val="proportional"/>
        </w:rPr>
        <w:t xml:space="preserve">JSA research and consultation within government highlighted that the lack of an evidence base and universal definition of the clean energy workforce was the result of two facts. </w:t>
      </w:r>
    </w:p>
    <w:p w14:paraId="517607F5" w14:textId="77777777" w:rsidR="00EF4BF5" w:rsidRPr="00E5087D" w:rsidRDefault="00EF4BF5" w:rsidP="00EF4BF5">
      <w:pPr>
        <w:spacing w:after="120" w:line="276" w:lineRule="auto"/>
        <w:rPr>
          <w14:numForm w14:val="lining"/>
          <w14:numSpacing w14:val="proportional"/>
        </w:rPr>
      </w:pPr>
      <w:r w:rsidRPr="00E5087D">
        <w:rPr>
          <w14:numForm w14:val="lining"/>
          <w14:numSpacing w14:val="proportional"/>
        </w:rPr>
        <w:t xml:space="preserve">Firstly, there are contested views on what should constitute “clean energy” and the “clean energy impacted workforce” – and secondly because </w:t>
      </w:r>
      <w:r w:rsidRPr="00E5087D">
        <w:rPr>
          <w:i/>
          <w:iCs/>
          <w14:numForm w14:val="lining"/>
          <w14:numSpacing w14:val="proportional"/>
        </w:rPr>
        <w:t>every worker will be impacted by decarbonisation to some extent.</w:t>
      </w:r>
      <w:r w:rsidRPr="00E5087D">
        <w:rPr>
          <w14:numForm w14:val="lining"/>
          <w14:numSpacing w14:val="proportional"/>
        </w:rPr>
        <w:t xml:space="preserve"> In practice this means government agencies were trying to achieve definitions that combined two lines of argument that at times conflicted. </w:t>
      </w:r>
    </w:p>
    <w:p w14:paraId="381C304D" w14:textId="59009056" w:rsidR="001F22F1" w:rsidRPr="00E5087D" w:rsidRDefault="23C3C2A0" w:rsidP="00EF4BF5">
      <w:pPr>
        <w:spacing w:line="276" w:lineRule="auto"/>
      </w:pPr>
      <w:r w:rsidRPr="00E5087D">
        <w:rPr>
          <w14:numForm w14:val="lining"/>
          <w14:numSpacing w14:val="proportional"/>
        </w:rPr>
        <w:t xml:space="preserve">Various government agencies (and the many industry groups, research agencies and others to have done similar work) have used a wide range of data (ANZSCO, O*NET, former </w:t>
      </w:r>
      <w:r w:rsidR="00213DC6">
        <w:rPr>
          <w14:numForm w14:val="lining"/>
          <w14:numSpacing w14:val="proportional"/>
        </w:rPr>
        <w:t>National Skills Commission (</w:t>
      </w:r>
      <w:r w:rsidRPr="00E5087D">
        <w:rPr>
          <w14:numForm w14:val="lining"/>
          <w14:numSpacing w14:val="proportional"/>
        </w:rPr>
        <w:t>NSC</w:t>
      </w:r>
      <w:r w:rsidR="009B1C97">
        <w:rPr>
          <w14:numForm w14:val="lining"/>
          <w14:numSpacing w14:val="proportional"/>
        </w:rPr>
        <w:t>)</w:t>
      </w:r>
      <w:r w:rsidRPr="00E5087D">
        <w:rPr>
          <w14:numForm w14:val="lining"/>
          <w14:numSpacing w14:val="proportional"/>
        </w:rPr>
        <w:t xml:space="preserve"> research and a new Australian Energy Employment Report or AEER) to infer a contested concept or concepts (“green”, “clean”, “efficiency”, “new energy”), at the same time as being asked to define and identify new concepts such as “new energy apprenticeships” or the “energy performance workforce”. This resulted in multiple, overlapping definitions.</w:t>
      </w:r>
    </w:p>
    <w:p w14:paraId="2D8777E4" w14:textId="77777777" w:rsidR="001F22F1" w:rsidRPr="00E5087D" w:rsidRDefault="001F22F1">
      <w:pPr>
        <w:rPr>
          <w14:numForm w14:val="lining"/>
          <w14:numSpacing w14:val="proportional"/>
        </w:rPr>
      </w:pPr>
      <w:r w:rsidRPr="00E5087D">
        <w:rPr>
          <w14:numForm w14:val="lining"/>
          <w14:numSpacing w14:val="proportional"/>
        </w:rPr>
        <w:br w:type="page"/>
      </w:r>
    </w:p>
    <w:p w14:paraId="3F97BC16" w14:textId="77777777" w:rsidR="00C20F89" w:rsidRPr="00E5087D" w:rsidRDefault="00C20F89" w:rsidP="00C20F89">
      <w:pPr>
        <w:pStyle w:val="Heading3"/>
      </w:pPr>
      <w:r w:rsidRPr="00E5087D">
        <w:lastRenderedPageBreak/>
        <w:t>The definition</w:t>
      </w:r>
    </w:p>
    <w:p w14:paraId="3B1766E4" w14:textId="5F502A1F" w:rsidR="00C20F89" w:rsidRPr="00E5087D" w:rsidRDefault="00C20F89" w:rsidP="00C20F89">
      <w:r w:rsidRPr="00E5087D">
        <w:t>The following definition has been refined based on extensive feedback and collaboration across government and industry, and is the definition adopted for the study</w:t>
      </w:r>
      <w:r w:rsidR="006F7B75">
        <w:t>. Within this definition there are 7 industry segments which are divided into 16 sub-segments</w:t>
      </w:r>
      <w:r w:rsidRPr="00E5087D">
        <w:t>:</w:t>
      </w:r>
    </w:p>
    <w:p w14:paraId="0BD31CF0" w14:textId="072E1035" w:rsidR="00C20F89" w:rsidRPr="00E5087D" w:rsidRDefault="00C20F89" w:rsidP="00C45EFD">
      <w:pPr>
        <w:pStyle w:val="ListParagraph"/>
        <w:spacing w:before="400" w:after="120" w:line="276" w:lineRule="auto"/>
        <w:ind w:left="340" w:right="283"/>
        <w:contextualSpacing w:val="0"/>
        <w:textAlignment w:val="baseline"/>
        <w:rPr>
          <w:rFonts w:asciiTheme="minorHAnsi" w:eastAsia="Times New Roman" w:hAnsiTheme="minorHAnsi"/>
          <w:color w:val="auto"/>
          <w:lang w:eastAsia="en-AU"/>
        </w:rPr>
      </w:pPr>
      <w:r w:rsidRPr="00E5087D">
        <w:rPr>
          <w:rFonts w:asciiTheme="minorHAnsi" w:eastAsia="Times New Roman" w:hAnsiTheme="minorHAnsi"/>
          <w:noProof/>
          <w:color w:val="auto"/>
          <w:lang w:eastAsia="en-AU"/>
        </w:rPr>
        <mc:AlternateContent>
          <mc:Choice Requires="wps">
            <w:drawing>
              <wp:anchor distT="0" distB="0" distL="114300" distR="114300" simplePos="0" relativeHeight="251658240" behindDoc="1" locked="0" layoutInCell="1" allowOverlap="1" wp14:anchorId="278CA02F" wp14:editId="0ABCD1D9">
                <wp:simplePos x="0" y="0"/>
                <wp:positionH relativeFrom="margin">
                  <wp:align>left</wp:align>
                </wp:positionH>
                <wp:positionV relativeFrom="paragraph">
                  <wp:posOffset>14605</wp:posOffset>
                </wp:positionV>
                <wp:extent cx="5829300" cy="3629025"/>
                <wp:effectExtent l="0" t="0" r="19050" b="28575"/>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29300" cy="362902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A7EA7" id="Rectangle 62" o:spid="_x0000_s1026" alt="&quot;&quot;" style="position:absolute;margin-left:0;margin-top:1.15pt;width:459pt;height:285.7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" fillcolor="#d2e6d8" strokecolor="#005d5d [3205]" strokeweight="1pt">
                <w10:wrap anchorx="margin"/>
              </v:rect>
            </w:pict>
          </mc:Fallback>
        </mc:AlternateContent>
      </w:r>
      <w:r w:rsidRPr="00E5087D">
        <w:rPr>
          <w:rFonts w:asciiTheme="minorHAnsi" w:eastAsia="Times New Roman" w:hAnsiTheme="minorHAnsi"/>
          <w:color w:val="auto"/>
          <w:lang w:eastAsia="en-AU"/>
        </w:rPr>
        <w:t>The clean energy workforce includes the workers involved in:</w:t>
      </w:r>
    </w:p>
    <w:p w14:paraId="3D09CA13" w14:textId="3C712B7B" w:rsidR="00C20F89" w:rsidRPr="00E5087D" w:rsidRDefault="00C20F89" w:rsidP="00F25595">
      <w:pPr>
        <w:pStyle w:val="ListParagraph"/>
        <w:numPr>
          <w:ilvl w:val="0"/>
          <w:numId w:val="11"/>
        </w:numPr>
        <w:spacing w:before="120" w:after="120" w:line="276" w:lineRule="auto"/>
        <w:ind w:left="851" w:right="624"/>
        <w:contextualSpacing w:val="0"/>
        <w:textAlignment w:val="baseline"/>
        <w:rPr>
          <w:rFonts w:asciiTheme="minorHAnsi" w:eastAsia="Times New Roman" w:hAnsiTheme="minorHAnsi" w:cstheme="minorHAnsi"/>
          <w:color w:val="auto"/>
          <w:lang w:eastAsia="en-AU"/>
        </w:rPr>
      </w:pPr>
      <w:r w:rsidRPr="00E5087D">
        <w:rPr>
          <w:rFonts w:asciiTheme="minorHAnsi" w:eastAsia="Times New Roman" w:hAnsiTheme="minorHAnsi"/>
          <w:color w:val="auto"/>
          <w:lang w:eastAsia="en-AU"/>
        </w:rPr>
        <w:t>designing, developing, constructing and operating the infrastructure for generating, storing, transmitting and distributing energy from renewable, zero</w:t>
      </w:r>
      <w:r w:rsidR="00597346">
        <w:rPr>
          <w:rFonts w:asciiTheme="minorHAnsi" w:eastAsia="Times New Roman" w:hAnsiTheme="minorHAnsi"/>
          <w:color w:val="auto"/>
          <w:lang w:eastAsia="en-AU"/>
        </w:rPr>
        <w:t xml:space="preserve"> or low</w:t>
      </w:r>
      <w:r w:rsidRPr="00E5087D">
        <w:rPr>
          <w:rFonts w:asciiTheme="minorHAnsi" w:eastAsia="Times New Roman" w:hAnsiTheme="minorHAnsi"/>
          <w:color w:val="auto"/>
          <w:lang w:eastAsia="en-AU"/>
        </w:rPr>
        <w:t xml:space="preserve"> emissions</w:t>
      </w:r>
      <w:r w:rsidR="00597346">
        <w:rPr>
          <w:rFonts w:asciiTheme="minorHAnsi" w:eastAsia="Times New Roman" w:hAnsiTheme="minorHAnsi"/>
          <w:color w:val="auto"/>
          <w:lang w:eastAsia="en-AU"/>
        </w:rPr>
        <w:t xml:space="preserve"> energy</w:t>
      </w:r>
      <w:r w:rsidRPr="00E5087D">
        <w:rPr>
          <w:rFonts w:asciiTheme="minorHAnsi" w:eastAsia="Times New Roman" w:hAnsiTheme="minorHAnsi"/>
          <w:color w:val="auto"/>
          <w:lang w:eastAsia="en-AU"/>
        </w:rPr>
        <w:t xml:space="preserve"> sources</w:t>
      </w:r>
      <w:r w:rsidR="00C915F1">
        <w:rPr>
          <w:rFonts w:asciiTheme="minorHAnsi" w:eastAsia="Times New Roman" w:hAnsiTheme="minorHAnsi"/>
          <w:color w:val="auto"/>
          <w:lang w:eastAsia="en-AU"/>
        </w:rPr>
        <w:t>*</w:t>
      </w:r>
      <w:r w:rsidRPr="00E5087D">
        <w:rPr>
          <w:rFonts w:asciiTheme="minorHAnsi" w:eastAsia="Times New Roman" w:hAnsiTheme="minorHAnsi"/>
          <w:color w:val="auto"/>
          <w:lang w:eastAsia="en-AU"/>
        </w:rPr>
        <w:t xml:space="preserve"> (‘clean energy supply’),</w:t>
      </w:r>
    </w:p>
    <w:p w14:paraId="3B9A1F28" w14:textId="77777777" w:rsidR="00C20F89" w:rsidRPr="00E5087D" w:rsidRDefault="00C20F89" w:rsidP="00F25595">
      <w:pPr>
        <w:pStyle w:val="ListParagraph"/>
        <w:numPr>
          <w:ilvl w:val="0"/>
          <w:numId w:val="11"/>
        </w:numPr>
        <w:spacing w:before="120" w:after="120" w:line="276" w:lineRule="auto"/>
        <w:ind w:left="851" w:right="624"/>
        <w:contextualSpacing w:val="0"/>
        <w:textAlignment w:val="baseline"/>
        <w:rPr>
          <w:rFonts w:asciiTheme="minorHAnsi" w:eastAsia="Times New Roman" w:hAnsiTheme="minorHAnsi" w:cstheme="minorHAnsi"/>
          <w:color w:val="auto"/>
          <w:lang w:eastAsia="en-AU"/>
        </w:rPr>
      </w:pPr>
      <w:r w:rsidRPr="00E5087D">
        <w:rPr>
          <w:rFonts w:asciiTheme="minorHAnsi" w:eastAsia="Times New Roman" w:hAnsiTheme="minorHAnsi"/>
          <w:color w:val="auto"/>
          <w:lang w:eastAsia="en-AU"/>
        </w:rPr>
        <w:t xml:space="preserve">reducing or managing the energy required to deliver energy services (energy efficiency, energy management, and demand management), and </w:t>
      </w:r>
    </w:p>
    <w:p w14:paraId="22AA1CB9" w14:textId="5937D413" w:rsidR="00C20F89" w:rsidRPr="00E5087D" w:rsidRDefault="00C20F89" w:rsidP="00F25595">
      <w:pPr>
        <w:pStyle w:val="ListParagraph"/>
        <w:numPr>
          <w:ilvl w:val="0"/>
          <w:numId w:val="11"/>
        </w:numPr>
        <w:spacing w:before="120" w:after="240" w:line="276" w:lineRule="auto"/>
        <w:ind w:left="851" w:right="624"/>
        <w:contextualSpacing w:val="0"/>
        <w:textAlignment w:val="baseline"/>
        <w:rPr>
          <w:rFonts w:asciiTheme="minorHAnsi" w:eastAsia="Times New Roman" w:hAnsiTheme="minorHAnsi" w:cstheme="minorHAnsi"/>
          <w:color w:val="auto"/>
          <w:lang w:eastAsia="en-AU"/>
        </w:rPr>
      </w:pPr>
      <w:r w:rsidRPr="00E5087D">
        <w:rPr>
          <w:rFonts w:asciiTheme="minorHAnsi" w:eastAsia="Times New Roman" w:hAnsiTheme="minorHAnsi"/>
          <w:color w:val="auto"/>
          <w:lang w:eastAsia="en-AU"/>
        </w:rPr>
        <w:t xml:space="preserve">installing and maintaining the technology that uses clean energy rather than fossil fuels (‘clean energy). </w:t>
      </w:r>
    </w:p>
    <w:p w14:paraId="731C9ADA" w14:textId="4C3BE2B2" w:rsidR="00C20F89" w:rsidRPr="00E5087D" w:rsidRDefault="00C20F89" w:rsidP="00C45EFD">
      <w:pPr>
        <w:spacing w:before="120" w:after="0" w:line="276" w:lineRule="auto"/>
        <w:ind w:left="340" w:right="340"/>
        <w:textAlignment w:val="baseline"/>
        <w:rPr>
          <w:rFonts w:asciiTheme="minorHAnsi" w:eastAsia="Times New Roman" w:hAnsiTheme="minorHAnsi"/>
          <w:color w:val="auto"/>
          <w:lang w:eastAsia="en-AU"/>
        </w:rPr>
      </w:pPr>
      <w:r w:rsidRPr="00E5087D">
        <w:rPr>
          <w:rFonts w:asciiTheme="minorHAnsi" w:eastAsia="Times New Roman" w:hAnsiTheme="minorHAnsi"/>
          <w:color w:val="auto"/>
          <w:lang w:eastAsia="en-AU"/>
        </w:rPr>
        <w:t xml:space="preserve">This spans energy needed </w:t>
      </w:r>
      <w:r w:rsidR="00597346">
        <w:rPr>
          <w:rFonts w:asciiTheme="minorHAnsi" w:eastAsia="Times New Roman" w:hAnsiTheme="minorHAnsi"/>
          <w:color w:val="auto"/>
          <w:lang w:eastAsia="en-AU"/>
        </w:rPr>
        <w:t>to be</w:t>
      </w:r>
      <w:r w:rsidRPr="00E5087D">
        <w:rPr>
          <w:rFonts w:asciiTheme="minorHAnsi" w:eastAsia="Times New Roman" w:hAnsiTheme="minorHAnsi"/>
          <w:color w:val="auto"/>
          <w:lang w:eastAsia="en-AU"/>
        </w:rPr>
        <w:t xml:space="preserve"> consumed by businesses and housing, transport and industrial processes. When considering the clean energy workforce, all workers contributing to that activity will be in scope. For some components of the study (e.g. examining the barriers and enablers of the education and training pipeline), the scope will be restricted to those workers who require skills specific to adopting, developing, distributing and supplying energy generated from renewable sources. For example, this would mean considering the skills required by wind turbine technicians, but not the accountant who works for a renewable energy business.</w:t>
      </w:r>
    </w:p>
    <w:p w14:paraId="33633252" w14:textId="025FCC55" w:rsidR="00724DC3" w:rsidRPr="00E5087D" w:rsidRDefault="00C915F1" w:rsidP="00724DC3">
      <w:pPr>
        <w:spacing w:before="360"/>
        <w:rPr>
          <w:sz w:val="18"/>
          <w:szCs w:val="18"/>
        </w:rPr>
      </w:pPr>
      <w:r>
        <w:rPr>
          <w:sz w:val="18"/>
          <w:szCs w:val="18"/>
        </w:rPr>
        <w:t>*</w:t>
      </w:r>
      <w:r w:rsidR="00597346">
        <w:rPr>
          <w:sz w:val="18"/>
          <w:szCs w:val="18"/>
        </w:rPr>
        <w:t>In addition to renewable electricity, zero and low-emission alternatives include</w:t>
      </w:r>
      <w:r w:rsidR="00282EDC">
        <w:rPr>
          <w:sz w:val="18"/>
          <w:szCs w:val="18"/>
        </w:rPr>
        <w:t xml:space="preserve"> low carbon liquid fuels (e.g. hydrogen and biomethane) which will be important to transition hard to-switch sectors. Some low carbon liquid fuels and renewable gasses also offer an opportunity to help transition these industries without requiring significant infrastructure upgrades. Our definition includes workers involved in these types of activities. </w:t>
      </w:r>
      <w:r w:rsidR="00B87A22" w:rsidRPr="00E5087D">
        <w:rPr>
          <w:sz w:val="18"/>
          <w:szCs w:val="18"/>
        </w:rPr>
        <w:br w:type="page"/>
      </w:r>
    </w:p>
    <w:p w14:paraId="3A02FE2B" w14:textId="6C9D075E" w:rsidR="00F54935" w:rsidRPr="00E5087D" w:rsidRDefault="00F54935" w:rsidP="00F54935">
      <w:pPr>
        <w:pStyle w:val="Heading2"/>
      </w:pPr>
      <w:bookmarkStart w:id="31" w:name="_Toc146892666"/>
      <w:r w:rsidRPr="00E5087D">
        <w:rPr>
          <w14:numForm w14:val="lining"/>
          <w14:numSpacing w14:val="proportional"/>
        </w:rPr>
        <w:lastRenderedPageBreak/>
        <w:t>2</w:t>
      </w:r>
      <w:r w:rsidRPr="00E5087D">
        <w:rPr>
          <w:smallCaps/>
          <w14:numForm w14:val="lining"/>
          <w14:numSpacing w14:val="proportional"/>
        </w:rPr>
        <w:t>b</w:t>
      </w:r>
      <w:r w:rsidRPr="00E5087D">
        <w:rPr>
          <w14:numForm w14:val="lining"/>
          <w14:numSpacing w14:val="proportional"/>
        </w:rPr>
        <w:t>.</w:t>
      </w:r>
      <w:r w:rsidRPr="00E5087D">
        <w:t xml:space="preserve"> </w:t>
      </w:r>
      <w:r w:rsidRPr="00E5087D">
        <w:rPr>
          <w:b w:val="0"/>
          <w:bCs/>
        </w:rPr>
        <w:t>Industries</w:t>
      </w:r>
      <w:bookmarkEnd w:id="31"/>
    </w:p>
    <w:p w14:paraId="1FDD7E35" w14:textId="0C649D29" w:rsidR="00F54935" w:rsidRDefault="6C4F3126" w:rsidP="388C0A0B">
      <w:pPr>
        <w:spacing w:before="120" w:after="120" w:line="276" w:lineRule="auto"/>
        <w:rPr>
          <w:rFonts w:asciiTheme="minorHAnsi" w:eastAsia="Times New Roman" w:hAnsiTheme="minorHAnsi"/>
          <w:color w:val="auto"/>
          <w:lang w:eastAsia="en-AU"/>
          <w14:numForm w14:val="lining"/>
          <w14:numSpacing w14:val="proportional"/>
        </w:rPr>
      </w:pPr>
      <w:r w:rsidRPr="00E5087D">
        <w:rPr>
          <w14:numForm w14:val="lining"/>
          <w14:numSpacing w14:val="proportional"/>
        </w:rPr>
        <w:t xml:space="preserve">Based on feedback from </w:t>
      </w:r>
      <w:r w:rsidR="003A3AE9">
        <w:rPr>
          <w14:numForm w14:val="lining"/>
          <w14:numSpacing w14:val="proportional"/>
        </w:rPr>
        <w:t xml:space="preserve">our </w:t>
      </w:r>
      <w:hyperlink r:id="rId48" w:history="1">
        <w:r w:rsidR="00E32831">
          <w:rPr>
            <w:rStyle w:val="Hyperlink"/>
          </w:rPr>
          <w:t>Discussion Paper</w:t>
        </w:r>
      </w:hyperlink>
      <w:r w:rsidR="003A3AE9">
        <w:rPr>
          <w14:numForm w14:val="lining"/>
          <w14:numSpacing w14:val="proportional"/>
        </w:rPr>
        <w:t xml:space="preserve"> </w:t>
      </w:r>
      <w:r w:rsidRPr="00E5087D">
        <w:rPr>
          <w14:numForm w14:val="lining"/>
          <w14:numSpacing w14:val="proportional"/>
        </w:rPr>
        <w:t xml:space="preserve">and engagement with the Project Steering Group, the current JSA mapping of workforce against the definition of clean energy’s 7 segments and 16 </w:t>
      </w:r>
      <w:r w:rsidR="002C3B9C">
        <w:rPr>
          <w14:numForm w14:val="lining"/>
          <w14:numSpacing w14:val="proportional"/>
        </w:rPr>
        <w:t>sub-segment</w:t>
      </w:r>
      <w:r w:rsidRPr="00E5087D">
        <w:rPr>
          <w14:numForm w14:val="lining"/>
          <w14:numSpacing w14:val="proportional"/>
        </w:rPr>
        <w:t xml:space="preserve">s, describe what constitutes the clean energy workforce and related sectors. </w:t>
      </w:r>
      <w:r w:rsidRPr="388C0A0B">
        <w:rPr>
          <w:rFonts w:asciiTheme="minorHAnsi" w:eastAsia="Times New Roman" w:hAnsiTheme="minorHAnsi"/>
          <w:color w:val="auto"/>
          <w:lang w:eastAsia="en-AU"/>
          <w14:numForm w14:val="lining"/>
          <w14:numSpacing w14:val="proportional"/>
        </w:rPr>
        <w:t>The industry categories span energy supply, energy demand, enabling clean energy workforce, the workforce associated with the carbon lifecycle and the workforce from transitioning sectors.</w:t>
      </w:r>
    </w:p>
    <w:p w14:paraId="33E7FA86" w14:textId="77777777" w:rsidR="00007D7D" w:rsidRPr="00007D7D" w:rsidRDefault="00007D7D" w:rsidP="00007D7D">
      <w:pPr>
        <w:spacing w:before="120" w:after="120" w:line="276" w:lineRule="auto"/>
        <w:rPr>
          <w:rFonts w:asciiTheme="minorHAnsi" w:eastAsia="Times New Roman" w:hAnsiTheme="minorHAnsi"/>
          <w:color w:val="auto"/>
          <w:lang w:eastAsia="en-AU"/>
          <w14:numForm w14:val="lining"/>
          <w14:numSpacing w14:val="proportional"/>
        </w:rPr>
      </w:pPr>
      <w:r w:rsidRPr="00007D7D">
        <w:rPr>
          <w:rFonts w:asciiTheme="minorHAnsi" w:eastAsia="Times New Roman" w:hAnsiTheme="minorHAnsi"/>
          <w:color w:val="auto"/>
          <w:lang w:eastAsia="en-AU"/>
          <w14:numForm w14:val="lining"/>
          <w14:numSpacing w14:val="proportional"/>
        </w:rPr>
        <w:t xml:space="preserve">Adopting this approach, approximately 30% of the Australian workforce potentially has some direct exposure to the transition to clean energy, though based on the segments where we have estimated the current proportion actually in clean energy roles, the clean energy workforce would likely be less than 5% at present. </w:t>
      </w:r>
    </w:p>
    <w:p w14:paraId="1957E0EA" w14:textId="166AC485" w:rsidR="00007D7D" w:rsidRPr="00E5087D" w:rsidRDefault="00007D7D" w:rsidP="00007D7D">
      <w:pPr>
        <w:spacing w:before="120" w:after="120" w:line="276" w:lineRule="auto"/>
        <w:rPr>
          <w:rFonts w:asciiTheme="minorHAnsi" w:eastAsia="Times New Roman" w:hAnsiTheme="minorHAnsi"/>
          <w:color w:val="auto"/>
          <w:lang w:eastAsia="en-AU"/>
          <w14:numForm w14:val="lining"/>
          <w14:numSpacing w14:val="proportional"/>
        </w:rPr>
      </w:pPr>
      <w:r w:rsidRPr="00007D7D">
        <w:rPr>
          <w:rFonts w:asciiTheme="minorHAnsi" w:eastAsia="Times New Roman" w:hAnsiTheme="minorHAnsi"/>
          <w:color w:val="auto"/>
          <w:lang w:eastAsia="en-AU"/>
          <w14:numForm w14:val="lining"/>
          <w14:numSpacing w14:val="proportional"/>
        </w:rPr>
        <w:t xml:space="preserve">This leaves around 60-70% of the Australian workforce without direct or substantial connection to clean energy. </w:t>
      </w:r>
      <w:r w:rsidR="00D96CF4">
        <w:rPr>
          <w:rFonts w:asciiTheme="minorHAnsi" w:eastAsia="Times New Roman" w:hAnsiTheme="minorHAnsi"/>
          <w:color w:val="auto"/>
          <w:lang w:eastAsia="en-AU"/>
          <w14:numForm w14:val="lining"/>
          <w14:numSpacing w14:val="proportional"/>
        </w:rPr>
        <w:t>As a predominantly service based economy, this is not surprising. However, w</w:t>
      </w:r>
      <w:r w:rsidRPr="00007D7D">
        <w:rPr>
          <w:rFonts w:asciiTheme="minorHAnsi" w:eastAsia="Times New Roman" w:hAnsiTheme="minorHAnsi"/>
          <w:color w:val="auto"/>
          <w:lang w:eastAsia="en-AU"/>
          <w14:numForm w14:val="lining"/>
          <w14:numSpacing w14:val="proportional"/>
        </w:rPr>
        <w:t xml:space="preserve">e acknowledge that </w:t>
      </w:r>
      <w:r w:rsidR="00D96CF4">
        <w:rPr>
          <w:rFonts w:asciiTheme="minorHAnsi" w:eastAsia="Times New Roman" w:hAnsiTheme="minorHAnsi"/>
          <w:color w:val="auto"/>
          <w:lang w:eastAsia="en-AU"/>
          <w14:numForm w14:val="lining"/>
          <w14:numSpacing w14:val="proportional"/>
        </w:rPr>
        <w:t xml:space="preserve">most </w:t>
      </w:r>
      <w:r w:rsidRPr="00007D7D">
        <w:rPr>
          <w:rFonts w:asciiTheme="minorHAnsi" w:eastAsia="Times New Roman" w:hAnsiTheme="minorHAnsi"/>
          <w:color w:val="auto"/>
          <w:lang w:eastAsia="en-AU"/>
          <w14:numForm w14:val="lining"/>
          <w14:numSpacing w14:val="proportional"/>
        </w:rPr>
        <w:t>industr</w:t>
      </w:r>
      <w:r w:rsidR="00D96CF4">
        <w:rPr>
          <w:rFonts w:asciiTheme="minorHAnsi" w:eastAsia="Times New Roman" w:hAnsiTheme="minorHAnsi"/>
          <w:color w:val="auto"/>
          <w:lang w:eastAsia="en-AU"/>
          <w14:numForm w14:val="lining"/>
          <w14:numSpacing w14:val="proportional"/>
        </w:rPr>
        <w:t>ies</w:t>
      </w:r>
      <w:r w:rsidRPr="00007D7D">
        <w:rPr>
          <w:rFonts w:asciiTheme="minorHAnsi" w:eastAsia="Times New Roman" w:hAnsiTheme="minorHAnsi"/>
          <w:color w:val="auto"/>
          <w:lang w:eastAsia="en-AU"/>
          <w14:numForm w14:val="lining"/>
          <w14:numSpacing w14:val="proportional"/>
        </w:rPr>
        <w:t xml:space="preserve"> </w:t>
      </w:r>
      <w:r w:rsidR="00D96CF4">
        <w:rPr>
          <w:rFonts w:asciiTheme="minorHAnsi" w:eastAsia="Times New Roman" w:hAnsiTheme="minorHAnsi"/>
          <w:color w:val="auto"/>
          <w:lang w:eastAsia="en-AU"/>
          <w14:numForm w14:val="lining"/>
          <w14:numSpacing w14:val="proportional"/>
        </w:rPr>
        <w:t xml:space="preserve">will have some </w:t>
      </w:r>
      <w:r w:rsidRPr="00007D7D">
        <w:rPr>
          <w:rFonts w:asciiTheme="minorHAnsi" w:eastAsia="Times New Roman" w:hAnsiTheme="minorHAnsi"/>
          <w:color w:val="auto"/>
          <w:lang w:eastAsia="en-AU"/>
          <w14:numForm w14:val="lining"/>
          <w14:numSpacing w14:val="proportional"/>
        </w:rPr>
        <w:t>contribution. Further, there will be many industry groups that will experience a change in demand and various skill impacts because of decarbonisation and climate change.</w:t>
      </w:r>
    </w:p>
    <w:p w14:paraId="10E64DA9" w14:textId="6B0A720A" w:rsidR="002D4D11" w:rsidRDefault="00F54935" w:rsidP="00F54935">
      <w:pPr>
        <w:spacing w:after="120" w:line="276" w:lineRule="auto"/>
        <w:rPr>
          <w14:numForm w14:val="lining"/>
          <w14:numSpacing w14:val="proportional"/>
        </w:rPr>
      </w:pPr>
      <w:r w:rsidRPr="00E5087D">
        <w:rPr>
          <w14:numForm w14:val="lining"/>
          <w14:numSpacing w14:val="proportional"/>
        </w:rPr>
        <w:t xml:space="preserve">Figure </w:t>
      </w:r>
      <w:r w:rsidR="0073012C">
        <w:rPr>
          <w14:numForm w14:val="lining"/>
          <w14:numSpacing w14:val="proportional"/>
        </w:rPr>
        <w:t>2.1</w:t>
      </w:r>
      <w:r w:rsidR="003B1D39">
        <w:rPr>
          <w14:numForm w14:val="lining"/>
          <w14:numSpacing w14:val="proportional"/>
        </w:rPr>
        <w:t xml:space="preserve"> provides an overview of our industry categories and their relative sizes. </w:t>
      </w:r>
      <w:r w:rsidR="003B1D39" w:rsidRPr="00A84CF7">
        <w:rPr>
          <w:b/>
          <w:bCs/>
          <w14:numForm w14:val="lining"/>
          <w14:numSpacing w14:val="proportional"/>
        </w:rPr>
        <w:t>We have published a full</w:t>
      </w:r>
      <w:r w:rsidR="00A84CF7">
        <w:rPr>
          <w:b/>
          <w:bCs/>
          <w14:numForm w14:val="lining"/>
          <w14:numSpacing w14:val="proportional"/>
        </w:rPr>
        <w:t xml:space="preserve"> ANZSIC</w:t>
      </w:r>
      <w:r w:rsidR="003B1D39" w:rsidRPr="00A84CF7">
        <w:rPr>
          <w:b/>
          <w:bCs/>
          <w14:numForm w14:val="lining"/>
          <w14:numSpacing w14:val="proportional"/>
        </w:rPr>
        <w:t xml:space="preserve"> mapping of </w:t>
      </w:r>
      <w:r w:rsidR="00397EAD" w:rsidRPr="00A84CF7">
        <w:rPr>
          <w:b/>
          <w:bCs/>
          <w14:numForm w14:val="lining"/>
          <w14:numSpacing w14:val="proportional"/>
        </w:rPr>
        <w:t>these segments, including employment counts, on our website</w:t>
      </w:r>
      <w:r w:rsidR="00397EAD">
        <w:rPr>
          <w14:numForm w14:val="lining"/>
          <w14:numSpacing w14:val="proportional"/>
        </w:rPr>
        <w:t>. This mapping was produced with</w:t>
      </w:r>
      <w:r w:rsidR="00EC11B9">
        <w:rPr>
          <w14:numForm w14:val="lining"/>
          <w14:numSpacing w14:val="proportional"/>
        </w:rPr>
        <w:t>in the constraints of ANZSIC and the significant data and information gaps that exist for this workforce</w:t>
      </w:r>
      <w:r w:rsidR="003448F2">
        <w:rPr>
          <w14:numForm w14:val="lining"/>
          <w14:numSpacing w14:val="proportional"/>
        </w:rPr>
        <w:t xml:space="preserve">. With new data collection activities like the </w:t>
      </w:r>
      <w:r w:rsidR="00A05BDF">
        <w:rPr>
          <w14:numForm w14:val="lining"/>
          <w14:numSpacing w14:val="proportional"/>
        </w:rPr>
        <w:t>AEER</w:t>
      </w:r>
      <w:r w:rsidR="003448F2">
        <w:rPr>
          <w14:numForm w14:val="lining"/>
          <w14:numSpacing w14:val="proportional"/>
        </w:rPr>
        <w:t xml:space="preserve"> we hope that this kind of activity could be improved upon</w:t>
      </w:r>
      <w:r w:rsidR="00A84CF7">
        <w:rPr>
          <w14:numForm w14:val="lining"/>
          <w14:numSpacing w14:val="proportional"/>
        </w:rPr>
        <w:t xml:space="preserve"> in the future.</w:t>
      </w:r>
    </w:p>
    <w:p w14:paraId="29FB5A2F" w14:textId="661BB706" w:rsidR="00A84CF7" w:rsidRDefault="00A84CF7" w:rsidP="00A84CF7">
      <w:pPr>
        <w:pStyle w:val="Heading4"/>
        <w:spacing w:before="240" w:after="120"/>
      </w:pPr>
      <w:r>
        <w:t>Overview of the segments</w:t>
      </w:r>
    </w:p>
    <w:p w14:paraId="0F3F6EC7" w14:textId="7A8BDC62" w:rsidR="00F54935" w:rsidRPr="00E5087D" w:rsidRDefault="002D4D11" w:rsidP="00F54935">
      <w:pPr>
        <w:spacing w:after="120" w:line="276" w:lineRule="auto"/>
        <w:rPr>
          <w:i/>
          <w:iCs/>
          <w:color w:val="auto"/>
          <w:sz w:val="20"/>
          <w:szCs w:val="20"/>
          <w14:numForm w14:val="lining"/>
          <w14:numSpacing w14:val="proportional"/>
        </w:rPr>
      </w:pPr>
      <w:r>
        <w:rPr>
          <w14:numForm w14:val="lining"/>
          <w14:numSpacing w14:val="proportional"/>
        </w:rPr>
        <w:t>W</w:t>
      </w:r>
      <w:r w:rsidR="00F54935" w:rsidRPr="00E5087D">
        <w:rPr>
          <w14:numForm w14:val="lining"/>
          <w14:numSpacing w14:val="proportional"/>
        </w:rPr>
        <w:t xml:space="preserve">e have identified a </w:t>
      </w:r>
      <w:r w:rsidR="00F54935" w:rsidRPr="00E5087D">
        <w:rPr>
          <w:b/>
          <w:bCs/>
          <w:i/>
          <w:iCs/>
          <w14:numForm w14:val="lining"/>
          <w14:numSpacing w14:val="proportional"/>
        </w:rPr>
        <w:t xml:space="preserve">clean energy supply </w:t>
      </w:r>
      <w:r w:rsidR="00F54935" w:rsidRPr="00E5087D">
        <w:rPr>
          <w14:numForm w14:val="lining"/>
          <w14:numSpacing w14:val="proportional"/>
        </w:rPr>
        <w:t xml:space="preserve">workforce. These are the business units that </w:t>
      </w:r>
      <w:r w:rsidR="00F54935" w:rsidRPr="00E5087D">
        <w:rPr>
          <w:color w:val="auto"/>
          <w14:numForm w14:val="lining"/>
          <w14:numSpacing w14:val="proportional"/>
        </w:rPr>
        <w:t>are essential to clean energy generation, transmission and distribution. We’ve included the supporting infrastructure for energy supply and distribution (focused on electricity given sustainable fuels are at a much earlier stage of development), reflecting that as we transition to renewable sources, these components will become more identifiably ‘clean energy’ and the transition will require investment in these components as they transform.</w:t>
      </w:r>
      <w:r w:rsidR="00F54935" w:rsidRPr="00E5087D">
        <w:rPr>
          <w:i/>
          <w:iCs/>
          <w:color w:val="auto"/>
          <w:sz w:val="20"/>
          <w:szCs w:val="20"/>
          <w14:numForm w14:val="lining"/>
          <w14:numSpacing w14:val="proportional"/>
        </w:rPr>
        <w:t xml:space="preserve"> </w:t>
      </w:r>
      <w:r w:rsidR="00F54935" w:rsidRPr="00E5087D">
        <w:rPr>
          <w:color w:val="auto"/>
          <w14:numForm w14:val="lining"/>
          <w14:numSpacing w14:val="proportional"/>
        </w:rPr>
        <w:t>This category is small in terms of the total Australian workforce (approximately 0.4</w:t>
      </w:r>
      <w:r w:rsidR="00695B7C">
        <w:rPr>
          <w:color w:val="auto"/>
          <w14:numForm w14:val="lining"/>
          <w14:numSpacing w14:val="proportional"/>
        </w:rPr>
        <w:t>%</w:t>
      </w:r>
      <w:r w:rsidR="00F54935" w:rsidRPr="00E5087D">
        <w:rPr>
          <w:color w:val="auto"/>
          <w14:numForm w14:val="lining"/>
          <w14:numSpacing w14:val="proportional"/>
        </w:rPr>
        <w:t xml:space="preserve">) but it will need to grow substantially and transform. </w:t>
      </w:r>
    </w:p>
    <w:p w14:paraId="0F8992A0" w14:textId="51DB2AA0"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t xml:space="preserve">We have proposed a separate segment we have called </w:t>
      </w:r>
      <w:r w:rsidRPr="00E5087D">
        <w:rPr>
          <w:b/>
          <w:bCs/>
          <w:i/>
          <w:iCs/>
          <w:color w:val="auto"/>
          <w14:numForm w14:val="lining"/>
          <w14:numSpacing w14:val="proportional"/>
        </w:rPr>
        <w:t>clean energy demand</w:t>
      </w:r>
      <w:r w:rsidRPr="00E5087D">
        <w:rPr>
          <w:color w:val="auto"/>
          <w14:numForm w14:val="lining"/>
          <w14:numSpacing w14:val="proportional"/>
        </w:rPr>
        <w:t xml:space="preserve">. This category captures the activities that directly relate to energy usage and energy performance, with energy for transport as its own sub-category. An important difference between this category and the </w:t>
      </w:r>
      <w:r w:rsidRPr="00E5087D">
        <w:rPr>
          <w:i/>
          <w:iCs/>
          <w:color w:val="auto"/>
          <w14:numForm w14:val="lining"/>
          <w14:numSpacing w14:val="proportional"/>
        </w:rPr>
        <w:t>clean energy supply</w:t>
      </w:r>
      <w:r w:rsidRPr="00E5087D">
        <w:rPr>
          <w:color w:val="auto"/>
          <w14:numForm w14:val="lining"/>
          <w14:numSpacing w14:val="proportional"/>
        </w:rPr>
        <w:t xml:space="preserve"> category, is that </w:t>
      </w:r>
      <w:r w:rsidRPr="00E5087D">
        <w:rPr>
          <w:i/>
          <w:iCs/>
          <w:color w:val="auto"/>
          <w14:numForm w14:val="lining"/>
          <w14:numSpacing w14:val="proportional"/>
        </w:rPr>
        <w:t>clean energy demand</w:t>
      </w:r>
      <w:r w:rsidRPr="00E5087D">
        <w:rPr>
          <w:color w:val="auto"/>
          <w14:numForm w14:val="lining"/>
          <w14:numSpacing w14:val="proportional"/>
        </w:rPr>
        <w:t xml:space="preserve"> activities exist within established ANZSIC groups where energy demand is not the main or originating activity but are nonetheless central to the transition. This category corresponds to around one in 12 Australian workers overall (8</w:t>
      </w:r>
      <w:r w:rsidR="00695B7C">
        <w:rPr>
          <w:color w:val="auto"/>
          <w14:numForm w14:val="lining"/>
          <w14:numSpacing w14:val="proportional"/>
        </w:rPr>
        <w:t>%</w:t>
      </w:r>
      <w:r w:rsidRPr="00E5087D">
        <w:rPr>
          <w:color w:val="auto"/>
          <w14:numForm w14:val="lining"/>
          <w14:numSpacing w14:val="proportional"/>
        </w:rPr>
        <w:t>), but we have estimated that for most activities clean energy activities only currently account for up to 2</w:t>
      </w:r>
      <w:r w:rsidR="00501954">
        <w:rPr>
          <w:color w:val="auto"/>
          <w14:numForm w14:val="lining"/>
          <w14:numSpacing w14:val="proportional"/>
        </w:rPr>
        <w:t>0</w:t>
      </w:r>
      <w:r w:rsidR="008E7871">
        <w:rPr>
          <w:color w:val="auto"/>
          <w14:numForm w14:val="lining"/>
          <w14:numSpacing w14:val="proportional"/>
        </w:rPr>
        <w:t>%</w:t>
      </w:r>
      <w:r w:rsidRPr="00E5087D">
        <w:rPr>
          <w:color w:val="auto"/>
          <w14:numForm w14:val="lining"/>
          <w14:numSpacing w14:val="proportional"/>
        </w:rPr>
        <w:t xml:space="preserve"> of employment in the relevant ANZSIC groups. </w:t>
      </w:r>
    </w:p>
    <w:p w14:paraId="2BCABECC" w14:textId="16610A77"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lastRenderedPageBreak/>
        <w:t>The third category we have called</w:t>
      </w:r>
      <w:r w:rsidRPr="00E5087D">
        <w:rPr>
          <w:b/>
          <w:bCs/>
          <w:i/>
          <w:iCs/>
          <w:color w:val="auto"/>
          <w14:numForm w14:val="lining"/>
          <w14:numSpacing w14:val="proportional"/>
        </w:rPr>
        <w:t xml:space="preserve"> clean energy enablers</w:t>
      </w:r>
      <w:r w:rsidRPr="00E5087D">
        <w:rPr>
          <w:color w:val="auto"/>
          <w14:numForm w14:val="lining"/>
          <w14:numSpacing w14:val="proportional"/>
        </w:rPr>
        <w:t xml:space="preserve">. Enablers do not directly result in the transition to clean energy, but they are nonetheless critical to creating clean energy supply and shifting to clean energy consuming products. Broadly, there are enabling services and enabling goods. The enabling services such as clean energy research, training, and regulation are only a small portion of the host industry groups (we’ve estimated </w:t>
      </w:r>
      <w:r w:rsidRPr="00E5087D">
        <w:rPr>
          <w:color w:val="auto"/>
          <w14:numForm w14:val="lining"/>
          <w14:numSpacing w14:val="proportional"/>
        </w:rPr>
        <w:br/>
        <w:t>3</w:t>
      </w:r>
      <w:r w:rsidR="008E7871">
        <w:rPr>
          <w:color w:val="auto"/>
          <w14:numForm w14:val="lining"/>
          <w14:numSpacing w14:val="proportional"/>
        </w:rPr>
        <w:t>%</w:t>
      </w:r>
      <w:r w:rsidRPr="00E5087D">
        <w:rPr>
          <w:color w:val="auto"/>
          <w14:numForm w14:val="lining"/>
          <w14:numSpacing w14:val="proportional"/>
        </w:rPr>
        <w:t xml:space="preserve"> at most for each of these industries). The proportion of the engineering, procurement and construction workforce that is working on clean energy projects is likewise small at present, but likely to grow substantially. </w:t>
      </w:r>
    </w:p>
    <w:p w14:paraId="1C065434" w14:textId="4F30CF37"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t xml:space="preserve">The supply chain enabling activities include steel and fabrication for wind turbine generation as well as critical mineral mining and processing for battery development. At present the proportion of these workers </w:t>
      </w:r>
      <w:r w:rsidR="56246E0E" w:rsidRPr="00E5087D">
        <w:rPr>
          <w:color w:val="auto"/>
          <w14:numForm w14:val="lining"/>
          <w14:numSpacing w14:val="proportional"/>
        </w:rPr>
        <w:t>with</w:t>
      </w:r>
      <w:r w:rsidRPr="00E5087D">
        <w:rPr>
          <w:color w:val="auto"/>
          <w14:numForm w14:val="lining"/>
          <w14:numSpacing w14:val="proportional"/>
        </w:rPr>
        <w:t xml:space="preserve">in these segments in clean energy roles is very small with only limited onshore manufacturing for clean energy components occurring. However, it will grow over the period to 2050, especially if ambitions to expand Australia’s role along the value chain are realised. </w:t>
      </w:r>
    </w:p>
    <w:p w14:paraId="39D91C4B" w14:textId="2C52BB78" w:rsidR="00F54935" w:rsidRPr="00E5087D" w:rsidRDefault="00F54935" w:rsidP="00F54935">
      <w:pPr>
        <w:spacing w:after="120" w:line="276" w:lineRule="auto"/>
        <w:rPr>
          <w:color w:val="auto"/>
          <w14:numForm w14:val="lining"/>
          <w14:numSpacing w14:val="proportional"/>
        </w:rPr>
      </w:pPr>
      <w:r w:rsidRPr="00E5087D">
        <w:rPr>
          <w:color w:val="auto"/>
          <w14:numForm w14:val="lining"/>
          <w14:numSpacing w14:val="proportional"/>
        </w:rPr>
        <w:t xml:space="preserve">A further enabling </w:t>
      </w:r>
      <w:r w:rsidR="002C3B9C">
        <w:rPr>
          <w:color w:val="auto"/>
          <w14:numForm w14:val="lining"/>
          <w14:numSpacing w14:val="proportional"/>
        </w:rPr>
        <w:t>sub-segment</w:t>
      </w:r>
      <w:r w:rsidRPr="00E5087D">
        <w:rPr>
          <w:color w:val="auto"/>
          <w14:numForm w14:val="lining"/>
          <w14:numSpacing w14:val="proportional"/>
        </w:rPr>
        <w:t xml:space="preserve"> captures the production of, and trade in, vehicles and equipment such as agricultural and industrial machinery.   </w:t>
      </w:r>
    </w:p>
    <w:p w14:paraId="591F3513" w14:textId="23CC05E2" w:rsidR="00F54935" w:rsidRPr="00E5087D" w:rsidRDefault="00F54935" w:rsidP="003D178D">
      <w:pPr>
        <w:spacing w:after="120" w:line="276" w:lineRule="auto"/>
        <w:rPr>
          <w:color w:val="auto"/>
          <w14:numForm w14:val="lining"/>
          <w14:numSpacing w14:val="proportional"/>
        </w:rPr>
      </w:pPr>
      <w:r w:rsidRPr="00E5087D">
        <w:rPr>
          <w:color w:val="auto"/>
          <w14:numForm w14:val="lining"/>
          <w14:numSpacing w14:val="proportional"/>
        </w:rPr>
        <w:t xml:space="preserve">The </w:t>
      </w:r>
      <w:r w:rsidRPr="00E5087D">
        <w:rPr>
          <w:b/>
          <w:bCs/>
          <w:i/>
          <w:iCs/>
          <w:color w:val="auto"/>
          <w14:numForm w14:val="lining"/>
          <w14:numSpacing w14:val="proportional"/>
        </w:rPr>
        <w:t>carbon lifecycle</w:t>
      </w:r>
      <w:r w:rsidRPr="00E5087D">
        <w:rPr>
          <w:b/>
          <w:bCs/>
          <w:i/>
          <w:iCs/>
          <w14:numForm w14:val="lining"/>
          <w14:numSpacing w14:val="proportional"/>
        </w:rPr>
        <w:t xml:space="preserve"> </w:t>
      </w:r>
      <w:r w:rsidRPr="00E5087D">
        <w:rPr>
          <w14:numForm w14:val="lining"/>
          <w14:numSpacing w14:val="proportional"/>
        </w:rPr>
        <w:t>category includes i</w:t>
      </w:r>
      <w:r w:rsidRPr="00E5087D">
        <w:rPr>
          <w:color w:val="auto"/>
          <w14:numForm w14:val="lining"/>
          <w14:numSpacing w14:val="proportional"/>
        </w:rPr>
        <w:t>ndustries which will have a substantial contribution to managing the carbon lifecycle, such as through carbon capture or the circular economy</w:t>
      </w:r>
      <w:r w:rsidR="004F541F" w:rsidRPr="00E5087D">
        <w:rPr>
          <w:color w:val="auto"/>
          <w14:numForm w14:val="lining"/>
          <w14:numSpacing w14:val="proportional"/>
        </w:rPr>
        <w:t xml:space="preserve"> (which includes the reuse and regeneration of materials and products)</w:t>
      </w:r>
      <w:r w:rsidRPr="00E5087D">
        <w:rPr>
          <w:color w:val="auto"/>
          <w14:numForm w14:val="lining"/>
          <w14:numSpacing w14:val="proportional"/>
        </w:rPr>
        <w:t>. We’ve estimated this adds 0.5% of the Australian workforce.</w:t>
      </w:r>
    </w:p>
    <w:p w14:paraId="1D43ECDA" w14:textId="37C27D6A" w:rsidR="00F54935" w:rsidRDefault="00F54935" w:rsidP="00F54935">
      <w:pPr>
        <w:spacing w:after="120" w:line="276" w:lineRule="auto"/>
        <w:rPr>
          <w14:numForm w14:val="lining"/>
          <w14:numSpacing w14:val="proportional"/>
        </w:rPr>
      </w:pPr>
      <w:r w:rsidRPr="00E5087D">
        <w:rPr>
          <w14:numForm w14:val="lining"/>
          <w14:numSpacing w14:val="proportional"/>
        </w:rPr>
        <w:t xml:space="preserve">Based on the 2021 Census, around </w:t>
      </w:r>
      <w:r w:rsidR="00171EC3">
        <w:rPr>
          <w14:numForm w14:val="lining"/>
          <w14:numSpacing w14:val="proportional"/>
        </w:rPr>
        <w:t>1</w:t>
      </w:r>
      <w:r w:rsidR="004C2CE2">
        <w:rPr>
          <w14:numForm w14:val="lining"/>
          <w14:numSpacing w14:val="proportional"/>
        </w:rPr>
        <w:t>.1</w:t>
      </w:r>
      <w:r w:rsidR="00171EC3">
        <w:rPr>
          <w14:numForm w14:val="lining"/>
          <w14:numSpacing w14:val="proportional"/>
        </w:rPr>
        <w:t>%</w:t>
      </w:r>
      <w:r w:rsidRPr="00E5087D">
        <w:rPr>
          <w14:numForm w14:val="lining"/>
          <w14:numSpacing w14:val="proportional"/>
        </w:rPr>
        <w:t xml:space="preserve"> of Australia</w:t>
      </w:r>
      <w:r w:rsidR="004C2CE2">
        <w:rPr>
          <w14:numForm w14:val="lining"/>
          <w14:numSpacing w14:val="proportional"/>
        </w:rPr>
        <w:t>’s</w:t>
      </w:r>
      <w:r w:rsidRPr="00E5087D">
        <w:rPr>
          <w14:numForm w14:val="lining"/>
          <w14:numSpacing w14:val="proportional"/>
        </w:rPr>
        <w:t xml:space="preserve"> workforce </w:t>
      </w:r>
      <w:r w:rsidR="00064EBA">
        <w:rPr>
          <w14:numForm w14:val="lining"/>
          <w14:numSpacing w14:val="proportional"/>
        </w:rPr>
        <w:t xml:space="preserve">is </w:t>
      </w:r>
      <w:r w:rsidRPr="00E5087D">
        <w:rPr>
          <w14:numForm w14:val="lining"/>
          <w14:numSpacing w14:val="proportional"/>
        </w:rPr>
        <w:t xml:space="preserve">in </w:t>
      </w:r>
      <w:r w:rsidRPr="00E5087D">
        <w:rPr>
          <w:b/>
          <w:bCs/>
          <w:i/>
          <w:iCs/>
          <w14:numForm w14:val="lining"/>
          <w14:numSpacing w14:val="proportional"/>
        </w:rPr>
        <w:t>transitioning sectors</w:t>
      </w:r>
      <w:r w:rsidRPr="00E5087D">
        <w:rPr>
          <w14:numForm w14:val="lining"/>
          <w14:numSpacing w14:val="proportional"/>
        </w:rPr>
        <w:t xml:space="preserve"> – coal fired power, coal mining, oil and gas exploration and production, and downstream activities linked to fossil fuels, such as fuel retailing. Regionally, we know that the proportion is much higher in some areas and the transition will impact other jobs through supply chains and local communities.</w:t>
      </w:r>
    </w:p>
    <w:p w14:paraId="1BC043AC" w14:textId="6CAFB809" w:rsidR="00E9551A" w:rsidRPr="00F14E3E" w:rsidRDefault="00E9551A" w:rsidP="00F54935">
      <w:pPr>
        <w:spacing w:after="120" w:line="276" w:lineRule="auto"/>
        <w:rPr>
          <w14:numForm w14:val="lining"/>
          <w14:numSpacing w14:val="proportional"/>
        </w:rPr>
      </w:pPr>
      <w:r>
        <w:rPr>
          <w14:numForm w14:val="lining"/>
          <w14:numSpacing w14:val="proportional"/>
        </w:rPr>
        <w:t xml:space="preserve">Around 4% of Australia’s workforce </w:t>
      </w:r>
      <w:r w:rsidR="00064EBA">
        <w:rPr>
          <w14:numForm w14:val="lining"/>
          <w14:numSpacing w14:val="proportional"/>
        </w:rPr>
        <w:t xml:space="preserve">is in </w:t>
      </w:r>
      <w:r w:rsidR="004378BE">
        <w:rPr>
          <w:b/>
          <w:bCs/>
          <w:i/>
          <w:iCs/>
          <w14:numForm w14:val="lining"/>
          <w14:numSpacing w14:val="proportional"/>
        </w:rPr>
        <w:t>emissions intensive sectors</w:t>
      </w:r>
      <w:r w:rsidR="004378BE">
        <w:rPr>
          <w:b/>
          <w:bCs/>
          <w14:numForm w14:val="lining"/>
          <w14:numSpacing w14:val="proportional"/>
        </w:rPr>
        <w:t xml:space="preserve">. </w:t>
      </w:r>
      <w:r w:rsidR="002350AA">
        <w:rPr>
          <w14:numForm w14:val="lining"/>
          <w14:numSpacing w14:val="proportional"/>
        </w:rPr>
        <w:t xml:space="preserve">Less than a quarter of this is in direct emissions-intensive sectors like metals, cement </w:t>
      </w:r>
      <w:r w:rsidR="00453E06">
        <w:rPr>
          <w14:numForm w14:val="lining"/>
          <w14:numSpacing w14:val="proportional"/>
        </w:rPr>
        <w:t xml:space="preserve">and chemicals </w:t>
      </w:r>
      <w:r w:rsidR="00752B29">
        <w:rPr>
          <w14:numForm w14:val="lining"/>
          <w14:numSpacing w14:val="proportional"/>
        </w:rPr>
        <w:t>manufacturing</w:t>
      </w:r>
      <w:r w:rsidR="00E3697C">
        <w:rPr>
          <w14:numForm w14:val="lining"/>
          <w14:numSpacing w14:val="proportional"/>
        </w:rPr>
        <w:t xml:space="preserve">. A much larger proportion work </w:t>
      </w:r>
      <w:r w:rsidR="00453E06">
        <w:rPr>
          <w14:numForm w14:val="lining"/>
          <w14:numSpacing w14:val="proportional"/>
        </w:rPr>
        <w:t xml:space="preserve">in indirect emissions-intensive sectors </w:t>
      </w:r>
      <w:r w:rsidR="00000C00">
        <w:rPr>
          <w14:numForm w14:val="lining"/>
          <w14:numSpacing w14:val="proportional"/>
        </w:rPr>
        <w:t xml:space="preserve">that are high energy users like food </w:t>
      </w:r>
      <w:r w:rsidR="00752B29">
        <w:rPr>
          <w14:numForm w14:val="lining"/>
          <w14:numSpacing w14:val="proportional"/>
        </w:rPr>
        <w:t xml:space="preserve">and paper </w:t>
      </w:r>
      <w:r w:rsidR="00000C00">
        <w:rPr>
          <w14:numForm w14:val="lining"/>
          <w14:numSpacing w14:val="proportional"/>
        </w:rPr>
        <w:t>manufacturing</w:t>
      </w:r>
      <w:r w:rsidR="00752B29">
        <w:rPr>
          <w14:numForm w14:val="lining"/>
          <w14:numSpacing w14:val="proportional"/>
        </w:rPr>
        <w:t>.</w:t>
      </w:r>
    </w:p>
    <w:p w14:paraId="09CDB690" w14:textId="4F6DA64C" w:rsidR="00007D7D" w:rsidRDefault="00007D7D">
      <w:pPr>
        <w:rPr>
          <w:b/>
          <w:bCs/>
        </w:rPr>
      </w:pPr>
      <w:r>
        <w:rPr>
          <w:b/>
          <w:bCs/>
        </w:rPr>
        <w:br w:type="page"/>
      </w:r>
    </w:p>
    <w:p w14:paraId="3C919DA8" w14:textId="77777777" w:rsidR="00074860" w:rsidRPr="00E5087D" w:rsidRDefault="00074860" w:rsidP="00074860">
      <w:pPr>
        <w:spacing w:after="120" w:line="276" w:lineRule="auto"/>
        <w:rPr>
          <w:b/>
          <w:bCs/>
        </w:rPr>
        <w:sectPr w:rsidR="00074860" w:rsidRPr="00E5087D" w:rsidSect="00A204B2">
          <w:headerReference w:type="even" r:id="rId49"/>
          <w:headerReference w:type="default" r:id="rId50"/>
          <w:footerReference w:type="even" r:id="rId51"/>
          <w:footerReference w:type="default" r:id="rId52"/>
          <w:headerReference w:type="first" r:id="rId53"/>
          <w:footerReference w:type="first" r:id="rId54"/>
          <w:endnotePr>
            <w:numFmt w:val="decimal"/>
          </w:endnotePr>
          <w:type w:val="continuous"/>
          <w:pgSz w:w="11906" w:h="16838"/>
          <w:pgMar w:top="1440" w:right="1440" w:bottom="1440" w:left="1440" w:header="0" w:footer="709" w:gutter="0"/>
          <w:cols w:space="708"/>
          <w:docGrid w:linePitch="360"/>
        </w:sectPr>
      </w:pPr>
    </w:p>
    <w:p w14:paraId="405C094E" w14:textId="63865A01" w:rsidR="00074860" w:rsidRPr="00E5087D" w:rsidRDefault="00074860" w:rsidP="00074860">
      <w:pPr>
        <w:spacing w:after="120" w:line="276" w:lineRule="auto"/>
        <w:rPr>
          <w:rStyle w:val="Strong"/>
          <w:b w:val="0"/>
          <w:bCs w:val="0"/>
        </w:rPr>
      </w:pPr>
      <w:r w:rsidRPr="00E5087D">
        <w:rPr>
          <w:b/>
          <w:bCs/>
        </w:rPr>
        <w:lastRenderedPageBreak/>
        <w:t xml:space="preserve">Figure </w:t>
      </w:r>
      <w:r w:rsidR="00CB3202">
        <w:rPr>
          <w:b/>
          <w:bCs/>
        </w:rPr>
        <w:t>2.</w:t>
      </w:r>
      <w:r w:rsidR="00F640CC" w:rsidRPr="00E5087D">
        <w:rPr>
          <w:b/>
          <w:bCs/>
        </w:rPr>
        <w:t>1</w:t>
      </w:r>
      <w:r w:rsidR="00CB3202">
        <w:rPr>
          <w:b/>
          <w:bCs/>
        </w:rPr>
        <w:t>.</w:t>
      </w:r>
      <w:r w:rsidRPr="00E5087D">
        <w:rPr>
          <w:b/>
          <w:bCs/>
        </w:rPr>
        <w:t xml:space="preserve"> </w:t>
      </w:r>
      <w:r w:rsidR="009E5A2E">
        <w:rPr>
          <w:b/>
          <w:bCs/>
        </w:rPr>
        <w:t>Estimated proportion of the</w:t>
      </w:r>
      <w:r w:rsidRPr="00E5087D">
        <w:rPr>
          <w:b/>
          <w:bCs/>
        </w:rPr>
        <w:t xml:space="preserve"> workforce by clean energy segment</w:t>
      </w:r>
      <w:r w:rsidR="009E5A2E">
        <w:rPr>
          <w:b/>
          <w:bCs/>
        </w:rPr>
        <w:t xml:space="preserve"> </w:t>
      </w:r>
    </w:p>
    <w:tbl>
      <w:tblPr>
        <w:tblW w:w="978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This figure represents the estimated proportion of the workforce by clean energy segments and sub-segments and, the proportion working in clean energy versus the total workforce. These numbers are explored in-text in the following section."/>
      </w:tblPr>
      <w:tblGrid>
        <w:gridCol w:w="4947"/>
        <w:gridCol w:w="1007"/>
        <w:gridCol w:w="22"/>
        <w:gridCol w:w="1537"/>
        <w:gridCol w:w="2268"/>
      </w:tblGrid>
      <w:tr w:rsidR="00074860" w:rsidRPr="00E5087D" w14:paraId="2DCE2F6D" w14:textId="77777777" w:rsidTr="0054082D">
        <w:trPr>
          <w:trHeight w:val="300"/>
        </w:trPr>
        <w:tc>
          <w:tcPr>
            <w:tcW w:w="4947" w:type="dxa"/>
            <w:tcBorders>
              <w:top w:val="single" w:sz="4" w:space="0" w:color="auto"/>
              <w:left w:val="nil"/>
              <w:bottom w:val="single" w:sz="4" w:space="0" w:color="auto"/>
              <w:right w:val="nil"/>
            </w:tcBorders>
            <w:vAlign w:val="center"/>
            <w:hideMark/>
          </w:tcPr>
          <w:p w14:paraId="25DDBD6B" w14:textId="7353F0D5" w:rsidR="00074860" w:rsidRPr="00E5087D" w:rsidRDefault="00074860">
            <w:pPr>
              <w:spacing w:before="40" w:after="40" w:line="240" w:lineRule="auto"/>
              <w:textAlignment w:val="baseline"/>
              <w:rPr>
                <w:rFonts w:ascii="Lato Black" w:eastAsia="Arial" w:hAnsi="Lato Black" w:cs="Segoe UI"/>
                <w:color w:val="000000"/>
                <w:sz w:val="18"/>
                <w:szCs w:val="18"/>
                <w:lang w:eastAsia="en-AU"/>
              </w:rPr>
            </w:pPr>
            <w:r w:rsidRPr="00E5087D">
              <w:rPr>
                <w:rFonts w:ascii="Lato Black" w:eastAsia="Arial" w:hAnsi="Lato Black" w:cs="Arial"/>
                <w:color w:val="000000"/>
                <w:sz w:val="24"/>
                <w:szCs w:val="24"/>
                <w:lang w:eastAsia="en-AU"/>
              </w:rPr>
              <w:t xml:space="preserve">Segment, Description &amp; </w:t>
            </w:r>
            <w:r w:rsidR="002C3B9C">
              <w:rPr>
                <w:rFonts w:ascii="Lato Black" w:eastAsia="Arial" w:hAnsi="Lato Black" w:cs="Arial"/>
                <w:color w:val="000000"/>
                <w:sz w:val="24"/>
                <w:szCs w:val="24"/>
                <w:lang w:eastAsia="en-AU"/>
              </w:rPr>
              <w:t>Sub-segment</w:t>
            </w:r>
            <w:r w:rsidRPr="00E5087D">
              <w:rPr>
                <w:rFonts w:ascii="Lato Black" w:eastAsia="Arial" w:hAnsi="Lato Black" w:cs="Arial"/>
                <w:color w:val="000000"/>
                <w:sz w:val="24"/>
                <w:szCs w:val="24"/>
                <w:lang w:eastAsia="en-AU"/>
              </w:rPr>
              <w:t> </w:t>
            </w:r>
          </w:p>
        </w:tc>
        <w:tc>
          <w:tcPr>
            <w:tcW w:w="2566" w:type="dxa"/>
            <w:gridSpan w:val="3"/>
            <w:tcBorders>
              <w:top w:val="single" w:sz="4" w:space="0" w:color="auto"/>
              <w:left w:val="nil"/>
              <w:bottom w:val="single" w:sz="4" w:space="0" w:color="auto"/>
              <w:right w:val="nil"/>
            </w:tcBorders>
            <w:vAlign w:val="center"/>
            <w:hideMark/>
          </w:tcPr>
          <w:p w14:paraId="46B881AB" w14:textId="7B342AA5" w:rsidR="00074860" w:rsidRPr="007E42D9" w:rsidRDefault="00074860">
            <w:pPr>
              <w:spacing w:before="40" w:after="40" w:line="240" w:lineRule="auto"/>
              <w:jc w:val="right"/>
              <w:textAlignment w:val="baseline"/>
              <w:rPr>
                <w:rFonts w:ascii="Lato Black" w:eastAsia="Arial" w:hAnsi="Lato Black" w:cs="Segoe UI"/>
                <w:color w:val="000000"/>
                <w:sz w:val="18"/>
                <w:szCs w:val="18"/>
                <w:lang w:eastAsia="en-AU"/>
              </w:rPr>
            </w:pPr>
            <w:r w:rsidRPr="007E42D9">
              <w:rPr>
                <w:rFonts w:ascii="Lato Black" w:eastAsia="Arial" w:hAnsi="Lato Black" w:cs="Arial"/>
                <w:color w:val="000000"/>
                <w:sz w:val="18"/>
                <w:szCs w:val="18"/>
                <w:lang w:eastAsia="en-AU"/>
              </w:rPr>
              <w:t xml:space="preserve">Share of Australia’s </w:t>
            </w:r>
            <w:r w:rsidRPr="007E42D9">
              <w:rPr>
                <w:rFonts w:ascii="Lato Black" w:eastAsia="Arial" w:hAnsi="Lato Black" w:cs="Arial"/>
                <w:color w:val="000000"/>
                <w:sz w:val="18"/>
                <w:szCs w:val="18"/>
                <w:lang w:eastAsia="en-AU"/>
              </w:rPr>
              <w:br/>
              <w:t>total workforce </w:t>
            </w:r>
          </w:p>
        </w:tc>
        <w:tc>
          <w:tcPr>
            <w:tcW w:w="2268" w:type="dxa"/>
            <w:tcBorders>
              <w:top w:val="single" w:sz="4" w:space="0" w:color="auto"/>
              <w:left w:val="nil"/>
              <w:bottom w:val="single" w:sz="4" w:space="0" w:color="auto"/>
              <w:right w:val="nil"/>
            </w:tcBorders>
            <w:vAlign w:val="center"/>
            <w:hideMark/>
          </w:tcPr>
          <w:p w14:paraId="2F53681F" w14:textId="2BAE5C03" w:rsidR="00074860" w:rsidRPr="007E42D9" w:rsidRDefault="00074860">
            <w:pPr>
              <w:spacing w:before="40" w:after="40" w:line="240" w:lineRule="auto"/>
              <w:ind w:right="113"/>
              <w:jc w:val="right"/>
              <w:textAlignment w:val="baseline"/>
              <w:rPr>
                <w:rFonts w:ascii="Lato Black" w:eastAsia="Arial" w:hAnsi="Lato Black" w:cs="Segoe UI"/>
                <w:color w:val="000000"/>
                <w:sz w:val="18"/>
                <w:szCs w:val="18"/>
                <w:lang w:eastAsia="en-AU"/>
              </w:rPr>
            </w:pPr>
            <w:r w:rsidRPr="007E42D9">
              <w:rPr>
                <w:rFonts w:ascii="Lato Black" w:eastAsia="Arial" w:hAnsi="Lato Black" w:cs="Arial"/>
                <w:color w:val="000000"/>
                <w:sz w:val="18"/>
                <w:szCs w:val="18"/>
                <w:lang w:eastAsia="en-AU"/>
              </w:rPr>
              <w:t>Estimate</w:t>
            </w:r>
            <w:r w:rsidR="007E42D9" w:rsidRPr="007E42D9">
              <w:rPr>
                <w:rFonts w:ascii="Lato Black" w:eastAsia="Arial" w:hAnsi="Lato Black" w:cs="Arial"/>
                <w:color w:val="000000"/>
                <w:sz w:val="18"/>
                <w:szCs w:val="18"/>
                <w:lang w:eastAsia="en-AU"/>
              </w:rPr>
              <w:t>d proportion</w:t>
            </w:r>
            <w:r w:rsidRPr="007E42D9">
              <w:rPr>
                <w:rFonts w:ascii="Lato Black" w:eastAsia="Arial" w:hAnsi="Lato Black" w:cs="Arial"/>
                <w:color w:val="000000"/>
                <w:sz w:val="18"/>
                <w:szCs w:val="18"/>
                <w:lang w:eastAsia="en-AU"/>
              </w:rPr>
              <w:t xml:space="preserve"> working in clean energy</w:t>
            </w:r>
          </w:p>
        </w:tc>
      </w:tr>
      <w:tr w:rsidR="00074860" w:rsidRPr="00E5087D" w14:paraId="360DF853" w14:textId="77777777" w:rsidTr="0054082D">
        <w:trPr>
          <w:trHeight w:val="285"/>
        </w:trPr>
        <w:tc>
          <w:tcPr>
            <w:tcW w:w="5976" w:type="dxa"/>
            <w:gridSpan w:val="3"/>
            <w:tcBorders>
              <w:top w:val="single" w:sz="4" w:space="0" w:color="auto"/>
              <w:left w:val="nil"/>
              <w:bottom w:val="nil"/>
              <w:right w:val="nil"/>
            </w:tcBorders>
            <w:shd w:val="clear" w:color="auto" w:fill="B4C227"/>
            <w:vAlign w:val="center"/>
            <w:hideMark/>
          </w:tcPr>
          <w:p w14:paraId="59FE2AFC" w14:textId="77777777" w:rsidR="00074860" w:rsidRPr="00E5087D" w:rsidRDefault="00074860">
            <w:pPr>
              <w:spacing w:before="60" w:after="60" w:line="240" w:lineRule="auto"/>
              <w:textAlignment w:val="baseline"/>
              <w:rPr>
                <w:rFonts w:ascii="Lato Black" w:eastAsia="Arial" w:hAnsi="Lato Black" w:cs="Segoe UI"/>
                <w:color w:val="000000"/>
                <w:sz w:val="18"/>
                <w:szCs w:val="18"/>
                <w:lang w:eastAsia="en-AU"/>
              </w:rPr>
            </w:pPr>
            <w:r w:rsidRPr="00E5087D">
              <w:rPr>
                <w:rFonts w:ascii="Lato Black" w:eastAsia="Arial" w:hAnsi="Lato Black" w:cs="Arial"/>
                <w:b/>
                <w:bCs/>
                <w:color w:val="000000"/>
                <w:lang w:eastAsia="en-AU"/>
              </w:rPr>
              <w:t xml:space="preserve"> Clean energy supply</w:t>
            </w:r>
            <w:r w:rsidRPr="00E5087D">
              <w:rPr>
                <w:rFonts w:ascii="Lato Black" w:eastAsia="Arial" w:hAnsi="Lato Black" w:cs="Arial"/>
                <w:color w:val="000000"/>
                <w:lang w:eastAsia="en-AU"/>
              </w:rPr>
              <w:t> </w:t>
            </w:r>
          </w:p>
        </w:tc>
        <w:tc>
          <w:tcPr>
            <w:tcW w:w="1537" w:type="dxa"/>
            <w:tcBorders>
              <w:top w:val="single" w:sz="4" w:space="0" w:color="auto"/>
              <w:left w:val="nil"/>
              <w:bottom w:val="nil"/>
              <w:right w:val="nil"/>
            </w:tcBorders>
            <w:shd w:val="clear" w:color="auto" w:fill="B4C227"/>
            <w:vAlign w:val="center"/>
            <w:hideMark/>
          </w:tcPr>
          <w:p w14:paraId="06C3DCD8" w14:textId="77777777" w:rsidR="00074860" w:rsidRPr="00E5087D" w:rsidRDefault="00074860">
            <w:pPr>
              <w:spacing w:before="60" w:after="0" w:line="240" w:lineRule="auto"/>
              <w:jc w:val="right"/>
              <w:textAlignment w:val="baseline"/>
              <w:rPr>
                <w:rFonts w:ascii="Lato Black" w:eastAsia="Arial" w:hAnsi="Lato Black" w:cs="Segoe UI"/>
                <w:color w:val="000000"/>
                <w:sz w:val="18"/>
                <w:szCs w:val="18"/>
                <w:lang w:eastAsia="en-AU"/>
              </w:rPr>
            </w:pPr>
            <w:r w:rsidRPr="00E5087D">
              <w:rPr>
                <w:rFonts w:ascii="Lato Black" w:eastAsia="Arial" w:hAnsi="Lato Black" w:cs="Arial"/>
                <w:color w:val="000000"/>
                <w:sz w:val="20"/>
                <w:szCs w:val="20"/>
                <w:lang w:eastAsia="en-AU"/>
              </w:rPr>
              <w:t>0.4% </w:t>
            </w:r>
          </w:p>
        </w:tc>
        <w:tc>
          <w:tcPr>
            <w:tcW w:w="2268" w:type="dxa"/>
            <w:tcBorders>
              <w:top w:val="single" w:sz="4" w:space="0" w:color="auto"/>
              <w:left w:val="nil"/>
              <w:bottom w:val="nil"/>
              <w:right w:val="nil"/>
            </w:tcBorders>
            <w:shd w:val="clear" w:color="auto" w:fill="B4C227"/>
            <w:vAlign w:val="center"/>
            <w:hideMark/>
          </w:tcPr>
          <w:p w14:paraId="22FBEF09" w14:textId="77777777" w:rsidR="00074860" w:rsidRPr="00E5087D" w:rsidRDefault="00074860">
            <w:pPr>
              <w:spacing w:after="0" w:line="240" w:lineRule="auto"/>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 </w:t>
            </w:r>
          </w:p>
        </w:tc>
      </w:tr>
      <w:tr w:rsidR="00074860" w:rsidRPr="00E5087D" w14:paraId="79A1E8F9" w14:textId="77777777" w:rsidTr="0054082D">
        <w:trPr>
          <w:trHeight w:val="300"/>
        </w:trPr>
        <w:tc>
          <w:tcPr>
            <w:tcW w:w="9781" w:type="dxa"/>
            <w:gridSpan w:val="5"/>
            <w:tcBorders>
              <w:top w:val="nil"/>
              <w:left w:val="nil"/>
              <w:bottom w:val="nil"/>
              <w:right w:val="nil"/>
            </w:tcBorders>
            <w:shd w:val="clear" w:color="auto" w:fill="B4C227"/>
            <w:vAlign w:val="center"/>
            <w:hideMark/>
          </w:tcPr>
          <w:p w14:paraId="50FC49A4" w14:textId="77777777" w:rsidR="00074860" w:rsidRPr="00E5087D" w:rsidRDefault="00074860">
            <w:pPr>
              <w:spacing w:before="60" w:after="60" w:line="240" w:lineRule="auto"/>
              <w:ind w:left="57" w:right="113"/>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Industry groups that are essential to clean energy generation and supply. Currently, distribution and supply supports both renewable and fossil-fuel-reliant energy sources. As we transition, these will predominantly support renewable energy. </w:t>
            </w:r>
          </w:p>
        </w:tc>
      </w:tr>
      <w:tr w:rsidR="00074860" w:rsidRPr="00E5087D" w14:paraId="5DCA448F" w14:textId="77777777" w:rsidTr="0054082D">
        <w:trPr>
          <w:trHeight w:val="270"/>
        </w:trPr>
        <w:tc>
          <w:tcPr>
            <w:tcW w:w="5976" w:type="dxa"/>
            <w:gridSpan w:val="3"/>
            <w:tcBorders>
              <w:top w:val="nil"/>
              <w:left w:val="nil"/>
              <w:bottom w:val="nil"/>
              <w:right w:val="nil"/>
            </w:tcBorders>
            <w:shd w:val="clear" w:color="auto" w:fill="B4C227"/>
            <w:vAlign w:val="center"/>
            <w:hideMark/>
          </w:tcPr>
          <w:p w14:paraId="537394D6" w14:textId="77777777" w:rsidR="00074860" w:rsidRPr="00E5087D" w:rsidRDefault="00074860">
            <w:pPr>
              <w:spacing w:before="60" w:after="60" w:line="240" w:lineRule="auto"/>
              <w:ind w:left="165"/>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Supply – generation </w:t>
            </w:r>
          </w:p>
        </w:tc>
        <w:tc>
          <w:tcPr>
            <w:tcW w:w="1537" w:type="dxa"/>
            <w:tcBorders>
              <w:top w:val="nil"/>
              <w:left w:val="nil"/>
              <w:bottom w:val="nil"/>
              <w:right w:val="nil"/>
            </w:tcBorders>
            <w:shd w:val="clear" w:color="auto" w:fill="B4C227"/>
            <w:vAlign w:val="center"/>
            <w:hideMark/>
          </w:tcPr>
          <w:p w14:paraId="1421C3AA" w14:textId="77777777" w:rsidR="00074860" w:rsidRPr="00E5087D" w:rsidRDefault="00074860">
            <w:pPr>
              <w:spacing w:before="60" w:after="60" w:line="240" w:lineRule="auto"/>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0.03%</w:t>
            </w:r>
            <w:r w:rsidRPr="00E5087D">
              <w:rPr>
                <w:rFonts w:ascii="Lato" w:eastAsia="Arial" w:hAnsi="Lato" w:cs="Arial"/>
                <w:color w:val="000000"/>
                <w:sz w:val="20"/>
                <w:szCs w:val="20"/>
                <w:lang w:eastAsia="en-AU"/>
              </w:rPr>
              <w:t> </w:t>
            </w:r>
          </w:p>
        </w:tc>
        <w:tc>
          <w:tcPr>
            <w:tcW w:w="2268" w:type="dxa"/>
            <w:tcBorders>
              <w:top w:val="nil"/>
              <w:left w:val="nil"/>
              <w:bottom w:val="nil"/>
              <w:right w:val="nil"/>
            </w:tcBorders>
            <w:shd w:val="clear" w:color="auto" w:fill="B4C227"/>
            <w:vAlign w:val="center"/>
            <w:hideMark/>
          </w:tcPr>
          <w:p w14:paraId="6E5C1624" w14:textId="77777777" w:rsidR="00074860" w:rsidRPr="00E5087D" w:rsidRDefault="00074860">
            <w:pPr>
              <w:spacing w:before="60" w:after="60" w:line="240" w:lineRule="auto"/>
              <w:ind w:right="113"/>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100%</w:t>
            </w:r>
            <w:r w:rsidRPr="00E5087D">
              <w:rPr>
                <w:rFonts w:ascii="Lato" w:eastAsia="Arial" w:hAnsi="Lato" w:cs="Arial"/>
                <w:color w:val="000000"/>
                <w:sz w:val="20"/>
                <w:szCs w:val="20"/>
                <w:lang w:eastAsia="en-AU"/>
              </w:rPr>
              <w:t> </w:t>
            </w:r>
          </w:p>
        </w:tc>
      </w:tr>
      <w:tr w:rsidR="00074860" w:rsidRPr="00E5087D" w14:paraId="5334B765" w14:textId="77777777" w:rsidTr="0054082D">
        <w:trPr>
          <w:trHeight w:val="272"/>
        </w:trPr>
        <w:tc>
          <w:tcPr>
            <w:tcW w:w="5976" w:type="dxa"/>
            <w:gridSpan w:val="3"/>
            <w:tcBorders>
              <w:top w:val="nil"/>
              <w:left w:val="nil"/>
              <w:bottom w:val="single" w:sz="4" w:space="0" w:color="auto"/>
              <w:right w:val="nil"/>
            </w:tcBorders>
            <w:shd w:val="clear" w:color="auto" w:fill="B4C227"/>
            <w:vAlign w:val="center"/>
            <w:hideMark/>
          </w:tcPr>
          <w:p w14:paraId="33B507ED" w14:textId="77777777" w:rsidR="00074860" w:rsidRPr="00E5087D" w:rsidRDefault="00074860">
            <w:pPr>
              <w:spacing w:before="60" w:after="60" w:line="240" w:lineRule="auto"/>
              <w:ind w:left="165"/>
              <w:textAlignment w:val="baseline"/>
              <w:rPr>
                <w:rFonts w:ascii="Lato" w:eastAsia="Arial" w:hAnsi="Lato" w:cs="Segoe UI"/>
                <w:color w:val="000000"/>
                <w:sz w:val="18"/>
                <w:szCs w:val="18"/>
                <w:lang w:eastAsia="en-AU"/>
              </w:rPr>
            </w:pPr>
            <w:r w:rsidRPr="00E5087D">
              <w:rPr>
                <w:rFonts w:ascii="Lato" w:eastAsia="Arial" w:hAnsi="Lato" w:cs="Arial"/>
                <w:color w:val="000000"/>
                <w:sz w:val="20"/>
                <w:szCs w:val="20"/>
                <w:lang w:eastAsia="en-AU"/>
              </w:rPr>
              <w:t>Supply – distribution </w:t>
            </w:r>
          </w:p>
        </w:tc>
        <w:tc>
          <w:tcPr>
            <w:tcW w:w="1537" w:type="dxa"/>
            <w:tcBorders>
              <w:top w:val="nil"/>
              <w:left w:val="nil"/>
              <w:bottom w:val="single" w:sz="4" w:space="0" w:color="auto"/>
              <w:right w:val="nil"/>
            </w:tcBorders>
            <w:shd w:val="clear" w:color="auto" w:fill="B4C227"/>
            <w:vAlign w:val="center"/>
            <w:hideMark/>
          </w:tcPr>
          <w:p w14:paraId="42FDF11B" w14:textId="77777777" w:rsidR="00074860" w:rsidRPr="00E5087D" w:rsidRDefault="00074860">
            <w:pPr>
              <w:spacing w:before="60" w:after="60" w:line="240" w:lineRule="auto"/>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0.3%</w:t>
            </w:r>
            <w:r w:rsidRPr="00E5087D">
              <w:rPr>
                <w:rFonts w:ascii="Lato" w:eastAsia="Arial" w:hAnsi="Lato" w:cs="Arial"/>
                <w:color w:val="000000"/>
                <w:sz w:val="20"/>
                <w:szCs w:val="20"/>
                <w:lang w:eastAsia="en-AU"/>
              </w:rPr>
              <w:t> </w:t>
            </w:r>
          </w:p>
        </w:tc>
        <w:tc>
          <w:tcPr>
            <w:tcW w:w="2268" w:type="dxa"/>
            <w:tcBorders>
              <w:top w:val="nil"/>
              <w:left w:val="nil"/>
              <w:bottom w:val="single" w:sz="4" w:space="0" w:color="auto"/>
              <w:right w:val="nil"/>
            </w:tcBorders>
            <w:shd w:val="clear" w:color="auto" w:fill="B4C227"/>
            <w:vAlign w:val="center"/>
            <w:hideMark/>
          </w:tcPr>
          <w:p w14:paraId="231762C4" w14:textId="77777777" w:rsidR="00074860" w:rsidRPr="00E5087D" w:rsidRDefault="00074860">
            <w:pPr>
              <w:spacing w:before="60" w:after="60" w:line="240" w:lineRule="auto"/>
              <w:ind w:right="113"/>
              <w:jc w:val="right"/>
              <w:textAlignment w:val="baseline"/>
              <w:rPr>
                <w:rFonts w:ascii="Lato" w:eastAsia="Arial" w:hAnsi="Lato" w:cs="Segoe UI"/>
                <w:color w:val="000000"/>
                <w:sz w:val="20"/>
                <w:szCs w:val="20"/>
                <w:lang w:eastAsia="en-AU"/>
              </w:rPr>
            </w:pPr>
            <w:r w:rsidRPr="00E5087D">
              <w:rPr>
                <w:rFonts w:ascii="Lato" w:eastAsia="Arial" w:hAnsi="Lato" w:cs="Arial"/>
                <w:i/>
                <w:iCs/>
                <w:color w:val="000000"/>
                <w:sz w:val="20"/>
                <w:szCs w:val="20"/>
                <w:lang w:eastAsia="en-AU"/>
              </w:rPr>
              <w:t>35%</w:t>
            </w:r>
            <w:r w:rsidRPr="00E5087D">
              <w:rPr>
                <w:rFonts w:ascii="Lato" w:eastAsia="Arial" w:hAnsi="Lato" w:cs="Arial"/>
                <w:color w:val="000000"/>
                <w:sz w:val="20"/>
                <w:szCs w:val="20"/>
                <w:lang w:eastAsia="en-AU"/>
              </w:rPr>
              <w:t> </w:t>
            </w:r>
          </w:p>
        </w:tc>
      </w:tr>
      <w:tr w:rsidR="00074860" w:rsidRPr="00E5087D" w14:paraId="30679885" w14:textId="77777777" w:rsidTr="0054082D">
        <w:trPr>
          <w:trHeight w:val="283"/>
        </w:trPr>
        <w:tc>
          <w:tcPr>
            <w:tcW w:w="5976" w:type="dxa"/>
            <w:gridSpan w:val="3"/>
            <w:tcBorders>
              <w:top w:val="single" w:sz="4" w:space="0" w:color="auto"/>
              <w:left w:val="nil"/>
              <w:bottom w:val="nil"/>
              <w:right w:val="nil"/>
            </w:tcBorders>
            <w:shd w:val="clear" w:color="auto" w:fill="D2DE5A"/>
            <w:vAlign w:val="center"/>
            <w:hideMark/>
          </w:tcPr>
          <w:p w14:paraId="286C6E64" w14:textId="77777777" w:rsidR="00074860" w:rsidRPr="00E5087D" w:rsidRDefault="00074860">
            <w:pPr>
              <w:spacing w:before="60" w:after="60" w:line="240" w:lineRule="auto"/>
              <w:textAlignment w:val="baseline"/>
              <w:rPr>
                <w:rFonts w:ascii="Lato Black" w:eastAsia="Arial" w:hAnsi="Lato Black" w:cs="Arial"/>
                <w:b/>
                <w:bCs/>
                <w:color w:val="000000"/>
                <w:lang w:eastAsia="en-AU"/>
              </w:rPr>
            </w:pPr>
            <w:r w:rsidRPr="00E5087D">
              <w:rPr>
                <w:rFonts w:ascii="Lato Black" w:eastAsia="Arial" w:hAnsi="Lato Black" w:cs="Arial"/>
                <w:b/>
                <w:bCs/>
                <w:color w:val="000000"/>
                <w:lang w:eastAsia="en-AU"/>
              </w:rPr>
              <w:t xml:space="preserve"> Clean energy demand </w:t>
            </w:r>
          </w:p>
        </w:tc>
        <w:tc>
          <w:tcPr>
            <w:tcW w:w="1537" w:type="dxa"/>
            <w:tcBorders>
              <w:top w:val="single" w:sz="4" w:space="0" w:color="auto"/>
              <w:left w:val="nil"/>
              <w:bottom w:val="nil"/>
              <w:right w:val="nil"/>
            </w:tcBorders>
            <w:shd w:val="clear" w:color="auto" w:fill="D2DE5A"/>
            <w:vAlign w:val="center"/>
            <w:hideMark/>
          </w:tcPr>
          <w:p w14:paraId="62D3BDDB" w14:textId="77777777" w:rsidR="00074860" w:rsidRPr="00E5087D" w:rsidRDefault="00074860">
            <w:pPr>
              <w:spacing w:before="60" w:after="60" w:line="240" w:lineRule="auto"/>
              <w:jc w:val="right"/>
              <w:textAlignment w:val="baseline"/>
              <w:rPr>
                <w:rFonts w:ascii="Lato Black" w:eastAsia="Arial" w:hAnsi="Lato Black" w:cs="Arial"/>
                <w:b/>
                <w:bCs/>
                <w:color w:val="000000"/>
                <w:lang w:eastAsia="en-AU"/>
              </w:rPr>
            </w:pPr>
            <w:r w:rsidRPr="00E5087D">
              <w:rPr>
                <w:rFonts w:ascii="Lato Black" w:eastAsia="Arial" w:hAnsi="Lato Black" w:cs="Arial"/>
                <w:b/>
                <w:bCs/>
                <w:color w:val="000000"/>
                <w:sz w:val="20"/>
                <w:szCs w:val="20"/>
                <w:lang w:eastAsia="en-AU"/>
              </w:rPr>
              <w:t>8.0% </w:t>
            </w:r>
          </w:p>
        </w:tc>
        <w:tc>
          <w:tcPr>
            <w:tcW w:w="2268" w:type="dxa"/>
            <w:tcBorders>
              <w:top w:val="single" w:sz="4" w:space="0" w:color="auto"/>
              <w:left w:val="nil"/>
              <w:bottom w:val="nil"/>
              <w:right w:val="nil"/>
            </w:tcBorders>
            <w:shd w:val="clear" w:color="auto" w:fill="D2DE5A"/>
            <w:vAlign w:val="center"/>
            <w:hideMark/>
          </w:tcPr>
          <w:p w14:paraId="702757FE" w14:textId="77777777" w:rsidR="00074860" w:rsidRPr="00E5087D" w:rsidRDefault="00074860" w:rsidP="00A40BD6">
            <w:pPr>
              <w:spacing w:before="100" w:beforeAutospacing="1" w:after="0" w:line="240" w:lineRule="auto"/>
              <w:textAlignment w:val="baseline"/>
              <w:rPr>
                <w:rFonts w:ascii="Lato Black" w:eastAsia="Arial" w:hAnsi="Lato Black" w:cs="Arial"/>
                <w:b/>
                <w:bCs/>
                <w:color w:val="000000"/>
                <w:lang w:eastAsia="en-AU"/>
              </w:rPr>
            </w:pPr>
            <w:r w:rsidRPr="00E5087D">
              <w:rPr>
                <w:rFonts w:ascii="Lato Black" w:eastAsia="Arial" w:hAnsi="Lato Black" w:cs="Arial"/>
                <w:b/>
                <w:bCs/>
                <w:color w:val="000000"/>
                <w:lang w:eastAsia="en-AU"/>
              </w:rPr>
              <w:t> </w:t>
            </w:r>
          </w:p>
        </w:tc>
      </w:tr>
      <w:tr w:rsidR="00074860" w:rsidRPr="00E5087D" w14:paraId="37485B11" w14:textId="77777777" w:rsidTr="0054082D">
        <w:trPr>
          <w:trHeight w:val="585"/>
        </w:trPr>
        <w:tc>
          <w:tcPr>
            <w:tcW w:w="9781" w:type="dxa"/>
            <w:gridSpan w:val="5"/>
            <w:tcBorders>
              <w:top w:val="nil"/>
              <w:left w:val="nil"/>
              <w:bottom w:val="nil"/>
              <w:right w:val="nil"/>
            </w:tcBorders>
            <w:shd w:val="clear" w:color="auto" w:fill="D2DE5A"/>
            <w:vAlign w:val="center"/>
            <w:hideMark/>
          </w:tcPr>
          <w:p w14:paraId="1152F9DD" w14:textId="77777777" w:rsidR="00074860" w:rsidRPr="00E5087D" w:rsidRDefault="00074860">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Industry groups that relate to energy demand, noting that most industry groups are about more than energy. Industry groups in the clean energy demand segment will have skill and job role implications. Clean energy is already a significant (albeit minority) proportion of activity and likely to grow.</w:t>
            </w:r>
            <w:r w:rsidRPr="00E5087D">
              <w:rPr>
                <w:rFonts w:eastAsia="Arial" w:cs="Arial"/>
                <w:color w:val="000000"/>
                <w:sz w:val="18"/>
                <w:szCs w:val="18"/>
                <w:lang w:eastAsia="en-AU"/>
              </w:rPr>
              <w:t> </w:t>
            </w:r>
          </w:p>
        </w:tc>
      </w:tr>
      <w:tr w:rsidR="00074860" w:rsidRPr="00E5087D" w14:paraId="5CF285F8" w14:textId="77777777" w:rsidTr="0054082D">
        <w:trPr>
          <w:trHeight w:val="272"/>
        </w:trPr>
        <w:tc>
          <w:tcPr>
            <w:tcW w:w="5976" w:type="dxa"/>
            <w:gridSpan w:val="3"/>
            <w:tcBorders>
              <w:top w:val="nil"/>
              <w:left w:val="nil"/>
              <w:bottom w:val="nil"/>
              <w:right w:val="nil"/>
            </w:tcBorders>
            <w:shd w:val="clear" w:color="auto" w:fill="D2DE5A"/>
            <w:vAlign w:val="center"/>
            <w:hideMark/>
          </w:tcPr>
          <w:p w14:paraId="6DDA7576"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Demand – energy usage </w:t>
            </w:r>
          </w:p>
        </w:tc>
        <w:tc>
          <w:tcPr>
            <w:tcW w:w="1537" w:type="dxa"/>
            <w:tcBorders>
              <w:top w:val="nil"/>
              <w:left w:val="nil"/>
              <w:bottom w:val="nil"/>
              <w:right w:val="nil"/>
            </w:tcBorders>
            <w:shd w:val="clear" w:color="auto" w:fill="D2DE5A"/>
            <w:vAlign w:val="center"/>
            <w:hideMark/>
          </w:tcPr>
          <w:p w14:paraId="70D92B59"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1.1% </w:t>
            </w:r>
          </w:p>
        </w:tc>
        <w:tc>
          <w:tcPr>
            <w:tcW w:w="2268" w:type="dxa"/>
            <w:tcBorders>
              <w:top w:val="nil"/>
              <w:left w:val="nil"/>
              <w:bottom w:val="nil"/>
              <w:right w:val="nil"/>
            </w:tcBorders>
            <w:shd w:val="clear" w:color="auto" w:fill="D2DE5A"/>
            <w:vAlign w:val="center"/>
            <w:hideMark/>
          </w:tcPr>
          <w:p w14:paraId="5660DC5B"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20% </w:t>
            </w:r>
          </w:p>
        </w:tc>
      </w:tr>
      <w:tr w:rsidR="00074860" w:rsidRPr="00E5087D" w14:paraId="35F6E7A4" w14:textId="77777777" w:rsidTr="0054082D">
        <w:trPr>
          <w:trHeight w:val="272"/>
        </w:trPr>
        <w:tc>
          <w:tcPr>
            <w:tcW w:w="5976" w:type="dxa"/>
            <w:gridSpan w:val="3"/>
            <w:tcBorders>
              <w:top w:val="nil"/>
              <w:left w:val="nil"/>
              <w:bottom w:val="nil"/>
              <w:right w:val="nil"/>
            </w:tcBorders>
            <w:shd w:val="clear" w:color="auto" w:fill="D2DE5A"/>
            <w:vAlign w:val="center"/>
            <w:hideMark/>
          </w:tcPr>
          <w:p w14:paraId="5F0A5F0C"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Demand – energy performance </w:t>
            </w:r>
          </w:p>
        </w:tc>
        <w:tc>
          <w:tcPr>
            <w:tcW w:w="1537" w:type="dxa"/>
            <w:tcBorders>
              <w:top w:val="nil"/>
              <w:left w:val="nil"/>
              <w:bottom w:val="nil"/>
              <w:right w:val="nil"/>
            </w:tcBorders>
            <w:shd w:val="clear" w:color="auto" w:fill="D2DE5A"/>
            <w:vAlign w:val="center"/>
            <w:hideMark/>
          </w:tcPr>
          <w:p w14:paraId="2BED350A"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3.7% </w:t>
            </w:r>
          </w:p>
        </w:tc>
        <w:tc>
          <w:tcPr>
            <w:tcW w:w="2268" w:type="dxa"/>
            <w:tcBorders>
              <w:top w:val="nil"/>
              <w:left w:val="nil"/>
              <w:bottom w:val="nil"/>
              <w:right w:val="nil"/>
            </w:tcBorders>
            <w:shd w:val="clear" w:color="auto" w:fill="D2DE5A"/>
            <w:vAlign w:val="center"/>
            <w:hideMark/>
          </w:tcPr>
          <w:p w14:paraId="461886C4"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15% - 20% </w:t>
            </w:r>
          </w:p>
        </w:tc>
      </w:tr>
      <w:tr w:rsidR="00074860" w:rsidRPr="00E5087D" w14:paraId="29C316A2" w14:textId="77777777" w:rsidTr="0054082D">
        <w:trPr>
          <w:trHeight w:val="272"/>
        </w:trPr>
        <w:tc>
          <w:tcPr>
            <w:tcW w:w="5976" w:type="dxa"/>
            <w:gridSpan w:val="3"/>
            <w:tcBorders>
              <w:top w:val="nil"/>
              <w:left w:val="nil"/>
              <w:bottom w:val="single" w:sz="4" w:space="0" w:color="auto"/>
              <w:right w:val="nil"/>
            </w:tcBorders>
            <w:shd w:val="clear" w:color="auto" w:fill="D2DE5A"/>
            <w:vAlign w:val="center"/>
            <w:hideMark/>
          </w:tcPr>
          <w:p w14:paraId="5C2161A2"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Demand – transport </w:t>
            </w:r>
          </w:p>
        </w:tc>
        <w:tc>
          <w:tcPr>
            <w:tcW w:w="1537" w:type="dxa"/>
            <w:tcBorders>
              <w:top w:val="nil"/>
              <w:left w:val="nil"/>
              <w:bottom w:val="single" w:sz="4" w:space="0" w:color="auto"/>
              <w:right w:val="nil"/>
            </w:tcBorders>
            <w:shd w:val="clear" w:color="auto" w:fill="D2DE5A"/>
            <w:vAlign w:val="center"/>
            <w:hideMark/>
          </w:tcPr>
          <w:p w14:paraId="07AB62A4"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3.2% </w:t>
            </w:r>
          </w:p>
        </w:tc>
        <w:tc>
          <w:tcPr>
            <w:tcW w:w="2268" w:type="dxa"/>
            <w:tcBorders>
              <w:top w:val="nil"/>
              <w:left w:val="nil"/>
              <w:bottom w:val="single" w:sz="4" w:space="0" w:color="auto"/>
              <w:right w:val="nil"/>
            </w:tcBorders>
            <w:shd w:val="clear" w:color="auto" w:fill="D2DE5A"/>
            <w:vAlign w:val="center"/>
            <w:hideMark/>
          </w:tcPr>
          <w:p w14:paraId="54F3D870"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&lt; 5% - 8% </w:t>
            </w:r>
          </w:p>
        </w:tc>
      </w:tr>
      <w:tr w:rsidR="00074860" w:rsidRPr="00E5087D" w14:paraId="1BFD88BA" w14:textId="77777777" w:rsidTr="0054082D">
        <w:trPr>
          <w:trHeight w:val="285"/>
        </w:trPr>
        <w:tc>
          <w:tcPr>
            <w:tcW w:w="5976" w:type="dxa"/>
            <w:gridSpan w:val="3"/>
            <w:tcBorders>
              <w:top w:val="single" w:sz="4" w:space="0" w:color="auto"/>
              <w:left w:val="nil"/>
              <w:bottom w:val="nil"/>
              <w:right w:val="nil"/>
            </w:tcBorders>
            <w:shd w:val="clear" w:color="auto" w:fill="E3EB9B"/>
            <w:vAlign w:val="center"/>
            <w:hideMark/>
          </w:tcPr>
          <w:p w14:paraId="3C480571" w14:textId="77777777" w:rsidR="00074860" w:rsidRPr="00E5087D" w:rsidRDefault="00074860">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b/>
                <w:bCs/>
                <w:color w:val="000000"/>
                <w:lang w:eastAsia="en-AU"/>
              </w:rPr>
              <w:t xml:space="preserve"> Clean energy </w:t>
            </w:r>
            <w:r w:rsidRPr="00E5087D">
              <w:rPr>
                <w:rFonts w:ascii="Lato Black" w:eastAsia="Arial" w:hAnsi="Lato Black" w:cs="Arial"/>
                <w:color w:val="000000"/>
                <w:lang w:eastAsia="en-AU"/>
              </w:rPr>
              <w:t>enabling</w:t>
            </w:r>
            <w:r w:rsidRPr="00E5087D">
              <w:rPr>
                <w:rFonts w:eastAsia="Arial" w:cs="Arial"/>
                <w:color w:val="000000"/>
                <w:sz w:val="20"/>
                <w:szCs w:val="20"/>
                <w:lang w:eastAsia="en-AU"/>
              </w:rPr>
              <w:t> </w:t>
            </w:r>
          </w:p>
        </w:tc>
        <w:tc>
          <w:tcPr>
            <w:tcW w:w="1537" w:type="dxa"/>
            <w:tcBorders>
              <w:top w:val="single" w:sz="4" w:space="0" w:color="auto"/>
              <w:left w:val="nil"/>
              <w:bottom w:val="nil"/>
              <w:right w:val="nil"/>
            </w:tcBorders>
            <w:shd w:val="clear" w:color="auto" w:fill="E3EB9B"/>
            <w:vAlign w:val="center"/>
            <w:hideMark/>
          </w:tcPr>
          <w:p w14:paraId="3205898E" w14:textId="77777777" w:rsidR="00074860" w:rsidRPr="00E5087D" w:rsidRDefault="00074860">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17.1% </w:t>
            </w:r>
          </w:p>
        </w:tc>
        <w:tc>
          <w:tcPr>
            <w:tcW w:w="2268" w:type="dxa"/>
            <w:tcBorders>
              <w:top w:val="single" w:sz="4" w:space="0" w:color="auto"/>
              <w:left w:val="nil"/>
              <w:bottom w:val="nil"/>
              <w:right w:val="nil"/>
            </w:tcBorders>
            <w:shd w:val="clear" w:color="auto" w:fill="E3EB9B"/>
            <w:vAlign w:val="center"/>
            <w:hideMark/>
          </w:tcPr>
          <w:p w14:paraId="197AEDB2" w14:textId="77777777" w:rsidR="00074860" w:rsidRPr="00E5087D" w:rsidRDefault="00074860">
            <w:pPr>
              <w:spacing w:before="60" w:after="60" w:line="240" w:lineRule="auto"/>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074860" w:rsidRPr="00E5087D" w14:paraId="215A4766" w14:textId="77777777" w:rsidTr="0054082D">
        <w:trPr>
          <w:trHeight w:val="525"/>
        </w:trPr>
        <w:tc>
          <w:tcPr>
            <w:tcW w:w="9781" w:type="dxa"/>
            <w:gridSpan w:val="5"/>
            <w:tcBorders>
              <w:top w:val="nil"/>
              <w:left w:val="nil"/>
              <w:bottom w:val="nil"/>
              <w:right w:val="nil"/>
            </w:tcBorders>
            <w:shd w:val="clear" w:color="auto" w:fill="E3EB9B"/>
            <w:hideMark/>
          </w:tcPr>
          <w:p w14:paraId="687310D9" w14:textId="77777777" w:rsidR="00074860" w:rsidRPr="00E5087D" w:rsidRDefault="00074860">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Industry groups which enable clean energy production, supply and usage but where the clean energy component is small. Generally, clean energy workers in these sectors are distinguished by subject matter expertise rather than distinct job roles or skills.</w:t>
            </w:r>
            <w:r w:rsidRPr="00E5087D">
              <w:rPr>
                <w:rFonts w:eastAsia="Arial" w:cs="Arial"/>
                <w:color w:val="000000"/>
                <w:sz w:val="18"/>
                <w:szCs w:val="18"/>
                <w:lang w:eastAsia="en-AU"/>
              </w:rPr>
              <w:t> </w:t>
            </w:r>
          </w:p>
        </w:tc>
      </w:tr>
      <w:tr w:rsidR="00074860" w:rsidRPr="00E5087D" w14:paraId="7A913D09" w14:textId="77777777" w:rsidTr="0054082D">
        <w:trPr>
          <w:trHeight w:val="272"/>
        </w:trPr>
        <w:tc>
          <w:tcPr>
            <w:tcW w:w="5976" w:type="dxa"/>
            <w:gridSpan w:val="3"/>
            <w:tcBorders>
              <w:top w:val="nil"/>
              <w:left w:val="nil"/>
              <w:bottom w:val="nil"/>
              <w:right w:val="nil"/>
            </w:tcBorders>
            <w:shd w:val="clear" w:color="auto" w:fill="E3EB9B"/>
            <w:hideMark/>
          </w:tcPr>
          <w:p w14:paraId="1F71E37B"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education, training, research &amp; technology </w:t>
            </w:r>
          </w:p>
        </w:tc>
        <w:tc>
          <w:tcPr>
            <w:tcW w:w="1537" w:type="dxa"/>
            <w:tcBorders>
              <w:top w:val="nil"/>
              <w:left w:val="nil"/>
              <w:bottom w:val="nil"/>
              <w:right w:val="nil"/>
            </w:tcBorders>
            <w:shd w:val="clear" w:color="auto" w:fill="E3EB9B"/>
            <w:hideMark/>
          </w:tcPr>
          <w:p w14:paraId="6F30ADD6"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2.2% </w:t>
            </w:r>
          </w:p>
        </w:tc>
        <w:tc>
          <w:tcPr>
            <w:tcW w:w="2268" w:type="dxa"/>
            <w:tcBorders>
              <w:top w:val="nil"/>
              <w:left w:val="nil"/>
              <w:bottom w:val="nil"/>
              <w:right w:val="nil"/>
            </w:tcBorders>
            <w:shd w:val="clear" w:color="auto" w:fill="E3EB9B"/>
            <w:hideMark/>
          </w:tcPr>
          <w:p w14:paraId="3989E7E0"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4% - 5% </w:t>
            </w:r>
          </w:p>
        </w:tc>
      </w:tr>
      <w:tr w:rsidR="00074860" w:rsidRPr="00E5087D" w14:paraId="5E7DFA66" w14:textId="77777777" w:rsidTr="0054082D">
        <w:trPr>
          <w:trHeight w:val="272"/>
        </w:trPr>
        <w:tc>
          <w:tcPr>
            <w:tcW w:w="5976" w:type="dxa"/>
            <w:gridSpan w:val="3"/>
            <w:tcBorders>
              <w:top w:val="nil"/>
              <w:left w:val="nil"/>
              <w:bottom w:val="nil"/>
              <w:right w:val="nil"/>
            </w:tcBorders>
            <w:shd w:val="clear" w:color="auto" w:fill="E3EB9B"/>
            <w:hideMark/>
          </w:tcPr>
          <w:p w14:paraId="30DF791B"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finance, legal, business </w:t>
            </w:r>
          </w:p>
        </w:tc>
        <w:tc>
          <w:tcPr>
            <w:tcW w:w="1537" w:type="dxa"/>
            <w:tcBorders>
              <w:top w:val="nil"/>
              <w:left w:val="nil"/>
              <w:bottom w:val="nil"/>
              <w:right w:val="nil"/>
            </w:tcBorders>
            <w:shd w:val="clear" w:color="auto" w:fill="E3EB9B"/>
            <w:hideMark/>
          </w:tcPr>
          <w:p w14:paraId="0835DDF3"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4.4% </w:t>
            </w:r>
          </w:p>
        </w:tc>
        <w:tc>
          <w:tcPr>
            <w:tcW w:w="2268" w:type="dxa"/>
            <w:tcBorders>
              <w:top w:val="nil"/>
              <w:left w:val="nil"/>
              <w:bottom w:val="nil"/>
              <w:right w:val="nil"/>
            </w:tcBorders>
            <w:shd w:val="clear" w:color="auto" w:fill="E3EB9B"/>
            <w:hideMark/>
          </w:tcPr>
          <w:p w14:paraId="15905E4A"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&lt; 1%  </w:t>
            </w:r>
          </w:p>
        </w:tc>
      </w:tr>
      <w:tr w:rsidR="00074860" w:rsidRPr="00E5087D" w14:paraId="428B4941" w14:textId="77777777" w:rsidTr="0054082D">
        <w:trPr>
          <w:trHeight w:val="272"/>
        </w:trPr>
        <w:tc>
          <w:tcPr>
            <w:tcW w:w="5976" w:type="dxa"/>
            <w:gridSpan w:val="3"/>
            <w:tcBorders>
              <w:top w:val="nil"/>
              <w:left w:val="nil"/>
              <w:bottom w:val="nil"/>
              <w:right w:val="nil"/>
            </w:tcBorders>
            <w:shd w:val="clear" w:color="auto" w:fill="E3EB9B"/>
            <w:hideMark/>
          </w:tcPr>
          <w:p w14:paraId="21FBF9C4"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engineering, procurement &amp; construction </w:t>
            </w:r>
          </w:p>
        </w:tc>
        <w:tc>
          <w:tcPr>
            <w:tcW w:w="1537" w:type="dxa"/>
            <w:tcBorders>
              <w:top w:val="nil"/>
              <w:left w:val="nil"/>
              <w:bottom w:val="nil"/>
              <w:right w:val="nil"/>
            </w:tcBorders>
            <w:shd w:val="clear" w:color="auto" w:fill="E3EB9B"/>
            <w:hideMark/>
          </w:tcPr>
          <w:p w14:paraId="5AA99E75"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2.1% </w:t>
            </w:r>
          </w:p>
        </w:tc>
        <w:tc>
          <w:tcPr>
            <w:tcW w:w="2268" w:type="dxa"/>
            <w:tcBorders>
              <w:top w:val="nil"/>
              <w:left w:val="nil"/>
              <w:bottom w:val="nil"/>
              <w:right w:val="nil"/>
            </w:tcBorders>
            <w:shd w:val="clear" w:color="auto" w:fill="E3EB9B"/>
            <w:hideMark/>
          </w:tcPr>
          <w:p w14:paraId="3830C892"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10% </w:t>
            </w:r>
          </w:p>
        </w:tc>
      </w:tr>
      <w:tr w:rsidR="00074860" w:rsidRPr="00E5087D" w14:paraId="12ABB711" w14:textId="77777777" w:rsidTr="0054082D">
        <w:trPr>
          <w:trHeight w:val="272"/>
        </w:trPr>
        <w:tc>
          <w:tcPr>
            <w:tcW w:w="5976" w:type="dxa"/>
            <w:gridSpan w:val="3"/>
            <w:tcBorders>
              <w:top w:val="nil"/>
              <w:left w:val="nil"/>
              <w:bottom w:val="nil"/>
              <w:right w:val="nil"/>
            </w:tcBorders>
            <w:shd w:val="clear" w:color="auto" w:fill="E3EB9B"/>
            <w:hideMark/>
          </w:tcPr>
          <w:p w14:paraId="74860FA3"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regulatory </w:t>
            </w:r>
          </w:p>
        </w:tc>
        <w:tc>
          <w:tcPr>
            <w:tcW w:w="1537" w:type="dxa"/>
            <w:tcBorders>
              <w:top w:val="nil"/>
              <w:left w:val="nil"/>
              <w:bottom w:val="nil"/>
              <w:right w:val="nil"/>
            </w:tcBorders>
            <w:shd w:val="clear" w:color="auto" w:fill="E3EB9B"/>
            <w:hideMark/>
          </w:tcPr>
          <w:p w14:paraId="5612D5ED"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3.9% </w:t>
            </w:r>
          </w:p>
        </w:tc>
        <w:tc>
          <w:tcPr>
            <w:tcW w:w="2268" w:type="dxa"/>
            <w:tcBorders>
              <w:top w:val="nil"/>
              <w:left w:val="nil"/>
              <w:bottom w:val="nil"/>
              <w:right w:val="nil"/>
            </w:tcBorders>
            <w:shd w:val="clear" w:color="auto" w:fill="E3EB9B"/>
            <w:hideMark/>
          </w:tcPr>
          <w:p w14:paraId="2BA5CCBA"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4% </w:t>
            </w:r>
          </w:p>
        </w:tc>
      </w:tr>
      <w:tr w:rsidR="00074860" w:rsidRPr="00E5087D" w14:paraId="3EA60FFA" w14:textId="77777777" w:rsidTr="0054082D">
        <w:trPr>
          <w:trHeight w:val="272"/>
        </w:trPr>
        <w:tc>
          <w:tcPr>
            <w:tcW w:w="5976" w:type="dxa"/>
            <w:gridSpan w:val="3"/>
            <w:tcBorders>
              <w:top w:val="nil"/>
              <w:left w:val="nil"/>
              <w:bottom w:val="nil"/>
              <w:right w:val="nil"/>
            </w:tcBorders>
            <w:shd w:val="clear" w:color="auto" w:fill="E3EB9B"/>
            <w:hideMark/>
          </w:tcPr>
          <w:p w14:paraId="609AC331"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supply chain </w:t>
            </w:r>
          </w:p>
        </w:tc>
        <w:tc>
          <w:tcPr>
            <w:tcW w:w="1537" w:type="dxa"/>
            <w:tcBorders>
              <w:top w:val="nil"/>
              <w:left w:val="nil"/>
              <w:bottom w:val="nil"/>
              <w:right w:val="nil"/>
            </w:tcBorders>
            <w:shd w:val="clear" w:color="auto" w:fill="E3EB9B"/>
            <w:hideMark/>
          </w:tcPr>
          <w:p w14:paraId="2C3F1B99"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1.7% </w:t>
            </w:r>
          </w:p>
        </w:tc>
        <w:tc>
          <w:tcPr>
            <w:tcW w:w="2268" w:type="dxa"/>
            <w:tcBorders>
              <w:top w:val="nil"/>
              <w:left w:val="nil"/>
              <w:bottom w:val="nil"/>
              <w:right w:val="nil"/>
            </w:tcBorders>
            <w:shd w:val="clear" w:color="auto" w:fill="E3EB9B"/>
            <w:hideMark/>
          </w:tcPr>
          <w:p w14:paraId="0C128C89"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&lt; 1% </w:t>
            </w:r>
          </w:p>
        </w:tc>
      </w:tr>
      <w:tr w:rsidR="00074860" w:rsidRPr="00E5087D" w14:paraId="05B6076B" w14:textId="77777777" w:rsidTr="0054082D">
        <w:trPr>
          <w:trHeight w:val="272"/>
        </w:trPr>
        <w:tc>
          <w:tcPr>
            <w:tcW w:w="5976" w:type="dxa"/>
            <w:gridSpan w:val="3"/>
            <w:tcBorders>
              <w:top w:val="nil"/>
              <w:left w:val="nil"/>
              <w:bottom w:val="single" w:sz="4" w:space="0" w:color="auto"/>
              <w:right w:val="nil"/>
            </w:tcBorders>
            <w:shd w:val="clear" w:color="auto" w:fill="E3EB9B"/>
            <w:hideMark/>
          </w:tcPr>
          <w:p w14:paraId="03BFCA1B"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Enabling – vehicle &amp; equipment production, trade &amp; maintenance </w:t>
            </w:r>
          </w:p>
        </w:tc>
        <w:tc>
          <w:tcPr>
            <w:tcW w:w="1537" w:type="dxa"/>
            <w:tcBorders>
              <w:top w:val="nil"/>
              <w:left w:val="nil"/>
              <w:bottom w:val="single" w:sz="4" w:space="0" w:color="auto"/>
              <w:right w:val="nil"/>
            </w:tcBorders>
            <w:shd w:val="clear" w:color="auto" w:fill="E3EB9B"/>
            <w:hideMark/>
          </w:tcPr>
          <w:p w14:paraId="6FB930F1" w14:textId="77777777" w:rsidR="00074860" w:rsidRPr="00E5087D" w:rsidRDefault="00074860">
            <w:pPr>
              <w:spacing w:before="60" w:after="60" w:line="240" w:lineRule="auto"/>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2.7% </w:t>
            </w:r>
          </w:p>
        </w:tc>
        <w:tc>
          <w:tcPr>
            <w:tcW w:w="2268" w:type="dxa"/>
            <w:tcBorders>
              <w:top w:val="nil"/>
              <w:left w:val="nil"/>
              <w:bottom w:val="single" w:sz="4" w:space="0" w:color="auto"/>
              <w:right w:val="nil"/>
            </w:tcBorders>
            <w:shd w:val="clear" w:color="auto" w:fill="E3EB9B"/>
            <w:hideMark/>
          </w:tcPr>
          <w:p w14:paraId="2E97842A" w14:textId="77777777" w:rsidR="00074860" w:rsidRPr="00E5087D" w:rsidRDefault="00074860">
            <w:pPr>
              <w:spacing w:before="60" w:after="60" w:line="240" w:lineRule="auto"/>
              <w:ind w:right="113"/>
              <w:jc w:val="right"/>
              <w:textAlignment w:val="baseline"/>
              <w:rPr>
                <w:rFonts w:ascii="Lato" w:eastAsia="Arial" w:hAnsi="Lato" w:cs="Arial"/>
                <w:i/>
                <w:iCs/>
                <w:color w:val="000000"/>
                <w:sz w:val="20"/>
                <w:szCs w:val="20"/>
                <w:lang w:eastAsia="en-AU"/>
              </w:rPr>
            </w:pPr>
            <w:r w:rsidRPr="00E5087D">
              <w:rPr>
                <w:rFonts w:ascii="Lato" w:eastAsia="Arial" w:hAnsi="Lato" w:cs="Arial"/>
                <w:i/>
                <w:iCs/>
                <w:color w:val="000000"/>
                <w:sz w:val="20"/>
                <w:szCs w:val="20"/>
                <w:lang w:eastAsia="en-AU"/>
              </w:rPr>
              <w:t>Up to 8% </w:t>
            </w:r>
          </w:p>
        </w:tc>
      </w:tr>
      <w:tr w:rsidR="00074860" w:rsidRPr="00E5087D" w14:paraId="79715006" w14:textId="77777777" w:rsidTr="0054082D">
        <w:trPr>
          <w:trHeight w:val="285"/>
        </w:trPr>
        <w:tc>
          <w:tcPr>
            <w:tcW w:w="5976" w:type="dxa"/>
            <w:gridSpan w:val="3"/>
            <w:tcBorders>
              <w:top w:val="single" w:sz="4" w:space="0" w:color="auto"/>
              <w:left w:val="nil"/>
              <w:bottom w:val="nil"/>
              <w:right w:val="nil"/>
            </w:tcBorders>
            <w:shd w:val="clear" w:color="auto" w:fill="ECF1BC"/>
            <w:hideMark/>
          </w:tcPr>
          <w:p w14:paraId="33474447" w14:textId="77777777" w:rsidR="00074860" w:rsidRPr="00E5087D" w:rsidRDefault="00074860">
            <w:pPr>
              <w:spacing w:before="60" w:after="60" w:line="240" w:lineRule="auto"/>
              <w:textAlignment w:val="baseline"/>
              <w:rPr>
                <w:rFonts w:ascii="Lato Black" w:eastAsia="Arial" w:hAnsi="Lato Black" w:cs="Arial"/>
                <w:color w:val="000000"/>
                <w:lang w:eastAsia="en-AU"/>
              </w:rPr>
            </w:pPr>
            <w:r w:rsidRPr="00E5087D">
              <w:rPr>
                <w:rFonts w:ascii="Lato Black" w:eastAsia="Arial" w:hAnsi="Lato Black" w:cs="Arial"/>
                <w:color w:val="000000"/>
                <w:lang w:eastAsia="en-AU"/>
              </w:rPr>
              <w:t xml:space="preserve"> Carbon lifecycle</w:t>
            </w:r>
          </w:p>
        </w:tc>
        <w:tc>
          <w:tcPr>
            <w:tcW w:w="1537" w:type="dxa"/>
            <w:tcBorders>
              <w:top w:val="single" w:sz="4" w:space="0" w:color="auto"/>
              <w:left w:val="nil"/>
              <w:bottom w:val="nil"/>
              <w:right w:val="nil"/>
            </w:tcBorders>
            <w:shd w:val="clear" w:color="auto" w:fill="ECF1BC"/>
            <w:hideMark/>
          </w:tcPr>
          <w:p w14:paraId="5013184E" w14:textId="77777777" w:rsidR="00074860" w:rsidRPr="00E5087D" w:rsidRDefault="00074860">
            <w:pPr>
              <w:spacing w:before="60" w:after="60" w:line="240" w:lineRule="auto"/>
              <w:jc w:val="right"/>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sz w:val="20"/>
                <w:szCs w:val="20"/>
                <w:lang w:eastAsia="en-AU"/>
              </w:rPr>
              <w:t>0.5%</w:t>
            </w:r>
            <w:r w:rsidRPr="00E5087D">
              <w:rPr>
                <w:rFonts w:eastAsia="Arial" w:cs="Arial"/>
                <w:color w:val="000000"/>
                <w:lang w:eastAsia="en-AU"/>
              </w:rPr>
              <w:t> </w:t>
            </w:r>
          </w:p>
        </w:tc>
        <w:tc>
          <w:tcPr>
            <w:tcW w:w="2268" w:type="dxa"/>
            <w:tcBorders>
              <w:top w:val="single" w:sz="4" w:space="0" w:color="auto"/>
              <w:left w:val="nil"/>
              <w:bottom w:val="nil"/>
              <w:right w:val="nil"/>
            </w:tcBorders>
            <w:shd w:val="clear" w:color="auto" w:fill="ECF1BC"/>
            <w:hideMark/>
          </w:tcPr>
          <w:p w14:paraId="0798513D" w14:textId="77777777" w:rsidR="00074860" w:rsidRPr="00E5087D" w:rsidRDefault="00074860">
            <w:pPr>
              <w:spacing w:before="60" w:after="60" w:line="240" w:lineRule="auto"/>
              <w:jc w:val="right"/>
              <w:textAlignment w:val="baseline"/>
              <w:rPr>
                <w:rFonts w:ascii="Segoe UI" w:eastAsia="Arial" w:hAnsi="Segoe UI" w:cs="Segoe UI"/>
                <w:color w:val="000000"/>
                <w:sz w:val="18"/>
                <w:szCs w:val="18"/>
                <w:lang w:eastAsia="en-AU"/>
              </w:rPr>
            </w:pPr>
            <w:r w:rsidRPr="00E5087D">
              <w:rPr>
                <w:rFonts w:eastAsia="Arial" w:cs="Arial"/>
                <w:color w:val="000000"/>
                <w:sz w:val="20"/>
                <w:szCs w:val="20"/>
                <w:lang w:eastAsia="en-AU"/>
              </w:rPr>
              <w:t> </w:t>
            </w:r>
          </w:p>
        </w:tc>
      </w:tr>
      <w:tr w:rsidR="00074860" w:rsidRPr="00E5087D" w14:paraId="2DDBA763" w14:textId="77777777" w:rsidTr="0054082D">
        <w:trPr>
          <w:trHeight w:val="300"/>
        </w:trPr>
        <w:tc>
          <w:tcPr>
            <w:tcW w:w="9781" w:type="dxa"/>
            <w:gridSpan w:val="5"/>
            <w:tcBorders>
              <w:top w:val="nil"/>
              <w:left w:val="nil"/>
              <w:bottom w:val="single" w:sz="4" w:space="0" w:color="auto"/>
              <w:right w:val="nil"/>
            </w:tcBorders>
            <w:shd w:val="clear" w:color="auto" w:fill="ECF1BC"/>
            <w:hideMark/>
          </w:tcPr>
          <w:p w14:paraId="0B17DF3C" w14:textId="77777777" w:rsidR="00074860" w:rsidRPr="00E5087D" w:rsidRDefault="00074860">
            <w:pPr>
              <w:spacing w:before="60" w:after="60" w:line="240" w:lineRule="auto"/>
              <w:ind w:left="57" w:right="113"/>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Industry groups which will have a substantial contribution to managing the carbon lifecycle, through carbon capture or the circular economy.</w:t>
            </w:r>
            <w:r w:rsidRPr="00E5087D">
              <w:rPr>
                <w:rFonts w:eastAsia="Arial" w:cs="Arial"/>
                <w:color w:val="000000"/>
                <w:lang w:eastAsia="en-AU"/>
              </w:rPr>
              <w:t> </w:t>
            </w:r>
          </w:p>
        </w:tc>
      </w:tr>
      <w:tr w:rsidR="00074860" w:rsidRPr="00E5087D" w14:paraId="3DE9F261" w14:textId="77777777" w:rsidTr="0054082D">
        <w:trPr>
          <w:trHeight w:val="285"/>
        </w:trPr>
        <w:tc>
          <w:tcPr>
            <w:tcW w:w="5976" w:type="dxa"/>
            <w:gridSpan w:val="3"/>
            <w:tcBorders>
              <w:top w:val="single" w:sz="4" w:space="0" w:color="auto"/>
              <w:left w:val="nil"/>
              <w:bottom w:val="nil"/>
              <w:right w:val="nil"/>
            </w:tcBorders>
            <w:shd w:val="clear" w:color="auto" w:fill="F5F8DD"/>
            <w:hideMark/>
          </w:tcPr>
          <w:p w14:paraId="5EB14958" w14:textId="77777777" w:rsidR="00074860" w:rsidRPr="00E5087D" w:rsidRDefault="00074860">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lang w:eastAsia="en-AU"/>
              </w:rPr>
              <w:t xml:space="preserve"> Transitioning </w:t>
            </w:r>
          </w:p>
        </w:tc>
        <w:tc>
          <w:tcPr>
            <w:tcW w:w="1537" w:type="dxa"/>
            <w:tcBorders>
              <w:top w:val="single" w:sz="4" w:space="0" w:color="auto"/>
              <w:left w:val="nil"/>
              <w:bottom w:val="nil"/>
              <w:right w:val="nil"/>
            </w:tcBorders>
            <w:shd w:val="clear" w:color="auto" w:fill="F5F8DD"/>
            <w:hideMark/>
          </w:tcPr>
          <w:p w14:paraId="5257A0A4" w14:textId="77777777" w:rsidR="00074860" w:rsidRPr="00E5087D" w:rsidRDefault="00074860">
            <w:pPr>
              <w:spacing w:before="60" w:after="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1.1% </w:t>
            </w:r>
          </w:p>
        </w:tc>
        <w:tc>
          <w:tcPr>
            <w:tcW w:w="2268" w:type="dxa"/>
            <w:tcBorders>
              <w:top w:val="single" w:sz="4" w:space="0" w:color="auto"/>
              <w:left w:val="nil"/>
              <w:bottom w:val="nil"/>
              <w:right w:val="nil"/>
            </w:tcBorders>
            <w:shd w:val="clear" w:color="auto" w:fill="F5F8DD"/>
            <w:hideMark/>
          </w:tcPr>
          <w:p w14:paraId="06BA8E18" w14:textId="77777777" w:rsidR="00074860" w:rsidRPr="00E5087D" w:rsidRDefault="00074860">
            <w:pPr>
              <w:spacing w:before="60" w:after="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074860" w:rsidRPr="00E5087D" w14:paraId="672D6883" w14:textId="77777777" w:rsidTr="0054082D">
        <w:trPr>
          <w:trHeight w:val="283"/>
        </w:trPr>
        <w:tc>
          <w:tcPr>
            <w:tcW w:w="9781" w:type="dxa"/>
            <w:gridSpan w:val="5"/>
            <w:tcBorders>
              <w:top w:val="nil"/>
              <w:left w:val="nil"/>
              <w:bottom w:val="single" w:sz="4" w:space="0" w:color="auto"/>
              <w:right w:val="nil"/>
            </w:tcBorders>
            <w:shd w:val="clear" w:color="auto" w:fill="F5F8DD"/>
            <w:hideMark/>
          </w:tcPr>
          <w:p w14:paraId="53044DE7" w14:textId="77777777" w:rsidR="00074860" w:rsidRPr="00E5087D" w:rsidRDefault="00074860">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Fossil-fuel related groups which will decline and transform substantially as a result of decarbonisation.</w:t>
            </w:r>
            <w:r w:rsidRPr="00E5087D">
              <w:rPr>
                <w:rFonts w:eastAsia="Arial" w:cs="Arial"/>
                <w:color w:val="000000"/>
                <w:sz w:val="18"/>
                <w:szCs w:val="18"/>
                <w:lang w:eastAsia="en-AU"/>
              </w:rPr>
              <w:t> </w:t>
            </w:r>
            <w:r w:rsidRPr="00E5087D">
              <w:rPr>
                <w:rFonts w:eastAsia="Arial" w:cs="Arial"/>
                <w:color w:val="000000"/>
                <w:lang w:eastAsia="en-AU"/>
              </w:rPr>
              <w:t> </w:t>
            </w:r>
          </w:p>
        </w:tc>
      </w:tr>
      <w:tr w:rsidR="00074860" w:rsidRPr="00E5087D" w14:paraId="74EEE0A3" w14:textId="77777777" w:rsidTr="0054082D">
        <w:trPr>
          <w:trHeight w:val="285"/>
        </w:trPr>
        <w:tc>
          <w:tcPr>
            <w:tcW w:w="5976" w:type="dxa"/>
            <w:gridSpan w:val="3"/>
            <w:tcBorders>
              <w:top w:val="single" w:sz="4" w:space="0" w:color="auto"/>
              <w:left w:val="nil"/>
              <w:bottom w:val="nil"/>
              <w:right w:val="nil"/>
            </w:tcBorders>
            <w:hideMark/>
          </w:tcPr>
          <w:p w14:paraId="540F6260" w14:textId="77777777" w:rsidR="00074860" w:rsidRPr="00E5087D" w:rsidRDefault="00074860">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lang w:eastAsia="en-AU"/>
              </w:rPr>
              <w:t xml:space="preserve"> Emissions-intensive sectors</w:t>
            </w:r>
            <w:r w:rsidRPr="00E5087D">
              <w:rPr>
                <w:rFonts w:eastAsia="Arial" w:cs="Arial"/>
                <w:color w:val="000000"/>
                <w:sz w:val="20"/>
                <w:szCs w:val="20"/>
                <w:lang w:eastAsia="en-AU"/>
              </w:rPr>
              <w:t> </w:t>
            </w:r>
          </w:p>
        </w:tc>
        <w:tc>
          <w:tcPr>
            <w:tcW w:w="1537" w:type="dxa"/>
            <w:tcBorders>
              <w:top w:val="single" w:sz="4" w:space="0" w:color="auto"/>
              <w:left w:val="nil"/>
              <w:bottom w:val="nil"/>
              <w:right w:val="nil"/>
            </w:tcBorders>
            <w:hideMark/>
          </w:tcPr>
          <w:p w14:paraId="6D3DCF38" w14:textId="77777777" w:rsidR="00074860" w:rsidRPr="00E5087D" w:rsidRDefault="00074860">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4.0% </w:t>
            </w:r>
          </w:p>
        </w:tc>
        <w:tc>
          <w:tcPr>
            <w:tcW w:w="2268" w:type="dxa"/>
            <w:tcBorders>
              <w:top w:val="single" w:sz="4" w:space="0" w:color="auto"/>
              <w:left w:val="nil"/>
              <w:bottom w:val="nil"/>
              <w:right w:val="nil"/>
            </w:tcBorders>
            <w:hideMark/>
          </w:tcPr>
          <w:p w14:paraId="77438915" w14:textId="77777777" w:rsidR="00074860" w:rsidRPr="00E5087D" w:rsidRDefault="00074860">
            <w:pPr>
              <w:spacing w:before="60" w:after="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074860" w:rsidRPr="00E5087D" w14:paraId="514FCDED" w14:textId="77777777" w:rsidTr="0054082D">
        <w:trPr>
          <w:trHeight w:val="165"/>
        </w:trPr>
        <w:tc>
          <w:tcPr>
            <w:tcW w:w="9781" w:type="dxa"/>
            <w:gridSpan w:val="5"/>
            <w:tcBorders>
              <w:top w:val="nil"/>
              <w:left w:val="nil"/>
              <w:bottom w:val="nil"/>
              <w:right w:val="nil"/>
            </w:tcBorders>
            <w:hideMark/>
          </w:tcPr>
          <w:p w14:paraId="0B2CD0B8" w14:textId="77777777" w:rsidR="00074860" w:rsidRPr="00E5087D" w:rsidRDefault="00074860">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ANZSIC groups such as cement production and other industrial processes that are emissions intensive.</w:t>
            </w:r>
            <w:r w:rsidRPr="00E5087D">
              <w:rPr>
                <w:rFonts w:eastAsia="Arial" w:cs="Arial"/>
                <w:color w:val="000000"/>
                <w:sz w:val="18"/>
                <w:szCs w:val="18"/>
                <w:lang w:eastAsia="en-AU"/>
              </w:rPr>
              <w:t> </w:t>
            </w:r>
          </w:p>
        </w:tc>
      </w:tr>
      <w:tr w:rsidR="00074860" w:rsidRPr="00E5087D" w14:paraId="5EA1EC2F" w14:textId="77777777" w:rsidTr="0054082D">
        <w:trPr>
          <w:trHeight w:val="272"/>
        </w:trPr>
        <w:tc>
          <w:tcPr>
            <w:tcW w:w="5976" w:type="dxa"/>
            <w:gridSpan w:val="3"/>
            <w:tcBorders>
              <w:top w:val="nil"/>
              <w:left w:val="nil"/>
              <w:bottom w:val="nil"/>
              <w:right w:val="nil"/>
            </w:tcBorders>
            <w:shd w:val="clear" w:color="auto" w:fill="FFFFFF" w:themeFill="background1"/>
            <w:hideMark/>
          </w:tcPr>
          <w:p w14:paraId="7D9BE7F1"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Direct emissions-intensive sectors </w:t>
            </w:r>
          </w:p>
        </w:tc>
        <w:tc>
          <w:tcPr>
            <w:tcW w:w="1537" w:type="dxa"/>
            <w:tcBorders>
              <w:top w:val="nil"/>
              <w:left w:val="nil"/>
              <w:bottom w:val="nil"/>
              <w:right w:val="nil"/>
            </w:tcBorders>
            <w:hideMark/>
          </w:tcPr>
          <w:p w14:paraId="611E0980" w14:textId="77777777" w:rsidR="00074860" w:rsidRPr="00E5087D" w:rsidRDefault="00074860">
            <w:pPr>
              <w:spacing w:before="60" w:after="60" w:line="240" w:lineRule="auto"/>
              <w:jc w:val="right"/>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0.6% </w:t>
            </w:r>
          </w:p>
        </w:tc>
        <w:tc>
          <w:tcPr>
            <w:tcW w:w="2268" w:type="dxa"/>
            <w:tcBorders>
              <w:top w:val="nil"/>
              <w:left w:val="nil"/>
              <w:bottom w:val="nil"/>
              <w:right w:val="nil"/>
            </w:tcBorders>
            <w:hideMark/>
          </w:tcPr>
          <w:p w14:paraId="585F6491" w14:textId="77777777" w:rsidR="00074860" w:rsidRPr="00E5087D" w:rsidRDefault="00074860">
            <w:pPr>
              <w:spacing w:before="60" w:after="60" w:line="240" w:lineRule="auto"/>
              <w:jc w:val="center"/>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 </w:t>
            </w:r>
          </w:p>
        </w:tc>
      </w:tr>
      <w:tr w:rsidR="00074860" w:rsidRPr="00E5087D" w14:paraId="7E59778A" w14:textId="77777777" w:rsidTr="0054082D">
        <w:trPr>
          <w:trHeight w:val="272"/>
        </w:trPr>
        <w:tc>
          <w:tcPr>
            <w:tcW w:w="5976" w:type="dxa"/>
            <w:gridSpan w:val="3"/>
            <w:tcBorders>
              <w:top w:val="nil"/>
              <w:left w:val="nil"/>
              <w:bottom w:val="single" w:sz="4" w:space="0" w:color="auto"/>
              <w:right w:val="nil"/>
            </w:tcBorders>
            <w:hideMark/>
          </w:tcPr>
          <w:p w14:paraId="04EEBB4B" w14:textId="77777777" w:rsidR="00074860" w:rsidRPr="00E5087D" w:rsidRDefault="00074860">
            <w:pPr>
              <w:spacing w:before="60" w:after="60" w:line="240" w:lineRule="auto"/>
              <w:ind w:left="165"/>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Indirect emissions-intensive sectors (high energy users) </w:t>
            </w:r>
          </w:p>
        </w:tc>
        <w:tc>
          <w:tcPr>
            <w:tcW w:w="1537" w:type="dxa"/>
            <w:tcBorders>
              <w:top w:val="nil"/>
              <w:left w:val="nil"/>
              <w:bottom w:val="single" w:sz="4" w:space="0" w:color="auto"/>
              <w:right w:val="nil"/>
            </w:tcBorders>
            <w:hideMark/>
          </w:tcPr>
          <w:p w14:paraId="5593D528" w14:textId="77777777" w:rsidR="00074860" w:rsidRPr="00E5087D" w:rsidRDefault="00074860">
            <w:pPr>
              <w:spacing w:before="60" w:after="60" w:line="240" w:lineRule="auto"/>
              <w:jc w:val="right"/>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3.4% </w:t>
            </w:r>
          </w:p>
        </w:tc>
        <w:tc>
          <w:tcPr>
            <w:tcW w:w="2268" w:type="dxa"/>
            <w:tcBorders>
              <w:top w:val="nil"/>
              <w:left w:val="nil"/>
              <w:bottom w:val="single" w:sz="4" w:space="0" w:color="auto"/>
              <w:right w:val="nil"/>
            </w:tcBorders>
            <w:hideMark/>
          </w:tcPr>
          <w:p w14:paraId="2365401E" w14:textId="77777777" w:rsidR="00074860" w:rsidRPr="00E5087D" w:rsidRDefault="00074860">
            <w:pPr>
              <w:spacing w:before="60" w:after="60" w:line="240" w:lineRule="auto"/>
              <w:jc w:val="center"/>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 </w:t>
            </w:r>
          </w:p>
        </w:tc>
      </w:tr>
      <w:tr w:rsidR="00074860" w:rsidRPr="00E5087D" w14:paraId="77FFC56C" w14:textId="77777777" w:rsidTr="005E4393">
        <w:trPr>
          <w:trHeight w:val="285"/>
        </w:trPr>
        <w:tc>
          <w:tcPr>
            <w:tcW w:w="5954" w:type="dxa"/>
            <w:gridSpan w:val="2"/>
            <w:tcBorders>
              <w:top w:val="single" w:sz="4" w:space="0" w:color="auto"/>
              <w:left w:val="nil"/>
              <w:bottom w:val="nil"/>
              <w:right w:val="nil"/>
            </w:tcBorders>
            <w:shd w:val="clear" w:color="auto" w:fill="E0D1F5"/>
            <w:hideMark/>
          </w:tcPr>
          <w:p w14:paraId="494BF5A0" w14:textId="77777777" w:rsidR="00074860" w:rsidRPr="00E5087D" w:rsidRDefault="00074860">
            <w:pPr>
              <w:spacing w:before="60" w:after="60" w:line="240" w:lineRule="auto"/>
              <w:textAlignment w:val="baseline"/>
              <w:rPr>
                <w:rFonts w:ascii="Segoe UI" w:eastAsia="Arial" w:hAnsi="Segoe UI" w:cs="Segoe UI"/>
                <w:color w:val="000000"/>
                <w:sz w:val="18"/>
                <w:szCs w:val="18"/>
                <w:lang w:eastAsia="en-AU"/>
              </w:rPr>
            </w:pPr>
            <w:r w:rsidRPr="00E5087D">
              <w:rPr>
                <w:rFonts w:ascii="Lato Black" w:eastAsia="Arial" w:hAnsi="Lato Black" w:cs="Arial"/>
                <w:color w:val="000000"/>
                <w:lang w:eastAsia="en-AU"/>
              </w:rPr>
              <w:t xml:space="preserve"> All other industry groups</w:t>
            </w:r>
            <w:r w:rsidRPr="00E5087D">
              <w:rPr>
                <w:rFonts w:eastAsia="Arial" w:cs="Arial"/>
                <w:color w:val="000000"/>
                <w:lang w:eastAsia="en-AU"/>
              </w:rPr>
              <w:t> </w:t>
            </w:r>
          </w:p>
        </w:tc>
        <w:tc>
          <w:tcPr>
            <w:tcW w:w="1559" w:type="dxa"/>
            <w:gridSpan w:val="2"/>
            <w:tcBorders>
              <w:top w:val="single" w:sz="4" w:space="0" w:color="auto"/>
              <w:left w:val="nil"/>
              <w:bottom w:val="nil"/>
              <w:right w:val="nil"/>
            </w:tcBorders>
            <w:shd w:val="clear" w:color="auto" w:fill="E0D1F5"/>
            <w:hideMark/>
          </w:tcPr>
          <w:p w14:paraId="021AC4C9" w14:textId="77777777" w:rsidR="00074860" w:rsidRPr="00E5087D" w:rsidRDefault="00074860">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61.6% </w:t>
            </w:r>
          </w:p>
        </w:tc>
        <w:tc>
          <w:tcPr>
            <w:tcW w:w="2268" w:type="dxa"/>
            <w:tcBorders>
              <w:top w:val="single" w:sz="4" w:space="0" w:color="auto"/>
              <w:left w:val="nil"/>
              <w:bottom w:val="nil"/>
              <w:right w:val="nil"/>
            </w:tcBorders>
            <w:shd w:val="clear" w:color="auto" w:fill="E0D1F5"/>
            <w:hideMark/>
          </w:tcPr>
          <w:p w14:paraId="57FBF556" w14:textId="77777777" w:rsidR="00074860" w:rsidRPr="00E5087D" w:rsidRDefault="00074860">
            <w:pPr>
              <w:spacing w:before="60" w:after="60" w:line="240" w:lineRule="auto"/>
              <w:jc w:val="right"/>
              <w:textAlignment w:val="baseline"/>
              <w:rPr>
                <w:rFonts w:ascii="Lato Black" w:eastAsia="Arial" w:hAnsi="Lato Black" w:cs="Arial"/>
                <w:color w:val="000000"/>
                <w:sz w:val="20"/>
                <w:szCs w:val="20"/>
                <w:lang w:eastAsia="en-AU"/>
              </w:rPr>
            </w:pPr>
            <w:r w:rsidRPr="00E5087D">
              <w:rPr>
                <w:rFonts w:ascii="Lato Black" w:eastAsia="Arial" w:hAnsi="Lato Black" w:cs="Arial"/>
                <w:color w:val="000000"/>
                <w:sz w:val="20"/>
                <w:szCs w:val="20"/>
                <w:lang w:eastAsia="en-AU"/>
              </w:rPr>
              <w:t> </w:t>
            </w:r>
          </w:p>
        </w:tc>
      </w:tr>
      <w:tr w:rsidR="00074860" w:rsidRPr="00E5087D" w14:paraId="52084E05" w14:textId="77777777" w:rsidTr="0054082D">
        <w:trPr>
          <w:trHeight w:val="585"/>
        </w:trPr>
        <w:tc>
          <w:tcPr>
            <w:tcW w:w="9781" w:type="dxa"/>
            <w:gridSpan w:val="5"/>
            <w:tcBorders>
              <w:top w:val="nil"/>
              <w:left w:val="nil"/>
              <w:bottom w:val="single" w:sz="4" w:space="0" w:color="auto"/>
              <w:right w:val="nil"/>
            </w:tcBorders>
            <w:shd w:val="clear" w:color="auto" w:fill="E0D1F5"/>
            <w:hideMark/>
          </w:tcPr>
          <w:p w14:paraId="2A45C7A2" w14:textId="77777777" w:rsidR="00074860" w:rsidRPr="00E5087D" w:rsidRDefault="00074860">
            <w:pPr>
              <w:spacing w:before="60" w:after="60" w:line="240" w:lineRule="auto"/>
              <w:ind w:left="57" w:right="113"/>
              <w:textAlignment w:val="baseline"/>
              <w:rPr>
                <w:rFonts w:ascii="Lato" w:eastAsia="Arial" w:hAnsi="Lato" w:cs="Arial"/>
                <w:color w:val="000000"/>
                <w:sz w:val="20"/>
                <w:szCs w:val="20"/>
                <w:lang w:eastAsia="en-AU"/>
              </w:rPr>
            </w:pPr>
            <w:r w:rsidRPr="00E5087D">
              <w:rPr>
                <w:rFonts w:ascii="Lato" w:eastAsia="Arial" w:hAnsi="Lato" w:cs="Arial"/>
                <w:color w:val="000000"/>
                <w:sz w:val="20"/>
                <w:szCs w:val="20"/>
                <w:lang w:eastAsia="en-AU"/>
              </w:rPr>
              <w:t>All other ANZSIC groups. No substantial contribution to clean energy generation or energy performance or direct contribution to decarbonisation, though there may be some specialised contributions and/or more general job demand and skill impacts because of decarbonisation and climate change.  </w:t>
            </w:r>
          </w:p>
        </w:tc>
      </w:tr>
      <w:tr w:rsidR="00074860" w:rsidRPr="00E5087D" w14:paraId="225B4B15" w14:textId="77777777" w:rsidTr="0054082D">
        <w:trPr>
          <w:trHeight w:val="300"/>
        </w:trPr>
        <w:tc>
          <w:tcPr>
            <w:tcW w:w="4947" w:type="dxa"/>
            <w:tcBorders>
              <w:top w:val="single" w:sz="4" w:space="0" w:color="auto"/>
              <w:left w:val="nil"/>
              <w:bottom w:val="nil"/>
              <w:right w:val="nil"/>
            </w:tcBorders>
            <w:shd w:val="clear" w:color="auto" w:fill="D9D9D9"/>
            <w:hideMark/>
          </w:tcPr>
          <w:p w14:paraId="23A5EA30" w14:textId="459D79F2" w:rsidR="00074860" w:rsidRPr="00E5087D" w:rsidRDefault="00074860">
            <w:pPr>
              <w:spacing w:before="60" w:after="60" w:line="240" w:lineRule="auto"/>
              <w:textAlignment w:val="baseline"/>
              <w:rPr>
                <w:rFonts w:ascii="Segoe UI" w:eastAsia="Arial" w:hAnsi="Segoe UI" w:cs="Segoe UI"/>
                <w:color w:val="000000"/>
                <w:lang w:eastAsia="en-AU"/>
              </w:rPr>
            </w:pPr>
            <w:r w:rsidRPr="00E5087D">
              <w:rPr>
                <w:rFonts w:eastAsia="Arial" w:cs="Arial"/>
                <w:b/>
                <w:bCs/>
                <w:color w:val="000000"/>
                <w:lang w:eastAsia="en-AU"/>
              </w:rPr>
              <w:t xml:space="preserve"> </w:t>
            </w:r>
            <w:r w:rsidRPr="00E5087D">
              <w:rPr>
                <w:rFonts w:ascii="Lato Black" w:eastAsia="Arial" w:hAnsi="Lato Black" w:cs="Segoe UI"/>
                <w:color w:val="000000"/>
                <w:lang w:eastAsia="en-AU"/>
              </w:rPr>
              <w:t>Unallocated</w:t>
            </w:r>
          </w:p>
        </w:tc>
        <w:tc>
          <w:tcPr>
            <w:tcW w:w="2566" w:type="dxa"/>
            <w:gridSpan w:val="3"/>
            <w:tcBorders>
              <w:top w:val="single" w:sz="4" w:space="0" w:color="auto"/>
              <w:left w:val="nil"/>
              <w:bottom w:val="nil"/>
              <w:right w:val="nil"/>
            </w:tcBorders>
            <w:shd w:val="clear" w:color="auto" w:fill="D9D9D9"/>
            <w:hideMark/>
          </w:tcPr>
          <w:p w14:paraId="2F15FB25" w14:textId="3DE829BD" w:rsidR="00074860" w:rsidRPr="00E5087D" w:rsidRDefault="00074860">
            <w:pPr>
              <w:spacing w:before="60" w:after="60" w:line="240" w:lineRule="auto"/>
              <w:jc w:val="right"/>
              <w:textAlignment w:val="baseline"/>
              <w:rPr>
                <w:rFonts w:ascii="Segoe UI" w:eastAsia="Arial" w:hAnsi="Segoe UI" w:cs="Segoe UI"/>
                <w:color w:val="000000"/>
                <w:lang w:eastAsia="en-AU"/>
              </w:rPr>
            </w:pPr>
            <w:r w:rsidRPr="00E5087D">
              <w:rPr>
                <w:rFonts w:ascii="Lato Black" w:eastAsia="Arial" w:hAnsi="Lato Black" w:cs="Arial"/>
                <w:color w:val="000000"/>
                <w:sz w:val="20"/>
                <w:szCs w:val="20"/>
                <w:lang w:eastAsia="en-AU"/>
              </w:rPr>
              <w:t>7.6%</w:t>
            </w:r>
            <w:r w:rsidRPr="00E5087D">
              <w:rPr>
                <w:rFonts w:eastAsia="Arial" w:cs="Arial"/>
                <w:color w:val="000000"/>
                <w:lang w:eastAsia="en-AU"/>
              </w:rPr>
              <w:t> </w:t>
            </w:r>
          </w:p>
        </w:tc>
        <w:tc>
          <w:tcPr>
            <w:tcW w:w="2268" w:type="dxa"/>
            <w:tcBorders>
              <w:top w:val="nil"/>
              <w:left w:val="nil"/>
              <w:bottom w:val="nil"/>
              <w:right w:val="nil"/>
            </w:tcBorders>
            <w:shd w:val="clear" w:color="auto" w:fill="D9D9D9"/>
            <w:hideMark/>
          </w:tcPr>
          <w:p w14:paraId="79508DC2" w14:textId="77777777" w:rsidR="00074860" w:rsidRPr="00E5087D" w:rsidRDefault="00074860">
            <w:pPr>
              <w:spacing w:before="60" w:after="60" w:line="240" w:lineRule="auto"/>
              <w:jc w:val="right"/>
              <w:textAlignment w:val="baseline"/>
              <w:rPr>
                <w:rFonts w:ascii="Segoe UI" w:eastAsia="Arial" w:hAnsi="Segoe UI" w:cs="Segoe UI"/>
                <w:color w:val="000000"/>
                <w:lang w:eastAsia="en-AU"/>
              </w:rPr>
            </w:pPr>
            <w:r w:rsidRPr="00E5087D">
              <w:rPr>
                <w:rFonts w:eastAsia="Arial" w:cs="Arial"/>
                <w:color w:val="000000"/>
                <w:lang w:eastAsia="en-AU"/>
              </w:rPr>
              <w:t> </w:t>
            </w:r>
          </w:p>
        </w:tc>
      </w:tr>
      <w:tr w:rsidR="00074860" w:rsidRPr="00E5087D" w14:paraId="2103FF3D" w14:textId="77777777" w:rsidTr="0054082D">
        <w:trPr>
          <w:trHeight w:val="165"/>
        </w:trPr>
        <w:tc>
          <w:tcPr>
            <w:tcW w:w="9781" w:type="dxa"/>
            <w:gridSpan w:val="5"/>
            <w:tcBorders>
              <w:top w:val="nil"/>
              <w:left w:val="nil"/>
              <w:bottom w:val="single" w:sz="4" w:space="0" w:color="auto"/>
              <w:right w:val="nil"/>
            </w:tcBorders>
            <w:shd w:val="clear" w:color="auto" w:fill="D9D9D9"/>
            <w:hideMark/>
          </w:tcPr>
          <w:p w14:paraId="235C24FF" w14:textId="77777777" w:rsidR="00074860" w:rsidRPr="00E5087D" w:rsidRDefault="00074860">
            <w:pPr>
              <w:spacing w:before="60" w:after="60" w:line="240" w:lineRule="auto"/>
              <w:ind w:left="57" w:right="113"/>
              <w:textAlignment w:val="baseline"/>
              <w:rPr>
                <w:rFonts w:ascii="Segoe UI" w:eastAsia="Arial" w:hAnsi="Segoe UI" w:cs="Segoe UI"/>
                <w:color w:val="000000"/>
                <w:sz w:val="18"/>
                <w:szCs w:val="18"/>
                <w:lang w:eastAsia="en-AU"/>
              </w:rPr>
            </w:pPr>
            <w:r w:rsidRPr="00E5087D">
              <w:rPr>
                <w:rFonts w:ascii="Lato" w:eastAsia="Arial" w:hAnsi="Lato" w:cs="Arial"/>
                <w:color w:val="000000"/>
                <w:sz w:val="20"/>
                <w:szCs w:val="20"/>
                <w:lang w:eastAsia="en-AU"/>
              </w:rPr>
              <w:t>Due to use of census data, there is an unallocated category where responses had missing information or insufficient detail.</w:t>
            </w:r>
            <w:r w:rsidRPr="00E5087D">
              <w:rPr>
                <w:rFonts w:eastAsia="Arial" w:cs="Arial"/>
                <w:color w:val="000000"/>
                <w:sz w:val="18"/>
                <w:szCs w:val="18"/>
                <w:lang w:eastAsia="en-AU"/>
              </w:rPr>
              <w:t> </w:t>
            </w:r>
          </w:p>
        </w:tc>
      </w:tr>
    </w:tbl>
    <w:p w14:paraId="5091C172" w14:textId="4E88447E" w:rsidR="0054082D" w:rsidRPr="0056045F" w:rsidRDefault="00074860" w:rsidP="0056045F">
      <w:pPr>
        <w:spacing w:before="120" w:after="120" w:line="276" w:lineRule="auto"/>
        <w:rPr>
          <w:rFonts w:cs="Arial"/>
          <w:sz w:val="18"/>
          <w:szCs w:val="18"/>
        </w:rPr>
        <w:sectPr w:rsidR="0054082D" w:rsidRPr="0056045F" w:rsidSect="0054082D">
          <w:headerReference w:type="even" r:id="rId55"/>
          <w:headerReference w:type="default" r:id="rId56"/>
          <w:footerReference w:type="even" r:id="rId57"/>
          <w:footerReference w:type="default" r:id="rId58"/>
          <w:headerReference w:type="first" r:id="rId59"/>
          <w:footerReference w:type="first" r:id="rId60"/>
          <w:endnotePr>
            <w:numFmt w:val="decimal"/>
          </w:endnotePr>
          <w:type w:val="continuous"/>
          <w:pgSz w:w="11906" w:h="16838"/>
          <w:pgMar w:top="1134" w:right="1134" w:bottom="1134" w:left="1134" w:header="0" w:footer="709" w:gutter="0"/>
          <w:cols w:space="708"/>
          <w:docGrid w:linePitch="360"/>
        </w:sectPr>
      </w:pPr>
      <w:r w:rsidRPr="00E5087D">
        <w:rPr>
          <w:rFonts w:cs="Arial"/>
          <w:i/>
          <w:iCs/>
          <w:sz w:val="18"/>
          <w:szCs w:val="18"/>
        </w:rPr>
        <w:t>Source: JSA ANZSIC mapping, 2021 ABS Census of Population and Housing</w:t>
      </w:r>
      <w:r w:rsidR="0056045F">
        <w:rPr>
          <w:rFonts w:cs="Arial"/>
          <w:i/>
          <w:iCs/>
          <w:sz w:val="18"/>
          <w:szCs w:val="18"/>
        </w:rPr>
        <w:t xml:space="preserve">. </w:t>
      </w:r>
      <w:r w:rsidR="0056045F">
        <w:rPr>
          <w:rFonts w:cs="Arial"/>
          <w:sz w:val="18"/>
          <w:szCs w:val="18"/>
        </w:rPr>
        <w:t xml:space="preserve"> </w:t>
      </w:r>
    </w:p>
    <w:p w14:paraId="51824233" w14:textId="2FEE1AE7" w:rsidR="001449D6" w:rsidRPr="00E35102" w:rsidRDefault="007E42D9" w:rsidP="001449D6">
      <w:pPr>
        <w:pStyle w:val="Heading4"/>
        <w:spacing w:after="360"/>
        <w:rPr>
          <w:b w:val="0"/>
          <w:bCs w:val="0"/>
        </w:rPr>
      </w:pPr>
      <w:r w:rsidRPr="00E5087D">
        <w:rPr>
          <w:noProof/>
          <w:color w:val="4B875C"/>
        </w:rPr>
        <w:lastRenderedPageBreak/>
        <mc:AlternateContent>
          <mc:Choice Requires="wps">
            <w:drawing>
              <wp:anchor distT="0" distB="0" distL="114300" distR="114300" simplePos="0" relativeHeight="251658243" behindDoc="1" locked="0" layoutInCell="1" allowOverlap="1" wp14:anchorId="6D2DA7BE" wp14:editId="463E0AFC">
                <wp:simplePos x="0" y="0"/>
                <wp:positionH relativeFrom="margin">
                  <wp:posOffset>-20320</wp:posOffset>
                </wp:positionH>
                <wp:positionV relativeFrom="page">
                  <wp:posOffset>1477703</wp:posOffset>
                </wp:positionV>
                <wp:extent cx="5743575" cy="866775"/>
                <wp:effectExtent l="0" t="0" r="28575" b="28575"/>
                <wp:wrapNone/>
                <wp:docPr id="78" name="Rectangle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3575" cy="86677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A7EE4" id="Rectangle 78" o:spid="_x0000_s1026" alt="&quot;&quot;" style="position:absolute;margin-left:-1.6pt;margin-top:116.35pt;width:452.25pt;height:68.25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" fillcolor="#d2e6d8" strokecolor="#005d5d [3205]" strokeweight="1pt">
                <w10:wrap anchorx="margin" anchory="page"/>
              </v:rect>
            </w:pict>
          </mc:Fallback>
        </mc:AlternateContent>
      </w:r>
      <w:r w:rsidR="001449D6" w:rsidRPr="00E5087D">
        <w:t>Clean energy supply</w:t>
      </w:r>
      <w:r w:rsidR="00E35102">
        <w:br/>
      </w:r>
      <w:r w:rsidR="00B92246">
        <w:rPr>
          <w:b w:val="0"/>
          <w:bCs w:val="0"/>
          <w:sz w:val="22"/>
        </w:rPr>
        <w:t xml:space="preserve">Estimate of approximately </w:t>
      </w:r>
      <w:r w:rsidR="000C34BE">
        <w:rPr>
          <w:b w:val="0"/>
          <w:bCs w:val="0"/>
          <w:sz w:val="22"/>
        </w:rPr>
        <w:t>17,7</w:t>
      </w:r>
      <w:r w:rsidR="00E35102" w:rsidRPr="00E35102">
        <w:rPr>
          <w:b w:val="0"/>
          <w:bCs w:val="0"/>
          <w:sz w:val="22"/>
        </w:rPr>
        <w:t>00 workers</w:t>
      </w:r>
      <w:r w:rsidR="00743136">
        <w:rPr>
          <w:b w:val="0"/>
          <w:bCs w:val="0"/>
          <w:sz w:val="22"/>
        </w:rPr>
        <w:t xml:space="preserve"> in clean energy</w:t>
      </w:r>
    </w:p>
    <w:p w14:paraId="0D326F87" w14:textId="3079EC1F" w:rsidR="001449D6" w:rsidRPr="00E5087D" w:rsidRDefault="001449D6" w:rsidP="001449D6">
      <w:pPr>
        <w:spacing w:line="276" w:lineRule="auto"/>
        <w:ind w:left="227"/>
        <w:rPr>
          <w:color w:val="auto"/>
          <w:sz w:val="24"/>
          <w:szCs w:val="24"/>
        </w:rPr>
      </w:pPr>
      <w:r w:rsidRPr="00E5087D">
        <w:rPr>
          <w:color w:val="auto"/>
        </w:rPr>
        <w:t xml:space="preserve">Industry groups that are essential to clean energy generation, supply or distribution. </w:t>
      </w:r>
      <w:r w:rsidRPr="00E5087D">
        <w:rPr>
          <w:color w:val="auto"/>
        </w:rPr>
        <w:br/>
        <w:t>The core generation and distribution is supporting infrastructure currently split between distributing and supplying renewable and fossil-fuel-reliant energy sources. As we transition, these will predominantly support renewable energy.</w:t>
      </w:r>
    </w:p>
    <w:p w14:paraId="62ED4F14" w14:textId="77777777" w:rsidR="001449D6" w:rsidRPr="00E5087D" w:rsidRDefault="001449D6" w:rsidP="00411032">
      <w:pPr>
        <w:pStyle w:val="Heading5"/>
        <w:spacing w:before="360" w:after="120"/>
        <w:rPr>
          <w:sz w:val="24"/>
          <w:szCs w:val="24"/>
        </w:rPr>
      </w:pPr>
      <w:bookmarkStart w:id="32" w:name="_Toc133151099"/>
      <w:r w:rsidRPr="00E5087D">
        <w:rPr>
          <w:sz w:val="24"/>
          <w:szCs w:val="24"/>
        </w:rPr>
        <w:t>Industries in the Clean Energy Supply</w:t>
      </w:r>
    </w:p>
    <w:p w14:paraId="44FFA595" w14:textId="5362FF40" w:rsidR="001449D6" w:rsidRPr="00E5087D" w:rsidRDefault="001449D6" w:rsidP="001449D6">
      <w:pPr>
        <w:pStyle w:val="Bodycopy"/>
        <w:spacing w:line="276" w:lineRule="auto"/>
        <w:rPr>
          <w14:ligatures w14:val="standard"/>
          <w14:numForm w14:val="lining"/>
          <w14:numSpacing w14:val="proportional"/>
        </w:rPr>
      </w:pPr>
      <w:r w:rsidRPr="00E5087D">
        <w:rPr>
          <w14:numForm w14:val="lining"/>
          <w14:numSpacing w14:val="proportional"/>
        </w:rPr>
        <w:t xml:space="preserve">The major industry groups </w:t>
      </w:r>
      <w:r w:rsidRPr="00E5087D">
        <w:rPr>
          <w:i/>
          <w14:numForm w14:val="lining"/>
          <w14:numSpacing w14:val="proportional"/>
        </w:rPr>
        <w:t>currently</w:t>
      </w:r>
      <w:r w:rsidRPr="00E5087D">
        <w:rPr>
          <w14:numForm w14:val="lining"/>
          <w14:numSpacing w14:val="proportional"/>
        </w:rPr>
        <w:t xml:space="preserve"> operating in the clean energy core workforce are hydroelectricity generation and, other electricity generation such as wind and solar. </w:t>
      </w:r>
      <w:r w:rsidRPr="00E5087D">
        <w:rPr>
          <w14:ligatures w14:val="standard"/>
          <w14:numForm w14:val="lining"/>
          <w14:numSpacing w14:val="proportional"/>
        </w:rPr>
        <w:t>Electricity transmission and distribution, and on-selling electricity and electricity market operation are also integral parts of the supply of renewable energy. At present, approximately 36</w:t>
      </w:r>
      <w:r w:rsidR="00A11D19">
        <w:rPr>
          <w14:ligatures w14:val="standard"/>
          <w14:numForm w14:val="lining"/>
          <w14:numSpacing w14:val="proportional"/>
        </w:rPr>
        <w:t>%</w:t>
      </w:r>
      <w:r w:rsidRPr="00E5087D">
        <w:rPr>
          <w14:ligatures w14:val="standard"/>
          <w14:numForm w14:val="lining"/>
          <w14:numSpacing w14:val="proportional"/>
        </w:rPr>
        <w:t xml:space="preserve"> of electricity generated in Australia is from renewable sources.</w:t>
      </w:r>
      <w:bookmarkEnd w:id="32"/>
      <w:r w:rsidRPr="00E5087D">
        <w:rPr>
          <w:rStyle w:val="EndnoteReference"/>
          <w14:ligatures w14:val="standard"/>
          <w14:numForm w14:val="lining"/>
          <w14:numSpacing w14:val="proportional"/>
        </w:rPr>
        <w:endnoteReference w:id="15"/>
      </w:r>
      <w:r w:rsidRPr="00E5087D">
        <w:rPr>
          <w14:ligatures w14:val="standard"/>
          <w14:numForm w14:val="lining"/>
          <w14:numSpacing w14:val="proportional"/>
        </w:rPr>
        <w:t xml:space="preserve"> </w:t>
      </w:r>
    </w:p>
    <w:p w14:paraId="1E800D83" w14:textId="77777777" w:rsidR="001449D6" w:rsidRPr="00E5087D" w:rsidRDefault="001449D6" w:rsidP="00411032">
      <w:pPr>
        <w:pStyle w:val="Heading5"/>
        <w:spacing w:before="240" w:after="120"/>
        <w:rPr>
          <w:sz w:val="24"/>
          <w:szCs w:val="24"/>
        </w:rPr>
      </w:pPr>
      <w:r w:rsidRPr="00E5087D">
        <w:rPr>
          <w:sz w:val="24"/>
          <w:szCs w:val="24"/>
        </w:rPr>
        <w:t>Existing estimates and research</w:t>
      </w:r>
    </w:p>
    <w:p w14:paraId="31931FE6" w14:textId="5FF855D4" w:rsidR="001449D6" w:rsidRPr="00E5087D" w:rsidRDefault="001449D6" w:rsidP="001449D6">
      <w:pPr>
        <w:spacing w:after="120" w:line="276" w:lineRule="auto"/>
        <w:rPr>
          <w:sz w:val="18"/>
          <w:szCs w:val="18"/>
          <w14:ligatures w14:val="standard"/>
          <w14:numForm w14:val="lining"/>
          <w14:numSpacing w14:val="proportional"/>
        </w:rPr>
      </w:pPr>
      <w:r w:rsidRPr="00E5087D">
        <w:rPr>
          <w:color w:val="auto"/>
          <w14:ligatures w14:val="standard"/>
          <w14:numForm w14:val="lining"/>
          <w14:numSpacing w14:val="proportional"/>
        </w:rPr>
        <w:t>While clean energy generation (the industries captured in clean energy core - current) is a relatively small workforce, the most recent estimates from the A</w:t>
      </w:r>
      <w:r w:rsidR="00222AE8">
        <w:rPr>
          <w:color w:val="auto"/>
          <w14:ligatures w14:val="standard"/>
          <w14:numForm w14:val="lining"/>
          <w14:numSpacing w14:val="proportional"/>
        </w:rPr>
        <w:t>ustralian Bureau of Statistics (A</w:t>
      </w:r>
      <w:r w:rsidRPr="00E5087D">
        <w:rPr>
          <w:color w:val="auto"/>
          <w14:ligatures w14:val="standard"/>
          <w14:numForm w14:val="lining"/>
          <w14:numSpacing w14:val="proportional"/>
        </w:rPr>
        <w:t>BS</w:t>
      </w:r>
      <w:r w:rsidR="00222AE8">
        <w:rPr>
          <w:color w:val="auto"/>
          <w14:ligatures w14:val="standard"/>
          <w14:numForm w14:val="lining"/>
          <w14:numSpacing w14:val="proportional"/>
        </w:rPr>
        <w:t>)</w:t>
      </w:r>
      <w:r w:rsidRPr="00E5087D">
        <w:rPr>
          <w:rStyle w:val="EndnoteReference"/>
          <w:color w:val="auto"/>
          <w14:ligatures w14:val="standard"/>
          <w14:numForm w14:val="lining"/>
          <w14:numSpacing w14:val="proportional"/>
        </w:rPr>
        <w:endnoteReference w:id="16"/>
      </w:r>
      <w:r w:rsidRPr="00E5087D">
        <w:rPr>
          <w:color w:val="auto"/>
          <w14:ligatures w14:val="standard"/>
          <w14:numForm w14:val="lining"/>
          <w14:numSpacing w14:val="proportional"/>
        </w:rPr>
        <w:t xml:space="preserve"> put renewable generation employment at 26,850, with around half of this employment in roof-top solar:</w:t>
      </w:r>
    </w:p>
    <w:p w14:paraId="743B9511" w14:textId="77777777" w:rsidR="001449D6" w:rsidRPr="00E5087D" w:rsidRDefault="001449D6" w:rsidP="00F25595">
      <w:pPr>
        <w:pStyle w:val="ListParagraph"/>
        <w:numPr>
          <w:ilvl w:val="0"/>
          <w:numId w:val="12"/>
        </w:numPr>
        <w:spacing w:line="276" w:lineRule="auto"/>
        <w:rPr>
          <w:iCs/>
          <w14:ligatures w14:val="standard"/>
          <w14:numForm w14:val="lining"/>
          <w14:numSpacing w14:val="proportional"/>
        </w:rPr>
        <w:sectPr w:rsidR="001449D6" w:rsidRPr="00E5087D">
          <w:headerReference w:type="even" r:id="rId61"/>
          <w:headerReference w:type="default" r:id="rId62"/>
          <w:footerReference w:type="even" r:id="rId63"/>
          <w:footerReference w:type="default" r:id="rId64"/>
          <w:headerReference w:type="first" r:id="rId65"/>
          <w:footerReference w:type="first" r:id="rId66"/>
          <w:endnotePr>
            <w:numFmt w:val="decimal"/>
          </w:endnotePr>
          <w:type w:val="continuous"/>
          <w:pgSz w:w="11906" w:h="16838"/>
          <w:pgMar w:top="1440" w:right="1440" w:bottom="1440" w:left="1440" w:header="0" w:footer="709" w:gutter="0"/>
          <w:cols w:space="708"/>
          <w:titlePg/>
          <w:docGrid w:linePitch="360"/>
        </w:sectPr>
      </w:pPr>
    </w:p>
    <w:p w14:paraId="2CD29733"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Roof-top solar PV (including hot water) – 13,070</w:t>
      </w:r>
    </w:p>
    <w:p w14:paraId="25FF5A44"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Solar PV large – 4,740</w:t>
      </w:r>
    </w:p>
    <w:p w14:paraId="5036BB45"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Wind – 3,240</w:t>
      </w:r>
    </w:p>
    <w:p w14:paraId="5EBB145D"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Hydroelectricity – 3,060</w:t>
      </w:r>
    </w:p>
    <w:p w14:paraId="4A092CDE"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Biomass – 1,580</w:t>
      </w:r>
    </w:p>
    <w:p w14:paraId="5D0B2EDE" w14:textId="20930E2E"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Govt/</w:t>
      </w:r>
      <w:r w:rsidR="00DE7A1B">
        <w:rPr>
          <w:iCs/>
          <w14:ligatures w14:val="standard"/>
          <w14:numForm w14:val="lining"/>
          <w14:numSpacing w14:val="proportional"/>
        </w:rPr>
        <w:t xml:space="preserve">Non-Profit </w:t>
      </w:r>
      <w:r w:rsidR="001F0F49">
        <w:rPr>
          <w:iCs/>
          <w14:ligatures w14:val="standard"/>
          <w14:numForm w14:val="lining"/>
          <w14:numSpacing w14:val="proportional"/>
        </w:rPr>
        <w:t>Institution</w:t>
      </w:r>
      <w:r w:rsidRPr="00E5087D">
        <w:rPr>
          <w:iCs/>
          <w14:ligatures w14:val="standard"/>
          <w14:numForm w14:val="lining"/>
          <w14:numSpacing w14:val="proportional"/>
        </w:rPr>
        <w:t xml:space="preserve"> – 1,120</w:t>
      </w:r>
    </w:p>
    <w:p w14:paraId="1111DBE9" w14:textId="77777777" w:rsidR="001449D6" w:rsidRPr="00E5087D" w:rsidRDefault="001449D6" w:rsidP="00F25595">
      <w:pPr>
        <w:pStyle w:val="ListParagraph"/>
        <w:numPr>
          <w:ilvl w:val="0"/>
          <w:numId w:val="12"/>
        </w:numPr>
        <w:spacing w:after="80" w:line="276" w:lineRule="auto"/>
        <w:ind w:left="714" w:hanging="357"/>
        <w:contextualSpacing w:val="0"/>
        <w:rPr>
          <w:iCs/>
          <w14:ligatures w14:val="standard"/>
          <w14:numForm w14:val="lining"/>
          <w14:numSpacing w14:val="proportional"/>
        </w:rPr>
      </w:pPr>
      <w:r w:rsidRPr="00E5087D">
        <w:rPr>
          <w:iCs/>
          <w14:ligatures w14:val="standard"/>
          <w14:numForm w14:val="lining"/>
          <w14:numSpacing w14:val="proportional"/>
        </w:rPr>
        <w:t>Geothermal - 40</w:t>
      </w:r>
    </w:p>
    <w:p w14:paraId="752E2447" w14:textId="77777777" w:rsidR="001449D6" w:rsidRPr="00E5087D" w:rsidRDefault="001449D6" w:rsidP="001449D6">
      <w:pPr>
        <w:spacing w:after="120" w:line="276" w:lineRule="auto"/>
        <w:rPr>
          <w:color w:val="auto"/>
          <w14:ligatures w14:val="standard"/>
          <w14:numForm w14:val="lining"/>
          <w14:numSpacing w14:val="proportional"/>
        </w:rPr>
        <w:sectPr w:rsidR="001449D6" w:rsidRPr="00E5087D" w:rsidSect="001F0F49">
          <w:endnotePr>
            <w:numFmt w:val="decimal"/>
          </w:endnotePr>
          <w:type w:val="continuous"/>
          <w:pgSz w:w="11906" w:h="16838"/>
          <w:pgMar w:top="1440" w:right="1440" w:bottom="1440" w:left="1440" w:header="0" w:footer="709" w:gutter="0"/>
          <w:cols w:num="2" w:space="288"/>
          <w:titlePg/>
          <w:docGrid w:linePitch="360"/>
        </w:sectPr>
      </w:pPr>
    </w:p>
    <w:p w14:paraId="06329F33" w14:textId="4F2CC548" w:rsidR="001449D6" w:rsidRPr="00E5087D" w:rsidRDefault="001449D6" w:rsidP="001449D6">
      <w:pPr>
        <w:spacing w:before="240" w:after="120" w:line="276" w:lineRule="auto"/>
        <w:rPr>
          <w:color w:val="auto"/>
          <w14:ligatures w14:val="standard"/>
          <w14:numForm w14:val="lining"/>
          <w14:numSpacing w14:val="proportional"/>
        </w:rPr>
      </w:pPr>
      <w:r w:rsidRPr="00E5087D" w:rsidDel="008C3B8C">
        <w:rPr>
          <w:color w:val="auto"/>
          <w14:ligatures w14:val="standard"/>
          <w14:numForm w14:val="lining"/>
          <w14:numSpacing w14:val="proportional"/>
        </w:rPr>
        <w:t>T</w:t>
      </w:r>
      <w:r w:rsidRPr="00E5087D">
        <w:rPr>
          <w:color w:val="auto"/>
          <w14:ligatures w14:val="standard"/>
          <w14:numForm w14:val="lining"/>
          <w14:numSpacing w14:val="proportional"/>
        </w:rPr>
        <w:t>his is a much larger number than our estimate for the clean energy supply and reinforces our view to treat our analysis as indicative only. Many of the roles captured in the ABS report would be captured in other industry categories in the Census data, such as electrical services (discussed below).</w:t>
      </w:r>
      <w:r w:rsidR="00477D68">
        <w:rPr>
          <w:color w:val="auto"/>
          <w14:ligatures w14:val="standard"/>
          <w14:numForm w14:val="lining"/>
          <w14:numSpacing w14:val="proportional"/>
        </w:rPr>
        <w:t xml:space="preserve"> It also includes construction and installation activities which sit in our other segments.</w:t>
      </w:r>
      <w:r w:rsidRPr="00E5087D">
        <w:rPr>
          <w:color w:val="auto"/>
          <w14:ligatures w14:val="standard"/>
          <w14:numForm w14:val="lining"/>
          <w14:numSpacing w14:val="proportional"/>
        </w:rPr>
        <w:t xml:space="preserve"> </w:t>
      </w:r>
      <w:r w:rsidR="00B91567">
        <w:rPr>
          <w:color w:val="auto"/>
          <w14:ligatures w14:val="standard"/>
          <w14:numForm w14:val="lining"/>
          <w14:numSpacing w14:val="proportional"/>
        </w:rPr>
        <w:t>Additionally, t</w:t>
      </w:r>
      <w:r w:rsidR="00F235AA">
        <w:rPr>
          <w:color w:val="auto"/>
          <w14:ligatures w14:val="standard"/>
          <w14:numForm w14:val="lining"/>
          <w14:numSpacing w14:val="proportional"/>
        </w:rPr>
        <w:t xml:space="preserve">hese </w:t>
      </w:r>
      <w:r w:rsidR="009255CC">
        <w:rPr>
          <w:color w:val="auto"/>
          <w14:ligatures w14:val="standard"/>
          <w14:numForm w14:val="lining"/>
          <w14:numSpacing w14:val="proportional"/>
        </w:rPr>
        <w:t xml:space="preserve">experimental </w:t>
      </w:r>
      <w:r w:rsidR="00F235AA">
        <w:rPr>
          <w:color w:val="auto"/>
          <w14:ligatures w14:val="standard"/>
          <w14:numForm w14:val="lining"/>
          <w14:numSpacing w14:val="proportional"/>
        </w:rPr>
        <w:t xml:space="preserve">ABS </w:t>
      </w:r>
      <w:r w:rsidR="00D10B27">
        <w:rPr>
          <w:color w:val="auto"/>
          <w14:ligatures w14:val="standard"/>
          <w14:numForm w14:val="lining"/>
          <w14:numSpacing w14:val="proportional"/>
        </w:rPr>
        <w:t xml:space="preserve">figures are also </w:t>
      </w:r>
      <w:r w:rsidR="00223C9D">
        <w:rPr>
          <w:color w:val="auto"/>
          <w14:ligatures w14:val="standard"/>
          <w14:numForm w14:val="lining"/>
          <w14:numSpacing w14:val="proportional"/>
        </w:rPr>
        <w:t>us</w:t>
      </w:r>
      <w:r w:rsidR="00D10B27">
        <w:rPr>
          <w:color w:val="auto"/>
          <w14:ligatures w14:val="standard"/>
          <w14:numForm w14:val="lining"/>
          <w14:numSpacing w14:val="proportional"/>
        </w:rPr>
        <w:t>ing</w:t>
      </w:r>
      <w:r w:rsidR="00223C9D">
        <w:rPr>
          <w:color w:val="auto"/>
          <w14:ligatures w14:val="standard"/>
          <w14:numForm w14:val="lining"/>
          <w14:numSpacing w14:val="proportional"/>
        </w:rPr>
        <w:t xml:space="preserve"> an employment factor approach </w:t>
      </w:r>
      <w:r w:rsidR="00D10B27">
        <w:rPr>
          <w:color w:val="auto"/>
          <w14:ligatures w14:val="standard"/>
          <w14:numForm w14:val="lining"/>
          <w14:numSpacing w14:val="proportional"/>
        </w:rPr>
        <w:t xml:space="preserve">which only provides indicative </w:t>
      </w:r>
      <w:r w:rsidR="00B91567">
        <w:rPr>
          <w:color w:val="auto"/>
          <w14:ligatures w14:val="standard"/>
          <w14:numForm w14:val="lining"/>
          <w14:numSpacing w14:val="proportional"/>
        </w:rPr>
        <w:t>estimates</w:t>
      </w:r>
      <w:r w:rsidR="00477D68">
        <w:rPr>
          <w:color w:val="auto"/>
          <w14:ligatures w14:val="standard"/>
          <w14:numForm w14:val="lining"/>
          <w14:numSpacing w14:val="proportional"/>
        </w:rPr>
        <w:t>.</w:t>
      </w:r>
      <w:r w:rsidR="00B91567">
        <w:rPr>
          <w:rStyle w:val="EndnoteReference"/>
          <w:color w:val="auto"/>
          <w14:ligatures w14:val="standard"/>
          <w14:numForm w14:val="lining"/>
          <w14:numSpacing w14:val="proportional"/>
        </w:rPr>
        <w:endnoteReference w:id="17"/>
      </w:r>
    </w:p>
    <w:p w14:paraId="5F120E1D" w14:textId="0523BA4C" w:rsidR="001449D6" w:rsidRPr="00E5087D" w:rsidRDefault="001449D6" w:rsidP="001449D6">
      <w:pPr>
        <w:spacing w:after="120" w:line="276" w:lineRule="auto"/>
        <w:rPr>
          <w:color w:val="auto"/>
          <w14:ligatures w14:val="standard"/>
          <w14:numForm w14:val="lining"/>
          <w14:numSpacing w14:val="proportional"/>
        </w:rPr>
      </w:pPr>
      <w:r w:rsidRPr="00E5087D">
        <w:rPr>
          <w:color w:val="auto"/>
          <w14:ligatures w14:val="standard"/>
          <w14:numForm w14:val="lining"/>
          <w14:numSpacing w14:val="proportional"/>
        </w:rPr>
        <w:t xml:space="preserve">The Institute of Sustainable Futures (ISF) was commissioned to produce workforce projections for </w:t>
      </w:r>
      <w:r w:rsidR="532C02BF" w:rsidRPr="00E5087D">
        <w:rPr>
          <w:color w:val="auto"/>
          <w14:ligatures w14:val="standard"/>
          <w14:numForm w14:val="lining"/>
          <w14:numSpacing w14:val="proportional"/>
        </w:rPr>
        <w:t xml:space="preserve">the </w:t>
      </w:r>
      <w:r w:rsidRPr="00E5087D">
        <w:rPr>
          <w:color w:val="auto"/>
          <w14:ligatures w14:val="standard"/>
          <w14:numForm w14:val="lining"/>
          <w14:numSpacing w14:val="proportional"/>
        </w:rPr>
        <w:t>Australian Energy Market Operator’s (AEMO) 2022 Integrated Systems Plan, which covers the N</w:t>
      </w:r>
      <w:r w:rsidR="7E7885CB" w:rsidRPr="00E5087D">
        <w:rPr>
          <w:color w:val="auto"/>
          <w14:ligatures w14:val="standard"/>
          <w14:numForm w14:val="lining"/>
          <w14:numSpacing w14:val="proportional"/>
        </w:rPr>
        <w:t>EM</w:t>
      </w:r>
      <w:r w:rsidR="003D7CCF">
        <w:rPr>
          <w:color w:val="auto"/>
          <w14:ligatures w14:val="standard"/>
          <w14:numForm w14:val="lining"/>
          <w14:numSpacing w14:val="proportional"/>
        </w:rPr>
        <w:t>.</w:t>
      </w:r>
      <w:r w:rsidRPr="00E5087D">
        <w:rPr>
          <w:rStyle w:val="EndnoteReference"/>
          <w:color w:val="auto"/>
          <w14:ligatures w14:val="standard"/>
          <w14:numForm w14:val="lining"/>
          <w14:numSpacing w14:val="proportional"/>
        </w:rPr>
        <w:endnoteReference w:id="18"/>
      </w:r>
      <w:r w:rsidRPr="00E5087D">
        <w:rPr>
          <w:color w:val="auto"/>
          <w14:ligatures w14:val="standard"/>
          <w14:numForm w14:val="lining"/>
          <w14:numSpacing w14:val="proportional"/>
        </w:rPr>
        <w:t xml:space="preserve"> ISF used an employment factor (full-time-equivalent job years per megawatt of installed capacity) based on current workforce estimates and projected this forward for each scenario. Due to information constraints, this work does not consider energy efficiency, demand-side energy management, electrification or </w:t>
      </w:r>
      <w:r w:rsidR="00D83C99">
        <w:rPr>
          <w:color w:val="auto"/>
          <w14:ligatures w14:val="standard"/>
          <w14:numForm w14:val="lining"/>
          <w14:numSpacing w14:val="proportional"/>
        </w:rPr>
        <w:t xml:space="preserve">renewable </w:t>
      </w:r>
      <w:r w:rsidRPr="00E5087D">
        <w:rPr>
          <w:color w:val="auto"/>
          <w14:ligatures w14:val="standard"/>
          <w14:numForm w14:val="lining"/>
          <w14:numSpacing w14:val="proportional"/>
        </w:rPr>
        <w:t xml:space="preserve">hydrogen production and is also limited by the likelihood that workforce composition and requirements will change over time. </w:t>
      </w:r>
    </w:p>
    <w:p w14:paraId="52B45D47" w14:textId="3227895F" w:rsidR="001449D6" w:rsidRPr="00E5087D" w:rsidRDefault="001449D6" w:rsidP="001449D6">
      <w:pPr>
        <w:spacing w:after="120" w:line="276" w:lineRule="auto"/>
        <w:rPr>
          <w:color w:val="auto"/>
          <w14:ligatures w14:val="standard"/>
          <w14:numForm w14:val="lining"/>
          <w14:numSpacing w14:val="proportional"/>
        </w:rPr>
      </w:pPr>
      <w:r w:rsidRPr="00E5087D">
        <w:rPr>
          <w:color w:val="auto"/>
          <w14:ligatures w14:val="standard"/>
          <w14:numForm w14:val="lining"/>
          <w14:numSpacing w14:val="proportional"/>
        </w:rPr>
        <w:t>Under AEMO’s step change scenario, ISF projects that employment will grow from 19,000 in 2023 to a peak of 81,000 in 2049. Around 30% of employment is for onshore wind generation, 25% for rooftop solar and 18% for batteries, with NSW having the greatest share of employment, followed by Queensland, Victoria, South Australia and Tasmania. Trades and technicians are by far the largest occupation group, with electricians and mechanical trades and technicians in particularly high demand.</w:t>
      </w:r>
      <w:r w:rsidR="00A27434">
        <w:rPr>
          <w:color w:val="auto"/>
          <w14:ligatures w14:val="standard"/>
          <w14:numForm w14:val="lining"/>
          <w14:numSpacing w14:val="proportional"/>
        </w:rPr>
        <w:t xml:space="preserve"> </w:t>
      </w:r>
    </w:p>
    <w:p w14:paraId="4D6F2EC6" w14:textId="16FB1346" w:rsidR="005C1B0C" w:rsidRDefault="005C1B0C" w:rsidP="00F402AC">
      <w:pPr>
        <w:pStyle w:val="Heading4"/>
        <w:spacing w:after="0"/>
      </w:pPr>
      <w:r w:rsidRPr="00E5087D">
        <w:lastRenderedPageBreak/>
        <w:t>Clean energy demand</w:t>
      </w:r>
    </w:p>
    <w:p w14:paraId="278062EF" w14:textId="6C5B3488" w:rsidR="001C7606" w:rsidRPr="00F402AC" w:rsidRDefault="00F402AC" w:rsidP="00F402AC">
      <w:pPr>
        <w:pStyle w:val="Heading4"/>
        <w:spacing w:after="360"/>
        <w:rPr>
          <w:b w:val="0"/>
          <w:bCs w:val="0"/>
          <w:sz w:val="22"/>
        </w:rPr>
      </w:pPr>
      <w:r w:rsidRPr="00E5087D">
        <w:rPr>
          <w:noProof/>
        </w:rPr>
        <mc:AlternateContent>
          <mc:Choice Requires="wps">
            <w:drawing>
              <wp:anchor distT="0" distB="0" distL="114300" distR="114300" simplePos="0" relativeHeight="251658244" behindDoc="1" locked="0" layoutInCell="1" allowOverlap="1" wp14:anchorId="789F8DC3" wp14:editId="5538357F">
                <wp:simplePos x="0" y="0"/>
                <wp:positionH relativeFrom="margin">
                  <wp:posOffset>0</wp:posOffset>
                </wp:positionH>
                <wp:positionV relativeFrom="page">
                  <wp:posOffset>1467853</wp:posOffset>
                </wp:positionV>
                <wp:extent cx="5835316" cy="996950"/>
                <wp:effectExtent l="0" t="0" r="13335" b="12700"/>
                <wp:wrapNone/>
                <wp:docPr id="82" name="Rectangle 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35316" cy="996950"/>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26622" id="Rectangle 82" o:spid="_x0000_s1026" alt="&quot;&quot;" style="position:absolute;margin-left:0;margin-top:115.6pt;width:459.45pt;height:78.5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" fillcolor="#d2e6d8" strokecolor="#005d5d [3205]" strokeweight="1pt">
                <w10:wrap anchorx="margin" anchory="page"/>
              </v:rect>
            </w:pict>
          </mc:Fallback>
        </mc:AlternateContent>
      </w:r>
      <w:r w:rsidRPr="00F402AC">
        <w:rPr>
          <w:b w:val="0"/>
          <w:bCs w:val="0"/>
          <w:sz w:val="22"/>
        </w:rPr>
        <w:t>Estimate</w:t>
      </w:r>
      <w:r w:rsidR="00B92246" w:rsidRPr="00F402AC">
        <w:rPr>
          <w:b w:val="0"/>
          <w:bCs w:val="0"/>
          <w:sz w:val="22"/>
        </w:rPr>
        <w:t xml:space="preserve"> of </w:t>
      </w:r>
      <w:r>
        <w:rPr>
          <w:b w:val="0"/>
          <w:bCs w:val="0"/>
          <w:sz w:val="22"/>
        </w:rPr>
        <w:t xml:space="preserve">up to </w:t>
      </w:r>
      <w:r w:rsidRPr="00F402AC">
        <w:rPr>
          <w:b w:val="0"/>
          <w:bCs w:val="0"/>
          <w:sz w:val="22"/>
        </w:rPr>
        <w:t>146</w:t>
      </w:r>
      <w:r w:rsidR="001C7606" w:rsidRPr="00F402AC">
        <w:rPr>
          <w:b w:val="0"/>
          <w:bCs w:val="0"/>
          <w:sz w:val="22"/>
        </w:rPr>
        <w:t>,000 workers</w:t>
      </w:r>
      <w:r w:rsidR="00D47729" w:rsidRPr="00F402AC">
        <w:rPr>
          <w:b w:val="0"/>
          <w:bCs w:val="0"/>
          <w:sz w:val="22"/>
        </w:rPr>
        <w:t xml:space="preserve"> </w:t>
      </w:r>
      <w:r w:rsidR="00743136">
        <w:rPr>
          <w:b w:val="0"/>
          <w:bCs w:val="0"/>
          <w:sz w:val="22"/>
        </w:rPr>
        <w:t>within clean energy</w:t>
      </w:r>
    </w:p>
    <w:p w14:paraId="3D6247FC" w14:textId="2E63C1AA" w:rsidR="005C1B0C" w:rsidRPr="00E5087D" w:rsidRDefault="005C1B0C" w:rsidP="00644478">
      <w:pPr>
        <w:ind w:left="227" w:right="113"/>
        <w:rPr>
          <w:color w:val="auto"/>
        </w:rPr>
      </w:pPr>
      <w:r w:rsidRPr="00E5087D">
        <w:rPr>
          <w:color w:val="auto"/>
        </w:rPr>
        <w:t xml:space="preserve">Industry groups that are essential to creating or moderating the demand for clean energy. This covers the activities that will electrify energy demand in homes, the commercial sector and the industrial sector (energy usage), activities that will improve energy efficiency to moderate overall demand (energy performance) and activities that will create demand for clean energy in transport (transport). </w:t>
      </w:r>
    </w:p>
    <w:p w14:paraId="7E705128" w14:textId="77777777" w:rsidR="005C1B0C" w:rsidRPr="00E5087D" w:rsidRDefault="005C1B0C" w:rsidP="005C1B0C">
      <w:pPr>
        <w:pStyle w:val="Heading5"/>
        <w:spacing w:before="360" w:after="240"/>
        <w:rPr>
          <w:sz w:val="24"/>
          <w:szCs w:val="24"/>
        </w:rPr>
      </w:pPr>
      <w:r w:rsidRPr="00E5087D">
        <w:rPr>
          <w:sz w:val="24"/>
          <w:szCs w:val="24"/>
        </w:rPr>
        <w:t>Industries in Clean Energy Demand</w:t>
      </w:r>
    </w:p>
    <w:p w14:paraId="35E657BB" w14:textId="77777777" w:rsidR="005C1B0C" w:rsidRPr="00E5087D" w:rsidRDefault="005C1B0C" w:rsidP="005C1B0C">
      <w:pPr>
        <w:pStyle w:val="Heading5"/>
        <w:spacing w:before="120" w:after="120" w:line="240" w:lineRule="auto"/>
        <w:rPr>
          <w:b w:val="0"/>
          <w:bCs w:val="0"/>
          <w:color w:val="005D5D"/>
          <w14:ligatures w14:val="standard"/>
          <w14:numForm w14:val="lining"/>
          <w14:numSpacing w14:val="proportional"/>
        </w:rPr>
      </w:pPr>
      <w:r w:rsidRPr="00E5087D">
        <w:rPr>
          <w:b w:val="0"/>
          <w:bCs w:val="0"/>
          <w:color w:val="005D5D"/>
          <w14:ligatures w14:val="standard"/>
          <w14:numForm w14:val="lining"/>
          <w14:numSpacing w14:val="proportional"/>
        </w:rPr>
        <w:t>ENERGY USAGE:</w:t>
      </w:r>
    </w:p>
    <w:p w14:paraId="60C05F7F" w14:textId="77B6B2B7" w:rsidR="005C1B0C" w:rsidRPr="00E5087D" w:rsidRDefault="511BD9BF" w:rsidP="00F25595">
      <w:pPr>
        <w:pStyle w:val="ListBullet"/>
        <w:numPr>
          <w:ilvl w:val="0"/>
          <w:numId w:val="13"/>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Energy usage relates to</w:t>
      </w:r>
      <w:r w:rsidR="265F21CB">
        <w:rPr>
          <w:lang w:val="en-AU"/>
          <w14:ligatures w14:val="standard"/>
          <w14:numForm w14:val="lining"/>
          <w14:numSpacing w14:val="proportional"/>
        </w:rPr>
        <w:t xml:space="preserve"> the installation of</w:t>
      </w:r>
      <w:r w:rsidRPr="00E5087D">
        <w:rPr>
          <w:lang w:val="en-AU"/>
          <w14:ligatures w14:val="standard"/>
          <w14:numForm w14:val="lining"/>
          <w14:numSpacing w14:val="proportional"/>
        </w:rPr>
        <w:t xml:space="preserve"> small scale (residential) solar electricity generation and the role of electrification in decarbonising energy use, electrical services and air conditioning and heating services (</w:t>
      </w:r>
      <w:r w:rsidR="00EA730B">
        <w:rPr>
          <w:lang w:val="en-AU"/>
          <w14:ligatures w14:val="standard"/>
          <w14:numForm w14:val="lining"/>
          <w14:numSpacing w14:val="proportional"/>
        </w:rPr>
        <w:t>which are</w:t>
      </w:r>
      <w:r w:rsidRPr="00E5087D">
        <w:rPr>
          <w:lang w:val="en-AU"/>
          <w14:ligatures w14:val="standard"/>
          <w14:numForm w14:val="lining"/>
          <w14:numSpacing w14:val="proportional"/>
        </w:rPr>
        <w:t xml:space="preserve"> in the Construction industry division). This group will be central to electrification, as well as capturing some current rooftop solar installation.</w:t>
      </w:r>
    </w:p>
    <w:p w14:paraId="4F1C7EAD" w14:textId="5AD1B8AF" w:rsidR="005C1B0C" w:rsidRPr="00E5087D" w:rsidRDefault="005C1B0C" w:rsidP="00F25595">
      <w:pPr>
        <w:pStyle w:val="ListBullet"/>
        <w:numPr>
          <w:ilvl w:val="0"/>
          <w:numId w:val="13"/>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Estimating the current proportion of these industry groups working on clean energy is difficult. The ABS </w:t>
      </w:r>
      <w:r w:rsidRPr="00E5087D">
        <w:rPr>
          <w:i/>
          <w:iCs/>
          <w:lang w:val="en-AU"/>
          <w14:ligatures w14:val="standard"/>
          <w14:numForm w14:val="lining"/>
          <w14:numSpacing w14:val="proportional"/>
        </w:rPr>
        <w:t>Employment in Renewable Energy Activities, Australia</w:t>
      </w:r>
      <w:r w:rsidRPr="00E5087D">
        <w:rPr>
          <w:lang w:val="en-AU"/>
          <w14:ligatures w14:val="standard"/>
          <w14:numForm w14:val="lining"/>
          <w14:numSpacing w14:val="proportional"/>
        </w:rPr>
        <w:t xml:space="preserve"> estimated that in financial year 2018-19, there were 13,070 jobs in roof-top solar PV systems and that growth had been approximately 30</w:t>
      </w:r>
      <w:r w:rsidR="00B17A48">
        <w:rPr>
          <w:lang w:val="en-AU"/>
          <w14:ligatures w14:val="standard"/>
          <w14:numForm w14:val="lining"/>
          <w14:numSpacing w14:val="proportional"/>
        </w:rPr>
        <w:t>%</w:t>
      </w:r>
      <w:r w:rsidRPr="00E5087D">
        <w:rPr>
          <w:lang w:val="en-AU"/>
          <w14:ligatures w14:val="standard"/>
          <w14:numForm w14:val="lining"/>
          <w14:numSpacing w14:val="proportional"/>
        </w:rPr>
        <w:t xml:space="preserve"> a year since 2015-16.</w:t>
      </w:r>
      <w:r w:rsidRPr="00E5087D">
        <w:rPr>
          <w:rStyle w:val="EndnoteReference"/>
          <w:lang w:val="en-AU"/>
          <w14:ligatures w14:val="standard"/>
          <w14:numForm w14:val="lining"/>
          <w14:numSpacing w14:val="proportional"/>
        </w:rPr>
        <w:endnoteReference w:id="19"/>
      </w:r>
      <w:r w:rsidRPr="00E5087D">
        <w:rPr>
          <w:lang w:val="en-AU"/>
          <w14:ligatures w14:val="standard"/>
          <w14:numForm w14:val="lining"/>
          <w14:numSpacing w14:val="proportional"/>
        </w:rPr>
        <w:t xml:space="preserve"> On that basis, it is likely to account for approximately 20</w:t>
      </w:r>
      <w:r w:rsidR="00B17A48">
        <w:rPr>
          <w:lang w:val="en-AU"/>
          <w14:ligatures w14:val="standard"/>
          <w14:numForm w14:val="lining"/>
          <w14:numSpacing w14:val="proportional"/>
        </w:rPr>
        <w:t>%</w:t>
      </w:r>
      <w:r w:rsidRPr="00E5087D">
        <w:rPr>
          <w:lang w:val="en-AU"/>
          <w14:ligatures w14:val="standard"/>
          <w14:numForm w14:val="lining"/>
          <w14:numSpacing w14:val="proportional"/>
        </w:rPr>
        <w:t xml:space="preserve"> of the total electrical services workforce of approximately 84,000 based on the 2021 Census.</w:t>
      </w:r>
    </w:p>
    <w:p w14:paraId="13349023" w14:textId="32C546E4" w:rsidR="005C1B0C" w:rsidRPr="00E5087D" w:rsidRDefault="511BD9BF" w:rsidP="00F25595">
      <w:pPr>
        <w:pStyle w:val="ListBullet"/>
        <w:numPr>
          <w:ilvl w:val="0"/>
          <w:numId w:val="13"/>
        </w:numPr>
        <w:spacing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This industry group will be the one that will need to respond to additional demand for electrification (alongside plumbing). It is also where a large proportion of current electricians are employed, and so </w:t>
      </w:r>
      <w:r w:rsidR="56981442" w:rsidRPr="00E5087D">
        <w:rPr>
          <w:lang w:val="en-AU"/>
          <w14:ligatures w14:val="standard"/>
          <w14:numForm w14:val="lining"/>
          <w14:numSpacing w14:val="proportional"/>
        </w:rPr>
        <w:t xml:space="preserve">is </w:t>
      </w:r>
      <w:r w:rsidRPr="00E5087D">
        <w:rPr>
          <w:lang w:val="en-AU"/>
          <w14:ligatures w14:val="standard"/>
          <w14:numForm w14:val="lining"/>
          <w14:numSpacing w14:val="proportional"/>
        </w:rPr>
        <w:t>critical to consider in terms of potential sources of labour for the clean energy core workforce.</w:t>
      </w:r>
    </w:p>
    <w:p w14:paraId="628A47A9" w14:textId="77777777" w:rsidR="005C1B0C" w:rsidRPr="00E5087D" w:rsidRDefault="005C1B0C" w:rsidP="005C1B0C">
      <w:pPr>
        <w:pStyle w:val="Heading5"/>
        <w:spacing w:before="240" w:after="120" w:line="240" w:lineRule="auto"/>
        <w:rPr>
          <w:b w:val="0"/>
          <w:bCs w:val="0"/>
          <w:color w:val="005D5D"/>
          <w14:ligatures w14:val="standard"/>
          <w14:numForm w14:val="lining"/>
          <w14:numSpacing w14:val="proportional"/>
        </w:rPr>
      </w:pPr>
      <w:r w:rsidRPr="00E5087D">
        <w:rPr>
          <w:b w:val="0"/>
          <w:bCs w:val="0"/>
          <w:color w:val="005D5D"/>
          <w14:ligatures w14:val="standard"/>
          <w14:numForm w14:val="lining"/>
          <w14:numSpacing w14:val="proportional"/>
        </w:rPr>
        <w:t>ENERGY PERFORMANCE:</w:t>
      </w:r>
    </w:p>
    <w:p w14:paraId="11BCAD83" w14:textId="17B4E145" w:rsidR="005C1B0C" w:rsidRPr="007C603B" w:rsidRDefault="511BD9BF" w:rsidP="00F25595">
      <w:pPr>
        <w:pStyle w:val="ListBullet"/>
        <w:numPr>
          <w:ilvl w:val="0"/>
          <w:numId w:val="13"/>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Energy performance relates to reducing energy demand and includes energy efficiency, energy management and demand management.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includes the industry groups that directly contribute to improving energy efficiency in residences and other buildings (e.g. house construction, carpentry services, glazing services, plumbing services), supporting industry groups in the value chain (e.g. glass and glass product manufacturing) and the various road, rail, aviation and maritime transport sectors. We have estimated that the clean energy component is approximately 15-20</w:t>
      </w:r>
      <w:r w:rsidR="6F4B7F94">
        <w:rPr>
          <w:lang w:val="en-AU"/>
          <w14:ligatures w14:val="standard"/>
          <w14:numForm w14:val="lining"/>
          <w14:numSpacing w14:val="proportional"/>
        </w:rPr>
        <w:t>%</w:t>
      </w:r>
      <w:r w:rsidRPr="00E5087D">
        <w:rPr>
          <w:lang w:val="en-AU"/>
          <w14:ligatures w14:val="standard"/>
          <w14:numForm w14:val="lining"/>
          <w14:numSpacing w14:val="proportional"/>
        </w:rPr>
        <w:t xml:space="preserve"> in construction (based on the distribution of spending for alterations and additions to existing residential buildings), and between </w:t>
      </w:r>
      <w:r w:rsidR="006566BC">
        <w:rPr>
          <w:lang w:val="en-AU"/>
          <w14:ligatures w14:val="standard"/>
          <w14:numForm w14:val="lining"/>
          <w14:numSpacing w14:val="proportional"/>
        </w:rPr>
        <w:t>5</w:t>
      </w:r>
      <w:r w:rsidR="6F4B7F94">
        <w:rPr>
          <w:lang w:val="en-AU"/>
          <w14:ligatures w14:val="standard"/>
          <w14:numForm w14:val="lining"/>
          <w14:numSpacing w14:val="proportional"/>
        </w:rPr>
        <w:t>-</w:t>
      </w:r>
      <w:r w:rsidR="006566BC">
        <w:rPr>
          <w:lang w:val="en-AU"/>
          <w14:ligatures w14:val="standard"/>
          <w14:numForm w14:val="lining"/>
          <w14:numSpacing w14:val="proportional"/>
        </w:rPr>
        <w:t xml:space="preserve">8% </w:t>
      </w:r>
      <w:r w:rsidRPr="00E5087D">
        <w:rPr>
          <w:lang w:val="en-AU"/>
          <w14:ligatures w14:val="standard"/>
          <w14:numForm w14:val="lining"/>
          <w14:numSpacing w14:val="proportional"/>
        </w:rPr>
        <w:t>in transport (based on the occupations within the industry that would be most impacted by conversion from combustible engines)</w:t>
      </w:r>
      <w:r w:rsidR="41E0C6FE">
        <w:rPr>
          <w:lang w:val="en-AU"/>
          <w14:ligatures w14:val="standard"/>
          <w14:numForm w14:val="lining"/>
          <w14:numSpacing w14:val="proportional"/>
        </w:rPr>
        <w:t>.</w:t>
      </w:r>
      <w:r w:rsidR="005C1B0C" w:rsidRPr="00E5087D">
        <w:rPr>
          <w:vertAlign w:val="superscript"/>
          <w:lang w:val="en-AU"/>
          <w14:numForm w14:val="lining"/>
          <w14:numSpacing w14:val="proportional"/>
        </w:rPr>
        <w:endnoteReference w:id="20"/>
      </w:r>
      <w:r w:rsidR="005C1B0C" w:rsidRPr="00BB2E09">
        <w:rPr>
          <w:b/>
          <w:color w:val="005D5D"/>
          <w:lang w:val="en-AU"/>
          <w14:ligatures w14:val="standard"/>
          <w14:numForm w14:val="lining"/>
          <w14:numSpacing w14:val="proportional"/>
        </w:rPr>
        <w:br w:type="page"/>
      </w:r>
    </w:p>
    <w:p w14:paraId="0E593962" w14:textId="77777777" w:rsidR="005C1B0C" w:rsidRPr="00E5087D" w:rsidRDefault="005C1B0C" w:rsidP="005C1B0C">
      <w:pPr>
        <w:pStyle w:val="Heading5"/>
        <w:spacing w:before="240" w:after="120" w:line="240" w:lineRule="auto"/>
        <w:rPr>
          <w:b w:val="0"/>
          <w:bCs w:val="0"/>
          <w:color w:val="005D5D"/>
          <w14:ligatures w14:val="standard"/>
          <w14:numForm w14:val="lining"/>
          <w14:numSpacing w14:val="proportional"/>
        </w:rPr>
      </w:pPr>
      <w:r w:rsidRPr="00E5087D">
        <w:rPr>
          <w:b w:val="0"/>
          <w:bCs w:val="0"/>
          <w:color w:val="005D5D"/>
          <w14:ligatures w14:val="standard"/>
          <w14:numForm w14:val="lining"/>
          <w14:numSpacing w14:val="proportional"/>
        </w:rPr>
        <w:lastRenderedPageBreak/>
        <w:t>TRANSPORT:</w:t>
      </w:r>
    </w:p>
    <w:p w14:paraId="0FFB2053" w14:textId="4E3032A0" w:rsidR="005C1B0C" w:rsidRPr="00E5087D" w:rsidRDefault="511BD9BF" w:rsidP="00797C64">
      <w:pPr>
        <w:pStyle w:val="ListBullet"/>
        <w:numPr>
          <w:ilvl w:val="0"/>
          <w:numId w:val="13"/>
        </w:numPr>
        <w:spacing w:after="120" w:line="276" w:lineRule="auto"/>
        <w:ind w:left="426" w:hanging="284"/>
        <w:rPr>
          <w:lang w:val="en-AU"/>
          <w14:ligatures w14:val="standard"/>
          <w14:numForm w14:val="lining"/>
          <w14:numSpacing w14:val="proportional"/>
        </w:rPr>
      </w:pPr>
      <w:r w:rsidRPr="388C0A0B">
        <w:rPr>
          <w:rFonts w:eastAsiaTheme="minorEastAsia" w:cstheme="minorBidi"/>
          <w:color w:val="auto"/>
          <w:spacing w:val="0"/>
          <w:lang w:val="en-AU" w:eastAsia="en-US"/>
          <w14:ligatures w14:val="standard"/>
          <w14:numForm w14:val="lining"/>
          <w14:numSpacing w14:val="proportional"/>
        </w:rPr>
        <w:t xml:space="preserve">We have created a separate </w:t>
      </w:r>
      <w:r w:rsidR="002C3B9C">
        <w:rPr>
          <w:rFonts w:eastAsiaTheme="minorEastAsia" w:cstheme="minorBidi"/>
          <w:color w:val="auto"/>
          <w:spacing w:val="0"/>
          <w:lang w:val="en-AU" w:eastAsia="en-US"/>
          <w14:ligatures w14:val="standard"/>
          <w14:numForm w14:val="lining"/>
          <w14:numSpacing w14:val="proportional"/>
        </w:rPr>
        <w:t>sub-segment</w:t>
      </w:r>
      <w:r w:rsidRPr="388C0A0B">
        <w:rPr>
          <w:rFonts w:eastAsiaTheme="minorEastAsia" w:cstheme="minorBidi"/>
          <w:color w:val="auto"/>
          <w:spacing w:val="0"/>
          <w:lang w:val="en-AU" w:eastAsia="en-US"/>
          <w14:ligatures w14:val="standard"/>
          <w14:numForm w14:val="lining"/>
          <w14:numSpacing w14:val="proportional"/>
        </w:rPr>
        <w:t xml:space="preserve"> for transport, given its crucial contribution to </w:t>
      </w:r>
      <w:r w:rsidRPr="00E5087D">
        <w:rPr>
          <w:lang w:val="en-AU"/>
          <w14:ligatures w14:val="standard"/>
          <w14:numForm w14:val="lining"/>
          <w14:numSpacing w14:val="proportional"/>
        </w:rPr>
        <w:t>reaching net zero but at the same time recognising that at this point it is less advanced in the transition to clean energy sources.</w:t>
      </w:r>
    </w:p>
    <w:p w14:paraId="3013BAB7" w14:textId="37ED5B27" w:rsidR="005C1B0C" w:rsidRPr="00E5087D" w:rsidRDefault="005C1B0C" w:rsidP="00797C64">
      <w:pPr>
        <w:pStyle w:val="ListBullet"/>
        <w:numPr>
          <w:ilvl w:val="0"/>
          <w:numId w:val="13"/>
        </w:numPr>
        <w:spacing w:after="120" w:line="276" w:lineRule="auto"/>
        <w:ind w:left="426" w:hanging="284"/>
        <w:rPr>
          <w:lang w:val="en-AU"/>
          <w14:ligatures w14:val="standard"/>
          <w14:numForm w14:val="lining"/>
          <w14:numSpacing w14:val="proportional"/>
        </w:rPr>
      </w:pPr>
      <w:r w:rsidRPr="00E5087D">
        <w:rPr>
          <w:lang w:val="en-AU"/>
          <w14:ligatures w14:val="standard"/>
          <w14:numForm w14:val="lining"/>
          <w14:numSpacing w14:val="proportional"/>
        </w:rPr>
        <w:t xml:space="preserve">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includes all modes of transport from the Transport and Distribution industry division, as well as automotive repair.</w:t>
      </w:r>
    </w:p>
    <w:p w14:paraId="7FEEB88C" w14:textId="7A7D2A6E" w:rsidR="005C1B0C" w:rsidRPr="00E5087D" w:rsidRDefault="00893264" w:rsidP="00797C64">
      <w:pPr>
        <w:pStyle w:val="ListBullet"/>
        <w:numPr>
          <w:ilvl w:val="0"/>
          <w:numId w:val="13"/>
        </w:numPr>
        <w:spacing w:after="120" w:line="276" w:lineRule="auto"/>
        <w:ind w:left="426" w:hanging="284"/>
        <w:rPr>
          <w:lang w:val="en-AU"/>
          <w14:ligatures w14:val="standard"/>
          <w14:numForm w14:val="lining"/>
          <w14:numSpacing w14:val="proportional"/>
        </w:rPr>
      </w:pPr>
      <w:r>
        <w:rPr>
          <w:lang w:val="en-AU"/>
          <w14:ligatures w14:val="standard"/>
          <w14:numForm w14:val="lining"/>
          <w14:numSpacing w14:val="proportional"/>
        </w:rPr>
        <w:t>W</w:t>
      </w:r>
      <w:r w:rsidR="005C1B0C" w:rsidRPr="00E5087D">
        <w:rPr>
          <w:lang w:val="en-AU"/>
          <w14:ligatures w14:val="standard"/>
          <w14:numForm w14:val="lining"/>
          <w14:numSpacing w14:val="proportional"/>
        </w:rPr>
        <w:t xml:space="preserve">e have focused on the proportion </w:t>
      </w:r>
      <w:r>
        <w:rPr>
          <w:lang w:val="en-AU"/>
          <w14:ligatures w14:val="standard"/>
          <w14:numForm w14:val="lining"/>
          <w14:numSpacing w14:val="proportional"/>
        </w:rPr>
        <w:t>of the workforce that will be impacted by the change in engine technology in terms of skills they will need to do their jobs. Therefore</w:t>
      </w:r>
      <w:r w:rsidR="005A150B">
        <w:rPr>
          <w:lang w:val="en-AU"/>
          <w14:ligatures w14:val="standard"/>
          <w14:numForm w14:val="lining"/>
          <w14:numSpacing w14:val="proportional"/>
        </w:rPr>
        <w:t>,</w:t>
      </w:r>
      <w:r>
        <w:rPr>
          <w:lang w:val="en-AU"/>
          <w14:ligatures w14:val="standard"/>
          <w14:numForm w14:val="lining"/>
          <w14:numSpacing w14:val="proportional"/>
        </w:rPr>
        <w:t xml:space="preserve"> we’ve included </w:t>
      </w:r>
      <w:r w:rsidR="005C1B0C" w:rsidRPr="00E5087D">
        <w:rPr>
          <w:lang w:val="en-AU"/>
          <w14:ligatures w14:val="standard"/>
          <w14:numForm w14:val="lining"/>
          <w14:numSpacing w14:val="proportional"/>
        </w:rPr>
        <w:t>motor mechanics rather than drivers or supporting clerical workers, to identify a proportion of around 1</w:t>
      </w:r>
      <w:r w:rsidR="00B17A48">
        <w:rPr>
          <w:lang w:val="en-AU"/>
          <w14:ligatures w14:val="standard"/>
          <w14:numForm w14:val="lining"/>
          <w14:numSpacing w14:val="proportional"/>
        </w:rPr>
        <w:t>%</w:t>
      </w:r>
      <w:r w:rsidR="005C1B0C" w:rsidRPr="00E5087D">
        <w:rPr>
          <w:lang w:val="en-AU"/>
          <w14:ligatures w14:val="standard"/>
          <w14:numForm w14:val="lining"/>
          <w14:numSpacing w14:val="proportional"/>
        </w:rPr>
        <w:t xml:space="preserve"> for those industry groups. </w:t>
      </w:r>
    </w:p>
    <w:p w14:paraId="66A5CE80" w14:textId="39AE7252" w:rsidR="005C1B0C" w:rsidRPr="00E5087D" w:rsidRDefault="005C1B0C" w:rsidP="00797C64">
      <w:pPr>
        <w:pStyle w:val="ListBullet"/>
        <w:numPr>
          <w:ilvl w:val="0"/>
          <w:numId w:val="13"/>
        </w:numPr>
        <w:spacing w:after="120" w:line="276" w:lineRule="auto"/>
        <w:ind w:left="426" w:hanging="284"/>
        <w:rPr>
          <w:rFonts w:eastAsiaTheme="minorHAnsi" w:cstheme="minorBidi"/>
          <w:bCs/>
          <w:color w:val="auto"/>
          <w:spacing w:val="0"/>
          <w:szCs w:val="22"/>
          <w:lang w:val="en-AU" w:eastAsia="en-US"/>
          <w14:ligatures w14:val="standard"/>
          <w14:numForm w14:val="lining"/>
          <w14:numSpacing w14:val="proportional"/>
        </w:rPr>
      </w:pPr>
      <w:r w:rsidRPr="00E5087D">
        <w:rPr>
          <w:lang w:val="en-AU"/>
          <w14:ligatures w14:val="standard"/>
          <w14:numForm w14:val="lining"/>
          <w14:numSpacing w14:val="proportional"/>
        </w:rPr>
        <w:t>For automotive repair, we have considered the proportion of vehicles that are currently electric or hybrid. We have chosen an upper range figure – 16.6</w:t>
      </w:r>
      <w:r w:rsidR="00B17A48">
        <w:rPr>
          <w:lang w:val="en-AU"/>
          <w14:ligatures w14:val="standard"/>
          <w14:numForm w14:val="lining"/>
          <w14:numSpacing w14:val="proportional"/>
        </w:rPr>
        <w:t>%</w:t>
      </w:r>
      <w:r w:rsidRPr="00E5087D">
        <w:rPr>
          <w:lang w:val="en-AU"/>
          <w14:ligatures w14:val="standard"/>
          <w14:numForm w14:val="lining"/>
          <w14:numSpacing w14:val="proportional"/>
        </w:rPr>
        <w:t xml:space="preserve"> of new vehicle sales in June 2023 were electric</w:t>
      </w:r>
      <w:r w:rsidRPr="2F97E14D">
        <w:rPr>
          <w:rFonts w:eastAsiaTheme="minorEastAsia" w:cstheme="minorBidi"/>
          <w:color w:val="auto"/>
          <w:spacing w:val="0"/>
          <w:lang w:val="en-AU" w:eastAsia="en-US"/>
          <w14:ligatures w14:val="standard"/>
          <w14:numForm w14:val="lining"/>
          <w14:numSpacing w14:val="proportional"/>
        </w:rPr>
        <w:t xml:space="preserve"> or hybrid.</w:t>
      </w:r>
      <w:r w:rsidRPr="2F97E14D">
        <w:rPr>
          <w:rStyle w:val="EndnoteReference"/>
          <w:rFonts w:eastAsiaTheme="minorEastAsia" w:cstheme="minorBidi"/>
          <w:color w:val="auto"/>
          <w:spacing w:val="0"/>
          <w:lang w:val="en-AU" w:eastAsia="en-US"/>
          <w14:ligatures w14:val="standard"/>
          <w14:numForm w14:val="lining"/>
          <w14:numSpacing w14:val="proportional"/>
        </w:rPr>
        <w:endnoteReference w:id="21"/>
      </w:r>
      <w:r w:rsidRPr="2F97E14D">
        <w:rPr>
          <w:rFonts w:eastAsiaTheme="minorEastAsia" w:cstheme="minorBidi"/>
          <w:color w:val="auto"/>
          <w:spacing w:val="0"/>
          <w:lang w:val="en-AU" w:eastAsia="en-US"/>
          <w14:ligatures w14:val="standard"/>
          <w14:numForm w14:val="lining"/>
          <w14:numSpacing w14:val="proportional"/>
        </w:rPr>
        <w:t xml:space="preserve"> The proportion of all operational vehicles is obviously lower but increasing rapidly. </w:t>
      </w:r>
    </w:p>
    <w:p w14:paraId="232D51B8" w14:textId="77777777" w:rsidR="005C1B0C" w:rsidRPr="00E5087D" w:rsidRDefault="005C1B0C">
      <w:pPr>
        <w:rPr>
          <w:bCs/>
          <w:color w:val="auto"/>
          <w14:ligatures w14:val="standard"/>
          <w14:numForm w14:val="lining"/>
          <w14:numSpacing w14:val="proportional"/>
        </w:rPr>
      </w:pPr>
      <w:r w:rsidRPr="00E5087D">
        <w:rPr>
          <w:bCs/>
          <w:color w:val="auto"/>
          <w14:ligatures w14:val="standard"/>
          <w14:numForm w14:val="lining"/>
          <w14:numSpacing w14:val="proportional"/>
        </w:rPr>
        <w:br w:type="page"/>
      </w:r>
    </w:p>
    <w:p w14:paraId="2C1B35BC" w14:textId="23422E78" w:rsidR="0076644A" w:rsidRDefault="0076644A" w:rsidP="00F402AC">
      <w:pPr>
        <w:pStyle w:val="Heading4"/>
        <w:spacing w:after="0"/>
      </w:pPr>
      <w:r w:rsidRPr="00E5087D">
        <w:lastRenderedPageBreak/>
        <w:t>Clean energy enabling segments</w:t>
      </w:r>
    </w:p>
    <w:p w14:paraId="2C2B957E" w14:textId="28DD597A" w:rsidR="00F402AC" w:rsidRPr="006F25EC" w:rsidRDefault="00691485" w:rsidP="006F25EC">
      <w:pPr>
        <w:pStyle w:val="Bodycopy"/>
        <w:spacing w:after="360"/>
        <w:rPr>
          <w:color w:val="005D5D" w:themeColor="accent2"/>
        </w:rPr>
      </w:pPr>
      <w:r w:rsidRPr="00E5087D">
        <w:rPr>
          <w:noProof/>
        </w:rPr>
        <mc:AlternateContent>
          <mc:Choice Requires="wps">
            <w:drawing>
              <wp:anchor distT="0" distB="0" distL="114300" distR="114300" simplePos="0" relativeHeight="251658245" behindDoc="1" locked="0" layoutInCell="1" allowOverlap="1" wp14:anchorId="3F1DB5CF" wp14:editId="68691BB5">
                <wp:simplePos x="0" y="0"/>
                <wp:positionH relativeFrom="margin">
                  <wp:posOffset>-34290</wp:posOffset>
                </wp:positionH>
                <wp:positionV relativeFrom="page">
                  <wp:posOffset>1480762</wp:posOffset>
                </wp:positionV>
                <wp:extent cx="5734050" cy="3524250"/>
                <wp:effectExtent l="0" t="0" r="19050" b="19050"/>
                <wp:wrapNone/>
                <wp:docPr id="83" name="Rectangle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4050" cy="3524250"/>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B7C1D" id="Rectangle 83" o:spid="_x0000_s1026" alt="&quot;&quot;" style="position:absolute;margin-left:-2.7pt;margin-top:116.6pt;width:451.5pt;height:277.5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" fillcolor="#d2e6d8" strokecolor="#005d5d [3205]" strokeweight="1pt">
                <w10:wrap anchorx="margin" anchory="page"/>
              </v:rect>
            </w:pict>
          </mc:Fallback>
        </mc:AlternateContent>
      </w:r>
      <w:r w:rsidR="00F402AC" w:rsidRPr="006F25EC">
        <w:rPr>
          <w:color w:val="005D5D" w:themeColor="accent2"/>
        </w:rPr>
        <w:t xml:space="preserve">Estimate of up to </w:t>
      </w:r>
      <w:r w:rsidR="00E42B99" w:rsidRPr="006F25EC">
        <w:rPr>
          <w:color w:val="005D5D" w:themeColor="accent2"/>
        </w:rPr>
        <w:t>90</w:t>
      </w:r>
      <w:r w:rsidR="00F402AC" w:rsidRPr="006F25EC">
        <w:rPr>
          <w:color w:val="005D5D" w:themeColor="accent2"/>
        </w:rPr>
        <w:t>,</w:t>
      </w:r>
      <w:r w:rsidR="00E42B99" w:rsidRPr="006F25EC">
        <w:rPr>
          <w:color w:val="005D5D" w:themeColor="accent2"/>
        </w:rPr>
        <w:t>5</w:t>
      </w:r>
      <w:r w:rsidR="00F402AC" w:rsidRPr="006F25EC">
        <w:rPr>
          <w:color w:val="005D5D" w:themeColor="accent2"/>
        </w:rPr>
        <w:t xml:space="preserve">00 workers </w:t>
      </w:r>
      <w:r w:rsidR="00743136">
        <w:rPr>
          <w:color w:val="005D5D" w:themeColor="accent2"/>
        </w:rPr>
        <w:t>within clean energy</w:t>
      </w:r>
    </w:p>
    <w:p w14:paraId="2AE9330F" w14:textId="417EBF05" w:rsidR="0076644A" w:rsidRPr="00E5087D" w:rsidRDefault="0076644A" w:rsidP="006F25EC">
      <w:pPr>
        <w:ind w:left="57"/>
      </w:pPr>
      <w:r w:rsidRPr="00E5087D">
        <w:t xml:space="preserve">Industry groups which enable clean energy production, supply and usage but where the clean energy component is small. </w:t>
      </w:r>
      <w:r w:rsidR="001972F3">
        <w:t>It is f</w:t>
      </w:r>
      <w:r w:rsidRPr="00E5087D">
        <w:t xml:space="preserve">urther divided into six </w:t>
      </w:r>
      <w:r w:rsidR="002C3B9C">
        <w:t>sub-segment</w:t>
      </w:r>
      <w:r w:rsidRPr="00E5087D">
        <w:t>s.</w:t>
      </w:r>
      <w:r w:rsidRPr="00E5087D">
        <w:rPr>
          <w:color w:val="4B875C"/>
        </w:rPr>
        <w:t xml:space="preserve"> </w:t>
      </w:r>
    </w:p>
    <w:p w14:paraId="4F587E0C"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education, training, research &amp; technology</w:t>
      </w:r>
      <w:r w:rsidRPr="00E5087D">
        <w:t>. Provides the skills and the technology needed to produce the clean energy sector and workforce.</w:t>
      </w:r>
    </w:p>
    <w:p w14:paraId="10E863A9"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finance, legal, business</w:t>
      </w:r>
      <w:r w:rsidRPr="00E5087D">
        <w:t xml:space="preserve">. Develops the specialist financial products and expertise and legal instruments to support investment in clean energy. </w:t>
      </w:r>
    </w:p>
    <w:p w14:paraId="3E4400F1"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 xml:space="preserve">Enabling </w:t>
      </w:r>
      <w:r w:rsidRPr="00E5087D">
        <w:t xml:space="preserve">– </w:t>
      </w:r>
      <w:r w:rsidRPr="00E5087D">
        <w:rPr>
          <w:b/>
          <w:bCs/>
        </w:rPr>
        <w:t>engineering, procurement and construction</w:t>
      </w:r>
      <w:r w:rsidRPr="00E5087D">
        <w:t xml:space="preserve">. Responsible for the commissioning and construction of large-scale new renewable electricity generation sites. </w:t>
      </w:r>
    </w:p>
    <w:p w14:paraId="51E50061"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regulatory</w:t>
      </w:r>
      <w:r w:rsidRPr="00E5087D">
        <w:t xml:space="preserve">. Provides the legislative basis for the growth of the clean energy sector and rules of operation. </w:t>
      </w:r>
    </w:p>
    <w:p w14:paraId="594C797B" w14:textId="77777777" w:rsidR="0076644A" w:rsidRPr="00E5087D" w:rsidRDefault="0076644A" w:rsidP="00F25595">
      <w:pPr>
        <w:pStyle w:val="ListParagraph"/>
        <w:numPr>
          <w:ilvl w:val="0"/>
          <w:numId w:val="14"/>
        </w:numPr>
        <w:spacing w:after="120" w:line="240" w:lineRule="auto"/>
        <w:ind w:left="460" w:right="170" w:hanging="233"/>
        <w:contextualSpacing w:val="0"/>
      </w:pPr>
      <w:r w:rsidRPr="00E5087D">
        <w:rPr>
          <w:b/>
          <w:bCs/>
        </w:rPr>
        <w:t>Enabling – supply chain</w:t>
      </w:r>
      <w:r w:rsidRPr="00E5087D">
        <w:t xml:space="preserve">. These are the industry groups that provide the inputs to the technologies that are transitioning to clean energy (as distinct from the technology that produces clean energy). </w:t>
      </w:r>
    </w:p>
    <w:p w14:paraId="65DD4144" w14:textId="77777777" w:rsidR="0076644A" w:rsidRPr="00E5087D" w:rsidRDefault="0076644A" w:rsidP="00F25595">
      <w:pPr>
        <w:pStyle w:val="ListParagraph"/>
        <w:numPr>
          <w:ilvl w:val="0"/>
          <w:numId w:val="14"/>
        </w:numPr>
        <w:spacing w:after="120" w:line="240" w:lineRule="auto"/>
        <w:ind w:left="460" w:right="170" w:hanging="233"/>
        <w:contextualSpacing w:val="0"/>
        <w:rPr>
          <w:i/>
          <w:iCs/>
        </w:rPr>
      </w:pPr>
      <w:r w:rsidRPr="00E5087D">
        <w:rPr>
          <w:b/>
          <w:bCs/>
        </w:rPr>
        <w:t>Enabling – vehicle and equipment production, trade and maintenance</w:t>
      </w:r>
      <w:r w:rsidRPr="00E5087D">
        <w:t>. This captures manufacturing of vehicles and industrial machinery and equipment that is either currently electric-powered or will likely transition at some point from fossil-fuel based to electricity or sustainable fuels</w:t>
      </w:r>
      <w:r w:rsidRPr="00E5087D">
        <w:rPr>
          <w:i/>
          <w:iCs/>
        </w:rPr>
        <w:t>.</w:t>
      </w:r>
    </w:p>
    <w:p w14:paraId="741DC8E2" w14:textId="77777777" w:rsidR="0076644A" w:rsidRPr="00E5087D" w:rsidRDefault="0076644A" w:rsidP="00DC1340">
      <w:pPr>
        <w:pStyle w:val="Heading5"/>
        <w:spacing w:before="360" w:after="120"/>
        <w:rPr>
          <w:sz w:val="24"/>
          <w:szCs w:val="24"/>
        </w:rPr>
      </w:pPr>
      <w:r w:rsidRPr="00E5087D">
        <w:rPr>
          <w:sz w:val="24"/>
          <w:szCs w:val="24"/>
        </w:rPr>
        <w:t>Education, training, research and technology:</w:t>
      </w:r>
    </w:p>
    <w:p w14:paraId="35B0779E" w14:textId="1EDB6A25" w:rsidR="0076644A" w:rsidRPr="00E5087D" w:rsidRDefault="02BD7551" w:rsidP="388C0A0B">
      <w:pPr>
        <w:pStyle w:val="ListBullet"/>
        <w:numPr>
          <w:ilvl w:val="0"/>
          <w:numId w:val="0"/>
        </w:numPr>
        <w:spacing w:after="120" w:line="276" w:lineRule="auto"/>
        <w:rPr>
          <w:rFonts w:asciiTheme="majorHAnsi" w:hAnsiTheme="majorHAnsi" w:cstheme="majorBidi"/>
          <w:lang w:val="en-AU"/>
          <w14:ligatures w14:val="standard"/>
          <w14:numForm w14:val="lining"/>
          <w14:numSpacing w14:val="proportional"/>
        </w:rPr>
      </w:pPr>
      <w:r w:rsidRPr="388C0A0B">
        <w:rPr>
          <w:rFonts w:asciiTheme="majorHAnsi" w:hAnsiTheme="majorHAnsi" w:cstheme="majorBidi"/>
          <w:lang w:val="en-AU"/>
          <w14:ligatures w14:val="standard"/>
          <w14:numForm w14:val="lining"/>
          <w14:numSpacing w14:val="proportional"/>
        </w:rPr>
        <w:t xml:space="preserve">Industries in this </w:t>
      </w:r>
      <w:r w:rsidR="002C3B9C">
        <w:rPr>
          <w:rFonts w:asciiTheme="majorHAnsi" w:hAnsiTheme="majorHAnsi" w:cstheme="majorBidi"/>
          <w:lang w:val="en-AU"/>
          <w14:ligatures w14:val="standard"/>
          <w14:numForm w14:val="lining"/>
          <w14:numSpacing w14:val="proportional"/>
        </w:rPr>
        <w:t>sub-segment</w:t>
      </w:r>
      <w:r w:rsidRPr="388C0A0B">
        <w:rPr>
          <w:rFonts w:asciiTheme="majorHAnsi" w:hAnsiTheme="majorHAnsi" w:cstheme="majorBidi"/>
          <w:lang w:val="en-AU"/>
          <w14:ligatures w14:val="standard"/>
          <w14:numForm w14:val="lining"/>
          <w14:numSpacing w14:val="proportional"/>
        </w:rPr>
        <w:t xml:space="preserve"> include higher education; technical and </w:t>
      </w:r>
      <w:r w:rsidR="00010615">
        <w:rPr>
          <w:rFonts w:asciiTheme="majorHAnsi" w:hAnsiTheme="majorHAnsi" w:cstheme="majorBidi"/>
          <w:lang w:val="en-AU"/>
          <w14:ligatures w14:val="standard"/>
          <w14:numForm w14:val="lining"/>
          <w14:numSpacing w14:val="proportional"/>
        </w:rPr>
        <w:t>VET</w:t>
      </w:r>
      <w:r w:rsidRPr="388C0A0B">
        <w:rPr>
          <w:rFonts w:asciiTheme="majorHAnsi" w:hAnsiTheme="majorHAnsi" w:cstheme="majorBidi"/>
          <w:lang w:val="en-AU"/>
          <w14:ligatures w14:val="standard"/>
          <w14:numForm w14:val="lining"/>
          <w14:numSpacing w14:val="proportional"/>
        </w:rPr>
        <w:t xml:space="preserve">; scientific research services, other professional, </w:t>
      </w:r>
      <w:r w:rsidR="08EEF98A" w:rsidRPr="388C0A0B">
        <w:rPr>
          <w:rFonts w:asciiTheme="majorHAnsi" w:hAnsiTheme="majorHAnsi" w:cstheme="majorBidi"/>
          <w:lang w:val="en-AU"/>
          <w14:ligatures w14:val="standard"/>
          <w14:numForm w14:val="lining"/>
          <w14:numSpacing w14:val="proportional"/>
        </w:rPr>
        <w:t>scientific,</w:t>
      </w:r>
      <w:r w:rsidRPr="388C0A0B">
        <w:rPr>
          <w:rFonts w:asciiTheme="majorHAnsi" w:hAnsiTheme="majorHAnsi" w:cstheme="majorBidi"/>
          <w:lang w:val="en-AU"/>
          <w14:ligatures w14:val="standard"/>
          <w14:numForm w14:val="lining"/>
          <w14:numSpacing w14:val="proportional"/>
        </w:rPr>
        <w:t xml:space="preserve"> and technical services. In total, this segment comprises approximately a quarter of a million workers, but the proportion of workers in these industry groups connected with clean energy is quite small – approximately </w:t>
      </w:r>
      <w:r w:rsidR="6F4B7F94" w:rsidRPr="388C0A0B">
        <w:rPr>
          <w:rFonts w:asciiTheme="majorHAnsi" w:hAnsiTheme="majorHAnsi" w:cstheme="majorBidi"/>
          <w:lang w:val="en-AU"/>
          <w14:ligatures w14:val="standard"/>
          <w14:numForm w14:val="lining"/>
          <w14:numSpacing w14:val="proportional"/>
        </w:rPr>
        <w:t>4</w:t>
      </w:r>
      <w:r w:rsidRPr="388C0A0B">
        <w:rPr>
          <w:rFonts w:asciiTheme="majorHAnsi" w:hAnsiTheme="majorHAnsi" w:cstheme="majorBidi"/>
          <w:lang w:val="en-AU"/>
          <w14:ligatures w14:val="standard"/>
          <w14:numForm w14:val="lining"/>
          <w14:numSpacing w14:val="proportional"/>
        </w:rPr>
        <w:t xml:space="preserve"> or </w:t>
      </w:r>
      <w:r w:rsidR="6F4B7F94" w:rsidRPr="388C0A0B">
        <w:rPr>
          <w:rFonts w:asciiTheme="majorHAnsi" w:hAnsiTheme="majorHAnsi" w:cstheme="majorBidi"/>
          <w:lang w:val="en-AU"/>
          <w14:ligatures w14:val="standard"/>
          <w14:numForm w14:val="lining"/>
          <w14:numSpacing w14:val="proportional"/>
        </w:rPr>
        <w:t>5%</w:t>
      </w:r>
      <w:r w:rsidRPr="388C0A0B">
        <w:rPr>
          <w:rFonts w:asciiTheme="majorHAnsi" w:hAnsiTheme="majorHAnsi" w:cstheme="majorBidi"/>
          <w:lang w:val="en-AU"/>
          <w14:ligatures w14:val="standard"/>
          <w14:numForm w14:val="lining"/>
          <w14:numSpacing w14:val="proportional"/>
        </w:rPr>
        <w:t>.</w:t>
      </w:r>
    </w:p>
    <w:p w14:paraId="1CE1636B" w14:textId="48BB6082" w:rsidR="0076644A" w:rsidRPr="00E5087D" w:rsidRDefault="0076644A" w:rsidP="0076644A">
      <w:pPr>
        <w:pStyle w:val="ListBullet"/>
        <w:numPr>
          <w:ilvl w:val="0"/>
          <w:numId w:val="0"/>
        </w:numPr>
        <w:spacing w:after="120" w:line="276" w:lineRule="auto"/>
        <w:rPr>
          <w:rFonts w:asciiTheme="majorHAnsi" w:hAnsiTheme="majorHAnsi" w:cstheme="majorHAnsi"/>
          <w:lang w:val="en-AU"/>
          <w14:ligatures w14:val="standard"/>
          <w14:numForm w14:val="lining"/>
          <w14:numSpacing w14:val="proportional"/>
        </w:rPr>
      </w:pPr>
      <w:r w:rsidRPr="2F97E14D">
        <w:rPr>
          <w:rFonts w:asciiTheme="majorHAnsi" w:hAnsiTheme="majorHAnsi" w:cstheme="majorBidi"/>
          <w:lang w:val="en-AU"/>
          <w14:ligatures w14:val="standard"/>
          <w14:numForm w14:val="lining"/>
          <w14:numSpacing w14:val="proportional"/>
        </w:rPr>
        <w:t xml:space="preserve">A 2014 ARENA report found 1-3% of </w:t>
      </w:r>
      <w:r w:rsidR="00AE31AF" w:rsidRPr="2F97E14D">
        <w:rPr>
          <w:rFonts w:asciiTheme="majorHAnsi" w:hAnsiTheme="majorHAnsi" w:cstheme="majorBidi"/>
          <w:lang w:val="en-AU"/>
          <w14:ligatures w14:val="standard"/>
          <w14:numForm w14:val="lining"/>
          <w14:numSpacing w14:val="proportional"/>
        </w:rPr>
        <w:t xml:space="preserve">indexed journal articles attributed to CSIRO and Australian universities </w:t>
      </w:r>
      <w:r w:rsidR="004E1923" w:rsidRPr="2F97E14D">
        <w:rPr>
          <w:rFonts w:asciiTheme="majorHAnsi" w:hAnsiTheme="majorHAnsi" w:cstheme="majorBidi"/>
          <w:lang w:val="en-AU"/>
          <w14:ligatures w14:val="standard"/>
          <w14:numForm w14:val="lining"/>
          <w14:numSpacing w14:val="proportional"/>
        </w:rPr>
        <w:t xml:space="preserve">were </w:t>
      </w:r>
      <w:r w:rsidRPr="2F97E14D">
        <w:rPr>
          <w:rFonts w:asciiTheme="majorHAnsi" w:hAnsiTheme="majorHAnsi" w:cstheme="majorBidi"/>
          <w:lang w:val="en-AU"/>
          <w14:ligatures w14:val="standard"/>
          <w14:numForm w14:val="lining"/>
          <w14:numSpacing w14:val="proportional"/>
        </w:rPr>
        <w:t>related to renewables</w:t>
      </w:r>
      <w:r w:rsidR="004E1923" w:rsidRPr="2F97E14D">
        <w:rPr>
          <w:rFonts w:asciiTheme="majorHAnsi" w:hAnsiTheme="majorHAnsi" w:cstheme="majorBidi"/>
          <w:lang w:val="en-AU"/>
          <w14:ligatures w14:val="standard"/>
          <w14:numForm w14:val="lining"/>
          <w14:numSpacing w14:val="proportional"/>
        </w:rPr>
        <w:t>, with the total number increasing each year since 2005.</w:t>
      </w:r>
      <w:r w:rsidRPr="2F97E14D">
        <w:rPr>
          <w:rStyle w:val="EndnoteReference"/>
          <w:rFonts w:asciiTheme="majorHAnsi" w:hAnsiTheme="majorHAnsi" w:cstheme="majorBidi"/>
          <w:color w:val="000000"/>
          <w:lang w:val="en-AU"/>
          <w14:ligatures w14:val="standard"/>
          <w14:numForm w14:val="lining"/>
          <w14:numSpacing w14:val="proportional"/>
        </w:rPr>
        <w:endnoteReference w:id="22"/>
      </w:r>
      <w:r w:rsidR="00691485" w:rsidRPr="2F97E14D">
        <w:rPr>
          <w:rFonts w:asciiTheme="majorHAnsi" w:hAnsiTheme="majorHAnsi" w:cstheme="majorBidi"/>
          <w:lang w:val="en-AU"/>
          <w14:ligatures w14:val="standard"/>
          <w14:numForm w14:val="lining"/>
          <w14:numSpacing w14:val="proportional"/>
        </w:rPr>
        <w:t xml:space="preserve"> </w:t>
      </w:r>
      <w:r w:rsidR="00500A87" w:rsidRPr="00500A87">
        <w:rPr>
          <w:rFonts w:asciiTheme="majorHAnsi" w:hAnsiTheme="majorHAnsi" w:cstheme="majorBidi"/>
          <w:lang w:val="en-AU"/>
          <w14:ligatures w14:val="standard"/>
          <w14:numForm w14:val="lining"/>
          <w14:numSpacing w14:val="proportional"/>
        </w:rPr>
        <w:t>JSA</w:t>
      </w:r>
      <w:r w:rsidRPr="2F97E14D">
        <w:rPr>
          <w:rFonts w:asciiTheme="majorHAnsi" w:hAnsiTheme="majorHAnsi" w:cstheme="majorBidi"/>
          <w:lang w:val="en-AU"/>
          <w14:ligatures w14:val="standard"/>
          <w14:numForm w14:val="lining"/>
          <w14:numSpacing w14:val="proportional"/>
        </w:rPr>
        <w:t xml:space="preserve"> analysis shows that 3.9% of enrolments in </w:t>
      </w:r>
      <w:r w:rsidR="00010615">
        <w:rPr>
          <w:rFonts w:asciiTheme="majorHAnsi" w:hAnsiTheme="majorHAnsi" w:cstheme="majorBidi"/>
          <w:lang w:val="en-AU"/>
          <w14:ligatures w14:val="standard"/>
          <w14:numForm w14:val="lining"/>
          <w14:numSpacing w14:val="proportional"/>
        </w:rPr>
        <w:t>VET</w:t>
      </w:r>
      <w:r w:rsidRPr="2F97E14D">
        <w:rPr>
          <w:rFonts w:asciiTheme="majorHAnsi" w:hAnsiTheme="majorHAnsi" w:cstheme="majorBidi"/>
          <w:lang w:val="en-AU"/>
          <w14:ligatures w14:val="standard"/>
          <w14:numForm w14:val="lining"/>
          <w14:numSpacing w14:val="proportional"/>
        </w:rPr>
        <w:t xml:space="preserve"> are in training products mapped to the </w:t>
      </w:r>
      <w:r w:rsidR="005F0CDE" w:rsidRPr="2F97E14D">
        <w:rPr>
          <w:rFonts w:asciiTheme="majorHAnsi" w:hAnsiTheme="majorHAnsi" w:cstheme="majorBidi"/>
          <w:lang w:val="en-AU"/>
          <w14:ligatures w14:val="standard"/>
          <w14:numForm w14:val="lining"/>
          <w14:numSpacing w14:val="proportional"/>
        </w:rPr>
        <w:t>Powering Skills Organisation (Jobs and Skills Council).</w:t>
      </w:r>
    </w:p>
    <w:p w14:paraId="0DAFCD47" w14:textId="77777777" w:rsidR="0076644A" w:rsidRPr="00E5087D" w:rsidRDefault="0076644A" w:rsidP="00DC1340">
      <w:pPr>
        <w:pStyle w:val="Heading5"/>
        <w:spacing w:before="360" w:after="120"/>
        <w:rPr>
          <w:sz w:val="24"/>
          <w:szCs w:val="24"/>
        </w:rPr>
      </w:pPr>
      <w:r w:rsidRPr="00E5087D">
        <w:rPr>
          <w:sz w:val="24"/>
          <w:szCs w:val="24"/>
        </w:rPr>
        <w:t>Finance, legal and business:</w:t>
      </w:r>
    </w:p>
    <w:p w14:paraId="2C62C242" w14:textId="6687FBC6" w:rsidR="0076644A" w:rsidRPr="00E5087D" w:rsidRDefault="02BD7551" w:rsidP="0076644A">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Industries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are financial and insurance services</w:t>
      </w:r>
      <w:r w:rsidR="37006818" w:rsidRPr="00E5087D">
        <w:rPr>
          <w:lang w:val="en-AU"/>
          <w14:ligatures w14:val="standard"/>
          <w14:numForm w14:val="lining"/>
          <w14:numSpacing w14:val="proportional"/>
        </w:rPr>
        <w:t>,</w:t>
      </w:r>
      <w:r w:rsidRPr="00E5087D">
        <w:rPr>
          <w:lang w:val="en-AU"/>
          <w14:ligatures w14:val="standard"/>
          <w14:numForm w14:val="lining"/>
          <w14:numSpacing w14:val="proportional"/>
        </w:rPr>
        <w:t xml:space="preserve"> and the following from professional scientific and technical services: legal services, accounting services, and management advice and related consulting services. Like education, training, research and technology, the overall size is quite significant (approximately half a million workers), but the proportion of workers in these industry groups connected with clean energy is quite small. </w:t>
      </w:r>
    </w:p>
    <w:p w14:paraId="63C330EC" w14:textId="6563AAD6" w:rsidR="0076644A" w:rsidRPr="00E5087D" w:rsidRDefault="02BD7551" w:rsidP="0076644A">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The International Energy Agency </w:t>
      </w:r>
      <w:r w:rsidR="001A4922">
        <w:rPr>
          <w:lang w:val="en-AU"/>
          <w14:ligatures w14:val="standard"/>
          <w14:numForm w14:val="lining"/>
          <w14:numSpacing w14:val="proportional"/>
        </w:rPr>
        <w:t xml:space="preserve">(IEA) </w:t>
      </w:r>
      <w:r w:rsidRPr="00E5087D">
        <w:rPr>
          <w:lang w:val="en-AU"/>
          <w14:ligatures w14:val="standard"/>
          <w14:numForm w14:val="lining"/>
          <w14:numSpacing w14:val="proportional"/>
        </w:rPr>
        <w:t>estimates professional services (including legal, accounting, engineering design, and others) at around 5% of the clean energy workforce</w:t>
      </w:r>
      <w:r w:rsidR="56CD3755" w:rsidRPr="00E5087D">
        <w:rPr>
          <w:lang w:val="en-AU"/>
          <w14:ligatures w14:val="standard"/>
          <w14:numForm w14:val="lining"/>
          <w14:numSpacing w14:val="proportional"/>
        </w:rPr>
        <w:t>.</w:t>
      </w:r>
      <w:r w:rsidR="0076644A" w:rsidRPr="00E5087D">
        <w:rPr>
          <w:rStyle w:val="EndnoteReference"/>
          <w:lang w:val="en-AU"/>
          <w14:ligatures w14:val="standard"/>
          <w14:numForm w14:val="lining"/>
          <w14:numSpacing w14:val="proportional"/>
        </w:rPr>
        <w:endnoteReference w:id="23"/>
      </w:r>
      <w:r w:rsidRPr="00E5087D">
        <w:rPr>
          <w:lang w:val="en-AU"/>
          <w14:ligatures w14:val="standard"/>
          <w14:numForm w14:val="lining"/>
          <w14:numSpacing w14:val="proportional"/>
        </w:rPr>
        <w:t xml:space="preserve"> This aligns with the ISF analysis, which has finance, business, legal and planning occupations at 4.5% for Australia</w:t>
      </w:r>
      <w:r w:rsidR="6A9068E2" w:rsidRPr="00E5087D">
        <w:rPr>
          <w:lang w:val="en-AU"/>
          <w14:ligatures w14:val="standard"/>
          <w14:numForm w14:val="lining"/>
          <w14:numSpacing w14:val="proportional"/>
        </w:rPr>
        <w:t>.</w:t>
      </w:r>
      <w:r w:rsidR="0076644A" w:rsidRPr="00E5087D">
        <w:rPr>
          <w:rStyle w:val="EndnoteReference"/>
          <w:lang w:val="en-AU"/>
          <w14:ligatures w14:val="standard"/>
          <w14:numForm w14:val="lining"/>
          <w14:numSpacing w14:val="proportional"/>
        </w:rPr>
        <w:endnoteReference w:id="24"/>
      </w:r>
      <w:r w:rsidRPr="00E5087D">
        <w:rPr>
          <w:lang w:val="en-AU"/>
          <w14:ligatures w14:val="standard"/>
          <w14:numForm w14:val="lining"/>
          <w14:numSpacing w14:val="proportional"/>
        </w:rPr>
        <w:t xml:space="preserve"> </w:t>
      </w:r>
    </w:p>
    <w:p w14:paraId="62F19F07" w14:textId="77777777" w:rsidR="0076644A" w:rsidRPr="00E5087D" w:rsidRDefault="0076644A" w:rsidP="00593798">
      <w:pPr>
        <w:pStyle w:val="Heading5"/>
        <w:keepNext/>
        <w:spacing w:before="360" w:after="120"/>
        <w:rPr>
          <w:sz w:val="24"/>
          <w:szCs w:val="24"/>
        </w:rPr>
      </w:pPr>
      <w:r w:rsidRPr="00E5087D">
        <w:rPr>
          <w:sz w:val="24"/>
          <w:szCs w:val="24"/>
        </w:rPr>
        <w:lastRenderedPageBreak/>
        <w:t>Engineering, procurement and construction:</w:t>
      </w:r>
    </w:p>
    <w:p w14:paraId="6A6EC807" w14:textId="7705209C" w:rsidR="0076644A" w:rsidRPr="00E5087D" w:rsidRDefault="0076644A" w:rsidP="0076644A">
      <w:pPr>
        <w:spacing w:after="120" w:line="276" w:lineRule="auto"/>
        <w:rPr>
          <w14:ligatures w14:val="standard"/>
          <w14:numForm w14:val="lining"/>
          <w14:numSpacing w14:val="proportional"/>
        </w:rPr>
      </w:pPr>
      <w:r w:rsidRPr="00E5087D">
        <w:rPr>
          <w14:ligatures w14:val="standard"/>
          <w14:numForm w14:val="lining"/>
          <w14:numSpacing w14:val="proportional"/>
        </w:rPr>
        <w:t xml:space="preserve">This </w:t>
      </w:r>
      <w:r w:rsidR="002C3B9C">
        <w:rPr>
          <w14:ligatures w14:val="standard"/>
          <w14:numForm w14:val="lining"/>
          <w14:numSpacing w14:val="proportional"/>
        </w:rPr>
        <w:t>sub-segment</w:t>
      </w:r>
      <w:r w:rsidRPr="00E5087D">
        <w:rPr>
          <w14:ligatures w14:val="standard"/>
          <w14:numForm w14:val="lining"/>
          <w14:numSpacing w14:val="proportional"/>
        </w:rPr>
        <w:t xml:space="preserve"> contains a combination of professional services (engineering design and consulting, architectural services, scientific testing and analysis services) and the group of heavy and civil engineering construction that covers electricity infrastructure.</w:t>
      </w:r>
    </w:p>
    <w:p w14:paraId="36FC9161" w14:textId="3D5CFB9B" w:rsidR="0076644A" w:rsidRDefault="0076644A" w:rsidP="000327FD">
      <w:pPr>
        <w:spacing w:after="120" w:line="276" w:lineRule="auto"/>
        <w:rPr>
          <w14:ligatures w14:val="standard"/>
          <w14:numForm w14:val="lining"/>
          <w14:numSpacing w14:val="proportional"/>
        </w:rPr>
      </w:pPr>
      <w:r w:rsidRPr="00BB2E09">
        <w:rPr>
          <w14:ligatures w14:val="standard"/>
          <w14:numForm w14:val="lining"/>
          <w14:numSpacing w14:val="proportional"/>
        </w:rPr>
        <w:t>Based</w:t>
      </w:r>
      <w:r w:rsidR="2D5B11C7" w:rsidRPr="00BB2E09">
        <w:rPr>
          <w14:ligatures w14:val="standard"/>
          <w14:numForm w14:val="lining"/>
          <w14:numSpacing w14:val="proportional"/>
        </w:rPr>
        <w:t xml:space="preserve"> on</w:t>
      </w:r>
      <w:r w:rsidRPr="00E5087D">
        <w:rPr>
          <w14:ligatures w14:val="standard"/>
          <w14:numForm w14:val="lining"/>
          <w14:numSpacing w14:val="proportional"/>
        </w:rPr>
        <w:t xml:space="preserve"> </w:t>
      </w:r>
      <w:r w:rsidRPr="00E5087D">
        <w:rPr>
          <w:i/>
          <w:iCs/>
          <w14:ligatures w14:val="standard"/>
          <w14:numForm w14:val="lining"/>
          <w14:numSpacing w14:val="proportional"/>
        </w:rPr>
        <w:t>Race for 2030</w:t>
      </w:r>
      <w:r w:rsidRPr="00E5087D">
        <w:rPr>
          <w14:ligatures w14:val="standard"/>
          <w14:numForm w14:val="lining"/>
          <w14:numSpacing w14:val="proportional"/>
        </w:rPr>
        <w:t xml:space="preserve"> workforce modelling, which provided separate workforce estimates and forecasts for the construction phase of renewable electricity projects, we have estimated that renewable energy currently accounts for approximately 10</w:t>
      </w:r>
      <w:r w:rsidR="00B17A48">
        <w:rPr>
          <w14:ligatures w14:val="standard"/>
          <w14:numForm w14:val="lining"/>
          <w14:numSpacing w14:val="proportional"/>
        </w:rPr>
        <w:t>%</w:t>
      </w:r>
      <w:r w:rsidRPr="00E5087D">
        <w:rPr>
          <w14:ligatures w14:val="standard"/>
          <w14:numForm w14:val="lining"/>
          <w14:numSpacing w14:val="proportional"/>
        </w:rPr>
        <w:t xml:space="preserve"> of employment in this segment.</w:t>
      </w:r>
    </w:p>
    <w:p w14:paraId="76038FD5" w14:textId="23381B50" w:rsidR="000A51A3" w:rsidRPr="00E5087D" w:rsidRDefault="00B93F51" w:rsidP="0076644A">
      <w:pPr>
        <w:spacing w:line="276" w:lineRule="auto"/>
        <w:rPr>
          <w14:ligatures w14:val="standard"/>
          <w14:numForm w14:val="lining"/>
          <w14:numSpacing w14:val="proportional"/>
        </w:rPr>
      </w:pPr>
      <w:r>
        <w:rPr>
          <w14:ligatures w14:val="standard"/>
          <w14:numForm w14:val="lining"/>
          <w14:numSpacing w14:val="proportional"/>
        </w:rPr>
        <w:t>One additional area of activity for the engineering, procurement and construction workforce is in decommissioning depleted oil and gas reserves, coal mines and coal fired power stations.</w:t>
      </w:r>
    </w:p>
    <w:p w14:paraId="1262121A" w14:textId="2203B120" w:rsidR="0076644A" w:rsidRPr="00E5087D" w:rsidRDefault="0076644A" w:rsidP="00DC1340">
      <w:pPr>
        <w:pStyle w:val="Heading5"/>
        <w:spacing w:before="360" w:after="120"/>
        <w:rPr>
          <w:sz w:val="24"/>
          <w:szCs w:val="24"/>
        </w:rPr>
      </w:pPr>
      <w:r w:rsidRPr="00E5087D">
        <w:rPr>
          <w:sz w:val="24"/>
          <w:szCs w:val="24"/>
        </w:rPr>
        <w:t>Regulatory:</w:t>
      </w:r>
    </w:p>
    <w:p w14:paraId="49CE97E0" w14:textId="706F5400" w:rsidR="003C3E54" w:rsidRPr="00E5087D" w:rsidRDefault="02BD7551" w:rsidP="003C3E54">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Industries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are central government administration, state government administration, local government administration. As for the above two </w:t>
      </w:r>
      <w:r w:rsidR="002C3B9C">
        <w:rPr>
          <w:lang w:val="en-AU"/>
          <w14:ligatures w14:val="standard"/>
          <w14:numForm w14:val="lining"/>
          <w14:numSpacing w14:val="proportional"/>
        </w:rPr>
        <w:t>sub-segment</w:t>
      </w:r>
      <w:r w:rsidR="72B56A43" w:rsidRPr="00E5087D">
        <w:rPr>
          <w:lang w:val="en-AU"/>
          <w14:ligatures w14:val="standard"/>
          <w14:numForm w14:val="lining"/>
          <w14:numSpacing w14:val="proportional"/>
        </w:rPr>
        <w:t>s</w:t>
      </w:r>
      <w:r w:rsidRPr="00E5087D">
        <w:rPr>
          <w:lang w:val="en-AU"/>
          <w14:ligatures w14:val="standard"/>
          <w14:numForm w14:val="lining"/>
          <w14:numSpacing w14:val="proportional"/>
        </w:rPr>
        <w:t xml:space="preserve">, the proportion of workers in these industry groups connected with clean energy is quite small. </w:t>
      </w:r>
      <w:r w:rsidR="003C3E54">
        <w:rPr>
          <w:lang w:val="en-AU"/>
          <w14:ligatures w14:val="standard"/>
          <w14:numForm w14:val="lining"/>
          <w14:numSpacing w14:val="proportional"/>
        </w:rPr>
        <w:t xml:space="preserve">Energy </w:t>
      </w:r>
      <w:r w:rsidR="00BE5206">
        <w:rPr>
          <w:lang w:val="en-AU"/>
          <w14:ligatures w14:val="standard"/>
          <w14:numForm w14:val="lining"/>
          <w14:numSpacing w14:val="proportional"/>
        </w:rPr>
        <w:t>A</w:t>
      </w:r>
      <w:r w:rsidR="003C3E54">
        <w:rPr>
          <w:lang w:val="en-AU"/>
          <w14:ligatures w14:val="standard"/>
          <w14:numForm w14:val="lining"/>
          <w14:numSpacing w14:val="proportional"/>
        </w:rPr>
        <w:t xml:space="preserve">ssessor </w:t>
      </w:r>
      <w:r w:rsidR="00BE5206">
        <w:rPr>
          <w:lang w:val="en-AU"/>
          <w14:ligatures w14:val="standard"/>
          <w14:numForm w14:val="lining"/>
          <w14:numSpacing w14:val="proportional"/>
        </w:rPr>
        <w:t xml:space="preserve">is </w:t>
      </w:r>
      <w:r w:rsidR="003C3E54">
        <w:rPr>
          <w:lang w:val="en-AU"/>
          <w14:ligatures w14:val="standard"/>
          <w14:numForm w14:val="lining"/>
          <w14:numSpacing w14:val="proportional"/>
        </w:rPr>
        <w:t xml:space="preserve">an example of a regulatory related </w:t>
      </w:r>
      <w:r w:rsidR="00BB6AB6">
        <w:rPr>
          <w:lang w:val="en-AU"/>
          <w14:ligatures w14:val="standard"/>
          <w14:numForm w14:val="lining"/>
          <w14:numSpacing w14:val="proportional"/>
        </w:rPr>
        <w:t>role</w:t>
      </w:r>
      <w:r w:rsidR="003C3E54">
        <w:rPr>
          <w:lang w:val="en-AU"/>
          <w14:ligatures w14:val="standard"/>
          <w14:numForm w14:val="lining"/>
          <w14:numSpacing w14:val="proportional"/>
        </w:rPr>
        <w:t xml:space="preserve"> in clean energy</w:t>
      </w:r>
      <w:r w:rsidR="00765E1B">
        <w:rPr>
          <w:lang w:val="en-AU"/>
          <w14:ligatures w14:val="standard"/>
          <w14:numForm w14:val="lining"/>
          <w14:numSpacing w14:val="proportional"/>
        </w:rPr>
        <w:t xml:space="preserve">, as are </w:t>
      </w:r>
      <w:r w:rsidR="00BB6AB6">
        <w:rPr>
          <w:lang w:val="en-AU"/>
          <w14:ligatures w14:val="standard"/>
          <w14:numForm w14:val="lining"/>
          <w14:numSpacing w14:val="proportional"/>
        </w:rPr>
        <w:t xml:space="preserve">small </w:t>
      </w:r>
      <w:r w:rsidR="00F344B6">
        <w:rPr>
          <w:lang w:val="en-AU"/>
          <w14:ligatures w14:val="standard"/>
          <w14:numForm w14:val="lining"/>
          <w14:numSpacing w14:val="proportional"/>
        </w:rPr>
        <w:t>generation unit</w:t>
      </w:r>
      <w:r w:rsidR="00765E1B">
        <w:rPr>
          <w:lang w:val="en-AU"/>
          <w14:ligatures w14:val="standard"/>
          <w14:numForm w14:val="lining"/>
          <w14:numSpacing w14:val="proportional"/>
        </w:rPr>
        <w:t xml:space="preserve"> inspectors</w:t>
      </w:r>
      <w:r w:rsidR="00BB6AB6">
        <w:rPr>
          <w:lang w:val="en-AU"/>
          <w14:ligatures w14:val="standard"/>
          <w14:numForm w14:val="lining"/>
          <w14:numSpacing w14:val="proportional"/>
        </w:rPr>
        <w:t xml:space="preserve"> appointed by the Clean Energy Regulator.</w:t>
      </w:r>
    </w:p>
    <w:p w14:paraId="2F0B1BA0" w14:textId="7313523F" w:rsidR="0076644A" w:rsidRDefault="0076644A" w:rsidP="0076644A">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Data from the Australian Public Service Commission indicates that in 2022, approximately </w:t>
      </w:r>
      <w:r w:rsidR="00B17A48">
        <w:rPr>
          <w:lang w:val="en-AU"/>
          <w14:ligatures w14:val="standard"/>
          <w14:numForm w14:val="lining"/>
          <w14:numSpacing w14:val="proportional"/>
        </w:rPr>
        <w:t>4%</w:t>
      </w:r>
      <w:r w:rsidRPr="00E5087D">
        <w:rPr>
          <w:lang w:val="en-AU"/>
          <w14:ligatures w14:val="standard"/>
          <w14:numForm w14:val="lining"/>
          <w14:numSpacing w14:val="proportional"/>
        </w:rPr>
        <w:t xml:space="preserve"> of Australian Public Service employees were working in agencies within the Climate Change, Energy, the Environment and Water portfolio (including the Bureau of Meteorology, the Clean Energy Regulator, the Climate Change Authority, the Great Barrier Reef Marine Park Authority, the Murray-Darling Basin Authority and the North Queensland Water Infrastructure Authority).</w:t>
      </w:r>
      <w:r w:rsidRPr="00E5087D">
        <w:rPr>
          <w:rStyle w:val="EndnoteReference"/>
          <w:lang w:val="en-AU"/>
          <w14:ligatures w14:val="standard"/>
          <w14:numForm w14:val="lining"/>
          <w14:numSpacing w14:val="proportional"/>
        </w:rPr>
        <w:endnoteReference w:id="25"/>
      </w:r>
      <w:r w:rsidRPr="00E5087D">
        <w:rPr>
          <w:lang w:val="en-AU"/>
          <w14:ligatures w14:val="standard"/>
          <w14:numForm w14:val="lining"/>
          <w14:numSpacing w14:val="proportional"/>
        </w:rPr>
        <w:t xml:space="preserve"> </w:t>
      </w:r>
    </w:p>
    <w:p w14:paraId="582FA177" w14:textId="02AED519" w:rsidR="0076644A" w:rsidRPr="00E5087D" w:rsidRDefault="0076644A" w:rsidP="00DC1340">
      <w:pPr>
        <w:pStyle w:val="Heading5"/>
        <w:spacing w:before="360" w:after="120"/>
        <w:rPr>
          <w:sz w:val="24"/>
          <w:szCs w:val="24"/>
        </w:rPr>
      </w:pPr>
      <w:r w:rsidRPr="00E5087D">
        <w:rPr>
          <w:sz w:val="24"/>
          <w:szCs w:val="24"/>
        </w:rPr>
        <w:t>Supply chain:</w:t>
      </w:r>
    </w:p>
    <w:p w14:paraId="41CB6920" w14:textId="24A66476" w:rsidR="0090707D" w:rsidRDefault="02BD7551" w:rsidP="0090707D">
      <w:pPr>
        <w:pStyle w:val="ListBullet"/>
        <w:numPr>
          <w:ilvl w:val="0"/>
          <w:numId w:val="0"/>
        </w:numPr>
        <w:spacing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includes critical mineral mining and processing (as well as supporting sectors such as mineral exploration and mining support services) and manufacturing and construction activities that support renewable energy infrastructure, such as electric cable and wire manufacturing and heavy and civil engineering construction. Also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are: </w:t>
      </w:r>
    </w:p>
    <w:p w14:paraId="094704D3" w14:textId="0490CB14" w:rsidR="0090707D" w:rsidRDefault="02BD7551" w:rsidP="00F25595">
      <w:pPr>
        <w:pStyle w:val="ListBullet"/>
        <w:numPr>
          <w:ilvl w:val="0"/>
          <w:numId w:val="74"/>
        </w:numPr>
        <w:spacing w:after="120" w:line="240" w:lineRule="auto"/>
        <w:rPr>
          <w:lang w:val="en-AU"/>
          <w14:ligatures w14:val="standard"/>
          <w14:numForm w14:val="lining"/>
          <w14:numSpacing w14:val="proportional"/>
        </w:rPr>
      </w:pPr>
      <w:r w:rsidRPr="00E5087D">
        <w:rPr>
          <w:lang w:val="en-AU"/>
          <w14:ligatures w14:val="standard"/>
          <w14:numForm w14:val="lining"/>
          <w14:numSpacing w14:val="proportional"/>
        </w:rPr>
        <w:t>iron ore and silver-lead-zinc ore mining</w:t>
      </w:r>
    </w:p>
    <w:p w14:paraId="365231FD" w14:textId="6C88AB82" w:rsidR="0076644A" w:rsidRDefault="02BD7551" w:rsidP="00F25595">
      <w:pPr>
        <w:pStyle w:val="ListBullet"/>
        <w:numPr>
          <w:ilvl w:val="0"/>
          <w:numId w:val="74"/>
        </w:numPr>
        <w:spacing w:after="120" w:line="240" w:lineRule="auto"/>
        <w:rPr>
          <w:lang w:val="en-AU"/>
          <w14:ligatures w14:val="standard"/>
          <w14:numForm w14:val="lining"/>
          <w14:numSpacing w14:val="proportional"/>
        </w:rPr>
      </w:pPr>
      <w:r w:rsidRPr="00E5087D">
        <w:rPr>
          <w:lang w:val="en-AU"/>
          <w14:ligatures w14:val="standard"/>
          <w14:numForm w14:val="lining"/>
          <w14:numSpacing w14:val="proportional"/>
        </w:rPr>
        <w:t xml:space="preserve">iron and steel manufacturing, forging, </w:t>
      </w:r>
      <w:r w:rsidR="0090707D">
        <w:rPr>
          <w:lang w:val="en-AU"/>
          <w14:ligatures w14:val="standard"/>
          <w14:numForm w14:val="lining"/>
          <w14:numSpacing w14:val="proportional"/>
        </w:rPr>
        <w:t>and fabrication</w:t>
      </w:r>
    </w:p>
    <w:p w14:paraId="333A5349" w14:textId="7DD7F819" w:rsidR="00354AD3" w:rsidRPr="00E5087D" w:rsidRDefault="00354AD3" w:rsidP="00F25595">
      <w:pPr>
        <w:pStyle w:val="ListBullet"/>
        <w:numPr>
          <w:ilvl w:val="0"/>
          <w:numId w:val="74"/>
        </w:numPr>
        <w:spacing w:after="120" w:line="240" w:lineRule="auto"/>
        <w:rPr>
          <w:lang w:val="en-AU"/>
          <w14:ligatures w14:val="standard"/>
          <w14:numForm w14:val="lining"/>
          <w14:numSpacing w14:val="proportional"/>
        </w:rPr>
      </w:pPr>
      <w:r>
        <w:rPr>
          <w:lang w:val="en-AU"/>
          <w14:ligatures w14:val="standard"/>
          <w14:numForm w14:val="lining"/>
          <w14:numSpacing w14:val="proportional"/>
        </w:rPr>
        <w:t>product manufacturing like s</w:t>
      </w:r>
      <w:r w:rsidRPr="00354AD3">
        <w:rPr>
          <w:lang w:val="en-AU"/>
          <w14:ligatures w14:val="standard"/>
          <w14:numForm w14:val="lining"/>
          <w14:numSpacing w14:val="proportional"/>
        </w:rPr>
        <w:t xml:space="preserve">pace </w:t>
      </w:r>
      <w:r>
        <w:rPr>
          <w:lang w:val="en-AU"/>
          <w14:ligatures w14:val="standard"/>
          <w14:numForm w14:val="lining"/>
          <w14:numSpacing w14:val="proportional"/>
        </w:rPr>
        <w:t>h</w:t>
      </w:r>
      <w:r w:rsidRPr="00354AD3">
        <w:rPr>
          <w:lang w:val="en-AU"/>
          <w14:ligatures w14:val="standard"/>
          <w14:numForm w14:val="lining"/>
          <w14:numSpacing w14:val="proportional"/>
        </w:rPr>
        <w:t xml:space="preserve">eating, </w:t>
      </w:r>
      <w:r>
        <w:rPr>
          <w:lang w:val="en-AU"/>
          <w14:ligatures w14:val="standard"/>
          <w14:numForm w14:val="lining"/>
          <w14:numSpacing w14:val="proportional"/>
        </w:rPr>
        <w:t>c</w:t>
      </w:r>
      <w:r w:rsidRPr="00354AD3">
        <w:rPr>
          <w:lang w:val="en-AU"/>
          <w14:ligatures w14:val="standard"/>
          <w14:numForm w14:val="lining"/>
          <w14:numSpacing w14:val="proportional"/>
        </w:rPr>
        <w:t xml:space="preserve">ooling and </w:t>
      </w:r>
      <w:r>
        <w:rPr>
          <w:lang w:val="en-AU"/>
          <w14:ligatures w14:val="standard"/>
          <w14:numForm w14:val="lining"/>
          <w14:numSpacing w14:val="proportional"/>
        </w:rPr>
        <w:t>v</w:t>
      </w:r>
      <w:r w:rsidRPr="00354AD3">
        <w:rPr>
          <w:lang w:val="en-AU"/>
          <w14:ligatures w14:val="standard"/>
          <w14:numForm w14:val="lining"/>
          <w14:numSpacing w14:val="proportional"/>
        </w:rPr>
        <w:t xml:space="preserve">entilation </w:t>
      </w:r>
      <w:r>
        <w:rPr>
          <w:lang w:val="en-AU"/>
          <w14:ligatures w14:val="standard"/>
          <w14:numForm w14:val="lining"/>
          <w14:numSpacing w14:val="proportional"/>
        </w:rPr>
        <w:t>e</w:t>
      </w:r>
      <w:r w:rsidRPr="00354AD3">
        <w:rPr>
          <w:lang w:val="en-AU"/>
          <w14:ligatures w14:val="standard"/>
          <w14:numForm w14:val="lining"/>
          <w14:numSpacing w14:val="proportional"/>
        </w:rPr>
        <w:t>quipment</w:t>
      </w:r>
      <w:r w:rsidR="5A6B5B7A" w:rsidRPr="00354AD3">
        <w:rPr>
          <w:lang w:val="en-AU"/>
          <w14:ligatures w14:val="standard"/>
          <w14:numForm w14:val="lining"/>
          <w14:numSpacing w14:val="proportional"/>
        </w:rPr>
        <w:t>.</w:t>
      </w:r>
      <w:r w:rsidRPr="00354AD3">
        <w:rPr>
          <w:lang w:val="en-AU"/>
          <w14:ligatures w14:val="standard"/>
          <w14:numForm w14:val="lining"/>
          <w14:numSpacing w14:val="proportional"/>
        </w:rPr>
        <w:t xml:space="preserve"> </w:t>
      </w:r>
    </w:p>
    <w:p w14:paraId="6A0B1E5E" w14:textId="5A54D49D" w:rsidR="0076644A" w:rsidRPr="006A5CF9" w:rsidRDefault="02BD7551" w:rsidP="006A5CF9">
      <w:pPr>
        <w:pStyle w:val="ListBullet"/>
        <w:numPr>
          <w:ilvl w:val="0"/>
          <w:numId w:val="0"/>
        </w:numPr>
        <w:spacing w:before="240" w:after="120" w:line="276" w:lineRule="auto"/>
        <w:rPr>
          <w:lang w:val="en-AU"/>
          <w14:ligatures w14:val="standard"/>
          <w14:numForm w14:val="lining"/>
          <w14:numSpacing w14:val="proportional"/>
        </w:rPr>
      </w:pPr>
      <w:r w:rsidRPr="00E5087D">
        <w:rPr>
          <w:lang w:val="en-AU"/>
          <w14:ligatures w14:val="standard"/>
          <w14:numForm w14:val="lining"/>
          <w14:numSpacing w14:val="proportional"/>
        </w:rPr>
        <w:t xml:space="preserve">As a share of the total industry groups included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the proportion of workers with some direct connection to clean energy or its supply chain components is small. Employment in this </w:t>
      </w:r>
      <w:r w:rsidR="002C3B9C">
        <w:rPr>
          <w:lang w:val="en-AU"/>
          <w14:ligatures w14:val="standard"/>
          <w14:numForm w14:val="lining"/>
          <w14:numSpacing w14:val="proportional"/>
        </w:rPr>
        <w:t>sub-segment</w:t>
      </w:r>
      <w:r w:rsidRPr="00E5087D">
        <w:rPr>
          <w:lang w:val="en-AU"/>
          <w14:ligatures w14:val="standard"/>
          <w14:numForm w14:val="lining"/>
          <w14:numSpacing w14:val="proportional"/>
        </w:rPr>
        <w:t xml:space="preserve"> is dominated by iron ore and gold mining, for example, whereas the proportion connected with lithium mining is less </w:t>
      </w:r>
      <w:r w:rsidR="6F4B7F94">
        <w:rPr>
          <w:lang w:val="en-AU"/>
          <w14:ligatures w14:val="standard"/>
          <w14:numForm w14:val="lining"/>
          <w14:numSpacing w14:val="proportional"/>
        </w:rPr>
        <w:t>5%</w:t>
      </w:r>
      <w:r w:rsidRPr="00E5087D">
        <w:rPr>
          <w:lang w:val="en-AU"/>
          <w14:ligatures w14:val="standard"/>
          <w14:numForm w14:val="lining"/>
          <w14:numSpacing w14:val="proportional"/>
        </w:rPr>
        <w:t xml:space="preserve"> of those larger industry groups. Likewise, there is some manufacturing of wind turbine components in Victoria, but current employment levels are measured in the hundreds or low thousands</w:t>
      </w:r>
      <w:r w:rsidR="70F7F23E" w:rsidRPr="00E5087D">
        <w:rPr>
          <w:lang w:val="en-AU"/>
          <w14:ligatures w14:val="standard"/>
          <w14:numForm w14:val="lining"/>
          <w14:numSpacing w14:val="proportional"/>
        </w:rPr>
        <w:t>,</w:t>
      </w:r>
      <w:r w:rsidR="0076644A" w:rsidRPr="00E5087D">
        <w:rPr>
          <w:rStyle w:val="EndnoteReference"/>
          <w:lang w:val="en-AU"/>
          <w14:ligatures w14:val="standard"/>
          <w14:numForm w14:val="lining"/>
          <w14:numSpacing w14:val="proportional"/>
        </w:rPr>
        <w:endnoteReference w:id="26"/>
      </w:r>
      <w:r w:rsidRPr="00E5087D">
        <w:rPr>
          <w:lang w:val="en-AU"/>
          <w14:ligatures w14:val="standard"/>
          <w14:numForm w14:val="lining"/>
          <w14:numSpacing w14:val="proportional"/>
        </w:rPr>
        <w:t xml:space="preserve"> against the approximately 50,000 workers employed in various stages of steel product manufacturing in Australia. </w:t>
      </w:r>
      <w:r w:rsidR="0076644A" w:rsidRPr="00BB2E09">
        <w:rPr>
          <w:sz w:val="24"/>
          <w:szCs w:val="24"/>
          <w:lang w:val="en-AU"/>
          <w14:ligatures w14:val="standard"/>
          <w14:numForm w14:val="lining"/>
          <w14:numSpacing w14:val="proportional"/>
        </w:rPr>
        <w:br w:type="page"/>
      </w:r>
    </w:p>
    <w:p w14:paraId="4798E7F8" w14:textId="77777777" w:rsidR="0076644A" w:rsidRPr="00E5087D" w:rsidRDefault="0076644A" w:rsidP="00DC1340">
      <w:pPr>
        <w:pStyle w:val="Heading5"/>
        <w:spacing w:before="360" w:after="120"/>
        <w:rPr>
          <w:sz w:val="24"/>
          <w:szCs w:val="24"/>
        </w:rPr>
      </w:pPr>
      <w:r w:rsidRPr="00E5087D">
        <w:rPr>
          <w:sz w:val="24"/>
          <w:szCs w:val="24"/>
        </w:rPr>
        <w:lastRenderedPageBreak/>
        <w:t>Vehicle and equipment production, trade and maintenance:</w:t>
      </w:r>
    </w:p>
    <w:p w14:paraId="5007FD8B" w14:textId="3B4586AB" w:rsidR="0076644A" w:rsidRPr="006465AA" w:rsidRDefault="02BD7551" w:rsidP="006465AA">
      <w:pPr>
        <w:spacing w:after="120" w:line="276" w:lineRule="auto"/>
        <w:rPr>
          <w14:ligatures w14:val="standard"/>
          <w14:numForm w14:val="lining"/>
          <w14:numSpacing w14:val="proportional"/>
        </w:rPr>
      </w:pPr>
      <w:r w:rsidRPr="006465AA">
        <w:rPr>
          <w14:ligatures w14:val="standard"/>
          <w14:numForm w14:val="lining"/>
          <w14:numSpacing w14:val="proportional"/>
        </w:rPr>
        <w:t xml:space="preserve">This </w:t>
      </w:r>
      <w:r w:rsidR="002C3B9C">
        <w:rPr>
          <w14:ligatures w14:val="standard"/>
          <w14:numForm w14:val="lining"/>
          <w14:numSpacing w14:val="proportional"/>
        </w:rPr>
        <w:t>sub-segment</w:t>
      </w:r>
      <w:r w:rsidRPr="006465AA">
        <w:rPr>
          <w14:ligatures w14:val="standard"/>
          <w14:numForm w14:val="lining"/>
          <w14:numSpacing w14:val="proportional"/>
        </w:rPr>
        <w:t xml:space="preserve"> includes manufacturing vehicles as well as other machinery and equipment that is likely to transition from using fossil fuels as an energy source to electric power or sustainable fuels. This </w:t>
      </w:r>
      <w:r w:rsidR="002C3B9C">
        <w:rPr>
          <w14:ligatures w14:val="standard"/>
          <w14:numForm w14:val="lining"/>
          <w14:numSpacing w14:val="proportional"/>
        </w:rPr>
        <w:t>sub-segment</w:t>
      </w:r>
      <w:r w:rsidRPr="006465AA">
        <w:rPr>
          <w14:ligatures w14:val="standard"/>
          <w14:numForm w14:val="lining"/>
          <w14:numSpacing w14:val="proportional"/>
        </w:rPr>
        <w:t xml:space="preserve"> also includes wholesale and retail trade for vehicles as well as machinery and equipment, and repair and maintenance of machinery and equipment not captured elsewhere. </w:t>
      </w:r>
    </w:p>
    <w:p w14:paraId="76694234" w14:textId="03D42EFE" w:rsidR="00DC1340" w:rsidRPr="006465AA" w:rsidRDefault="02BD7551" w:rsidP="006465AA">
      <w:pPr>
        <w:spacing w:after="120" w:line="276" w:lineRule="auto"/>
        <w:rPr>
          <w14:ligatures w14:val="standard"/>
          <w14:numForm w14:val="lining"/>
          <w14:numSpacing w14:val="proportional"/>
        </w:rPr>
      </w:pPr>
      <w:r w:rsidRPr="006465AA">
        <w:rPr>
          <w14:ligatures w14:val="standard"/>
          <w14:numForm w14:val="lining"/>
          <w14:numSpacing w14:val="proportional"/>
        </w:rPr>
        <w:t xml:space="preserve">We included automotive repair with the “Energy demand – transport” </w:t>
      </w:r>
      <w:r w:rsidR="002C3B9C">
        <w:rPr>
          <w14:ligatures w14:val="standard"/>
          <w14:numForm w14:val="lining"/>
          <w14:numSpacing w14:val="proportional"/>
        </w:rPr>
        <w:t>sub-segment</w:t>
      </w:r>
      <w:r w:rsidRPr="006465AA">
        <w:rPr>
          <w14:ligatures w14:val="standard"/>
          <w14:numForm w14:val="lining"/>
          <w14:numSpacing w14:val="proportional"/>
        </w:rPr>
        <w:t>, because of its significance and more direct connection with clean energy skills.</w:t>
      </w:r>
    </w:p>
    <w:p w14:paraId="371D96F0" w14:textId="77777777" w:rsidR="00DC1340" w:rsidRPr="00E5087D" w:rsidRDefault="00DC1340">
      <w:pPr>
        <w:rPr>
          <w14:ligatures w14:val="standard"/>
          <w14:numForm w14:val="lining"/>
          <w14:numSpacing w14:val="proportional"/>
        </w:rPr>
      </w:pPr>
      <w:r w:rsidRPr="00E5087D">
        <w:rPr>
          <w14:ligatures w14:val="standard"/>
          <w14:numForm w14:val="lining"/>
          <w14:numSpacing w14:val="proportional"/>
        </w:rPr>
        <w:br w:type="page"/>
      </w:r>
    </w:p>
    <w:p w14:paraId="514C824F" w14:textId="27702B4E" w:rsidR="007316A8" w:rsidRDefault="007316A8" w:rsidP="006F25EC">
      <w:pPr>
        <w:pStyle w:val="Heading3"/>
        <w:spacing w:after="0"/>
        <w:rPr>
          <w:rFonts w:eastAsiaTheme="minorHAnsi" w:cs="Arial"/>
          <w:bCs/>
          <w:color w:val="005D5D" w:themeColor="accent2"/>
          <w:sz w:val="28"/>
          <w:szCs w:val="22"/>
        </w:rPr>
      </w:pPr>
      <w:r w:rsidRPr="00E5087D">
        <w:rPr>
          <w:color w:val="005D5D"/>
          <w:sz w:val="28"/>
          <w:szCs w:val="28"/>
        </w:rPr>
        <w:lastRenderedPageBreak/>
        <w:t>C</w:t>
      </w:r>
      <w:r w:rsidRPr="00E5087D">
        <w:rPr>
          <w:rFonts w:eastAsiaTheme="minorHAnsi" w:cs="Arial"/>
          <w:bCs/>
          <w:color w:val="005D5D" w:themeColor="accent2"/>
          <w:sz w:val="28"/>
          <w:szCs w:val="22"/>
        </w:rPr>
        <w:t>arbon lifecycle</w:t>
      </w:r>
    </w:p>
    <w:p w14:paraId="68DFF717" w14:textId="363A3096" w:rsidR="006F25EC" w:rsidRPr="006F25EC" w:rsidRDefault="00453BFC" w:rsidP="006F25EC">
      <w:pPr>
        <w:pStyle w:val="Bodycopy"/>
        <w:spacing w:after="360"/>
        <w:rPr>
          <w:color w:val="005D5D" w:themeColor="accent2"/>
        </w:rPr>
      </w:pPr>
      <w:r w:rsidRPr="00E5087D">
        <w:rPr>
          <w:noProof/>
          <w:color w:val="005D5D"/>
        </w:rPr>
        <mc:AlternateContent>
          <mc:Choice Requires="wps">
            <w:drawing>
              <wp:anchor distT="0" distB="0" distL="114300" distR="114300" simplePos="0" relativeHeight="251658263" behindDoc="1" locked="0" layoutInCell="1" allowOverlap="1" wp14:anchorId="52B76FCD" wp14:editId="1F3A2E48">
                <wp:simplePos x="0" y="0"/>
                <wp:positionH relativeFrom="margin">
                  <wp:posOffset>-12700</wp:posOffset>
                </wp:positionH>
                <wp:positionV relativeFrom="margin">
                  <wp:posOffset>533458</wp:posOffset>
                </wp:positionV>
                <wp:extent cx="5734050" cy="1871330"/>
                <wp:effectExtent l="0" t="0" r="19050" b="15240"/>
                <wp:wrapNone/>
                <wp:docPr id="84" name="Rectangle 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4050" cy="1871330"/>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FEA99" id="Rectangle 84" o:spid="_x0000_s1026" alt="&quot;&quot;" style="position:absolute;margin-left:-1pt;margin-top:42pt;width:451.5pt;height:147.35pt;z-index:-25165821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" fillcolor="#d2e6d8" strokecolor="#005d5d [3205]" strokeweight="1pt">
                <w10:wrap anchorx="margin" anchory="margin"/>
              </v:rect>
            </w:pict>
          </mc:Fallback>
        </mc:AlternateContent>
      </w:r>
      <w:r w:rsidR="006F25EC" w:rsidRPr="006F25EC">
        <w:rPr>
          <w:color w:val="005D5D" w:themeColor="accent2"/>
        </w:rPr>
        <w:t xml:space="preserve">Estimate of </w:t>
      </w:r>
      <w:r w:rsidR="00FB4A8A">
        <w:rPr>
          <w:color w:val="005D5D" w:themeColor="accent2"/>
        </w:rPr>
        <w:t>approximately</w:t>
      </w:r>
      <w:r w:rsidR="006F25EC" w:rsidRPr="006F25EC">
        <w:rPr>
          <w:color w:val="005D5D" w:themeColor="accent2"/>
        </w:rPr>
        <w:t xml:space="preserve"> </w:t>
      </w:r>
      <w:r w:rsidR="00FB4A8A">
        <w:rPr>
          <w:color w:val="005D5D" w:themeColor="accent2"/>
        </w:rPr>
        <w:t>55,000</w:t>
      </w:r>
      <w:r w:rsidR="006F25EC" w:rsidRPr="006F25EC">
        <w:rPr>
          <w:color w:val="005D5D" w:themeColor="accent2"/>
        </w:rPr>
        <w:t xml:space="preserve">  </w:t>
      </w:r>
    </w:p>
    <w:p w14:paraId="7F2FE6DD" w14:textId="513D42D8" w:rsidR="007316A8" w:rsidRPr="00E5087D" w:rsidRDefault="007316A8" w:rsidP="007316A8">
      <w:pPr>
        <w:spacing w:before="240" w:after="120" w:line="276" w:lineRule="auto"/>
        <w:ind w:left="227" w:right="170"/>
      </w:pPr>
      <w:r w:rsidRPr="00E5087D">
        <w:t>Industry groups which will have a substantial contribution to managing the carbon lifecycle, such as through carbon capture or the circular economy.</w:t>
      </w:r>
    </w:p>
    <w:p w14:paraId="6BB8A824" w14:textId="4356BDAC" w:rsidR="007316A8" w:rsidRPr="00E5087D" w:rsidRDefault="007316A8" w:rsidP="00F25595">
      <w:pPr>
        <w:pStyle w:val="ListParagraph"/>
        <w:numPr>
          <w:ilvl w:val="0"/>
          <w:numId w:val="49"/>
        </w:numPr>
        <w:tabs>
          <w:tab w:val="left" w:pos="142"/>
        </w:tabs>
        <w:spacing w:before="120" w:after="120" w:line="276" w:lineRule="auto"/>
        <w:ind w:left="709"/>
        <w:contextualSpacing w:val="0"/>
        <w:rPr>
          <w14:numForm w14:val="lining"/>
          <w14:numSpacing w14:val="proportional"/>
        </w:rPr>
      </w:pPr>
      <w:r w:rsidRPr="00E5087D">
        <w:rPr>
          <w14:numForm w14:val="lining"/>
          <w14:numSpacing w14:val="proportional"/>
        </w:rPr>
        <w:t>From Agriculture, Forestry and Fishing: Forestry, Logging and Forestry Support Services</w:t>
      </w:r>
    </w:p>
    <w:p w14:paraId="261750A9" w14:textId="26D0537D" w:rsidR="007316A8" w:rsidRPr="00E5087D" w:rsidRDefault="007316A8" w:rsidP="00F25595">
      <w:pPr>
        <w:pStyle w:val="ListParagraph"/>
        <w:numPr>
          <w:ilvl w:val="0"/>
          <w:numId w:val="49"/>
        </w:numPr>
        <w:tabs>
          <w:tab w:val="left" w:pos="142"/>
        </w:tabs>
        <w:spacing w:after="120" w:line="276" w:lineRule="auto"/>
        <w:ind w:left="709"/>
        <w:contextualSpacing w:val="0"/>
        <w:rPr>
          <w14:numForm w14:val="lining"/>
          <w14:numSpacing w14:val="proportional"/>
        </w:rPr>
      </w:pPr>
      <w:r w:rsidRPr="00E5087D">
        <w:rPr>
          <w14:numForm w14:val="lining"/>
          <w14:numSpacing w14:val="proportional"/>
        </w:rPr>
        <w:t>From Electricity, Gas, Water and Waste Services: Waste Treatment and Disposal Services; and Waste Remediation and Materials Recovery Services</w:t>
      </w:r>
    </w:p>
    <w:p w14:paraId="677E264E" w14:textId="763437FC" w:rsidR="007316A8" w:rsidRPr="00E5087D" w:rsidRDefault="007316A8" w:rsidP="00F25595">
      <w:pPr>
        <w:pStyle w:val="ListParagraph"/>
        <w:numPr>
          <w:ilvl w:val="0"/>
          <w:numId w:val="49"/>
        </w:numPr>
        <w:tabs>
          <w:tab w:val="left" w:pos="142"/>
        </w:tabs>
        <w:spacing w:after="120" w:line="276" w:lineRule="auto"/>
        <w:ind w:left="709"/>
        <w:contextualSpacing w:val="0"/>
        <w:rPr>
          <w14:numForm w14:val="lining"/>
          <w14:numSpacing w14:val="proportional"/>
        </w:rPr>
      </w:pPr>
      <w:r w:rsidRPr="00E5087D">
        <w:rPr>
          <w14:numForm w14:val="lining"/>
          <w14:numSpacing w14:val="proportional"/>
        </w:rPr>
        <w:t>From Arts and Recreation Services: Nature Reserves and Conservation Parks Operation</w:t>
      </w:r>
      <w:r w:rsidR="00830176">
        <w:rPr>
          <w14:numForm w14:val="lining"/>
          <w14:numSpacing w14:val="proportional"/>
        </w:rPr>
        <w:t>.</w:t>
      </w:r>
    </w:p>
    <w:p w14:paraId="6D90600A" w14:textId="77777777" w:rsidR="007316A8" w:rsidRPr="00E5087D" w:rsidRDefault="007316A8" w:rsidP="00322D33">
      <w:pPr>
        <w:spacing w:before="480" w:after="120" w:line="276" w:lineRule="auto"/>
        <w:rPr>
          <w14:numForm w14:val="lining"/>
          <w14:numSpacing w14:val="proportional"/>
        </w:rPr>
      </w:pPr>
      <w:r w:rsidRPr="00E5087D">
        <w:rPr>
          <w14:numForm w14:val="lining"/>
          <w14:numSpacing w14:val="proportional"/>
        </w:rPr>
        <w:t>The carbon lifecycle segment has two distinct parts. The National Waste Policy Action Plan 2019 (updated in 2022)</w:t>
      </w:r>
      <w:r w:rsidRPr="00E5087D">
        <w:rPr>
          <w:rStyle w:val="EndnoteReference"/>
          <w14:numForm w14:val="lining"/>
          <w14:numSpacing w14:val="proportional"/>
        </w:rPr>
        <w:endnoteReference w:id="27"/>
      </w:r>
      <w:r w:rsidRPr="00E5087D">
        <w:rPr>
          <w14:numForm w14:val="lining"/>
          <w14:numSpacing w14:val="proportional"/>
        </w:rPr>
        <w:t xml:space="preserve"> provides national direction to reduce the total amount of waste generated in Australia, increase the recovery rate from all waste streams, and significantly increase the use of recycled content. The mapping here concentrates on the final stage Waste Treatment and Disposal Services and Waste Remediation and Materials Recovery Services. While other industries make an important contribution to circular economy initiatives, such as the clothing manufacturing and retailing sectors,</w:t>
      </w:r>
      <w:r w:rsidRPr="00E5087D">
        <w:rPr>
          <w:rStyle w:val="EndnoteReference"/>
          <w14:numForm w14:val="lining"/>
          <w14:numSpacing w14:val="proportional"/>
        </w:rPr>
        <w:endnoteReference w:id="28"/>
      </w:r>
      <w:r w:rsidRPr="00E5087D">
        <w:rPr>
          <w14:numForm w14:val="lining"/>
          <w14:numSpacing w14:val="proportional"/>
        </w:rPr>
        <w:t xml:space="preserve"> we have concentrated on those parts where waste management is the primary activity. </w:t>
      </w:r>
    </w:p>
    <w:p w14:paraId="56C15A70" w14:textId="6BAF43DD" w:rsidR="00887EF8" w:rsidRPr="00E5087D" w:rsidRDefault="7BB1835D" w:rsidP="007316A8">
      <w:pPr>
        <w:spacing w:line="276" w:lineRule="auto"/>
        <w:rPr>
          <w14:numForm w14:val="lining"/>
          <w14:numSpacing w14:val="proportional"/>
        </w:rPr>
      </w:pPr>
      <w:r w:rsidRPr="00E5087D">
        <w:rPr>
          <w14:numForm w14:val="lining"/>
          <w14:numSpacing w14:val="proportional"/>
        </w:rPr>
        <w:t xml:space="preserve">The second part focuses on the contribution that our land mass can make to progress toward net zero through sequestering carbon in soil as well as living biomass and forest. </w:t>
      </w:r>
      <w:r w:rsidR="024E0866">
        <w:rPr>
          <w14:numForm w14:val="lining"/>
          <w14:numSpacing w14:val="proportional"/>
        </w:rPr>
        <w:t>By 2022, n</w:t>
      </w:r>
      <w:r w:rsidRPr="00E5087D">
        <w:rPr>
          <w14:numForm w14:val="lining"/>
          <w14:numSpacing w14:val="proportional"/>
        </w:rPr>
        <w:t xml:space="preserve">ature-based sequestration technologies </w:t>
      </w:r>
      <w:r w:rsidR="024E0866">
        <w:rPr>
          <w14:numForm w14:val="lining"/>
          <w14:numSpacing w14:val="proportional"/>
        </w:rPr>
        <w:t xml:space="preserve">had </w:t>
      </w:r>
      <w:r w:rsidRPr="00E5087D">
        <w:rPr>
          <w14:numForm w14:val="lining"/>
          <w14:numSpacing w14:val="proportional"/>
        </w:rPr>
        <w:t>produced 12.39</w:t>
      </w:r>
      <w:r w:rsidR="29C74B8A">
        <w:rPr>
          <w14:numForm w14:val="lining"/>
          <w14:numSpacing w14:val="proportional"/>
        </w:rPr>
        <w:t xml:space="preserve"> million</w:t>
      </w:r>
      <w:r w:rsidRPr="00E5087D">
        <w:rPr>
          <w14:numForm w14:val="lining"/>
          <w14:numSpacing w14:val="proportional"/>
        </w:rPr>
        <w:t xml:space="preserve"> </w:t>
      </w:r>
      <w:r w:rsidR="07ADDA25">
        <w:rPr>
          <w14:numForm w14:val="lining"/>
          <w14:numSpacing w14:val="proportional"/>
        </w:rPr>
        <w:t>Australian Carbon Credit Units</w:t>
      </w:r>
      <w:r w:rsidR="024E0866">
        <w:rPr>
          <w14:numForm w14:val="lining"/>
          <w14:numSpacing w14:val="proportional"/>
        </w:rPr>
        <w:t xml:space="preserve">, with </w:t>
      </w:r>
      <w:r w:rsidRPr="00E5087D">
        <w:rPr>
          <w14:numForm w14:val="lining"/>
          <w14:numSpacing w14:val="proportional"/>
        </w:rPr>
        <w:t>the CSIRO estimat</w:t>
      </w:r>
      <w:r w:rsidR="024E0866">
        <w:rPr>
          <w14:numForm w14:val="lining"/>
          <w14:numSpacing w14:val="proportional"/>
        </w:rPr>
        <w:t>ing</w:t>
      </w:r>
      <w:r w:rsidRPr="00E5087D">
        <w:rPr>
          <w14:numForm w14:val="lining"/>
          <w14:numSpacing w14:val="proportional"/>
        </w:rPr>
        <w:t xml:space="preserve"> that there is the potential to capture over 1</w:t>
      </w:r>
      <w:r w:rsidR="29C74B8A">
        <w:rPr>
          <w14:numForm w14:val="lining"/>
          <w14:numSpacing w14:val="proportional"/>
        </w:rPr>
        <w:t>,</w:t>
      </w:r>
      <w:r w:rsidRPr="00E5087D">
        <w:rPr>
          <w14:numForm w14:val="lining"/>
          <w14:numSpacing w14:val="proportional"/>
        </w:rPr>
        <w:t xml:space="preserve">100 </w:t>
      </w:r>
      <w:r w:rsidR="299769FF">
        <w:rPr>
          <w14:numForm w14:val="lining"/>
          <w14:numSpacing w14:val="proportional"/>
        </w:rPr>
        <w:t>megatons</w:t>
      </w:r>
      <w:r w:rsidR="397E9611">
        <w:rPr>
          <w14:numForm w14:val="lining"/>
          <w14:numSpacing w14:val="proportional"/>
        </w:rPr>
        <w:t xml:space="preserve"> </w:t>
      </w:r>
      <w:r w:rsidR="024E0866">
        <w:rPr>
          <w14:numForm w14:val="lining"/>
          <w14:numSpacing w14:val="proportional"/>
        </w:rPr>
        <w:t xml:space="preserve">of </w:t>
      </w:r>
      <w:r w:rsidR="47C23F7D">
        <w:rPr>
          <w14:numForm w14:val="lining"/>
          <w14:numSpacing w14:val="proportional"/>
        </w:rPr>
        <w:t xml:space="preserve">carbon </w:t>
      </w:r>
      <w:r w:rsidR="397E9611">
        <w:rPr>
          <w14:numForm w14:val="lining"/>
          <w14:numSpacing w14:val="proportional"/>
        </w:rPr>
        <w:t>per year</w:t>
      </w:r>
      <w:r w:rsidRPr="00E5087D">
        <w:rPr>
          <w14:numForm w14:val="lining"/>
          <w14:numSpacing w14:val="proportional"/>
        </w:rPr>
        <w:t xml:space="preserve"> across permanent plantings, plantation and farm forestry, and soil carbon.</w:t>
      </w:r>
      <w:r w:rsidR="007316A8" w:rsidRPr="00E5087D">
        <w:rPr>
          <w:rStyle w:val="EndnoteReference"/>
          <w14:numForm w14:val="lining"/>
          <w14:numSpacing w14:val="proportional"/>
        </w:rPr>
        <w:endnoteReference w:id="29"/>
      </w:r>
      <w:r w:rsidRPr="00E5087D">
        <w:rPr>
          <w14:numForm w14:val="lining"/>
          <w14:numSpacing w14:val="proportional"/>
        </w:rPr>
        <w:t xml:space="preserve"> For this part, we have allocated the industry groups Forestry, Logging and Forestry Support Services and Nature Reserves and Conservation Parks Operation. Arguably Agriculture could also be included here as operations across farms, from soil management, feedstock, and land clearing make a substantial impact on Australia’s emissions. However, we have left them out of the carbon lifecycle segment based on the ‘primary activity’ test.</w:t>
      </w:r>
    </w:p>
    <w:p w14:paraId="5A57519B" w14:textId="77777777" w:rsidR="00887EF8" w:rsidRPr="00E5087D" w:rsidRDefault="00887EF8">
      <w:pPr>
        <w:rPr>
          <w14:numForm w14:val="lining"/>
          <w14:numSpacing w14:val="proportional"/>
        </w:rPr>
      </w:pPr>
      <w:r w:rsidRPr="00E5087D">
        <w:rPr>
          <w14:numForm w14:val="lining"/>
          <w14:numSpacing w14:val="proportional"/>
        </w:rPr>
        <w:br w:type="page"/>
      </w:r>
    </w:p>
    <w:p w14:paraId="209A82D5" w14:textId="00A8C727" w:rsidR="00EA2E55" w:rsidRDefault="00EA2E55" w:rsidP="00743136">
      <w:pPr>
        <w:pStyle w:val="Heading3"/>
        <w:spacing w:after="0"/>
        <w:rPr>
          <w:rFonts w:eastAsiaTheme="minorHAnsi" w:cs="Arial"/>
          <w:bCs/>
          <w:color w:val="005D5D" w:themeColor="accent2"/>
          <w:sz w:val="28"/>
          <w:szCs w:val="22"/>
        </w:rPr>
      </w:pPr>
      <w:r w:rsidRPr="00E5087D">
        <w:rPr>
          <w:color w:val="005D5D"/>
          <w:sz w:val="28"/>
          <w:szCs w:val="28"/>
        </w:rPr>
        <w:lastRenderedPageBreak/>
        <w:t>T</w:t>
      </w:r>
      <w:r w:rsidRPr="00E5087D">
        <w:rPr>
          <w:rFonts w:eastAsiaTheme="minorHAnsi" w:cs="Arial"/>
          <w:bCs/>
          <w:color w:val="005D5D" w:themeColor="accent2"/>
          <w:sz w:val="28"/>
          <w:szCs w:val="22"/>
        </w:rPr>
        <w:t>ransitioning segments</w:t>
      </w:r>
    </w:p>
    <w:p w14:paraId="0E4420C3" w14:textId="57E5E869" w:rsidR="00820AE4" w:rsidRPr="00820AE4" w:rsidRDefault="00453BFC" w:rsidP="00743136">
      <w:pPr>
        <w:pStyle w:val="Bodycopy"/>
        <w:spacing w:after="360"/>
      </w:pPr>
      <w:r w:rsidRPr="00E5087D">
        <w:rPr>
          <w:noProof/>
          <w:color w:val="005D5D"/>
        </w:rPr>
        <mc:AlternateContent>
          <mc:Choice Requires="wps">
            <w:drawing>
              <wp:anchor distT="0" distB="0" distL="114300" distR="114300" simplePos="0" relativeHeight="251658264" behindDoc="1" locked="0" layoutInCell="1" allowOverlap="1" wp14:anchorId="6766167F" wp14:editId="160E429F">
                <wp:simplePos x="0" y="0"/>
                <wp:positionH relativeFrom="margin">
                  <wp:posOffset>-21590</wp:posOffset>
                </wp:positionH>
                <wp:positionV relativeFrom="page">
                  <wp:posOffset>1446472</wp:posOffset>
                </wp:positionV>
                <wp:extent cx="5724525" cy="3933825"/>
                <wp:effectExtent l="0" t="0" r="28575" b="28575"/>
                <wp:wrapNone/>
                <wp:docPr id="85" name="Rectangle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4525" cy="393382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2D468" id="Rectangle 85" o:spid="_x0000_s1026" alt="&quot;&quot;" style="position:absolute;margin-left:-1.7pt;margin-top:113.9pt;width:450.75pt;height:309.75pt;z-index:-251658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" fillcolor="#d2e6d8" strokecolor="#005d5d [3205]" strokeweight="1pt">
                <w10:wrap anchorx="margin" anchory="page"/>
              </v:rect>
            </w:pict>
          </mc:Fallback>
        </mc:AlternateContent>
      </w:r>
      <w:r w:rsidR="00820AE4" w:rsidRPr="006F25EC">
        <w:rPr>
          <w:color w:val="005D5D" w:themeColor="accent2"/>
        </w:rPr>
        <w:t xml:space="preserve">Estimate of </w:t>
      </w:r>
      <w:r w:rsidR="00820AE4">
        <w:rPr>
          <w:color w:val="005D5D" w:themeColor="accent2"/>
        </w:rPr>
        <w:t>approximately 12</w:t>
      </w:r>
      <w:r w:rsidR="00743136">
        <w:rPr>
          <w:color w:val="005D5D" w:themeColor="accent2"/>
        </w:rPr>
        <w:t>9,000</w:t>
      </w:r>
      <w:r w:rsidR="00820AE4" w:rsidRPr="006F25EC">
        <w:rPr>
          <w:color w:val="005D5D" w:themeColor="accent2"/>
        </w:rPr>
        <w:t xml:space="preserve"> </w:t>
      </w:r>
    </w:p>
    <w:p w14:paraId="6299D927" w14:textId="753D9E11" w:rsidR="00EA2E55" w:rsidRPr="00E5087D" w:rsidRDefault="00EA2E55" w:rsidP="002232B3">
      <w:pPr>
        <w:spacing w:before="360" w:after="120" w:line="276" w:lineRule="auto"/>
        <w:ind w:left="227" w:right="283"/>
      </w:pPr>
      <w:r w:rsidRPr="00E5087D">
        <w:t>Fossil-fuel related groups which will decline or transform substantially as a result of decarbonisation. None are expected to completely disappear by 2050 based on existing policy targets and settings but there will be substantial change:</w:t>
      </w:r>
    </w:p>
    <w:p w14:paraId="432C9AB7"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Coal mining to service domestic electricity generation will substantially reduce, while the current policy settings have less of an impact on coal mining for industrial purposes (metallurgical coal) and for export.</w:t>
      </w:r>
    </w:p>
    <w:p w14:paraId="21382763"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Oil and gas extraction and petroleum exploration is in a similar situation.</w:t>
      </w:r>
    </w:p>
    <w:p w14:paraId="024BD0B1"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 xml:space="preserve">Gas supply and pipeline transport (predominantly involving gas transport at present) will likely see change, though the extent of change will depend on whether hydrogen becomes a viable replacement for the current industrial, domestic and transport applications of natural gas. </w:t>
      </w:r>
    </w:p>
    <w:p w14:paraId="3191D3F8" w14:textId="77777777" w:rsidR="00EA2E55" w:rsidRPr="00E5087D" w:rsidRDefault="00EA2E55" w:rsidP="00F25595">
      <w:pPr>
        <w:pStyle w:val="ListParagraph"/>
        <w:numPr>
          <w:ilvl w:val="0"/>
          <w:numId w:val="16"/>
        </w:numPr>
        <w:spacing w:before="120" w:after="120" w:line="276" w:lineRule="auto"/>
        <w:ind w:left="709" w:right="283" w:hanging="357"/>
        <w:contextualSpacing w:val="0"/>
      </w:pPr>
      <w:r w:rsidRPr="00E5087D">
        <w:t>There will likely be continued if reduced demand for petroleum refining, petroleum fuel manufacturing (and manufacturing of other petroleum and coal products), petroleum product wholesaling and fuel retailing. These sectors will increasingly be directed toward producing and distributing sustainable fuels.</w:t>
      </w:r>
    </w:p>
    <w:p w14:paraId="427D9761" w14:textId="77777777" w:rsidR="00EA2E55" w:rsidRPr="00E5087D" w:rsidRDefault="00EA2E55" w:rsidP="00F25595">
      <w:pPr>
        <w:pStyle w:val="ListParagraph"/>
        <w:numPr>
          <w:ilvl w:val="0"/>
          <w:numId w:val="16"/>
        </w:numPr>
        <w:spacing w:before="120" w:after="240" w:line="276" w:lineRule="auto"/>
        <w:ind w:left="709" w:right="283" w:hanging="357"/>
        <w:contextualSpacing w:val="0"/>
      </w:pPr>
      <w:r w:rsidRPr="00E5087D">
        <w:t>Most of Australia’s coal powered electricity generators are expected to close by 2050 but it is expected there will be an ongoing role for gas-fired electricity generation as part of load management.</w:t>
      </w:r>
    </w:p>
    <w:p w14:paraId="67253D40" w14:textId="77777777" w:rsidR="00EA2E55" w:rsidRPr="00E5087D" w:rsidRDefault="00EA2E55" w:rsidP="00EA2E55">
      <w:pPr>
        <w:spacing w:before="480" w:after="120" w:line="276" w:lineRule="auto"/>
        <w:rPr>
          <w14:numForm w14:val="lining"/>
          <w14:numSpacing w14:val="proportional"/>
        </w:rPr>
      </w:pPr>
      <w:r w:rsidRPr="00E5087D">
        <w:rPr>
          <w14:numForm w14:val="lining"/>
          <w14:numSpacing w14:val="proportional"/>
        </w:rPr>
        <w:t>The major transitioning industry groups are:</w:t>
      </w:r>
    </w:p>
    <w:p w14:paraId="1AABB85D"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Mining: Coal mining, oil and gas extraction, petroleum exploration</w:t>
      </w:r>
    </w:p>
    <w:p w14:paraId="48CC81C8"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Manufacturing: Petroleum Refining and Petroleum Fuel Manufacturing and Other Petroleum and Coal Product Manufacturing</w:t>
      </w:r>
    </w:p>
    <w:p w14:paraId="689B9FC2" w14:textId="77777777"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Electricity, Gas, Water and Waste Services: Fossil Fuel Electricity Generation and Gas Supply</w:t>
      </w:r>
    </w:p>
    <w:p w14:paraId="354CC7F8" w14:textId="1740EF7C" w:rsidR="00EA2E55" w:rsidRPr="00E5087D" w:rsidRDefault="00EA2E55"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Wholesale and Retail Trade: Petroleum Product Wholesaling and Fuel Retailing</w:t>
      </w:r>
      <w:r w:rsidR="00C27083">
        <w:rPr>
          <w14:numForm w14:val="lining"/>
          <w14:numSpacing w14:val="proportional"/>
        </w:rPr>
        <w:t>.</w:t>
      </w:r>
    </w:p>
    <w:p w14:paraId="71AAF7B3" w14:textId="77777777" w:rsidR="006A5CF9" w:rsidRDefault="00EA2E55" w:rsidP="00E84663">
      <w:pPr>
        <w:spacing w:line="276" w:lineRule="auto"/>
        <w:rPr>
          <w14:numForm w14:val="lining"/>
          <w14:numSpacing w14:val="proportional"/>
        </w:rPr>
      </w:pPr>
      <w:r w:rsidRPr="00E5087D">
        <w:rPr>
          <w14:numForm w14:val="lining"/>
          <w14:numSpacing w14:val="proportional"/>
        </w:rPr>
        <w:t xml:space="preserve">Coal mining </w:t>
      </w:r>
      <w:r w:rsidR="00C06A41">
        <w:rPr>
          <w14:numForm w14:val="lining"/>
          <w14:numSpacing w14:val="proportional"/>
        </w:rPr>
        <w:t>is</w:t>
      </w:r>
      <w:r w:rsidR="00C06A41" w:rsidRPr="00E5087D">
        <w:rPr>
          <w14:numForm w14:val="lining"/>
          <w14:numSpacing w14:val="proportional"/>
        </w:rPr>
        <w:t xml:space="preserve"> </w:t>
      </w:r>
      <w:r w:rsidRPr="00E5087D">
        <w:rPr>
          <w14:numForm w14:val="lining"/>
          <w14:numSpacing w14:val="proportional"/>
        </w:rPr>
        <w:t>the largest industry group</w:t>
      </w:r>
      <w:r w:rsidR="00C06A41">
        <w:rPr>
          <w14:numForm w14:val="lining"/>
          <w14:numSpacing w14:val="proportional"/>
        </w:rPr>
        <w:t xml:space="preserve"> in this segment</w:t>
      </w:r>
      <w:r w:rsidRPr="00E5087D">
        <w:rPr>
          <w14:numForm w14:val="lining"/>
          <w14:numSpacing w14:val="proportional"/>
        </w:rPr>
        <w:t>, with approximately 50,000 workers (about one third of the 130,000</w:t>
      </w:r>
      <w:r w:rsidR="00C860C8">
        <w:rPr>
          <w14:numForm w14:val="lining"/>
          <w14:numSpacing w14:val="proportional"/>
        </w:rPr>
        <w:t xml:space="preserve"> transitioning</w:t>
      </w:r>
      <w:r w:rsidRPr="00E5087D">
        <w:rPr>
          <w14:numForm w14:val="lining"/>
          <w14:numSpacing w14:val="proportional"/>
        </w:rPr>
        <w:t xml:space="preserve"> workforce), while fuel retailing is the next largest with approximately 35,000.</w:t>
      </w:r>
    </w:p>
    <w:p w14:paraId="2A5DFCD3" w14:textId="10679AD1" w:rsidR="00715737" w:rsidRPr="00E5087D" w:rsidRDefault="00715737" w:rsidP="00E84663">
      <w:pPr>
        <w:spacing w:line="276" w:lineRule="auto"/>
        <w:rPr>
          <w14:numForm w14:val="lining"/>
          <w14:numSpacing w14:val="proportional"/>
        </w:rPr>
      </w:pPr>
      <w:r w:rsidRPr="00E5087D">
        <w:rPr>
          <w14:numForm w14:val="lining"/>
          <w14:numSpacing w14:val="proportional"/>
        </w:rPr>
        <w:br w:type="page"/>
      </w:r>
    </w:p>
    <w:p w14:paraId="72B905B0" w14:textId="319F8772" w:rsidR="00715737" w:rsidRDefault="00715737" w:rsidP="00FB4A8A">
      <w:pPr>
        <w:pStyle w:val="Heading3"/>
        <w:spacing w:after="0"/>
        <w:rPr>
          <w:rFonts w:eastAsiaTheme="minorHAnsi" w:cs="Arial"/>
          <w:bCs/>
          <w:color w:val="005D5D" w:themeColor="accent2"/>
          <w:sz w:val="28"/>
          <w:szCs w:val="22"/>
        </w:rPr>
      </w:pPr>
      <w:r w:rsidRPr="00E5087D">
        <w:rPr>
          <w:color w:val="005D5D"/>
          <w:sz w:val="28"/>
          <w:szCs w:val="28"/>
        </w:rPr>
        <w:lastRenderedPageBreak/>
        <w:t>Emiss</w:t>
      </w:r>
      <w:r w:rsidRPr="00E5087D">
        <w:rPr>
          <w:rFonts w:eastAsiaTheme="minorHAnsi" w:cs="Arial"/>
          <w:bCs/>
          <w:color w:val="005D5D" w:themeColor="accent2"/>
          <w:sz w:val="28"/>
          <w:szCs w:val="22"/>
        </w:rPr>
        <w:t>ions intensive segments</w:t>
      </w:r>
    </w:p>
    <w:p w14:paraId="1027355D" w14:textId="664A1E1B" w:rsidR="00FB4A8A" w:rsidRPr="006F25EC" w:rsidRDefault="00FB4A8A" w:rsidP="00820AE4">
      <w:pPr>
        <w:pStyle w:val="Bodycopy"/>
        <w:spacing w:after="360"/>
        <w:rPr>
          <w:color w:val="005D5D" w:themeColor="accent2"/>
        </w:rPr>
      </w:pPr>
      <w:r w:rsidRPr="00E5087D">
        <w:rPr>
          <w:noProof/>
          <w:color w:val="005D5D"/>
        </w:rPr>
        <mc:AlternateContent>
          <mc:Choice Requires="wps">
            <w:drawing>
              <wp:anchor distT="0" distB="0" distL="114300" distR="114300" simplePos="0" relativeHeight="251658265" behindDoc="1" locked="0" layoutInCell="1" allowOverlap="1" wp14:anchorId="32F51ADC" wp14:editId="3C1E85A9">
                <wp:simplePos x="0" y="0"/>
                <wp:positionH relativeFrom="margin">
                  <wp:posOffset>-16510</wp:posOffset>
                </wp:positionH>
                <wp:positionV relativeFrom="paragraph">
                  <wp:posOffset>310573</wp:posOffset>
                </wp:positionV>
                <wp:extent cx="5684173" cy="1461135"/>
                <wp:effectExtent l="0" t="0" r="12065" b="24765"/>
                <wp:wrapNone/>
                <wp:docPr id="86" name="Rectangle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84173" cy="1461135"/>
                        </a:xfrm>
                        <a:prstGeom prst="rect">
                          <a:avLst/>
                        </a:prstGeom>
                        <a:solidFill>
                          <a:srgbClr val="D2E6D8"/>
                        </a:solidFill>
                        <a:ln>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06E65" id="Rectangle 86" o:spid="_x0000_s1026" alt="&quot;&quot;" style="position:absolute;margin-left:-1.3pt;margin-top:24.45pt;width:447.55pt;height:115.05pt;z-index:-251658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" fillcolor="#d2e6d8" strokecolor="#005d5d [3205]" strokeweight="1pt">
                <w10:wrap anchorx="margin"/>
              </v:rect>
            </w:pict>
          </mc:Fallback>
        </mc:AlternateContent>
      </w:r>
      <w:r w:rsidRPr="006F25EC">
        <w:rPr>
          <w:color w:val="005D5D" w:themeColor="accent2"/>
        </w:rPr>
        <w:t>Estimate of</w:t>
      </w:r>
      <w:r>
        <w:rPr>
          <w:color w:val="005D5D" w:themeColor="accent2"/>
        </w:rPr>
        <w:t xml:space="preserve"> approximately </w:t>
      </w:r>
      <w:r w:rsidR="00820AE4">
        <w:rPr>
          <w:color w:val="005D5D" w:themeColor="accent2"/>
        </w:rPr>
        <w:t>477,000</w:t>
      </w:r>
      <w:r w:rsidRPr="006F25EC">
        <w:rPr>
          <w:color w:val="005D5D" w:themeColor="accent2"/>
        </w:rPr>
        <w:t xml:space="preserve">  </w:t>
      </w:r>
    </w:p>
    <w:p w14:paraId="3F1C2560" w14:textId="43200CB1" w:rsidR="00715737" w:rsidRPr="00E5087D" w:rsidRDefault="00715737" w:rsidP="00820AE4">
      <w:pPr>
        <w:ind w:left="113"/>
      </w:pPr>
      <w:r w:rsidRPr="00E5087D">
        <w:t>The emissions-intensive segment comprises industry groups that have high atmospheric emissions. This segment is further segmented into:</w:t>
      </w:r>
    </w:p>
    <w:p w14:paraId="35D2B834" w14:textId="3F877074" w:rsidR="00715737" w:rsidRPr="00E5087D" w:rsidRDefault="00715737" w:rsidP="00F25595">
      <w:pPr>
        <w:pStyle w:val="ListParagraph"/>
        <w:numPr>
          <w:ilvl w:val="0"/>
          <w:numId w:val="17"/>
        </w:numPr>
        <w:spacing w:before="120" w:after="120" w:line="276" w:lineRule="auto"/>
        <w:ind w:right="227" w:hanging="357"/>
        <w:contextualSpacing w:val="0"/>
      </w:pPr>
      <w:r w:rsidRPr="00E5087D">
        <w:t>Direct emissions-intensive sectors, which involve the release of emissions as a result of their industrial processes</w:t>
      </w:r>
    </w:p>
    <w:p w14:paraId="6FF1850B" w14:textId="77777777" w:rsidR="00715737" w:rsidRPr="00E5087D" w:rsidRDefault="024F8892" w:rsidP="00F25595">
      <w:pPr>
        <w:pStyle w:val="ListParagraph"/>
        <w:numPr>
          <w:ilvl w:val="0"/>
          <w:numId w:val="17"/>
        </w:numPr>
        <w:spacing w:before="120" w:after="120" w:line="276" w:lineRule="auto"/>
        <w:ind w:right="227" w:hanging="357"/>
        <w:contextualSpacing w:val="0"/>
      </w:pPr>
      <w:r>
        <w:t>Indirect emissions-intensive sectors, which are high users of energy (electricity or other fuels).</w:t>
      </w:r>
    </w:p>
    <w:p w14:paraId="348F80B3" w14:textId="27A218DC" w:rsidR="1BCAB290" w:rsidRDefault="1BCAB290" w:rsidP="003D23C1">
      <w:pPr>
        <w:pStyle w:val="Heading5"/>
        <w:spacing w:before="480" w:after="120" w:line="276" w:lineRule="auto"/>
        <w:rPr>
          <w:sz w:val="24"/>
          <w:szCs w:val="24"/>
        </w:rPr>
      </w:pPr>
      <w:r w:rsidRPr="006E1070">
        <w:rPr>
          <w:sz w:val="24"/>
          <w:szCs w:val="24"/>
        </w:rPr>
        <w:t xml:space="preserve">Direct emissions-intensive </w:t>
      </w:r>
      <w:r w:rsidR="492B80FE" w:rsidRPr="388C0A0B">
        <w:rPr>
          <w:sz w:val="24"/>
          <w:szCs w:val="24"/>
        </w:rPr>
        <w:t>sub-</w:t>
      </w:r>
      <w:r w:rsidRPr="006E1070">
        <w:rPr>
          <w:sz w:val="24"/>
          <w:szCs w:val="24"/>
        </w:rPr>
        <w:t>sector</w:t>
      </w:r>
    </w:p>
    <w:p w14:paraId="1F89F541" w14:textId="57ED2DD5" w:rsidR="00715737" w:rsidRPr="00E5087D" w:rsidRDefault="024F8892" w:rsidP="00734112">
      <w:pPr>
        <w:spacing w:before="120" w:after="120" w:line="276" w:lineRule="auto"/>
        <w:rPr>
          <w14:numForm w14:val="lining"/>
          <w14:numSpacing w14:val="proportional"/>
        </w:rPr>
      </w:pPr>
      <w:r w:rsidRPr="00E5087D">
        <w:rPr>
          <w14:numForm w14:val="lining"/>
          <w14:numSpacing w14:val="proportional"/>
        </w:rPr>
        <w:t>The following industry groups have been identified using data on scope 1 emissions by ANZSIC subdivision, released by the Clean Energy Regulator</w:t>
      </w:r>
      <w:r w:rsidR="66620D3E" w:rsidRPr="00E5087D">
        <w:rPr>
          <w14:numForm w14:val="lining"/>
          <w14:numSpacing w14:val="proportional"/>
        </w:rPr>
        <w:t>.</w:t>
      </w:r>
      <w:r w:rsidR="00715737" w:rsidRPr="00E5087D">
        <w:rPr>
          <w:rStyle w:val="EndnoteReference"/>
          <w14:numForm w14:val="lining"/>
          <w14:numSpacing w14:val="proportional"/>
        </w:rPr>
        <w:endnoteReference w:id="30"/>
      </w:r>
      <w:r w:rsidRPr="00E5087D">
        <w:rPr>
          <w14:numForm w14:val="lining"/>
          <w14:numSpacing w14:val="proportional"/>
        </w:rPr>
        <w:t xml:space="preserve"> </w:t>
      </w:r>
      <w:r w:rsidR="00734112">
        <w:rPr>
          <w14:numForm w14:val="lining"/>
          <w14:numSpacing w14:val="proportional"/>
        </w:rPr>
        <w:t>S</w:t>
      </w:r>
      <w:r w:rsidR="00734112" w:rsidRPr="00734112">
        <w:rPr>
          <w14:numForm w14:val="lining"/>
          <w14:numSpacing w14:val="proportional"/>
        </w:rPr>
        <w:t xml:space="preserve">cope 1 emissions </w:t>
      </w:r>
      <w:r w:rsidR="004B2D1F">
        <w:rPr>
          <w14:numForm w14:val="lining"/>
          <w14:numSpacing w14:val="proportional"/>
        </w:rPr>
        <w:t>are</w:t>
      </w:r>
      <w:r w:rsidR="004B2D1F" w:rsidRPr="004B2D1F">
        <w:rPr>
          <w14:numForm w14:val="lining"/>
          <w14:numSpacing w14:val="proportional"/>
        </w:rPr>
        <w:t xml:space="preserve"> emissions that a company makes directly — </w:t>
      </w:r>
      <w:r w:rsidR="006C7451">
        <w:rPr>
          <w14:numForm w14:val="lining"/>
          <w14:numSpacing w14:val="proportional"/>
        </w:rPr>
        <w:t>for example, burning fuels in a furnace.</w:t>
      </w:r>
      <w:r w:rsidR="004B2D1F">
        <w:rPr>
          <w14:numForm w14:val="lining"/>
          <w14:numSpacing w14:val="proportional"/>
        </w:rPr>
        <w:t xml:space="preserve"> </w:t>
      </w:r>
      <w:r w:rsidRPr="00E5087D">
        <w:rPr>
          <w14:numForm w14:val="lining"/>
          <w14:numSpacing w14:val="proportional"/>
        </w:rPr>
        <w:t xml:space="preserve">As this data is only available by subdivision, all industry groups within that subdivision have been allocated to the direct emissions-intensive sector. </w:t>
      </w:r>
    </w:p>
    <w:p w14:paraId="0A9274A4" w14:textId="77777777" w:rsidR="00715737" w:rsidRPr="00E5087D" w:rsidRDefault="00715737" w:rsidP="00715737">
      <w:pPr>
        <w:spacing w:after="120" w:line="276" w:lineRule="auto"/>
        <w:rPr>
          <w14:numForm w14:val="lining"/>
          <w14:numSpacing w14:val="proportional"/>
        </w:rPr>
      </w:pPr>
      <w:r w:rsidRPr="00E5087D">
        <w:rPr>
          <w14:numForm w14:val="lining"/>
          <w14:numSpacing w14:val="proportional"/>
        </w:rPr>
        <w:t>Any industry group that had already been allocated to one of the preceding sectors (Clean energy core, clean energy contributing, clean energy enabling, carbon lifecycle, transitioning) has been left in their initial segment. This means that the industry groups in the largest emitting industry subdivisions (Electricity supply, Coal mining) are captured elsewhere.</w:t>
      </w:r>
    </w:p>
    <w:p w14:paraId="2F9169A2" w14:textId="095C471E" w:rsidR="00715737" w:rsidRPr="00E5087D" w:rsidRDefault="024F8892" w:rsidP="00F25595">
      <w:pPr>
        <w:pStyle w:val="ListParagraph"/>
        <w:numPr>
          <w:ilvl w:val="0"/>
          <w:numId w:val="15"/>
        </w:numPr>
        <w:tabs>
          <w:tab w:val="left" w:pos="142"/>
        </w:tabs>
        <w:spacing w:after="120" w:line="276" w:lineRule="auto"/>
        <w:ind w:left="567" w:hanging="357"/>
        <w:contextualSpacing w:val="0"/>
      </w:pPr>
      <w:r w:rsidRPr="00E5087D">
        <w:rPr>
          <w:b/>
          <w:bCs/>
          <w14:numForm w14:val="lining"/>
          <w14:numSpacing w14:val="proportional"/>
        </w:rPr>
        <w:t>From Primary Metal and Metal Product Manufacturing</w:t>
      </w:r>
      <w:r w:rsidRPr="00E5087D">
        <w:rPr>
          <w14:numForm w14:val="lining"/>
          <w14:numSpacing w14:val="proportional"/>
        </w:rPr>
        <w:t>: Basic Non-Ferrous Metal Manufacturing, Alumina Production, Aluminium Smelting, Copper, Silver, Lead and Zinc Smelting and Refining, Other Basic Non-Ferrous Metal Manufacturing</w:t>
      </w:r>
    </w:p>
    <w:p w14:paraId="788E2C36" w14:textId="34211128" w:rsidR="00715737" w:rsidRPr="00E5087D" w:rsidRDefault="024F8892" w:rsidP="00F25595">
      <w:pPr>
        <w:pStyle w:val="ListParagraph"/>
        <w:numPr>
          <w:ilvl w:val="0"/>
          <w:numId w:val="15"/>
        </w:numPr>
        <w:tabs>
          <w:tab w:val="left" w:pos="142"/>
        </w:tabs>
        <w:spacing w:after="120" w:line="276" w:lineRule="auto"/>
        <w:ind w:left="567" w:hanging="357"/>
        <w:contextualSpacing w:val="0"/>
      </w:pPr>
      <w:r w:rsidRPr="00E5087D">
        <w:rPr>
          <w:b/>
          <w:bCs/>
          <w14:numForm w14:val="lining"/>
          <w14:numSpacing w14:val="proportional"/>
        </w:rPr>
        <w:t>From Basic Chemical and Chemical Product Manufacturing</w:t>
      </w:r>
      <w:r w:rsidRPr="00E5087D">
        <w:rPr>
          <w14:numForm w14:val="lining"/>
          <w14:numSpacing w14:val="proportional"/>
        </w:rPr>
        <w:t>: Basic Organic Chemical Manufacturing, Basic Inorganic Chemical Manufacturing, Synthetic Resin and Synthetic Rubber Manufacturing, Other Basic Polymer Manufacturing, Fertiliser Manufacturing, Pesticide Manufacturing, Human Pharmaceutical and Medicinal Product Manufacturing, Veterinary Pharmaceutical and Medicinal Product Manufacturing, Cleaning Compound Manufacturing, Cosmetic and Toiletry Preparation Manufacturing, Photographic Chemical Product Manufacturing, Explosive Manufacturing, Other Basic Chemical Product Manufacturing n.e.c.</w:t>
      </w:r>
    </w:p>
    <w:p w14:paraId="014314F3" w14:textId="77777777" w:rsidR="00715737" w:rsidRPr="00E5087D" w:rsidRDefault="00715737" w:rsidP="00F25595">
      <w:pPr>
        <w:pStyle w:val="ListParagraph"/>
        <w:numPr>
          <w:ilvl w:val="0"/>
          <w:numId w:val="15"/>
        </w:numPr>
        <w:tabs>
          <w:tab w:val="left" w:pos="142"/>
        </w:tabs>
        <w:spacing w:after="120" w:line="276" w:lineRule="auto"/>
        <w:ind w:left="567" w:hanging="357"/>
        <w:contextualSpacing w:val="0"/>
        <w:rPr>
          <w14:numForm w14:val="lining"/>
          <w14:numSpacing w14:val="proportional"/>
        </w:rPr>
      </w:pPr>
      <w:r w:rsidRPr="00E5087D">
        <w:rPr>
          <w:b/>
          <w:bCs/>
          <w14:numForm w14:val="lining"/>
          <w14:numSpacing w14:val="proportional"/>
        </w:rPr>
        <w:t>From Non-Metallic Mineral Product Manufacturing</w:t>
      </w:r>
      <w:r w:rsidRPr="00E5087D">
        <w:rPr>
          <w14:numForm w14:val="lining"/>
          <w14:numSpacing w14:val="proportional"/>
        </w:rPr>
        <w:t>: Clay Brick Manufacturing, Other Ceramic Product Manufacturing, Cement and Lime Manufacturing, Plaster Product Manufacturing, Ready-Mixed Concrete Manufacturing, Concrete Product Manufacturing.</w:t>
      </w:r>
    </w:p>
    <w:p w14:paraId="36576BD5" w14:textId="002AA6FB" w:rsidR="00636408" w:rsidRPr="00E5087D" w:rsidRDefault="00715737" w:rsidP="00636408">
      <w:pPr>
        <w:spacing w:before="160" w:line="276" w:lineRule="auto"/>
        <w:rPr>
          <w14:numForm w14:val="lining"/>
          <w14:numSpacing w14:val="proportional"/>
        </w:rPr>
      </w:pPr>
      <w:r w:rsidRPr="00E5087D">
        <w:rPr>
          <w14:numForm w14:val="lining"/>
          <w14:numSpacing w14:val="proportional"/>
        </w:rPr>
        <w:t>This captures all industry subdivisions accounting for at least 1</w:t>
      </w:r>
      <w:r w:rsidR="00B17A48">
        <w:rPr>
          <w14:numForm w14:val="lining"/>
          <w14:numSpacing w14:val="proportional"/>
        </w:rPr>
        <w:t>%</w:t>
      </w:r>
      <w:r w:rsidRPr="00E5087D">
        <w:rPr>
          <w14:numForm w14:val="lining"/>
          <w14:numSpacing w14:val="proportional"/>
        </w:rPr>
        <w:t xml:space="preserve"> of Australia’s total Scope 1 emissions.</w:t>
      </w:r>
    </w:p>
    <w:p w14:paraId="416B41B9" w14:textId="77777777" w:rsidR="00636408" w:rsidRPr="00E5087D" w:rsidRDefault="00636408">
      <w:pPr>
        <w:rPr>
          <w14:numForm w14:val="lining"/>
          <w14:numSpacing w14:val="proportional"/>
        </w:rPr>
      </w:pPr>
      <w:r w:rsidRPr="00E5087D">
        <w:rPr>
          <w14:numForm w14:val="lining"/>
          <w14:numSpacing w14:val="proportional"/>
        </w:rPr>
        <w:br w:type="page"/>
      </w:r>
    </w:p>
    <w:p w14:paraId="4AC5300C" w14:textId="172B309B" w:rsidR="00636408" w:rsidRPr="00E5087D" w:rsidRDefault="3C1E6A82" w:rsidP="00636408">
      <w:pPr>
        <w:pStyle w:val="Heading5"/>
        <w:spacing w:before="240" w:after="120" w:line="276" w:lineRule="auto"/>
        <w:rPr>
          <w:sz w:val="24"/>
          <w:szCs w:val="24"/>
          <w14:ligatures w14:val="standard"/>
          <w14:numForm w14:val="lining"/>
          <w14:numSpacing w14:val="proportional"/>
        </w:rPr>
      </w:pPr>
      <w:r w:rsidRPr="00E5087D">
        <w:rPr>
          <w:sz w:val="24"/>
          <w:szCs w:val="24"/>
          <w14:ligatures w14:val="standard"/>
          <w14:numForm w14:val="lining"/>
          <w14:numSpacing w14:val="proportional"/>
        </w:rPr>
        <w:lastRenderedPageBreak/>
        <w:t>Indirect emissions-intensive sub</w:t>
      </w:r>
      <w:r w:rsidR="1904AD7B" w:rsidRPr="00E5087D">
        <w:rPr>
          <w:sz w:val="24"/>
          <w:szCs w:val="24"/>
          <w14:ligatures w14:val="standard"/>
          <w14:numForm w14:val="lining"/>
          <w14:numSpacing w14:val="proportional"/>
        </w:rPr>
        <w:t>-</w:t>
      </w:r>
      <w:r w:rsidRPr="00E5087D">
        <w:rPr>
          <w:sz w:val="24"/>
          <w:szCs w:val="24"/>
          <w14:ligatures w14:val="standard"/>
          <w14:numForm w14:val="lining"/>
          <w14:numSpacing w14:val="proportional"/>
        </w:rPr>
        <w:t>sector (high energy users)</w:t>
      </w:r>
    </w:p>
    <w:p w14:paraId="09D10E09" w14:textId="515CABA4" w:rsidR="00636408" w:rsidRPr="00E5087D" w:rsidRDefault="3C1E6A82" w:rsidP="00636408">
      <w:pPr>
        <w:spacing w:after="120" w:line="276" w:lineRule="auto"/>
      </w:pPr>
      <w:r w:rsidRPr="00E5087D">
        <w:rPr>
          <w14:numForm w14:val="lining"/>
          <w14:numSpacing w14:val="proportional"/>
        </w:rPr>
        <w:t>Indirect emissions-intensive sub</w:t>
      </w:r>
      <w:r w:rsidR="1D4807CC" w:rsidRPr="00E5087D">
        <w:rPr>
          <w14:numForm w14:val="lining"/>
          <w14:numSpacing w14:val="proportional"/>
        </w:rPr>
        <w:t>-</w:t>
      </w:r>
      <w:r w:rsidRPr="00E5087D">
        <w:rPr>
          <w14:numForm w14:val="lining"/>
          <w14:numSpacing w14:val="proportional"/>
        </w:rPr>
        <w:t xml:space="preserve">sectors were identified in a similar manner to the direct subsector. The data source was Table 4.1 </w:t>
      </w:r>
      <w:r w:rsidR="00E80451" w:rsidRPr="00E5087D">
        <w:rPr>
          <w14:numForm w14:val="lining"/>
          <w14:numSpacing w14:val="proportional"/>
        </w:rPr>
        <w:t>of Energy</w:t>
      </w:r>
      <w:r w:rsidRPr="00E5087D">
        <w:rPr>
          <w14:numForm w14:val="lining"/>
          <w14:numSpacing w14:val="proportional"/>
        </w:rPr>
        <w:t xml:space="preserve"> Account, Australia, 2020-21, which records electricity usage by industry</w:t>
      </w:r>
      <w:r w:rsidR="535DC3D7" w:rsidRPr="00E5087D">
        <w:rPr>
          <w14:numForm w14:val="lining"/>
          <w14:numSpacing w14:val="proportional"/>
        </w:rPr>
        <w:t>.</w:t>
      </w:r>
      <w:r w:rsidR="00636408" w:rsidRPr="00E5087D">
        <w:rPr>
          <w:rStyle w:val="EndnoteReference"/>
          <w14:numForm w14:val="lining"/>
          <w14:numSpacing w14:val="proportional"/>
        </w:rPr>
        <w:endnoteReference w:id="31"/>
      </w:r>
      <w:r w:rsidRPr="00E5087D">
        <w:rPr>
          <w14:numForm w14:val="lining"/>
          <w14:numSpacing w14:val="proportional"/>
        </w:rPr>
        <w:t xml:space="preserve"> In some cases, only data at the division level is available, while for some industries it is provided for particular subdivisions or groups of subdivisions. Electricity consumption as a proportion of total consumption was compared to each industry’s proportion of </w:t>
      </w:r>
      <w:r w:rsidR="00352218">
        <w:rPr>
          <w14:numForm w14:val="lining"/>
          <w14:numSpacing w14:val="proportional"/>
        </w:rPr>
        <w:t>G</w:t>
      </w:r>
      <w:r w:rsidRPr="00E5087D">
        <w:rPr>
          <w14:numForm w14:val="lining"/>
          <w14:numSpacing w14:val="proportional"/>
        </w:rPr>
        <w:t xml:space="preserve">ross </w:t>
      </w:r>
      <w:r w:rsidR="00177965">
        <w:rPr>
          <w14:numForm w14:val="lining"/>
          <w14:numSpacing w14:val="proportional"/>
        </w:rPr>
        <w:t>V</w:t>
      </w:r>
      <w:r w:rsidRPr="00E5087D">
        <w:rPr>
          <w14:numForm w14:val="lining"/>
          <w14:numSpacing w14:val="proportional"/>
        </w:rPr>
        <w:t xml:space="preserve">alue </w:t>
      </w:r>
      <w:r w:rsidR="00177965">
        <w:rPr>
          <w14:numForm w14:val="lining"/>
          <w14:numSpacing w14:val="proportional"/>
        </w:rPr>
        <w:t>A</w:t>
      </w:r>
      <w:r w:rsidRPr="00E5087D">
        <w:rPr>
          <w14:numForm w14:val="lining"/>
          <w14:numSpacing w14:val="proportional"/>
        </w:rPr>
        <w:t xml:space="preserve">dded </w:t>
      </w:r>
      <w:r w:rsidR="00177965">
        <w:rPr>
          <w14:numForm w14:val="lining"/>
          <w14:numSpacing w14:val="proportional"/>
        </w:rPr>
        <w:t>(</w:t>
      </w:r>
      <w:r w:rsidR="00352218" w:rsidRPr="005107F4">
        <w:rPr>
          <w14:numForm w14:val="lining"/>
          <w14:numSpacing w14:val="proportional"/>
        </w:rPr>
        <w:t>GVA</w:t>
      </w:r>
      <w:r w:rsidR="00177965">
        <w:rPr>
          <w14:numForm w14:val="lining"/>
          <w14:numSpacing w14:val="proportional"/>
        </w:rPr>
        <w:t>)</w:t>
      </w:r>
      <w:r w:rsidRPr="00E5087D">
        <w:rPr>
          <w14:numForm w14:val="lining"/>
          <w14:numSpacing w14:val="proportional"/>
        </w:rPr>
        <w:t xml:space="preserve"> and, as a secondary measure, total employment. As for direct emissions, industry categories already captured in earlier sectors were not moved (this included electricity supply, water and waste services, coal mining, oil and gas extraction, most of other mining, mo</w:t>
      </w:r>
      <w:r w:rsidR="29552CD1">
        <w:rPr>
          <w14:numForm w14:val="lining"/>
          <w14:numSpacing w14:val="proportional"/>
        </w:rPr>
        <w:t>s</w:t>
      </w:r>
      <w:r w:rsidRPr="00E5087D">
        <w:rPr>
          <w14:numForm w14:val="lining"/>
          <w14:numSpacing w14:val="proportional"/>
        </w:rPr>
        <w:t>t of petroleum and chemical product manufacturing, iron and steel manufacturing and non-ferrous metals manufacturing).</w:t>
      </w:r>
    </w:p>
    <w:p w14:paraId="3414224C" w14:textId="0160C10A" w:rsidR="00636408" w:rsidRPr="00E5087D" w:rsidRDefault="3C1E6A82" w:rsidP="00636408">
      <w:pPr>
        <w:spacing w:after="120" w:line="276" w:lineRule="auto"/>
      </w:pPr>
      <w:r w:rsidRPr="00E5087D">
        <w:rPr>
          <w14:numForm w14:val="lining"/>
          <w14:numSpacing w14:val="proportional"/>
        </w:rPr>
        <w:t>On this basis, the following industry groups were allocated to indirect emissions-intensive sub</w:t>
      </w:r>
      <w:r w:rsidR="774EA6AD" w:rsidRPr="00E5087D">
        <w:rPr>
          <w14:numForm w14:val="lining"/>
          <w14:numSpacing w14:val="proportional"/>
        </w:rPr>
        <w:t>-</w:t>
      </w:r>
      <w:r w:rsidRPr="00E5087D">
        <w:rPr>
          <w14:numForm w14:val="lining"/>
          <w14:numSpacing w14:val="proportional"/>
        </w:rPr>
        <w:t>sector:</w:t>
      </w:r>
    </w:p>
    <w:p w14:paraId="03748BD7"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Food, beverages, textiles manufacturing</w:t>
      </w:r>
    </w:p>
    <w:p w14:paraId="29255C7F"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Wood and paper product manufacturing and printing</w:t>
      </w:r>
    </w:p>
    <w:p w14:paraId="195A401E" w14:textId="77777777"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Gravel and sand mining from Other mining (all other mining categories were captured elsewhere)</w:t>
      </w:r>
    </w:p>
    <w:p w14:paraId="365A796B" w14:textId="5D594C0F" w:rsidR="00636408" w:rsidRPr="00E5087D" w:rsidRDefault="00636408" w:rsidP="00F25595">
      <w:pPr>
        <w:pStyle w:val="ListParagraph"/>
        <w:numPr>
          <w:ilvl w:val="0"/>
          <w:numId w:val="15"/>
        </w:numPr>
        <w:tabs>
          <w:tab w:val="left" w:pos="142"/>
        </w:tabs>
        <w:spacing w:after="120" w:line="276" w:lineRule="auto"/>
        <w:ind w:left="567"/>
        <w:contextualSpacing w:val="0"/>
        <w:rPr>
          <w14:numForm w14:val="lining"/>
          <w14:numSpacing w14:val="proportional"/>
        </w:rPr>
      </w:pPr>
      <w:r w:rsidRPr="00E5087D">
        <w:rPr>
          <w14:numForm w14:val="lining"/>
          <w14:numSpacing w14:val="proportional"/>
        </w:rPr>
        <w:t>Polymer Product and Rubber Product Manufacturing from Petroleum and chemical products</w:t>
      </w:r>
      <w:r w:rsidR="00096776">
        <w:rPr>
          <w14:numForm w14:val="lining"/>
          <w14:numSpacing w14:val="proportional"/>
        </w:rPr>
        <w:t>.</w:t>
      </w:r>
    </w:p>
    <w:p w14:paraId="47F0D264" w14:textId="253491A4" w:rsidR="00636408" w:rsidRPr="00E5087D" w:rsidRDefault="00636408" w:rsidP="00636408">
      <w:pPr>
        <w:spacing w:before="160" w:after="120" w:line="276" w:lineRule="auto"/>
        <w:rPr>
          <w14:numForm w14:val="lining"/>
          <w14:numSpacing w14:val="proportional"/>
        </w:rPr>
      </w:pPr>
      <w:r w:rsidRPr="00E5087D">
        <w:rPr>
          <w14:numForm w14:val="lining"/>
          <w14:numSpacing w14:val="proportional"/>
        </w:rPr>
        <w:t xml:space="preserve">The proportion of electricity consumption was similar to </w:t>
      </w:r>
      <w:r w:rsidR="00177965" w:rsidRPr="005107F4">
        <w:rPr>
          <w14:numForm w14:val="lining"/>
          <w14:numSpacing w14:val="proportional"/>
        </w:rPr>
        <w:t>GVA</w:t>
      </w:r>
      <w:r w:rsidRPr="00E5087D">
        <w:rPr>
          <w14:numForm w14:val="lining"/>
          <w14:numSpacing w14:val="proportional"/>
        </w:rPr>
        <w:t xml:space="preserve"> for three further industry divisions: Accommodation and Food Services, Retail Trade, and Rental, Hiring and Real Estate Services. For Rental, Hiring and Real Estate Services, the proportion of electricity usage was similar to </w:t>
      </w:r>
      <w:r w:rsidR="00177965" w:rsidRPr="005107F4">
        <w:rPr>
          <w14:numForm w14:val="lining"/>
          <w14:numSpacing w14:val="proportional"/>
        </w:rPr>
        <w:t>GVA</w:t>
      </w:r>
      <w:r w:rsidRPr="00E5087D">
        <w:rPr>
          <w14:numForm w14:val="lining"/>
          <w14:numSpacing w14:val="proportional"/>
        </w:rPr>
        <w:t xml:space="preserve"> and larger than employment (2.8% electricity usage vs 2.9% </w:t>
      </w:r>
      <w:r w:rsidR="74EA67C1" w:rsidRPr="00E5087D">
        <w:rPr>
          <w14:numForm w14:val="lining"/>
          <w14:numSpacing w14:val="proportional"/>
        </w:rPr>
        <w:t>GVA</w:t>
      </w:r>
      <w:r w:rsidRPr="00E5087D">
        <w:rPr>
          <w14:numForm w14:val="lining"/>
          <w14:numSpacing w14:val="proportional"/>
        </w:rPr>
        <w:t xml:space="preserve"> vs 1.6% employment). JSA has included property operators (both residential and non-residential) within the indirect emissions-intensive segment while excluding the other categories within this industry division.</w:t>
      </w:r>
    </w:p>
    <w:p w14:paraId="697D123A" w14:textId="72CA8DF3" w:rsidR="005A4B4F" w:rsidRPr="00E5087D" w:rsidRDefault="00636408" w:rsidP="005A4B4F">
      <w:pPr>
        <w:spacing w:line="276" w:lineRule="auto"/>
        <w:rPr>
          <w14:numForm w14:val="lining"/>
          <w14:numSpacing w14:val="proportional"/>
        </w:rPr>
      </w:pPr>
      <w:r w:rsidRPr="00E5087D">
        <w:rPr>
          <w14:numForm w14:val="lining"/>
          <w14:numSpacing w14:val="proportional"/>
        </w:rPr>
        <w:t xml:space="preserve">However the decision was made not to include Retail trade or Accommodation and Food Services as while their share of electricity usage was similar to or larger than their share of </w:t>
      </w:r>
      <w:r w:rsidR="00177965" w:rsidRPr="00177965">
        <w:rPr>
          <w14:numForm w14:val="lining"/>
          <w14:numSpacing w14:val="proportional"/>
        </w:rPr>
        <w:t>GVA</w:t>
      </w:r>
      <w:r w:rsidRPr="00E5087D">
        <w:rPr>
          <w14:numForm w14:val="lining"/>
          <w14:numSpacing w14:val="proportional"/>
        </w:rPr>
        <w:t xml:space="preserve"> (4.3% vs 4.3% for Retail trade, 3.2% vs 1.9% for Accommodation and food services), the ratio between electricity usage and employments were both much lower (4.3% vs 9.1% for Retail trade, 3.2% vs 6.5% for Accommodation and Food Services). We acknowledge that there will be roles within both industries directed toward reducing electricity consumption, which we will come back to in the occupational profiles.</w:t>
      </w:r>
    </w:p>
    <w:p w14:paraId="45AF38A9" w14:textId="77777777" w:rsidR="005A4B4F" w:rsidRPr="00E5087D" w:rsidRDefault="005A4B4F">
      <w:pPr>
        <w:rPr>
          <w14:numForm w14:val="lining"/>
          <w14:numSpacing w14:val="proportional"/>
        </w:rPr>
      </w:pPr>
      <w:r w:rsidRPr="00E5087D">
        <w:rPr>
          <w14:numForm w14:val="lining"/>
          <w14:numSpacing w14:val="proportional"/>
        </w:rPr>
        <w:br w:type="page"/>
      </w:r>
    </w:p>
    <w:p w14:paraId="2CCEB67A" w14:textId="55B71C10" w:rsidR="00805474" w:rsidRPr="00E5087D" w:rsidRDefault="00805474" w:rsidP="00805474">
      <w:pPr>
        <w:pStyle w:val="Heading2"/>
        <w:rPr>
          <w:b w:val="0"/>
          <w:bCs/>
        </w:rPr>
      </w:pPr>
      <w:bookmarkStart w:id="33" w:name="_Toc146892667"/>
      <w:r w:rsidRPr="00D05592">
        <w:rPr>
          <w:rFonts w:asciiTheme="majorHAnsi" w:hAnsiTheme="majorHAnsi" w:cstheme="majorHAnsi"/>
        </w:rPr>
        <w:lastRenderedPageBreak/>
        <w:t>2</w:t>
      </w:r>
      <w:r w:rsidR="00322D33" w:rsidRPr="00D05592">
        <w:rPr>
          <w:rFonts w:asciiTheme="majorHAnsi" w:hAnsiTheme="majorHAnsi" w:cstheme="majorHAnsi"/>
          <w:smallCaps/>
        </w:rPr>
        <w:t>c</w:t>
      </w:r>
      <w:r w:rsidRPr="00D05592">
        <w:rPr>
          <w:rFonts w:asciiTheme="majorHAnsi" w:hAnsiTheme="majorHAnsi" w:cstheme="majorHAnsi"/>
        </w:rPr>
        <w:t>.</w:t>
      </w:r>
      <w:r w:rsidRPr="00E5087D">
        <w:rPr>
          <w:b w:val="0"/>
          <w:bCs/>
        </w:rPr>
        <w:t xml:space="preserve"> Critical occupations</w:t>
      </w:r>
      <w:bookmarkEnd w:id="33"/>
    </w:p>
    <w:p w14:paraId="113B3526" w14:textId="37CD424B" w:rsidR="00805474" w:rsidRPr="00E5087D" w:rsidRDefault="00A50D68" w:rsidP="00805474">
      <w:pPr>
        <w:spacing w:after="120" w:line="276" w:lineRule="auto"/>
        <w:rPr>
          <w14:numForm w14:val="lining"/>
          <w14:numSpacing w14:val="proportional"/>
        </w:rPr>
      </w:pPr>
      <w:r>
        <w:rPr>
          <w14:numForm w14:val="lining"/>
          <w14:numSpacing w14:val="proportional"/>
        </w:rPr>
        <w:t xml:space="preserve">This </w:t>
      </w:r>
      <w:r w:rsidR="00805474" w:rsidRPr="00E5087D">
        <w:rPr>
          <w14:numForm w14:val="lining"/>
          <w14:numSpacing w14:val="proportional"/>
        </w:rPr>
        <w:t xml:space="preserve">report also identifies the critical occupations </w:t>
      </w:r>
      <w:r w:rsidR="00AA0E53">
        <w:rPr>
          <w14:numForm w14:val="lining"/>
          <w14:numSpacing w14:val="proportional"/>
        </w:rPr>
        <w:t>Australia</w:t>
      </w:r>
      <w:r w:rsidR="00805474" w:rsidRPr="00E5087D">
        <w:rPr>
          <w14:numForm w14:val="lining"/>
          <w14:numSpacing w14:val="proportional"/>
        </w:rPr>
        <w:t xml:space="preserve"> will need to develop and grow to support the transition. Identifying critical occupations is important for the purposes of the study because it provides </w:t>
      </w:r>
      <w:r w:rsidR="00C82058">
        <w:rPr>
          <w14:numForm w14:val="lining"/>
          <w14:numSpacing w14:val="proportional"/>
        </w:rPr>
        <w:t xml:space="preserve">a range of </w:t>
      </w:r>
      <w:r w:rsidR="00805474" w:rsidRPr="00E5087D">
        <w:rPr>
          <w14:numForm w14:val="lining"/>
          <w14:numSpacing w14:val="proportional"/>
        </w:rPr>
        <w:t>insight</w:t>
      </w:r>
      <w:r w:rsidR="00C82058">
        <w:rPr>
          <w14:numForm w14:val="lining"/>
          <w14:numSpacing w14:val="proportional"/>
        </w:rPr>
        <w:t>s into</w:t>
      </w:r>
      <w:r w:rsidR="00805474" w:rsidRPr="00E5087D">
        <w:rPr>
          <w14:numForm w14:val="lining"/>
          <w14:numSpacing w14:val="proportional"/>
        </w:rPr>
        <w:t>:</w:t>
      </w:r>
    </w:p>
    <w:p w14:paraId="2772A994" w14:textId="3D220652" w:rsidR="00805474" w:rsidRPr="00E5087D" w:rsidRDefault="00AA0E53" w:rsidP="00F25595">
      <w:pPr>
        <w:pStyle w:val="ListParagraph"/>
        <w:numPr>
          <w:ilvl w:val="0"/>
          <w:numId w:val="15"/>
        </w:numPr>
        <w:tabs>
          <w:tab w:val="left" w:pos="142"/>
        </w:tabs>
        <w:spacing w:after="120" w:line="276" w:lineRule="auto"/>
        <w:ind w:left="567"/>
        <w:contextualSpacing w:val="0"/>
        <w:rPr>
          <w14:numForm w14:val="lining"/>
          <w14:numSpacing w14:val="proportional"/>
        </w:rPr>
      </w:pPr>
      <w:r>
        <w:rPr>
          <w14:numForm w14:val="lining"/>
          <w14:numSpacing w14:val="proportional"/>
        </w:rPr>
        <w:t>u</w:t>
      </w:r>
      <w:r w:rsidR="00805474" w:rsidRPr="00E5087D">
        <w:rPr>
          <w14:numForm w14:val="lining"/>
          <w14:numSpacing w14:val="proportional"/>
        </w:rPr>
        <w:t xml:space="preserve">nderstanding the extent to which people can transition between the </w:t>
      </w:r>
      <w:r w:rsidR="00514351">
        <w:rPr>
          <w14:numForm w14:val="lining"/>
          <w14:numSpacing w14:val="proportional"/>
        </w:rPr>
        <w:t>industry</w:t>
      </w:r>
      <w:r w:rsidR="00805474" w:rsidRPr="00E5087D">
        <w:rPr>
          <w14:numForm w14:val="lining"/>
          <w14:numSpacing w14:val="proportional"/>
        </w:rPr>
        <w:t xml:space="preserve"> categories is a critical objective of the study.</w:t>
      </w:r>
    </w:p>
    <w:p w14:paraId="74E06423" w14:textId="5D5940D8" w:rsidR="00805474" w:rsidRPr="00E5087D" w:rsidRDefault="00AA0E53" w:rsidP="00F25595">
      <w:pPr>
        <w:pStyle w:val="ListParagraph"/>
        <w:numPr>
          <w:ilvl w:val="0"/>
          <w:numId w:val="15"/>
        </w:numPr>
        <w:tabs>
          <w:tab w:val="left" w:pos="142"/>
        </w:tabs>
        <w:spacing w:after="120" w:line="276" w:lineRule="auto"/>
        <w:ind w:left="567"/>
        <w:contextualSpacing w:val="0"/>
        <w:rPr>
          <w14:numForm w14:val="lining"/>
          <w14:numSpacing w14:val="proportional"/>
        </w:rPr>
      </w:pPr>
      <w:r>
        <w:rPr>
          <w14:numForm w14:val="lining"/>
          <w14:numSpacing w14:val="proportional"/>
        </w:rPr>
        <w:t>t</w:t>
      </w:r>
      <w:r w:rsidR="00805474" w:rsidRPr="00E5087D">
        <w:rPr>
          <w14:numForm w14:val="lining"/>
          <w14:numSpacing w14:val="proportional"/>
        </w:rPr>
        <w:t>he retraining or reskilling need is different for people transitioning between industries within the same occupation compared to changing occupation as well as industry.</w:t>
      </w:r>
    </w:p>
    <w:p w14:paraId="5F6E7698" w14:textId="44197C21" w:rsidR="00805474" w:rsidRPr="00E5087D" w:rsidRDefault="00AA0E53" w:rsidP="00F25595">
      <w:pPr>
        <w:pStyle w:val="ListParagraph"/>
        <w:numPr>
          <w:ilvl w:val="0"/>
          <w:numId w:val="15"/>
        </w:numPr>
        <w:tabs>
          <w:tab w:val="left" w:pos="142"/>
        </w:tabs>
        <w:spacing w:after="120" w:line="276" w:lineRule="auto"/>
        <w:ind w:left="567"/>
        <w:contextualSpacing w:val="0"/>
        <w:rPr>
          <w14:numForm w14:val="lining"/>
          <w14:numSpacing w14:val="proportional"/>
        </w:rPr>
      </w:pPr>
      <w:r>
        <w:rPr>
          <w14:numForm w14:val="lining"/>
          <w14:numSpacing w14:val="proportional"/>
        </w:rPr>
        <w:t>u</w:t>
      </w:r>
      <w:r w:rsidR="00805474" w:rsidRPr="00E5087D">
        <w:rPr>
          <w14:numForm w14:val="lining"/>
          <w14:numSpacing w14:val="proportional"/>
        </w:rPr>
        <w:t>nderstanding more the barriers that prevent the supply pipeline meeting demand can inform the analysis in the study.</w:t>
      </w:r>
    </w:p>
    <w:p w14:paraId="2BC88401" w14:textId="77777777" w:rsidR="00805474" w:rsidRPr="00E5087D" w:rsidRDefault="00805474" w:rsidP="00805474">
      <w:pPr>
        <w:spacing w:before="240" w:after="120" w:line="276" w:lineRule="auto"/>
        <w:rPr>
          <w14:numForm w14:val="lining"/>
          <w14:numSpacing w14:val="proportional"/>
        </w:rPr>
      </w:pPr>
      <w:r w:rsidRPr="00E5087D">
        <w:rPr>
          <w14:numForm w14:val="lining"/>
          <w14:numSpacing w14:val="proportional"/>
        </w:rPr>
        <w:t>JSA identified critical occupations through an iterative process of desktop research, analysis of Census data, and feedback from stakeholders. The start of the approach was to examine those occupations that occurred commonly within the clean energy segments (the 50 most common occupations in each segment) and then considering if:</w:t>
      </w:r>
    </w:p>
    <w:p w14:paraId="467CEB96" w14:textId="01D06092" w:rsidR="00805474" w:rsidRPr="00E5087D" w:rsidRDefault="4B1E8408" w:rsidP="00F25595">
      <w:pPr>
        <w:pStyle w:val="ListParagraph"/>
        <w:numPr>
          <w:ilvl w:val="0"/>
          <w:numId w:val="15"/>
        </w:numPr>
        <w:tabs>
          <w:tab w:val="left" w:pos="142"/>
        </w:tabs>
        <w:spacing w:after="120" w:line="276" w:lineRule="auto"/>
        <w:ind w:left="567" w:hanging="357"/>
        <w:contextualSpacing w:val="0"/>
      </w:pPr>
      <w:r w:rsidRPr="00E5087D">
        <w:rPr>
          <w14:numForm w14:val="lining"/>
          <w14:numSpacing w14:val="proportional"/>
        </w:rPr>
        <w:t>a</w:t>
      </w:r>
      <w:r w:rsidR="6B428D2F" w:rsidRPr="00E5087D">
        <w:rPr>
          <w14:numForm w14:val="lining"/>
          <w14:numSpacing w14:val="proportional"/>
        </w:rPr>
        <w:t xml:space="preserve"> relatively large proportion of workers in the occupation may be found in clean energy segments rather than in other segments</w:t>
      </w:r>
      <w:r w:rsidR="3A2DEC29" w:rsidRPr="00E5087D">
        <w:rPr>
          <w14:numForm w14:val="lining"/>
          <w14:numSpacing w14:val="proportional"/>
        </w:rPr>
        <w:t xml:space="preserve"> (but this may not necessarily be the case)</w:t>
      </w:r>
    </w:p>
    <w:p w14:paraId="4166AF6F" w14:textId="7F5C6BF6" w:rsidR="00805474" w:rsidRPr="00E5087D" w:rsidRDefault="68288A3A" w:rsidP="00F25595">
      <w:pPr>
        <w:pStyle w:val="ListParagraph"/>
        <w:numPr>
          <w:ilvl w:val="0"/>
          <w:numId w:val="15"/>
        </w:numPr>
        <w:tabs>
          <w:tab w:val="left" w:pos="142"/>
        </w:tabs>
        <w:spacing w:after="120" w:line="276" w:lineRule="auto"/>
        <w:ind w:left="567" w:hanging="357"/>
        <w:contextualSpacing w:val="0"/>
      </w:pPr>
      <w:r w:rsidRPr="00E5087D">
        <w:rPr>
          <w14:numForm w14:val="lining"/>
          <w14:numSpacing w14:val="proportional"/>
        </w:rPr>
        <w:t>i</w:t>
      </w:r>
      <w:r w:rsidR="6B428D2F" w:rsidRPr="00E5087D">
        <w:rPr>
          <w14:numForm w14:val="lining"/>
          <w14:numSpacing w14:val="proportional"/>
        </w:rPr>
        <w:t>t takes a long time to train this occupation (whether through higher education, VET or on the job), and</w:t>
      </w:r>
    </w:p>
    <w:p w14:paraId="1B651C47" w14:textId="20BBD9C7" w:rsidR="00805474" w:rsidRPr="00E5087D" w:rsidRDefault="6C164031" w:rsidP="00F25595">
      <w:pPr>
        <w:pStyle w:val="ListParagraph"/>
        <w:numPr>
          <w:ilvl w:val="0"/>
          <w:numId w:val="15"/>
        </w:numPr>
        <w:tabs>
          <w:tab w:val="left" w:pos="142"/>
        </w:tabs>
        <w:spacing w:after="120" w:line="276" w:lineRule="auto"/>
        <w:ind w:left="567" w:hanging="357"/>
        <w:contextualSpacing w:val="0"/>
      </w:pPr>
      <w:r w:rsidRPr="00E5087D">
        <w:rPr>
          <w14:numForm w14:val="lining"/>
          <w14:numSpacing w14:val="proportional"/>
        </w:rPr>
        <w:t>t</w:t>
      </w:r>
      <w:r w:rsidR="6B428D2F" w:rsidRPr="00E5087D">
        <w:rPr>
          <w14:numForm w14:val="lining"/>
          <w14:numSpacing w14:val="proportional"/>
        </w:rPr>
        <w:t>o be able to work in clean energy require</w:t>
      </w:r>
      <w:r w:rsidR="00AA0E53">
        <w:rPr>
          <w14:numForm w14:val="lining"/>
          <w14:numSpacing w14:val="proportional"/>
        </w:rPr>
        <w:t>s</w:t>
      </w:r>
      <w:r w:rsidR="6B428D2F" w:rsidRPr="00E5087D">
        <w:rPr>
          <w14:numForm w14:val="lining"/>
          <w14:numSpacing w14:val="proportional"/>
        </w:rPr>
        <w:t xml:space="preserve"> specific additional skills or expertise (for example, a university lecturer requires specialist knowledge to enable clean energy education and training, but this is not true to the same extent for an accountant or solicitor). </w:t>
      </w:r>
    </w:p>
    <w:p w14:paraId="78D7D9B7" w14:textId="00542849" w:rsidR="008A2E09" w:rsidRDefault="6B428D2F" w:rsidP="00840029">
      <w:pPr>
        <w:spacing w:before="240" w:after="120" w:line="276" w:lineRule="auto"/>
      </w:pPr>
      <w:r w:rsidRPr="00E5087D">
        <w:rPr>
          <w14:numForm w14:val="lining"/>
          <w14:numSpacing w14:val="proportional"/>
        </w:rPr>
        <w:t>In total 3</w:t>
      </w:r>
      <w:r w:rsidR="35E1D73F">
        <w:rPr>
          <w14:numForm w14:val="lining"/>
          <w14:numSpacing w14:val="proportional"/>
        </w:rPr>
        <w:t>8</w:t>
      </w:r>
      <w:r w:rsidRPr="00E5087D">
        <w:rPr>
          <w14:numForm w14:val="lining"/>
          <w14:numSpacing w14:val="proportional"/>
        </w:rPr>
        <w:t xml:space="preserve"> </w:t>
      </w:r>
      <w:r w:rsidR="00322CA0">
        <w:rPr>
          <w14:numForm w14:val="lining"/>
          <w14:numSpacing w14:val="proportional"/>
        </w:rPr>
        <w:t>critical</w:t>
      </w:r>
      <w:r w:rsidRPr="00E5087D">
        <w:rPr>
          <w14:numForm w14:val="lining"/>
          <w14:numSpacing w14:val="proportional"/>
        </w:rPr>
        <w:t xml:space="preserve"> occupations have been identified (profiles for each follow this section). Figure </w:t>
      </w:r>
      <w:r w:rsidR="5EC82DC3">
        <w:rPr>
          <w14:numForm w14:val="lining"/>
          <w14:numSpacing w14:val="proportional"/>
        </w:rPr>
        <w:t>2.2</w:t>
      </w:r>
      <w:r w:rsidRPr="00E5087D">
        <w:rPr>
          <w14:numForm w14:val="lining"/>
          <w14:numSpacing w14:val="proportional"/>
        </w:rPr>
        <w:t xml:space="preserve"> shows how these occupations (grouped based on </w:t>
      </w:r>
      <w:r w:rsidR="6D24E2A1" w:rsidRPr="00E5087D">
        <w:rPr>
          <w14:numForm w14:val="lining"/>
          <w14:numSpacing w14:val="proportional"/>
        </w:rPr>
        <w:t xml:space="preserve">the </w:t>
      </w:r>
      <w:r w:rsidRPr="00E5087D">
        <w:rPr>
          <w14:numForm w14:val="lining"/>
          <w14:numSpacing w14:val="proportional"/>
        </w:rPr>
        <w:t>A</w:t>
      </w:r>
      <w:r w:rsidR="31D06107" w:rsidRPr="00E5087D">
        <w:rPr>
          <w14:numForm w14:val="lining"/>
          <w14:numSpacing w14:val="proportional"/>
        </w:rPr>
        <w:t xml:space="preserve">ustralian and New Zealand Standard Classification of </w:t>
      </w:r>
      <w:r w:rsidR="0070192D" w:rsidRPr="00E5087D">
        <w:rPr>
          <w14:numForm w14:val="lining"/>
          <w14:numSpacing w14:val="proportional"/>
        </w:rPr>
        <w:t>Occupations</w:t>
      </w:r>
      <w:r w:rsidR="31D06107" w:rsidRPr="00E5087D">
        <w:rPr>
          <w14:numForm w14:val="lining"/>
          <w14:numSpacing w14:val="proportional"/>
        </w:rPr>
        <w:t xml:space="preserve"> A</w:t>
      </w:r>
      <w:r w:rsidRPr="00E5087D">
        <w:rPr>
          <w14:numForm w14:val="lining"/>
          <w14:numSpacing w14:val="proportional"/>
        </w:rPr>
        <w:t xml:space="preserve">NZSCO) occur across segments. As would be expected, </w:t>
      </w:r>
      <w:r w:rsidR="72EA2231" w:rsidRPr="00E5087D">
        <w:rPr>
          <w14:numForm w14:val="lining"/>
          <w14:numSpacing w14:val="proportional"/>
        </w:rPr>
        <w:t>E</w:t>
      </w:r>
      <w:r w:rsidR="50A00C2B" w:rsidRPr="00E5087D">
        <w:rPr>
          <w14:numForm w14:val="lining"/>
          <w14:numSpacing w14:val="proportional"/>
        </w:rPr>
        <w:t>lectricians</w:t>
      </w:r>
      <w:r w:rsidRPr="00E5087D">
        <w:rPr>
          <w14:numForm w14:val="lining"/>
          <w14:numSpacing w14:val="proportional"/>
        </w:rPr>
        <w:t xml:space="preserve"> and </w:t>
      </w:r>
      <w:r w:rsidR="67A7728C" w:rsidRPr="00E5087D">
        <w:rPr>
          <w14:numForm w14:val="lining"/>
          <w14:numSpacing w14:val="proportional"/>
        </w:rPr>
        <w:t>E</w:t>
      </w:r>
      <w:r w:rsidR="0E36B335" w:rsidRPr="00E5087D">
        <w:rPr>
          <w14:numForm w14:val="lining"/>
          <w14:numSpacing w14:val="proportional"/>
        </w:rPr>
        <w:t>lectrical</w:t>
      </w:r>
      <w:r w:rsidR="50A00C2B" w:rsidRPr="00E5087D">
        <w:rPr>
          <w14:numForm w14:val="lining"/>
          <w14:numSpacing w14:val="proportional"/>
        </w:rPr>
        <w:t xml:space="preserve"> </w:t>
      </w:r>
      <w:r w:rsidR="67AB3BE1" w:rsidRPr="00E5087D">
        <w:rPr>
          <w14:numForm w14:val="lining"/>
          <w14:numSpacing w14:val="proportional"/>
        </w:rPr>
        <w:t>E</w:t>
      </w:r>
      <w:r w:rsidRPr="00E5087D">
        <w:rPr>
          <w14:numForm w14:val="lining"/>
          <w14:numSpacing w14:val="proportional"/>
        </w:rPr>
        <w:t>ngineers recur across multiple segments but so do engineering trades such as Metal Fitters and Machinists, engineering roles such as Industrial, Mechanical and Production Engineers, and managerial occupations such as Production Managers and Construction Managers. Our analysis of skill pathways and future supply will focus on these critical occupations</w:t>
      </w:r>
      <w:r w:rsidR="00DF364F">
        <w:rPr>
          <w14:numForm w14:val="lining"/>
          <w14:numSpacing w14:val="proportional"/>
        </w:rPr>
        <w:t>.</w:t>
      </w:r>
    </w:p>
    <w:p w14:paraId="75474BCD" w14:textId="528C91F4" w:rsidR="009A62DB" w:rsidRPr="00ED414F" w:rsidRDefault="009A62DB" w:rsidP="00ED414F">
      <w:pPr>
        <w:spacing w:before="120" w:after="120" w:line="276" w:lineRule="auto"/>
        <w:rPr>
          <w:b/>
          <w:bCs/>
          <w14:numForm w14:val="lining"/>
          <w14:numSpacing w14:val="proportional"/>
        </w:rPr>
      </w:pPr>
      <w:r w:rsidRPr="00ED414F">
        <w:rPr>
          <w:b/>
          <w:bCs/>
          <w14:numForm w14:val="lining"/>
          <w14:numSpacing w14:val="proportional"/>
        </w:rPr>
        <w:t xml:space="preserve">The full </w:t>
      </w:r>
      <w:r w:rsidR="00ED414F">
        <w:rPr>
          <w:b/>
          <w:bCs/>
          <w14:numForm w14:val="lining"/>
          <w14:numSpacing w14:val="proportional"/>
        </w:rPr>
        <w:t>occupation to i</w:t>
      </w:r>
      <w:r w:rsidRPr="00ED414F">
        <w:rPr>
          <w:b/>
          <w:bCs/>
          <w14:numForm w14:val="lining"/>
          <w14:numSpacing w14:val="proportional"/>
        </w:rPr>
        <w:t xml:space="preserve">ndustry segment mapping is available </w:t>
      </w:r>
      <w:r w:rsidR="00ED414F">
        <w:rPr>
          <w:b/>
          <w:bCs/>
          <w14:numForm w14:val="lining"/>
          <w14:numSpacing w14:val="proportional"/>
        </w:rPr>
        <w:t xml:space="preserve">to download </w:t>
      </w:r>
      <w:r w:rsidRPr="00ED414F">
        <w:rPr>
          <w:b/>
          <w:bCs/>
          <w14:numForm w14:val="lining"/>
          <w14:numSpacing w14:val="proportional"/>
        </w:rPr>
        <w:t xml:space="preserve">on the JSA website.  </w:t>
      </w:r>
    </w:p>
    <w:p w14:paraId="43EC5B0E" w14:textId="63F23803" w:rsidR="008A2E09" w:rsidRPr="00E5087D" w:rsidRDefault="002E14AF" w:rsidP="00AA0E53">
      <w:pPr>
        <w:spacing w:before="120" w:line="276" w:lineRule="auto"/>
        <w:rPr>
          <w14:numForm w14:val="lining"/>
          <w14:numSpacing w14:val="proportional"/>
        </w:rPr>
      </w:pPr>
      <w:r>
        <w:rPr>
          <w14:numForm w14:val="lining"/>
          <w14:numSpacing w14:val="proportional"/>
        </w:rPr>
        <w:t>There</w:t>
      </w:r>
      <w:r w:rsidR="004B7954">
        <w:rPr>
          <w14:numForm w14:val="lining"/>
          <w14:numSpacing w14:val="proportional"/>
        </w:rPr>
        <w:t xml:space="preserve"> is</w:t>
      </w:r>
      <w:r>
        <w:rPr>
          <w14:numForm w14:val="lining"/>
          <w14:numSpacing w14:val="proportional"/>
        </w:rPr>
        <w:t xml:space="preserve"> </w:t>
      </w:r>
      <w:r w:rsidR="00110AE3">
        <w:rPr>
          <w14:numForm w14:val="lining"/>
          <w14:numSpacing w14:val="proportional"/>
        </w:rPr>
        <w:t xml:space="preserve">also </w:t>
      </w:r>
      <w:r>
        <w:rPr>
          <w14:numForm w14:val="lining"/>
          <w14:numSpacing w14:val="proportional"/>
        </w:rPr>
        <w:t xml:space="preserve">a wide range of labourer occupations that are critical to the clean energy workforce. </w:t>
      </w:r>
      <w:r w:rsidR="00EA2178">
        <w:rPr>
          <w14:numForm w14:val="lining"/>
          <w14:numSpacing w14:val="proportional"/>
        </w:rPr>
        <w:t>T</w:t>
      </w:r>
      <w:r w:rsidR="00346A50">
        <w:rPr>
          <w14:numForm w14:val="lining"/>
          <w14:numSpacing w14:val="proportional"/>
        </w:rPr>
        <w:t>h</w:t>
      </w:r>
      <w:r w:rsidR="00110AE3">
        <w:rPr>
          <w14:numForm w14:val="lining"/>
          <w14:numSpacing w14:val="proportional"/>
        </w:rPr>
        <w:t>ese</w:t>
      </w:r>
      <w:r>
        <w:rPr>
          <w14:numForm w14:val="lining"/>
          <w14:numSpacing w14:val="proportional"/>
        </w:rPr>
        <w:t xml:space="preserve"> include </w:t>
      </w:r>
      <w:r w:rsidR="00297A05">
        <w:rPr>
          <w14:numForm w14:val="lining"/>
          <w14:numSpacing w14:val="proportional"/>
        </w:rPr>
        <w:t>C</w:t>
      </w:r>
      <w:r>
        <w:rPr>
          <w14:numForm w14:val="lining"/>
          <w14:numSpacing w14:val="proportional"/>
        </w:rPr>
        <w:t xml:space="preserve">onstruction and </w:t>
      </w:r>
      <w:r w:rsidR="00297A05">
        <w:rPr>
          <w14:numForm w14:val="lining"/>
          <w14:numSpacing w14:val="proportional"/>
        </w:rPr>
        <w:t>P</w:t>
      </w:r>
      <w:r>
        <w:rPr>
          <w14:numForm w14:val="lining"/>
          <w14:numSpacing w14:val="proportional"/>
        </w:rPr>
        <w:t xml:space="preserve">lumbing </w:t>
      </w:r>
      <w:r w:rsidR="00297A05">
        <w:rPr>
          <w14:numForm w14:val="lining"/>
          <w14:numSpacing w14:val="proportional"/>
        </w:rPr>
        <w:t>L</w:t>
      </w:r>
      <w:r>
        <w:rPr>
          <w14:numForm w14:val="lining"/>
          <w14:numSpacing w14:val="proportional"/>
        </w:rPr>
        <w:t xml:space="preserve">abourers, </w:t>
      </w:r>
      <w:r w:rsidR="00297A05">
        <w:rPr>
          <w14:numForm w14:val="lining"/>
          <w14:numSpacing w14:val="proportional"/>
        </w:rPr>
        <w:t>C</w:t>
      </w:r>
      <w:r>
        <w:rPr>
          <w14:numForm w14:val="lining"/>
          <w14:numSpacing w14:val="proportional"/>
        </w:rPr>
        <w:t>oncreters</w:t>
      </w:r>
      <w:r w:rsidR="00297A05">
        <w:rPr>
          <w14:numForm w14:val="lining"/>
          <w14:numSpacing w14:val="proportional"/>
        </w:rPr>
        <w:t>,</w:t>
      </w:r>
      <w:r>
        <w:rPr>
          <w14:numForm w14:val="lining"/>
          <w14:numSpacing w14:val="proportional"/>
        </w:rPr>
        <w:t xml:space="preserve"> and </w:t>
      </w:r>
      <w:r w:rsidR="00297A05">
        <w:rPr>
          <w14:numForm w14:val="lining"/>
          <w14:numSpacing w14:val="proportional"/>
        </w:rPr>
        <w:t>I</w:t>
      </w:r>
      <w:r>
        <w:rPr>
          <w14:numForm w14:val="lining"/>
          <w14:numSpacing w14:val="proportional"/>
        </w:rPr>
        <w:t xml:space="preserve">nsulation and </w:t>
      </w:r>
      <w:r w:rsidR="00297A05">
        <w:rPr>
          <w14:numForm w14:val="lining"/>
          <w14:numSpacing w14:val="proportional"/>
        </w:rPr>
        <w:t>H</w:t>
      </w:r>
      <w:r>
        <w:rPr>
          <w14:numForm w14:val="lining"/>
          <w14:numSpacing w14:val="proportional"/>
        </w:rPr>
        <w:t xml:space="preserve">ome </w:t>
      </w:r>
      <w:r w:rsidR="00297A05">
        <w:rPr>
          <w14:numForm w14:val="lining"/>
          <w14:numSpacing w14:val="proportional"/>
        </w:rPr>
        <w:t>I</w:t>
      </w:r>
      <w:r>
        <w:rPr>
          <w14:numForm w14:val="lining"/>
          <w14:numSpacing w14:val="proportional"/>
        </w:rPr>
        <w:t xml:space="preserve">mprovement </w:t>
      </w:r>
      <w:r w:rsidR="00297A05">
        <w:rPr>
          <w14:numForm w14:val="lining"/>
          <w14:numSpacing w14:val="proportional"/>
        </w:rPr>
        <w:t>L</w:t>
      </w:r>
      <w:r>
        <w:rPr>
          <w14:numForm w14:val="lining"/>
          <w14:numSpacing w14:val="proportional"/>
        </w:rPr>
        <w:t xml:space="preserve">abourers. </w:t>
      </w:r>
      <w:r w:rsidR="00DD33F5">
        <w:rPr>
          <w14:numForm w14:val="lining"/>
          <w14:numSpacing w14:val="proportional"/>
        </w:rPr>
        <w:t xml:space="preserve">While these roles don’t meet our above criteria, this doesn’t underplay play </w:t>
      </w:r>
      <w:r w:rsidR="00167859">
        <w:rPr>
          <w14:numForm w14:val="lining"/>
          <w14:numSpacing w14:val="proportional"/>
        </w:rPr>
        <w:t xml:space="preserve">their </w:t>
      </w:r>
      <w:r w:rsidR="00AF6F88">
        <w:rPr>
          <w14:numForm w14:val="lining"/>
          <w14:numSpacing w14:val="proportional"/>
        </w:rPr>
        <w:t>continued contribution to the clean energy sector, including in construction, energy performance, manufacturing, mining and installation.</w:t>
      </w:r>
      <w:r w:rsidR="004B7954">
        <w:rPr>
          <w14:numForm w14:val="lining"/>
          <w14:numSpacing w14:val="proportional"/>
        </w:rPr>
        <w:t xml:space="preserve"> Machinery operators and drivers are also critical, </w:t>
      </w:r>
      <w:r w:rsidR="00372744">
        <w:rPr>
          <w14:numForm w14:val="lining"/>
          <w14:numSpacing w14:val="proportional"/>
        </w:rPr>
        <w:t>particularly</w:t>
      </w:r>
      <w:r w:rsidR="004B7954">
        <w:rPr>
          <w14:numForm w14:val="lining"/>
          <w14:numSpacing w14:val="proportional"/>
        </w:rPr>
        <w:t xml:space="preserve"> to </w:t>
      </w:r>
      <w:r w:rsidR="00372744">
        <w:rPr>
          <w14:numForm w14:val="lining"/>
          <w14:numSpacing w14:val="proportional"/>
        </w:rPr>
        <w:t>projects that require large-scale civil engineering activity, such as hydroelectricity.</w:t>
      </w:r>
    </w:p>
    <w:p w14:paraId="5D6E0ED0" w14:textId="77622B7A" w:rsidR="008A2E09" w:rsidRPr="00E5087D" w:rsidRDefault="008A2E09" w:rsidP="008A2E09">
      <w:pPr>
        <w:keepNext/>
        <w:rPr>
          <w:rStyle w:val="Strong"/>
          <w:color w:val="auto"/>
          <w:sz w:val="23"/>
          <w:szCs w:val="23"/>
        </w:rPr>
      </w:pPr>
      <w:r w:rsidRPr="00E5087D">
        <w:rPr>
          <w:rStyle w:val="Strong"/>
          <w:color w:val="auto"/>
          <w:sz w:val="23"/>
          <w:szCs w:val="23"/>
        </w:rPr>
        <w:lastRenderedPageBreak/>
        <w:t xml:space="preserve">Figure </w:t>
      </w:r>
      <w:r w:rsidR="00475BE5">
        <w:rPr>
          <w:rStyle w:val="Strong"/>
          <w:color w:val="auto"/>
          <w:sz w:val="23"/>
          <w:szCs w:val="23"/>
        </w:rPr>
        <w:t>2.2.</w:t>
      </w:r>
      <w:r w:rsidRPr="00E5087D">
        <w:rPr>
          <w:rStyle w:val="Strong"/>
          <w:color w:val="auto"/>
          <w:sz w:val="23"/>
          <w:szCs w:val="23"/>
        </w:rPr>
        <w:t xml:space="preserve"> </w:t>
      </w:r>
      <w:r w:rsidR="00DA2BD3">
        <w:rPr>
          <w:rStyle w:val="Strong"/>
          <w:color w:val="auto"/>
          <w:sz w:val="23"/>
          <w:szCs w:val="23"/>
        </w:rPr>
        <w:t>Critical</w:t>
      </w:r>
      <w:r w:rsidRPr="00E5087D">
        <w:rPr>
          <w:rStyle w:val="Strong"/>
          <w:color w:val="auto"/>
          <w:sz w:val="23"/>
          <w:szCs w:val="23"/>
        </w:rPr>
        <w:t xml:space="preserve"> occupations by segments</w:t>
      </w:r>
    </w:p>
    <w:tbl>
      <w:tblPr>
        <w:tblW w:w="5000" w:type="pct"/>
        <w:tblCellMar>
          <w:left w:w="0" w:type="dxa"/>
          <w:right w:w="0" w:type="dxa"/>
        </w:tblCellMar>
        <w:tblLook w:val="04A0" w:firstRow="1" w:lastRow="0" w:firstColumn="1" w:lastColumn="0" w:noHBand="0" w:noVBand="1"/>
      </w:tblPr>
      <w:tblGrid>
        <w:gridCol w:w="5011"/>
        <w:gridCol w:w="251"/>
        <w:gridCol w:w="251"/>
        <w:gridCol w:w="251"/>
        <w:gridCol w:w="252"/>
        <w:gridCol w:w="252"/>
        <w:gridCol w:w="252"/>
        <w:gridCol w:w="252"/>
        <w:gridCol w:w="252"/>
        <w:gridCol w:w="252"/>
        <w:gridCol w:w="252"/>
        <w:gridCol w:w="252"/>
        <w:gridCol w:w="252"/>
        <w:gridCol w:w="252"/>
        <w:gridCol w:w="252"/>
        <w:gridCol w:w="252"/>
        <w:gridCol w:w="228"/>
      </w:tblGrid>
      <w:tr w:rsidR="008A2E09" w:rsidRPr="00E5087D" w14:paraId="2BEA6BF7" w14:textId="77777777">
        <w:trPr>
          <w:cantSplit/>
          <w:trHeight w:val="3101"/>
          <w:tblHeader/>
        </w:trPr>
        <w:tc>
          <w:tcPr>
            <w:tcW w:w="25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B1C86" w14:textId="77777777" w:rsidR="008A2E09" w:rsidRPr="00E5087D" w:rsidRDefault="008A2E09">
            <w:pPr>
              <w:spacing w:after="0" w:line="240" w:lineRule="auto"/>
              <w:ind w:left="57"/>
              <w:rPr>
                <w:rFonts w:eastAsia="Times New Roman" w:cs="Arial"/>
                <w:b/>
                <w:bCs/>
                <w:color w:val="auto"/>
                <w:lang w:eastAsia="en-AU"/>
              </w:rPr>
            </w:pPr>
            <w:r w:rsidRPr="00E5087D">
              <w:rPr>
                <w:rFonts w:eastAsia="Times New Roman" w:cs="Arial"/>
                <w:b/>
                <w:bCs/>
                <w:color w:val="auto"/>
                <w:lang w:eastAsia="en-AU"/>
              </w:rPr>
              <w:t>Occupation</w:t>
            </w:r>
          </w:p>
        </w:tc>
        <w:tc>
          <w:tcPr>
            <w:tcW w:w="151" w:type="pct"/>
            <w:tcBorders>
              <w:top w:val="single" w:sz="4" w:space="0" w:color="auto"/>
              <w:left w:val="nil"/>
              <w:bottom w:val="single" w:sz="4" w:space="0" w:color="auto"/>
              <w:right w:val="single" w:sz="4" w:space="0" w:color="auto"/>
            </w:tcBorders>
            <w:shd w:val="clear" w:color="auto" w:fill="B4C227"/>
            <w:noWrap/>
            <w:textDirection w:val="btLr"/>
            <w:vAlign w:val="center"/>
            <w:hideMark/>
          </w:tcPr>
          <w:p w14:paraId="10C22E27" w14:textId="1CF022B8" w:rsidR="008A2E09" w:rsidRPr="00E5087D" w:rsidRDefault="00105E05" w:rsidP="0091362C">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G</w:t>
            </w:r>
            <w:r w:rsidRPr="00E5087D">
              <w:rPr>
                <w:rFonts w:eastAsia="Times New Roman" w:cs="Arial"/>
                <w:color w:val="auto"/>
                <w:sz w:val="18"/>
                <w:szCs w:val="18"/>
                <w:lang w:eastAsia="en-AU"/>
              </w:rPr>
              <w:t>eneration</w:t>
            </w:r>
          </w:p>
        </w:tc>
        <w:tc>
          <w:tcPr>
            <w:tcW w:w="151" w:type="pct"/>
            <w:tcBorders>
              <w:top w:val="single" w:sz="4" w:space="0" w:color="auto"/>
              <w:left w:val="nil"/>
              <w:bottom w:val="single" w:sz="4" w:space="0" w:color="auto"/>
              <w:right w:val="single" w:sz="4" w:space="0" w:color="auto"/>
            </w:tcBorders>
            <w:shd w:val="clear" w:color="auto" w:fill="B4C227"/>
            <w:noWrap/>
            <w:textDirection w:val="btLr"/>
            <w:vAlign w:val="center"/>
            <w:hideMark/>
          </w:tcPr>
          <w:p w14:paraId="0471501C" w14:textId="7A062276" w:rsidR="008A2E09" w:rsidRPr="00E5087D" w:rsidRDefault="00105E05">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Distribution</w:t>
            </w:r>
            <w:r w:rsidR="008A2E09" w:rsidRPr="00E5087D">
              <w:rPr>
                <w:rFonts w:eastAsia="Times New Roman" w:cs="Arial"/>
                <w:color w:val="auto"/>
                <w:sz w:val="18"/>
                <w:szCs w:val="18"/>
                <w:lang w:eastAsia="en-AU"/>
              </w:rPr>
              <w:t xml:space="preserve"> &amp; supply</w:t>
            </w:r>
          </w:p>
        </w:tc>
        <w:tc>
          <w:tcPr>
            <w:tcW w:w="151" w:type="pct"/>
            <w:tcBorders>
              <w:top w:val="single" w:sz="4" w:space="0" w:color="auto"/>
              <w:left w:val="nil"/>
              <w:bottom w:val="single" w:sz="4" w:space="0" w:color="auto"/>
              <w:right w:val="single" w:sz="4" w:space="0" w:color="auto"/>
            </w:tcBorders>
            <w:shd w:val="clear" w:color="auto" w:fill="D2DE5A"/>
            <w:noWrap/>
            <w:textDirection w:val="btLr"/>
            <w:vAlign w:val="center"/>
            <w:hideMark/>
          </w:tcPr>
          <w:p w14:paraId="0A1AEFA8" w14:textId="081A71A3" w:rsidR="008A2E09" w:rsidRPr="00E5087D" w:rsidRDefault="00105E05">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E</w:t>
            </w:r>
            <w:r w:rsidR="008A2E09" w:rsidRPr="00E5087D">
              <w:rPr>
                <w:rFonts w:eastAsia="Times New Roman" w:cs="Arial"/>
                <w:color w:val="auto"/>
                <w:sz w:val="18"/>
                <w:szCs w:val="18"/>
                <w:lang w:eastAsia="en-AU"/>
              </w:rPr>
              <w:t>nergy usage</w:t>
            </w:r>
          </w:p>
        </w:tc>
        <w:tc>
          <w:tcPr>
            <w:tcW w:w="151" w:type="pct"/>
            <w:tcBorders>
              <w:top w:val="single" w:sz="4" w:space="0" w:color="auto"/>
              <w:left w:val="nil"/>
              <w:bottom w:val="single" w:sz="4" w:space="0" w:color="auto"/>
              <w:right w:val="single" w:sz="4" w:space="0" w:color="auto"/>
            </w:tcBorders>
            <w:shd w:val="clear" w:color="auto" w:fill="D2DE5A"/>
            <w:noWrap/>
            <w:textDirection w:val="btLr"/>
            <w:vAlign w:val="center"/>
            <w:hideMark/>
          </w:tcPr>
          <w:p w14:paraId="4668BD53" w14:textId="066700DA" w:rsidR="008A2E09" w:rsidRPr="00E5087D" w:rsidRDefault="00105E05">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E</w:t>
            </w:r>
            <w:r w:rsidR="008A2E09" w:rsidRPr="00E5087D">
              <w:rPr>
                <w:rFonts w:eastAsia="Times New Roman" w:cs="Arial"/>
                <w:color w:val="auto"/>
                <w:sz w:val="18"/>
                <w:szCs w:val="18"/>
                <w:lang w:eastAsia="en-AU"/>
              </w:rPr>
              <w:t>nergy performance</w:t>
            </w:r>
          </w:p>
        </w:tc>
        <w:tc>
          <w:tcPr>
            <w:tcW w:w="151" w:type="pct"/>
            <w:tcBorders>
              <w:top w:val="single" w:sz="4" w:space="0" w:color="auto"/>
              <w:left w:val="nil"/>
              <w:bottom w:val="single" w:sz="4" w:space="0" w:color="auto"/>
              <w:right w:val="single" w:sz="4" w:space="0" w:color="auto"/>
            </w:tcBorders>
            <w:shd w:val="clear" w:color="auto" w:fill="D2DE5A"/>
            <w:noWrap/>
            <w:textDirection w:val="btLr"/>
            <w:vAlign w:val="center"/>
            <w:hideMark/>
          </w:tcPr>
          <w:p w14:paraId="3B33E2F5" w14:textId="628E2431" w:rsidR="008A2E09" w:rsidRPr="00E5087D" w:rsidRDefault="00105E05">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T</w:t>
            </w:r>
            <w:r w:rsidR="008A2E09" w:rsidRPr="00E5087D">
              <w:rPr>
                <w:rFonts w:eastAsia="Times New Roman" w:cs="Arial"/>
                <w:color w:val="auto"/>
                <w:sz w:val="18"/>
                <w:szCs w:val="18"/>
                <w:lang w:eastAsia="en-AU"/>
              </w:rPr>
              <w:t>ransport</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5096A79F" w14:textId="01450A4F" w:rsidR="008A2E09" w:rsidRPr="00E5087D" w:rsidRDefault="00105E05">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Education</w:t>
            </w:r>
            <w:r w:rsidR="004C4EEA">
              <w:rPr>
                <w:rFonts w:eastAsia="Times New Roman" w:cs="Arial"/>
                <w:color w:val="auto"/>
                <w:sz w:val="18"/>
                <w:szCs w:val="18"/>
                <w:lang w:eastAsia="en-AU"/>
              </w:rPr>
              <w:t>,</w:t>
            </w:r>
            <w:r w:rsidR="008A2E09" w:rsidRPr="00E5087D">
              <w:rPr>
                <w:rFonts w:eastAsia="Times New Roman" w:cs="Arial"/>
                <w:color w:val="auto"/>
                <w:sz w:val="18"/>
                <w:szCs w:val="18"/>
                <w:lang w:eastAsia="en-AU"/>
              </w:rPr>
              <w:t xml:space="preserve"> training, res &amp; tech</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3EA957B4" w14:textId="082F9958" w:rsidR="008A2E09" w:rsidRPr="00E5087D" w:rsidRDefault="004C4EEA">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F</w:t>
            </w:r>
            <w:r w:rsidR="008A2E09" w:rsidRPr="00E5087D">
              <w:rPr>
                <w:rFonts w:eastAsia="Times New Roman" w:cs="Arial"/>
                <w:color w:val="auto"/>
                <w:sz w:val="18"/>
                <w:szCs w:val="18"/>
                <w:lang w:eastAsia="en-AU"/>
              </w:rPr>
              <w:t>inance, legal</w:t>
            </w:r>
            <w:r>
              <w:rPr>
                <w:rFonts w:eastAsia="Times New Roman" w:cs="Arial"/>
                <w:color w:val="auto"/>
                <w:sz w:val="18"/>
                <w:szCs w:val="18"/>
                <w:lang w:eastAsia="en-AU"/>
              </w:rPr>
              <w:t xml:space="preserve"> and</w:t>
            </w:r>
            <w:r w:rsidR="008A2E09" w:rsidRPr="00E5087D">
              <w:rPr>
                <w:rFonts w:eastAsia="Times New Roman" w:cs="Arial"/>
                <w:color w:val="auto"/>
                <w:sz w:val="18"/>
                <w:szCs w:val="18"/>
                <w:lang w:eastAsia="en-AU"/>
              </w:rPr>
              <w:t xml:space="preserve"> business</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01965F2C" w14:textId="0C29A6A3" w:rsidR="008A2E09" w:rsidRPr="00E5087D" w:rsidRDefault="004C4EEA">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E</w:t>
            </w:r>
            <w:r w:rsidR="008A2E09" w:rsidRPr="00E5087D">
              <w:rPr>
                <w:rFonts w:eastAsia="Times New Roman" w:cs="Arial"/>
                <w:color w:val="auto"/>
                <w:sz w:val="18"/>
                <w:szCs w:val="18"/>
                <w:lang w:eastAsia="en-AU"/>
              </w:rPr>
              <w:t>ngineering</w:t>
            </w:r>
            <w:r>
              <w:rPr>
                <w:rFonts w:eastAsia="Times New Roman" w:cs="Arial"/>
                <w:color w:val="auto"/>
                <w:sz w:val="18"/>
                <w:szCs w:val="18"/>
                <w:lang w:eastAsia="en-AU"/>
              </w:rPr>
              <w:t xml:space="preserve"> and</w:t>
            </w:r>
            <w:r w:rsidR="008A2E09" w:rsidRPr="00E5087D">
              <w:rPr>
                <w:rFonts w:eastAsia="Times New Roman" w:cs="Arial"/>
                <w:color w:val="auto"/>
                <w:sz w:val="18"/>
                <w:szCs w:val="18"/>
                <w:lang w:eastAsia="en-AU"/>
              </w:rPr>
              <w:t xml:space="preserve"> procurement </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00CDD91B" w14:textId="0FB1A220" w:rsidR="008A2E09" w:rsidRPr="00E5087D" w:rsidRDefault="004C4EEA">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R</w:t>
            </w:r>
            <w:r w:rsidR="008A2E09" w:rsidRPr="00E5087D">
              <w:rPr>
                <w:rFonts w:eastAsia="Times New Roman" w:cs="Arial"/>
                <w:color w:val="auto"/>
                <w:sz w:val="18"/>
                <w:szCs w:val="18"/>
                <w:lang w:eastAsia="en-AU"/>
              </w:rPr>
              <w:t>egulatory</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740E842C" w14:textId="300D4423" w:rsidR="008A2E09" w:rsidRPr="00E5087D" w:rsidRDefault="004C4EEA">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S</w:t>
            </w:r>
            <w:r w:rsidR="008A2E09" w:rsidRPr="00E5087D">
              <w:rPr>
                <w:rFonts w:eastAsia="Times New Roman" w:cs="Arial"/>
                <w:color w:val="auto"/>
                <w:sz w:val="18"/>
                <w:szCs w:val="18"/>
                <w:lang w:eastAsia="en-AU"/>
              </w:rPr>
              <w:t>upply chain</w:t>
            </w:r>
          </w:p>
        </w:tc>
        <w:tc>
          <w:tcPr>
            <w:tcW w:w="151" w:type="pct"/>
            <w:tcBorders>
              <w:top w:val="single" w:sz="4" w:space="0" w:color="auto"/>
              <w:left w:val="nil"/>
              <w:bottom w:val="single" w:sz="4" w:space="0" w:color="auto"/>
              <w:right w:val="single" w:sz="4" w:space="0" w:color="auto"/>
            </w:tcBorders>
            <w:shd w:val="clear" w:color="auto" w:fill="E3EB9B"/>
            <w:noWrap/>
            <w:textDirection w:val="btLr"/>
            <w:vAlign w:val="center"/>
            <w:hideMark/>
          </w:tcPr>
          <w:p w14:paraId="6BF18D7E" w14:textId="5EE6A6E6" w:rsidR="008A2E09" w:rsidRPr="00E5087D" w:rsidRDefault="004C4EEA">
            <w:pPr>
              <w:spacing w:after="0" w:line="240" w:lineRule="auto"/>
              <w:ind w:right="113"/>
              <w:jc w:val="right"/>
              <w:rPr>
                <w:rFonts w:eastAsia="Times New Roman" w:cs="Arial"/>
                <w:color w:val="auto"/>
                <w:sz w:val="18"/>
                <w:szCs w:val="18"/>
                <w:lang w:eastAsia="en-AU"/>
              </w:rPr>
            </w:pPr>
            <w:r>
              <w:rPr>
                <w:rFonts w:eastAsia="Times New Roman" w:cs="Arial"/>
                <w:color w:val="auto"/>
                <w:sz w:val="18"/>
                <w:szCs w:val="18"/>
                <w:lang w:eastAsia="en-AU"/>
              </w:rPr>
              <w:t>V</w:t>
            </w:r>
            <w:r w:rsidR="008A2E09" w:rsidRPr="00E5087D">
              <w:rPr>
                <w:rFonts w:eastAsia="Times New Roman" w:cs="Arial"/>
                <w:color w:val="auto"/>
                <w:sz w:val="18"/>
                <w:szCs w:val="18"/>
                <w:lang w:eastAsia="en-AU"/>
              </w:rPr>
              <w:t>ehicle and equip. prod. &amp; trade</w:t>
            </w:r>
          </w:p>
        </w:tc>
        <w:tc>
          <w:tcPr>
            <w:tcW w:w="151" w:type="pct"/>
            <w:tcBorders>
              <w:top w:val="single" w:sz="4" w:space="0" w:color="auto"/>
              <w:left w:val="nil"/>
              <w:bottom w:val="single" w:sz="4" w:space="0" w:color="auto"/>
              <w:right w:val="single" w:sz="4" w:space="0" w:color="auto"/>
            </w:tcBorders>
            <w:shd w:val="clear" w:color="auto" w:fill="ECF1BC" w:themeFill="background2" w:themeFillTint="66"/>
            <w:noWrap/>
            <w:textDirection w:val="btLr"/>
            <w:vAlign w:val="center"/>
            <w:hideMark/>
          </w:tcPr>
          <w:p w14:paraId="2CCE15E2"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D - Carbon lifecycle</w:t>
            </w:r>
          </w:p>
        </w:tc>
        <w:tc>
          <w:tcPr>
            <w:tcW w:w="151" w:type="pct"/>
            <w:tcBorders>
              <w:top w:val="single" w:sz="4" w:space="0" w:color="auto"/>
              <w:left w:val="nil"/>
              <w:bottom w:val="single" w:sz="4" w:space="0" w:color="auto"/>
              <w:right w:val="single" w:sz="4" w:space="0" w:color="auto"/>
            </w:tcBorders>
            <w:shd w:val="clear" w:color="auto" w:fill="F5F8DD"/>
            <w:noWrap/>
            <w:textDirection w:val="btLr"/>
            <w:vAlign w:val="center"/>
            <w:hideMark/>
          </w:tcPr>
          <w:p w14:paraId="792A435C" w14:textId="5B9CC245"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Transitioning</w:t>
            </w:r>
          </w:p>
        </w:tc>
        <w:tc>
          <w:tcPr>
            <w:tcW w:w="151"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65670C77" w14:textId="3B591171"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Direct emissions</w:t>
            </w:r>
          </w:p>
        </w:tc>
        <w:tc>
          <w:tcPr>
            <w:tcW w:w="151"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D562EBC" w14:textId="54CFCD55"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Indirect emissions</w:t>
            </w:r>
          </w:p>
        </w:tc>
        <w:tc>
          <w:tcPr>
            <w:tcW w:w="151" w:type="pct"/>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14:paraId="2E4BC5A7" w14:textId="77777777" w:rsidR="008A2E09" w:rsidRPr="00E5087D" w:rsidRDefault="008A2E09">
            <w:pPr>
              <w:spacing w:after="0" w:line="240" w:lineRule="auto"/>
              <w:ind w:right="113"/>
              <w:jc w:val="right"/>
              <w:rPr>
                <w:rFonts w:eastAsia="Times New Roman" w:cs="Arial"/>
                <w:color w:val="auto"/>
                <w:sz w:val="18"/>
                <w:szCs w:val="18"/>
                <w:lang w:eastAsia="en-AU"/>
              </w:rPr>
            </w:pPr>
            <w:r w:rsidRPr="00E5087D">
              <w:rPr>
                <w:rFonts w:eastAsia="Times New Roman" w:cs="Arial"/>
                <w:color w:val="auto"/>
                <w:sz w:val="18"/>
                <w:szCs w:val="18"/>
                <w:lang w:eastAsia="en-AU"/>
              </w:rPr>
              <w:t>Number of segments</w:t>
            </w:r>
          </w:p>
        </w:tc>
      </w:tr>
      <w:tr w:rsidR="008A2E09" w:rsidRPr="00E5087D" w14:paraId="281D88FD"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B3CA378"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Technicians and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40580A09"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C85D423"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5280687"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B8F2B47"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E7C3282"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DAA9ED6"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9C4A18"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7D31FBB"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9753ECB"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1F6E73D"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811BB71"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B50C54E"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4AE176E"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5C5A57C"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A6A6DAC" w14:textId="77777777" w:rsidR="008A2E09" w:rsidRPr="00E5087D" w:rsidRDefault="008A2E09">
            <w:pPr>
              <w:spacing w:after="0" w:line="240" w:lineRule="auto"/>
              <w:jc w:val="center"/>
              <w:rPr>
                <w:rFonts w:eastAsia="Times New Roman"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FFE4158" w14:textId="77777777" w:rsidR="008A2E09" w:rsidRPr="00E5087D" w:rsidRDefault="008A2E09">
            <w:pPr>
              <w:spacing w:after="0" w:line="240" w:lineRule="auto"/>
              <w:jc w:val="center"/>
              <w:rPr>
                <w:rFonts w:eastAsia="Times New Roman" w:cs="Arial"/>
                <w:color w:val="auto"/>
                <w:sz w:val="14"/>
                <w:szCs w:val="14"/>
                <w:lang w:eastAsia="en-AU"/>
              </w:rPr>
            </w:pPr>
          </w:p>
        </w:tc>
      </w:tr>
      <w:tr w:rsidR="008A2E09" w:rsidRPr="00E5087D" w14:paraId="7359B8D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01D1859"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Architectural, Building &amp; Surveying Tech.</w:t>
            </w:r>
          </w:p>
        </w:tc>
        <w:tc>
          <w:tcPr>
            <w:tcW w:w="151" w:type="pct"/>
            <w:tcBorders>
              <w:top w:val="nil"/>
              <w:left w:val="nil"/>
              <w:bottom w:val="single" w:sz="4" w:space="0" w:color="auto"/>
              <w:right w:val="single" w:sz="4" w:space="0" w:color="auto"/>
            </w:tcBorders>
            <w:shd w:val="clear" w:color="auto" w:fill="B4C227"/>
            <w:noWrap/>
            <w:vAlign w:val="center"/>
            <w:hideMark/>
          </w:tcPr>
          <w:p w14:paraId="473BB7E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590B84F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9F7F1D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80561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188C4F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F9E5F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BF911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D168A4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4C3A61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0C7107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FCFEF8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725451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BD879E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AC9074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D2A0F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1981B3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5</w:t>
            </w:r>
          </w:p>
        </w:tc>
      </w:tr>
      <w:tr w:rsidR="008A2E09" w:rsidRPr="00E5087D" w14:paraId="21C735C6"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4150D9C"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Civil Engineering Draftspersons &amp; Tech.</w:t>
            </w:r>
          </w:p>
        </w:tc>
        <w:tc>
          <w:tcPr>
            <w:tcW w:w="151" w:type="pct"/>
            <w:tcBorders>
              <w:top w:val="nil"/>
              <w:left w:val="nil"/>
              <w:bottom w:val="single" w:sz="4" w:space="0" w:color="auto"/>
              <w:right w:val="single" w:sz="4" w:space="0" w:color="auto"/>
            </w:tcBorders>
            <w:shd w:val="clear" w:color="auto" w:fill="B4C227"/>
            <w:noWrap/>
            <w:vAlign w:val="center"/>
            <w:hideMark/>
          </w:tcPr>
          <w:p w14:paraId="46B7FD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B75A9B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BFC67B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D246F1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9C780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5A80D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B1633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DC9743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47BA8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F0F7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5CB22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02B474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7594E3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81AB0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2FACF7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AF6311F"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5B138C6E"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266B9A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Electrical Engineering Draftspersons &amp; Tech.</w:t>
            </w:r>
          </w:p>
        </w:tc>
        <w:tc>
          <w:tcPr>
            <w:tcW w:w="151" w:type="pct"/>
            <w:tcBorders>
              <w:top w:val="nil"/>
              <w:left w:val="nil"/>
              <w:bottom w:val="single" w:sz="4" w:space="0" w:color="auto"/>
              <w:right w:val="single" w:sz="4" w:space="0" w:color="auto"/>
            </w:tcBorders>
            <w:shd w:val="clear" w:color="auto" w:fill="B4C227"/>
            <w:noWrap/>
            <w:vAlign w:val="center"/>
            <w:hideMark/>
          </w:tcPr>
          <w:p w14:paraId="69ED3BD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4D1EAB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CB011D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9A908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4C538F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D26FD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BE453E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174A8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35E005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83FB22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EA1F32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5FB1F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DED97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ED64B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E2D45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9C0F8BF"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5</w:t>
            </w:r>
          </w:p>
        </w:tc>
      </w:tr>
      <w:tr w:rsidR="008A2E09" w:rsidRPr="00E5087D" w14:paraId="1CB99A63"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7FF3806"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Other Building and Engineering Tech.</w:t>
            </w:r>
          </w:p>
        </w:tc>
        <w:tc>
          <w:tcPr>
            <w:tcW w:w="151" w:type="pct"/>
            <w:tcBorders>
              <w:top w:val="nil"/>
              <w:left w:val="nil"/>
              <w:bottom w:val="single" w:sz="4" w:space="0" w:color="auto"/>
              <w:right w:val="single" w:sz="4" w:space="0" w:color="auto"/>
            </w:tcBorders>
            <w:shd w:val="clear" w:color="auto" w:fill="B4C227"/>
            <w:noWrap/>
            <w:vAlign w:val="center"/>
            <w:hideMark/>
          </w:tcPr>
          <w:p w14:paraId="3514EC6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EBE54C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6C65D6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2FB45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CB02C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DB72BF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1EE7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79266F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683EC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E06EA9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2A6237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4F0C2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352D7E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C309F5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005CB27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F37DA2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0CF02F5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7648615"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Automotive Electricians</w:t>
            </w:r>
          </w:p>
        </w:tc>
        <w:tc>
          <w:tcPr>
            <w:tcW w:w="151" w:type="pct"/>
            <w:tcBorders>
              <w:top w:val="nil"/>
              <w:left w:val="nil"/>
              <w:bottom w:val="single" w:sz="4" w:space="0" w:color="auto"/>
              <w:right w:val="single" w:sz="4" w:space="0" w:color="auto"/>
            </w:tcBorders>
            <w:shd w:val="clear" w:color="auto" w:fill="B4C227"/>
            <w:noWrap/>
            <w:vAlign w:val="center"/>
            <w:hideMark/>
          </w:tcPr>
          <w:p w14:paraId="06789D5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5C39A2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0B699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DF03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09055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C267C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B7817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93435C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001E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998E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BEB98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84F427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3B64EF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4000AE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30AE5FF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CA339E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1E0630A2"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555558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Motor Mechanics</w:t>
            </w:r>
          </w:p>
        </w:tc>
        <w:tc>
          <w:tcPr>
            <w:tcW w:w="151" w:type="pct"/>
            <w:tcBorders>
              <w:top w:val="nil"/>
              <w:left w:val="nil"/>
              <w:bottom w:val="single" w:sz="4" w:space="0" w:color="auto"/>
              <w:right w:val="single" w:sz="4" w:space="0" w:color="auto"/>
            </w:tcBorders>
            <w:shd w:val="clear" w:color="auto" w:fill="B4C227"/>
            <w:noWrap/>
            <w:vAlign w:val="center"/>
            <w:hideMark/>
          </w:tcPr>
          <w:p w14:paraId="65BF00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6B951DB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2A18D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AAB61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BB78C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B9FE88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0A8A5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0E17E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5BD245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42930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B3645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C1F2A9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52B10FF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6DBF14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685706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835ABA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57BFC31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6E8474F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Aircraft Maintenance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6A8817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206C94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9656C0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2EE5FA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DD948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3BEB8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6BFB9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4828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F51D17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0DE3E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90E37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0185BA1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2403F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5CB080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8FF0F6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FF99E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2D3D01FE"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2AC9F46"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Metal Fitters and Machinists</w:t>
            </w:r>
          </w:p>
        </w:tc>
        <w:tc>
          <w:tcPr>
            <w:tcW w:w="151" w:type="pct"/>
            <w:tcBorders>
              <w:top w:val="nil"/>
              <w:left w:val="nil"/>
              <w:bottom w:val="single" w:sz="4" w:space="0" w:color="auto"/>
              <w:right w:val="single" w:sz="4" w:space="0" w:color="auto"/>
            </w:tcBorders>
            <w:shd w:val="clear" w:color="auto" w:fill="B4C227"/>
            <w:noWrap/>
            <w:vAlign w:val="center"/>
            <w:hideMark/>
          </w:tcPr>
          <w:p w14:paraId="636730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8C3143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EEB8B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D4427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AA6AF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7B1C6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A1E9CF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379186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7A941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37BE1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C851DF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9DCBA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43DB16E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709CD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5E2AA6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5544738"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9</w:t>
            </w:r>
          </w:p>
        </w:tc>
      </w:tr>
      <w:tr w:rsidR="008A2E09" w:rsidRPr="00E5087D" w14:paraId="3D815C4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8822E2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Structural Steel and Welding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5531C04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0AA0E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6E9F3A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834E29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FE4EE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4CAD008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3FA56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5D8E2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C708E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14F5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02817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D29570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65FD63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4E557C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D658A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B7EE0C3"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8</w:t>
            </w:r>
          </w:p>
        </w:tc>
      </w:tr>
      <w:tr w:rsidR="008A2E09" w:rsidRPr="00E5087D" w14:paraId="0A0A81F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6BDD58E"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Plumbers</w:t>
            </w:r>
          </w:p>
        </w:tc>
        <w:tc>
          <w:tcPr>
            <w:tcW w:w="151" w:type="pct"/>
            <w:tcBorders>
              <w:top w:val="nil"/>
              <w:left w:val="nil"/>
              <w:bottom w:val="single" w:sz="4" w:space="0" w:color="auto"/>
              <w:right w:val="single" w:sz="4" w:space="0" w:color="auto"/>
            </w:tcBorders>
            <w:shd w:val="clear" w:color="auto" w:fill="B4C227"/>
            <w:noWrap/>
            <w:vAlign w:val="center"/>
            <w:hideMark/>
          </w:tcPr>
          <w:p w14:paraId="5BB6602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E94BC5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0B65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6F3EC31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55CE2D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1A34F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13A0E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B39A54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2D8629C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EFD65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A26E28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0CE0A6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B72AA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91129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283A83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FD85A3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18CB93BD"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029D114"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Electricians</w:t>
            </w:r>
          </w:p>
        </w:tc>
        <w:tc>
          <w:tcPr>
            <w:tcW w:w="151" w:type="pct"/>
            <w:tcBorders>
              <w:top w:val="nil"/>
              <w:left w:val="nil"/>
              <w:bottom w:val="single" w:sz="4" w:space="0" w:color="auto"/>
              <w:right w:val="single" w:sz="4" w:space="0" w:color="auto"/>
            </w:tcBorders>
            <w:shd w:val="clear" w:color="auto" w:fill="B4C227"/>
            <w:noWrap/>
            <w:vAlign w:val="center"/>
            <w:hideMark/>
          </w:tcPr>
          <w:p w14:paraId="6F46C40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8DA4F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A19724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D422C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6EA62D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8207F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1B8DB3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BBFA86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2AD1B5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5FEA5D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52DA6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3656BC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4E39E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5B3382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621726A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330174"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10</w:t>
            </w:r>
          </w:p>
        </w:tc>
      </w:tr>
      <w:tr w:rsidR="008A2E09" w:rsidRPr="00E5087D" w14:paraId="0673F01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4EF6FE8"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Airconditioning and Refrigeration Mechanics</w:t>
            </w:r>
          </w:p>
        </w:tc>
        <w:tc>
          <w:tcPr>
            <w:tcW w:w="151" w:type="pct"/>
            <w:tcBorders>
              <w:top w:val="nil"/>
              <w:left w:val="nil"/>
              <w:bottom w:val="single" w:sz="4" w:space="0" w:color="auto"/>
              <w:right w:val="single" w:sz="4" w:space="0" w:color="auto"/>
            </w:tcBorders>
            <w:shd w:val="clear" w:color="auto" w:fill="B4C227"/>
            <w:noWrap/>
            <w:vAlign w:val="center"/>
            <w:hideMark/>
          </w:tcPr>
          <w:p w14:paraId="00A5049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55AE624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DFE4CC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FD4A9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C732A2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252F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2A1DB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6CDD6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76F1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09FC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1175C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83FF7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90295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328E90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38170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17CBF49D"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0B1F9505"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8CF9ADF"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Electrical Distribution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3F752D0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D4D8B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2F960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63F2934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C09976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70277F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C099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BC1C69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3EB73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AB62DC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A05EC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0529F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CB3081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B49AD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49F3B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4BC2CC2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5660898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5A49CE8"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Electronics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2724640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3A1EEC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F57C0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47C4C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F8A60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AABC5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AC10A9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ABFF43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109702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22121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C15AD9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6B10E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19033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40D9A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8F08FD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CAE92E"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042D6A33"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089487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Telecommunications Trades Workers</w:t>
            </w:r>
          </w:p>
        </w:tc>
        <w:tc>
          <w:tcPr>
            <w:tcW w:w="151" w:type="pct"/>
            <w:tcBorders>
              <w:top w:val="nil"/>
              <w:left w:val="nil"/>
              <w:bottom w:val="single" w:sz="4" w:space="0" w:color="auto"/>
              <w:right w:val="single" w:sz="4" w:space="0" w:color="auto"/>
            </w:tcBorders>
            <w:shd w:val="clear" w:color="auto" w:fill="B4C227"/>
            <w:noWrap/>
            <w:vAlign w:val="center"/>
            <w:hideMark/>
          </w:tcPr>
          <w:p w14:paraId="3DAE45E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61BBFFF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45678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0451DA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34565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845D34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C7CD7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121692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CBD5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BD35B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66DCF4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2DB6AB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3D258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78908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F15E4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5F7F2E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3C4B6D94"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D4FCC71" w14:textId="77777777" w:rsidR="008A2E09" w:rsidRPr="00E5087D" w:rsidRDefault="008A2E09">
            <w:pPr>
              <w:spacing w:after="0" w:line="240" w:lineRule="auto"/>
              <w:ind w:left="57"/>
              <w:rPr>
                <w:rFonts w:eastAsia="Times New Roman" w:cs="Arial"/>
                <w:color w:val="auto"/>
                <w:sz w:val="17"/>
                <w:szCs w:val="17"/>
                <w:lang w:eastAsia="en-AU"/>
              </w:rPr>
            </w:pPr>
            <w:r w:rsidRPr="00E5087D">
              <w:rPr>
                <w:rFonts w:eastAsia="Times New Roman" w:cs="Arial"/>
                <w:color w:val="auto"/>
                <w:sz w:val="17"/>
                <w:szCs w:val="17"/>
                <w:lang w:eastAsia="en-AU"/>
              </w:rPr>
              <w:t>Chemical, Gas, Petroleum and Power Generation Plant Operators</w:t>
            </w:r>
          </w:p>
        </w:tc>
        <w:tc>
          <w:tcPr>
            <w:tcW w:w="151" w:type="pct"/>
            <w:tcBorders>
              <w:top w:val="nil"/>
              <w:left w:val="nil"/>
              <w:bottom w:val="single" w:sz="4" w:space="0" w:color="auto"/>
              <w:right w:val="single" w:sz="4" w:space="0" w:color="auto"/>
            </w:tcBorders>
            <w:shd w:val="clear" w:color="auto" w:fill="B4C227"/>
            <w:noWrap/>
            <w:vAlign w:val="center"/>
            <w:hideMark/>
          </w:tcPr>
          <w:p w14:paraId="5962E1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416F967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70EB90E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8236A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1C2360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29F062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BAEF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76DE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2317BD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F693FF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C71A8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851915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C42CB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598C372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732D0A3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1EDD68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7CB6F628"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34B7A89F" w14:textId="77777777" w:rsidR="008A2E09" w:rsidRPr="00E5087D" w:rsidRDefault="008A2E09">
            <w:pPr>
              <w:spacing w:after="0" w:line="240" w:lineRule="auto"/>
              <w:ind w:left="57"/>
              <w:rPr>
                <w:rFonts w:eastAsia="Times New Roman" w:cs="Arial"/>
                <w:color w:val="auto"/>
                <w:sz w:val="18"/>
                <w:szCs w:val="18"/>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04CCBE2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3DA757E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57E2FC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39F6CEB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4C656F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6A72F7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79D75E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4EC09A4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4DEB3F3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4E57F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34897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12F096C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32D5279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365C87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16C423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7D95F3CD"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0A4C2DA6"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20E51F2"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Labourers</w:t>
            </w:r>
          </w:p>
        </w:tc>
        <w:tc>
          <w:tcPr>
            <w:tcW w:w="151" w:type="pct"/>
            <w:tcBorders>
              <w:top w:val="nil"/>
              <w:left w:val="nil"/>
              <w:bottom w:val="single" w:sz="4" w:space="0" w:color="auto"/>
              <w:right w:val="single" w:sz="4" w:space="0" w:color="auto"/>
            </w:tcBorders>
            <w:shd w:val="clear" w:color="auto" w:fill="B4C227"/>
            <w:noWrap/>
            <w:vAlign w:val="center"/>
            <w:hideMark/>
          </w:tcPr>
          <w:p w14:paraId="4A6A7C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723D78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B3537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3B0D35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1A7F3C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3F6D2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4B98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1CF8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06560B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C3C5A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26FD3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701DD9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D9FBC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3FF48C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39790E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F8208"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0752281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77FEA62"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Structural Steel Construction Workers</w:t>
            </w:r>
          </w:p>
        </w:tc>
        <w:tc>
          <w:tcPr>
            <w:tcW w:w="151" w:type="pct"/>
            <w:tcBorders>
              <w:top w:val="nil"/>
              <w:left w:val="nil"/>
              <w:bottom w:val="single" w:sz="4" w:space="0" w:color="auto"/>
              <w:right w:val="single" w:sz="4" w:space="0" w:color="auto"/>
            </w:tcBorders>
            <w:shd w:val="clear" w:color="auto" w:fill="B4C227"/>
            <w:noWrap/>
            <w:vAlign w:val="center"/>
            <w:hideMark/>
          </w:tcPr>
          <w:p w14:paraId="714F8A7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37FE1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F715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0F10A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A1B17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C4FF30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22B8B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B9EB76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2EE96E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620D80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50CDE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29C3EA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BF4BCB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6F9AE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3A63B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B347AA6"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66C1F148"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75D8E8DF" w14:textId="77777777" w:rsidR="008A2E09" w:rsidRPr="00E5087D" w:rsidRDefault="008A2E09">
            <w:pPr>
              <w:spacing w:after="0" w:line="240" w:lineRule="auto"/>
              <w:ind w:left="57"/>
              <w:rPr>
                <w:rFonts w:eastAsia="Times New Roman" w:cs="Arial"/>
                <w:color w:val="auto"/>
                <w:sz w:val="18"/>
                <w:szCs w:val="18"/>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1D6AB02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20F43C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54B2A84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64EEAF2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33C1E1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0033A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6E7F8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C25A8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1BB96E2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3C38AA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6FAA591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7528CB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390C443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26A25DA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3DEECD4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0D468DFE"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0D98F7AE"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9525736"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Professionals</w:t>
            </w:r>
          </w:p>
        </w:tc>
        <w:tc>
          <w:tcPr>
            <w:tcW w:w="151" w:type="pct"/>
            <w:tcBorders>
              <w:top w:val="nil"/>
              <w:left w:val="nil"/>
              <w:bottom w:val="single" w:sz="4" w:space="0" w:color="auto"/>
              <w:right w:val="single" w:sz="4" w:space="0" w:color="auto"/>
            </w:tcBorders>
            <w:shd w:val="clear" w:color="auto" w:fill="B4C227"/>
            <w:noWrap/>
            <w:vAlign w:val="center"/>
            <w:hideMark/>
          </w:tcPr>
          <w:p w14:paraId="26E876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3F113C5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3442FF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9F1F6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79DF5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87ACFE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A8762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6CB89B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96E03A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C8EC18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BA4650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CC40A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7DA0F3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386D40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680CD9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65CB502"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776208E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40627B8B"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Marine Transport Professionals</w:t>
            </w:r>
          </w:p>
        </w:tc>
        <w:tc>
          <w:tcPr>
            <w:tcW w:w="151" w:type="pct"/>
            <w:tcBorders>
              <w:top w:val="nil"/>
              <w:left w:val="nil"/>
              <w:bottom w:val="single" w:sz="4" w:space="0" w:color="auto"/>
              <w:right w:val="single" w:sz="4" w:space="0" w:color="auto"/>
            </w:tcBorders>
            <w:shd w:val="clear" w:color="auto" w:fill="B4C227"/>
            <w:noWrap/>
            <w:vAlign w:val="center"/>
          </w:tcPr>
          <w:p w14:paraId="1D2A593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7CAD650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2309936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4169034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74AF96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tcPr>
          <w:p w14:paraId="0F27F98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B9D5DA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2F1DC7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247398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01A7DA0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1F6446F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650428D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6B9F5F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5C185F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2E20DA8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3D6C1B59"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48C1B183"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06FCBBD9"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Architects and Landscape Architects</w:t>
            </w:r>
          </w:p>
        </w:tc>
        <w:tc>
          <w:tcPr>
            <w:tcW w:w="151" w:type="pct"/>
            <w:tcBorders>
              <w:top w:val="nil"/>
              <w:left w:val="nil"/>
              <w:bottom w:val="single" w:sz="4" w:space="0" w:color="auto"/>
              <w:right w:val="single" w:sz="4" w:space="0" w:color="auto"/>
            </w:tcBorders>
            <w:shd w:val="clear" w:color="auto" w:fill="B4C227"/>
            <w:noWrap/>
            <w:vAlign w:val="center"/>
            <w:hideMark/>
          </w:tcPr>
          <w:p w14:paraId="28BF283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487651D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E2DB3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A4F7A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61E47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2AE800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B7210D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1FBE2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373EEA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BE03F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BAAAA5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D54B6D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5F873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78199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1EB013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F9A97E2"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3A26883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9C3C475"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Urban and Regional Planners</w:t>
            </w:r>
          </w:p>
        </w:tc>
        <w:tc>
          <w:tcPr>
            <w:tcW w:w="151" w:type="pct"/>
            <w:tcBorders>
              <w:top w:val="nil"/>
              <w:left w:val="nil"/>
              <w:bottom w:val="single" w:sz="4" w:space="0" w:color="auto"/>
              <w:right w:val="single" w:sz="4" w:space="0" w:color="auto"/>
            </w:tcBorders>
            <w:shd w:val="clear" w:color="auto" w:fill="B4C227"/>
            <w:noWrap/>
            <w:vAlign w:val="center"/>
            <w:hideMark/>
          </w:tcPr>
          <w:p w14:paraId="76549C7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2704350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7737B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4429BF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A6570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0A532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C9AC3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84B0E5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2712D3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ADF7CB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ABFDF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DE96BE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EDE14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8D2BA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73849C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5744FCE"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77E8C72B"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344CC3E"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Chemical and Materials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315C69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4136DB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08B19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355174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6BB77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6A4F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E8864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193C1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C7E545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576BEB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7801B6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8A8D2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F8D4D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AD1B9A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ACBEB8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C183652"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1416BBE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82DC5A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Civil Engineering Professionals</w:t>
            </w:r>
          </w:p>
        </w:tc>
        <w:tc>
          <w:tcPr>
            <w:tcW w:w="151" w:type="pct"/>
            <w:tcBorders>
              <w:top w:val="nil"/>
              <w:left w:val="nil"/>
              <w:bottom w:val="single" w:sz="4" w:space="0" w:color="auto"/>
              <w:right w:val="single" w:sz="4" w:space="0" w:color="auto"/>
            </w:tcBorders>
            <w:shd w:val="clear" w:color="auto" w:fill="B4C227"/>
            <w:noWrap/>
            <w:vAlign w:val="center"/>
            <w:hideMark/>
          </w:tcPr>
          <w:p w14:paraId="4F04ED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B0A448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3F3258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1F3F1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68C66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4BBDF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BC43C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25D26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A8EF59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970D9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957EB4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CEA5EB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64024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5B5542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86964A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E4765B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3</w:t>
            </w:r>
          </w:p>
        </w:tc>
      </w:tr>
      <w:tr w:rsidR="008A2E09" w:rsidRPr="00E5087D" w14:paraId="530CAF8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734832F"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Electrical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4499873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50E59E2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13F10F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21DCC5C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D9CA7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DD0FB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4D996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D038CF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C44AE0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1D661B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286FBBB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182311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AA1A9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0700C4E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38DFF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98F8C78"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6</w:t>
            </w:r>
          </w:p>
        </w:tc>
      </w:tr>
      <w:tr w:rsidR="008A2E09" w:rsidRPr="00E5087D" w14:paraId="5EDAC8B4"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8B7E43B"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Industrial, Mech. &amp; Production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31BB78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001495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30BFCB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48DF34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5DED5D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0BF41E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44FDA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79ECE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E81DA5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A3257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BDFF2A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96C0C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0127F6D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75368C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8AE3D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F8A7C98"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8</w:t>
            </w:r>
          </w:p>
        </w:tc>
      </w:tr>
      <w:tr w:rsidR="008A2E09" w:rsidRPr="00E5087D" w14:paraId="506101DE"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0A529A6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Mining Engineers</w:t>
            </w:r>
          </w:p>
        </w:tc>
        <w:tc>
          <w:tcPr>
            <w:tcW w:w="151" w:type="pct"/>
            <w:tcBorders>
              <w:top w:val="nil"/>
              <w:left w:val="nil"/>
              <w:bottom w:val="single" w:sz="4" w:space="0" w:color="auto"/>
              <w:right w:val="single" w:sz="4" w:space="0" w:color="auto"/>
            </w:tcBorders>
            <w:shd w:val="clear" w:color="auto" w:fill="B4C227"/>
            <w:noWrap/>
            <w:vAlign w:val="center"/>
            <w:hideMark/>
          </w:tcPr>
          <w:p w14:paraId="1DFA224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2002EF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B310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F7DA05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17E17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D6041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0B47E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75C786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184CE4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EE9799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DEA77D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705233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B25BF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1238A05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16B8FF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67F6561"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3</w:t>
            </w:r>
          </w:p>
        </w:tc>
      </w:tr>
      <w:tr w:rsidR="008A2E09" w:rsidRPr="00E5087D" w14:paraId="46E15EB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491945D"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Other Engineering Professionals</w:t>
            </w:r>
          </w:p>
        </w:tc>
        <w:tc>
          <w:tcPr>
            <w:tcW w:w="151" w:type="pct"/>
            <w:tcBorders>
              <w:top w:val="nil"/>
              <w:left w:val="nil"/>
              <w:bottom w:val="single" w:sz="4" w:space="0" w:color="auto"/>
              <w:right w:val="single" w:sz="4" w:space="0" w:color="auto"/>
            </w:tcBorders>
            <w:shd w:val="clear" w:color="auto" w:fill="B4C227"/>
            <w:noWrap/>
            <w:vAlign w:val="center"/>
            <w:hideMark/>
          </w:tcPr>
          <w:p w14:paraId="4FF5912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ACE1EB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07D505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80B9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F4FD8B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53ABA9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158E2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AFBFA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FD3B1B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754E98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F8FE78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EB1760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790940C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30818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89E9FC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1863C74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19F9E91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EFB5D7C" w14:textId="5A5F6716"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Agricultural and Forestry Scientists</w:t>
            </w:r>
          </w:p>
        </w:tc>
        <w:tc>
          <w:tcPr>
            <w:tcW w:w="151" w:type="pct"/>
            <w:tcBorders>
              <w:top w:val="nil"/>
              <w:left w:val="nil"/>
              <w:bottom w:val="single" w:sz="4" w:space="0" w:color="auto"/>
              <w:right w:val="single" w:sz="4" w:space="0" w:color="auto"/>
            </w:tcBorders>
            <w:shd w:val="clear" w:color="auto" w:fill="B4C227"/>
            <w:noWrap/>
            <w:vAlign w:val="center"/>
            <w:hideMark/>
          </w:tcPr>
          <w:p w14:paraId="1C3E311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8ED3CE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046610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70628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24FB5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6F09D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DD9F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C37580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238C29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68DB74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5BC0C7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A36C82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42A996B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F0727A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088BD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8E951F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448097C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236FDCF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lastRenderedPageBreak/>
              <w:t>Chemists, and Food and Wine Scientists</w:t>
            </w:r>
          </w:p>
        </w:tc>
        <w:tc>
          <w:tcPr>
            <w:tcW w:w="151" w:type="pct"/>
            <w:tcBorders>
              <w:top w:val="nil"/>
              <w:left w:val="nil"/>
              <w:bottom w:val="single" w:sz="4" w:space="0" w:color="auto"/>
              <w:right w:val="single" w:sz="4" w:space="0" w:color="auto"/>
            </w:tcBorders>
            <w:shd w:val="clear" w:color="auto" w:fill="B4C227"/>
            <w:noWrap/>
            <w:vAlign w:val="center"/>
            <w:hideMark/>
          </w:tcPr>
          <w:p w14:paraId="157CBF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6DD528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5856AD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A6031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746274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5E603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9DA3A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E9CF6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69DA78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9314F2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3B61B8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6C49EE4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B468EB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CDD6D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5C7466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8E56C82"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00225EC6"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144CBF36"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Environmental Scientists</w:t>
            </w:r>
          </w:p>
        </w:tc>
        <w:tc>
          <w:tcPr>
            <w:tcW w:w="151" w:type="pct"/>
            <w:tcBorders>
              <w:top w:val="nil"/>
              <w:left w:val="nil"/>
              <w:bottom w:val="single" w:sz="4" w:space="0" w:color="auto"/>
              <w:right w:val="single" w:sz="4" w:space="0" w:color="auto"/>
            </w:tcBorders>
            <w:shd w:val="clear" w:color="auto" w:fill="B4C227"/>
            <w:noWrap/>
            <w:vAlign w:val="center"/>
            <w:hideMark/>
          </w:tcPr>
          <w:p w14:paraId="5F503A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23DC8B2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ED44BC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16C43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15F90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A431DE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BDE21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3C8303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11EF049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98F5DA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C07EEB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75D944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6C0F6C8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6C311A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488AD0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A61AC79"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73FFA861"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19A89FA"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Geologists, Geophysicists &amp; Hydrogeologists</w:t>
            </w:r>
          </w:p>
        </w:tc>
        <w:tc>
          <w:tcPr>
            <w:tcW w:w="151" w:type="pct"/>
            <w:tcBorders>
              <w:top w:val="nil"/>
              <w:left w:val="nil"/>
              <w:bottom w:val="single" w:sz="4" w:space="0" w:color="auto"/>
              <w:right w:val="single" w:sz="4" w:space="0" w:color="auto"/>
            </w:tcBorders>
            <w:shd w:val="clear" w:color="auto" w:fill="B4C227"/>
            <w:noWrap/>
            <w:vAlign w:val="center"/>
            <w:hideMark/>
          </w:tcPr>
          <w:p w14:paraId="60AC109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44045D3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67A1A2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54ACD1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1ABEE8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BE9DFA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636994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A34A2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E60A2B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C4E490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02554F0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DC517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2D1ED6A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131DC38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77E2B3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4EFA50EE"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27099267"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1EB7CFD"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University Lecturers and Tutors</w:t>
            </w:r>
          </w:p>
        </w:tc>
        <w:tc>
          <w:tcPr>
            <w:tcW w:w="151" w:type="pct"/>
            <w:tcBorders>
              <w:top w:val="nil"/>
              <w:left w:val="nil"/>
              <w:bottom w:val="single" w:sz="4" w:space="0" w:color="auto"/>
              <w:right w:val="single" w:sz="4" w:space="0" w:color="auto"/>
            </w:tcBorders>
            <w:shd w:val="clear" w:color="auto" w:fill="B4C227"/>
            <w:noWrap/>
            <w:vAlign w:val="center"/>
            <w:hideMark/>
          </w:tcPr>
          <w:p w14:paraId="3226B12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1167FF3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DB5A73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1CDD77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742EB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D60A7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017132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0459F4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9FC027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F683F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33074B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24F9705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0584C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268D8DE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F88A4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821E2E0"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67BDC7DA"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54249E4"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Vocational Education Teacher</w:t>
            </w:r>
          </w:p>
        </w:tc>
        <w:tc>
          <w:tcPr>
            <w:tcW w:w="151" w:type="pct"/>
            <w:tcBorders>
              <w:top w:val="nil"/>
              <w:left w:val="nil"/>
              <w:bottom w:val="single" w:sz="4" w:space="0" w:color="auto"/>
              <w:right w:val="single" w:sz="4" w:space="0" w:color="auto"/>
            </w:tcBorders>
            <w:shd w:val="clear" w:color="auto" w:fill="B4C227"/>
            <w:noWrap/>
            <w:vAlign w:val="center"/>
            <w:hideMark/>
          </w:tcPr>
          <w:p w14:paraId="4B198CD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2E3BF15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CA7428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7B0AC7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FD4D5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31AF66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3C6AF06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D969C3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5F36B7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66F197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F2FA9A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328CBFA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5CA0CB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F9C53B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B44D1A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A2BA74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3FA28F20"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76A8EDB4"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Occupational &amp; Environmental Health Prof.</w:t>
            </w:r>
          </w:p>
        </w:tc>
        <w:tc>
          <w:tcPr>
            <w:tcW w:w="151" w:type="pct"/>
            <w:tcBorders>
              <w:top w:val="nil"/>
              <w:left w:val="nil"/>
              <w:bottom w:val="single" w:sz="4" w:space="0" w:color="auto"/>
              <w:right w:val="single" w:sz="4" w:space="0" w:color="auto"/>
            </w:tcBorders>
            <w:shd w:val="clear" w:color="auto" w:fill="B4C227"/>
            <w:noWrap/>
            <w:vAlign w:val="center"/>
            <w:hideMark/>
          </w:tcPr>
          <w:p w14:paraId="49B407B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1A9955C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077D23D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6D3BEF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645148B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D5E950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088088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DBB2A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6053E72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DD8A38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4B07623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550AE5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333CA32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384B284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3655900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B831AA9"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4</w:t>
            </w:r>
          </w:p>
        </w:tc>
      </w:tr>
      <w:tr w:rsidR="008A2E09" w:rsidRPr="00E5087D" w14:paraId="714D34B4"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tcPr>
          <w:p w14:paraId="5A598E46" w14:textId="77777777" w:rsidR="008A2E09" w:rsidRPr="00E5087D" w:rsidRDefault="008A2E09">
            <w:pPr>
              <w:spacing w:after="0" w:line="240" w:lineRule="auto"/>
              <w:ind w:left="57"/>
              <w:rPr>
                <w:rFonts w:eastAsia="Times New Roman" w:cs="Arial"/>
                <w:color w:val="auto"/>
                <w:sz w:val="18"/>
                <w:szCs w:val="18"/>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38B3F07E"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tcPr>
          <w:p w14:paraId="6A1DDC2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1694925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5CBF3EA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tcPr>
          <w:p w14:paraId="2FD3F3E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714086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3828A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20CFAC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56FCCE2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B7C7FC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tcPr>
          <w:p w14:paraId="32400E6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tcPr>
          <w:p w14:paraId="5E7555F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tcPr>
          <w:p w14:paraId="566FC8A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1972C74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tcPr>
          <w:p w14:paraId="6352CEB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tcPr>
          <w:p w14:paraId="7AD24FD2"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21DD1D72" w14:textId="77777777">
        <w:trPr>
          <w:trHeight w:val="340"/>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9EBE2B0" w14:textId="77777777" w:rsidR="008A2E09" w:rsidRPr="00E5087D" w:rsidRDefault="008A2E09">
            <w:pPr>
              <w:spacing w:before="120" w:after="120" w:line="240" w:lineRule="auto"/>
              <w:ind w:left="57"/>
              <w:rPr>
                <w:rFonts w:eastAsia="Times New Roman" w:cs="Arial"/>
                <w:b/>
                <w:bCs/>
                <w:color w:val="auto"/>
                <w:sz w:val="18"/>
                <w:szCs w:val="18"/>
                <w:lang w:eastAsia="en-AU"/>
              </w:rPr>
            </w:pPr>
            <w:r w:rsidRPr="00E5087D">
              <w:rPr>
                <w:rFonts w:eastAsia="Times New Roman" w:cs="Arial"/>
                <w:b/>
                <w:bCs/>
                <w:color w:val="auto"/>
                <w:sz w:val="20"/>
                <w:szCs w:val="20"/>
                <w:lang w:eastAsia="en-AU"/>
              </w:rPr>
              <w:t>Managers</w:t>
            </w:r>
          </w:p>
        </w:tc>
        <w:tc>
          <w:tcPr>
            <w:tcW w:w="151" w:type="pct"/>
            <w:tcBorders>
              <w:top w:val="nil"/>
              <w:left w:val="nil"/>
              <w:bottom w:val="single" w:sz="4" w:space="0" w:color="auto"/>
              <w:right w:val="single" w:sz="4" w:space="0" w:color="auto"/>
            </w:tcBorders>
            <w:shd w:val="clear" w:color="auto" w:fill="B4C227"/>
            <w:noWrap/>
            <w:vAlign w:val="center"/>
            <w:hideMark/>
          </w:tcPr>
          <w:p w14:paraId="2964592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B4C227"/>
            <w:noWrap/>
            <w:vAlign w:val="center"/>
            <w:hideMark/>
          </w:tcPr>
          <w:p w14:paraId="09BDC1A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4FBB073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511E5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8E57B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1C8798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2E9F1C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EE18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022FE0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977E71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7E894E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0A522F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A3ADDF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F61C8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551434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98EAF04" w14:textId="77777777" w:rsidR="008A2E09" w:rsidRPr="00E5087D" w:rsidRDefault="008A2E09">
            <w:pPr>
              <w:spacing w:after="0" w:line="240" w:lineRule="auto"/>
              <w:jc w:val="center"/>
              <w:rPr>
                <w:rFonts w:eastAsia="Times New Roman" w:cs="Arial"/>
                <w:color w:val="auto"/>
                <w:sz w:val="18"/>
                <w:szCs w:val="18"/>
                <w:lang w:eastAsia="en-AU"/>
              </w:rPr>
            </w:pPr>
          </w:p>
        </w:tc>
      </w:tr>
      <w:tr w:rsidR="008A2E09" w:rsidRPr="00E5087D" w14:paraId="3D10BE6C"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ABF74F5"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Policy and Planning Managers</w:t>
            </w:r>
          </w:p>
        </w:tc>
        <w:tc>
          <w:tcPr>
            <w:tcW w:w="151" w:type="pct"/>
            <w:tcBorders>
              <w:top w:val="nil"/>
              <w:left w:val="nil"/>
              <w:bottom w:val="single" w:sz="4" w:space="0" w:color="auto"/>
              <w:right w:val="single" w:sz="4" w:space="0" w:color="auto"/>
            </w:tcBorders>
            <w:shd w:val="clear" w:color="auto" w:fill="B4C227"/>
            <w:noWrap/>
            <w:vAlign w:val="center"/>
            <w:hideMark/>
          </w:tcPr>
          <w:p w14:paraId="5DF6ACF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5B56C1B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5293F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D029E8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888854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86E8F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48F611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B8DBE3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7C67F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5516046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8B2BD8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0C1DB80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6B2A22D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A8839D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6720114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443834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2</w:t>
            </w:r>
          </w:p>
        </w:tc>
      </w:tr>
      <w:tr w:rsidR="008A2E09" w:rsidRPr="00E5087D" w14:paraId="5EA6B15F"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4665F779"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Research and Development Managers</w:t>
            </w:r>
          </w:p>
        </w:tc>
        <w:tc>
          <w:tcPr>
            <w:tcW w:w="151" w:type="pct"/>
            <w:tcBorders>
              <w:top w:val="nil"/>
              <w:left w:val="nil"/>
              <w:bottom w:val="single" w:sz="4" w:space="0" w:color="auto"/>
              <w:right w:val="single" w:sz="4" w:space="0" w:color="auto"/>
            </w:tcBorders>
            <w:shd w:val="clear" w:color="auto" w:fill="B4C227"/>
            <w:noWrap/>
            <w:vAlign w:val="center"/>
            <w:hideMark/>
          </w:tcPr>
          <w:p w14:paraId="50D3A6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62A01E3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3B4AF1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5AE40FA"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78FF8A1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E60807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72C80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614444D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31312D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DC707F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378A6A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54151E3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49351BB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15751F5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4940EB2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9419B"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1</w:t>
            </w:r>
          </w:p>
        </w:tc>
      </w:tr>
      <w:tr w:rsidR="008A2E09" w:rsidRPr="00E5087D" w14:paraId="00FAE949"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BEF7017"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Construction Managers</w:t>
            </w:r>
          </w:p>
        </w:tc>
        <w:tc>
          <w:tcPr>
            <w:tcW w:w="151" w:type="pct"/>
            <w:tcBorders>
              <w:top w:val="nil"/>
              <w:left w:val="nil"/>
              <w:bottom w:val="single" w:sz="4" w:space="0" w:color="auto"/>
              <w:right w:val="single" w:sz="4" w:space="0" w:color="auto"/>
            </w:tcBorders>
            <w:shd w:val="clear" w:color="auto" w:fill="B4C227"/>
            <w:noWrap/>
            <w:vAlign w:val="center"/>
            <w:hideMark/>
          </w:tcPr>
          <w:p w14:paraId="6BABEF6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3E0B51F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5353BEE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4ECF85C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0A4BDF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BC2C67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A45C61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1CD0C9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3267D09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3BA40B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B51BA19"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795D101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023F5FB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447675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5253499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03C3645"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6</w:t>
            </w:r>
          </w:p>
        </w:tc>
      </w:tr>
      <w:tr w:rsidR="008A2E09" w:rsidRPr="00E5087D" w14:paraId="4E0C9B56"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34D43E6E"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Engineering Managers</w:t>
            </w:r>
          </w:p>
        </w:tc>
        <w:tc>
          <w:tcPr>
            <w:tcW w:w="151" w:type="pct"/>
            <w:tcBorders>
              <w:top w:val="nil"/>
              <w:left w:val="nil"/>
              <w:bottom w:val="single" w:sz="4" w:space="0" w:color="auto"/>
              <w:right w:val="single" w:sz="4" w:space="0" w:color="auto"/>
            </w:tcBorders>
            <w:shd w:val="clear" w:color="auto" w:fill="B4C227"/>
            <w:noWrap/>
            <w:vAlign w:val="center"/>
            <w:hideMark/>
          </w:tcPr>
          <w:p w14:paraId="4D6BE28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3EDED90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2DE5A"/>
            <w:noWrap/>
            <w:vAlign w:val="center"/>
            <w:hideMark/>
          </w:tcPr>
          <w:p w14:paraId="0637F01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B02EF2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9CD57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DB57E6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6BF4F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45E598F"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729E91C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484B3611"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0865FBA0"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4B72ED9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F5F8DD"/>
            <w:noWrap/>
            <w:vAlign w:val="center"/>
            <w:hideMark/>
          </w:tcPr>
          <w:p w14:paraId="13125443"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413758F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auto"/>
            <w:noWrap/>
            <w:vAlign w:val="center"/>
            <w:hideMark/>
          </w:tcPr>
          <w:p w14:paraId="035CF8A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20BB5730"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5</w:t>
            </w:r>
          </w:p>
        </w:tc>
      </w:tr>
      <w:tr w:rsidR="008A2E09" w:rsidRPr="00E5087D" w14:paraId="35DA4F75" w14:textId="77777777">
        <w:trPr>
          <w:trHeight w:val="285"/>
        </w:trPr>
        <w:tc>
          <w:tcPr>
            <w:tcW w:w="2587" w:type="pct"/>
            <w:tcBorders>
              <w:top w:val="nil"/>
              <w:left w:val="single" w:sz="4" w:space="0" w:color="auto"/>
              <w:bottom w:val="single" w:sz="4" w:space="0" w:color="auto"/>
              <w:right w:val="single" w:sz="4" w:space="0" w:color="auto"/>
            </w:tcBorders>
            <w:shd w:val="clear" w:color="auto" w:fill="auto"/>
            <w:noWrap/>
            <w:vAlign w:val="center"/>
            <w:hideMark/>
          </w:tcPr>
          <w:p w14:paraId="54B01658" w14:textId="77777777" w:rsidR="008A2E09" w:rsidRPr="00E5087D" w:rsidRDefault="008A2E09">
            <w:pPr>
              <w:spacing w:after="0" w:line="240" w:lineRule="auto"/>
              <w:ind w:left="57"/>
              <w:rPr>
                <w:rFonts w:eastAsia="Times New Roman" w:cs="Arial"/>
                <w:color w:val="auto"/>
                <w:sz w:val="18"/>
                <w:szCs w:val="18"/>
                <w:lang w:eastAsia="en-AU"/>
              </w:rPr>
            </w:pPr>
            <w:r w:rsidRPr="00E5087D">
              <w:rPr>
                <w:rFonts w:eastAsia="Times New Roman" w:cs="Arial"/>
                <w:color w:val="auto"/>
                <w:sz w:val="18"/>
                <w:szCs w:val="18"/>
                <w:lang w:eastAsia="en-AU"/>
              </w:rPr>
              <w:t>Production Managers</w:t>
            </w:r>
          </w:p>
        </w:tc>
        <w:tc>
          <w:tcPr>
            <w:tcW w:w="151" w:type="pct"/>
            <w:tcBorders>
              <w:top w:val="nil"/>
              <w:left w:val="nil"/>
              <w:bottom w:val="single" w:sz="4" w:space="0" w:color="auto"/>
              <w:right w:val="single" w:sz="4" w:space="0" w:color="auto"/>
            </w:tcBorders>
            <w:shd w:val="clear" w:color="auto" w:fill="B4C227"/>
            <w:noWrap/>
            <w:vAlign w:val="center"/>
            <w:hideMark/>
          </w:tcPr>
          <w:p w14:paraId="0256219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B4C227"/>
            <w:noWrap/>
            <w:vAlign w:val="center"/>
            <w:hideMark/>
          </w:tcPr>
          <w:p w14:paraId="3D533562"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3C33CBC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2A1DF76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D2DE5A"/>
            <w:noWrap/>
            <w:vAlign w:val="center"/>
            <w:hideMark/>
          </w:tcPr>
          <w:p w14:paraId="5AA8D6E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1A4A17E5"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27835ED8"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5DA563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542A5C56"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3EB9B"/>
            <w:noWrap/>
            <w:vAlign w:val="center"/>
            <w:hideMark/>
          </w:tcPr>
          <w:p w14:paraId="78253FDB"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E3EB9B"/>
            <w:noWrap/>
            <w:vAlign w:val="center"/>
            <w:hideMark/>
          </w:tcPr>
          <w:p w14:paraId="480FB4FC"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p>
        </w:tc>
        <w:tc>
          <w:tcPr>
            <w:tcW w:w="151" w:type="pct"/>
            <w:tcBorders>
              <w:top w:val="nil"/>
              <w:left w:val="nil"/>
              <w:bottom w:val="single" w:sz="4" w:space="0" w:color="auto"/>
              <w:right w:val="single" w:sz="4" w:space="0" w:color="auto"/>
            </w:tcBorders>
            <w:shd w:val="clear" w:color="auto" w:fill="ECF1BC" w:themeFill="background2" w:themeFillTint="66"/>
            <w:noWrap/>
            <w:vAlign w:val="center"/>
            <w:hideMark/>
          </w:tcPr>
          <w:p w14:paraId="1D9F0E47"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F5F8DD"/>
            <w:noWrap/>
            <w:vAlign w:val="center"/>
            <w:hideMark/>
          </w:tcPr>
          <w:p w14:paraId="79F36E64"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0ADEDFC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auto"/>
            <w:noWrap/>
            <w:vAlign w:val="center"/>
            <w:hideMark/>
          </w:tcPr>
          <w:p w14:paraId="233C7D7D" w14:textId="77777777" w:rsidR="008A2E09" w:rsidRPr="00E5087D" w:rsidRDefault="008A2E09">
            <w:pPr>
              <w:spacing w:after="0" w:line="240" w:lineRule="auto"/>
              <w:jc w:val="center"/>
              <w:rPr>
                <w:rFonts w:ascii="Wingdings" w:eastAsia="Times New Roman" w:hAnsi="Wingdings" w:cs="Arial"/>
                <w:b/>
                <w:bCs/>
                <w:color w:val="auto"/>
                <w:sz w:val="20"/>
                <w:szCs w:val="20"/>
                <w:lang w:eastAsia="en-AU"/>
              </w:rPr>
            </w:pPr>
            <w:r w:rsidRPr="00E5087D">
              <w:rPr>
                <w:rFonts w:ascii="Wingdings" w:eastAsia="Times New Roman" w:hAnsi="Wingdings" w:cs="Arial"/>
                <w:b/>
                <w:bCs/>
                <w:color w:val="auto"/>
                <w:sz w:val="20"/>
                <w:szCs w:val="20"/>
                <w:lang w:eastAsia="en-AU"/>
              </w:rPr>
              <w:t></w:t>
            </w:r>
          </w:p>
        </w:tc>
        <w:tc>
          <w:tcPr>
            <w:tcW w:w="1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2A6D8DC" w14:textId="77777777" w:rsidR="008A2E09" w:rsidRPr="00E5087D" w:rsidRDefault="008A2E09">
            <w:pPr>
              <w:spacing w:after="0" w:line="240" w:lineRule="auto"/>
              <w:jc w:val="center"/>
              <w:rPr>
                <w:rFonts w:eastAsia="Times New Roman" w:cs="Arial"/>
                <w:color w:val="auto"/>
                <w:sz w:val="18"/>
                <w:szCs w:val="18"/>
                <w:lang w:eastAsia="en-AU"/>
              </w:rPr>
            </w:pPr>
            <w:r w:rsidRPr="00E5087D">
              <w:rPr>
                <w:rFonts w:eastAsia="Times New Roman" w:cs="Arial"/>
                <w:color w:val="auto"/>
                <w:sz w:val="18"/>
                <w:szCs w:val="18"/>
                <w:lang w:eastAsia="en-AU"/>
              </w:rPr>
              <w:t>6</w:t>
            </w:r>
          </w:p>
        </w:tc>
      </w:tr>
      <w:tr w:rsidR="008A2E09" w:rsidRPr="00E5087D" w14:paraId="575D8AEE" w14:textId="77777777">
        <w:trPr>
          <w:cantSplit/>
          <w:trHeight w:val="567"/>
        </w:trPr>
        <w:tc>
          <w:tcPr>
            <w:tcW w:w="2587" w:type="pct"/>
            <w:tcBorders>
              <w:top w:val="nil"/>
              <w:left w:val="single" w:sz="4" w:space="0" w:color="auto"/>
              <w:bottom w:val="single" w:sz="4" w:space="0" w:color="auto"/>
              <w:right w:val="single" w:sz="4" w:space="0" w:color="auto"/>
            </w:tcBorders>
            <w:shd w:val="clear" w:color="auto" w:fill="auto"/>
            <w:noWrap/>
            <w:textDirection w:val="btLr"/>
            <w:vAlign w:val="bottom"/>
            <w:hideMark/>
          </w:tcPr>
          <w:p w14:paraId="132705B0" w14:textId="77777777" w:rsidR="008A2E09" w:rsidRPr="00E5087D" w:rsidRDefault="008A2E09">
            <w:pPr>
              <w:spacing w:after="0" w:line="240" w:lineRule="auto"/>
              <w:jc w:val="center"/>
              <w:rPr>
                <w:rFonts w:eastAsia="Times New Roman" w:cs="Arial"/>
                <w:color w:val="auto"/>
                <w:lang w:eastAsia="en-AU"/>
              </w:rPr>
            </w:pPr>
          </w:p>
        </w:tc>
        <w:tc>
          <w:tcPr>
            <w:tcW w:w="151" w:type="pct"/>
            <w:tcBorders>
              <w:top w:val="nil"/>
              <w:left w:val="nil"/>
              <w:bottom w:val="single" w:sz="4" w:space="0" w:color="auto"/>
              <w:right w:val="single" w:sz="4" w:space="0" w:color="auto"/>
            </w:tcBorders>
            <w:shd w:val="clear" w:color="auto" w:fill="B4C227"/>
            <w:noWrap/>
            <w:textDirection w:val="btLr"/>
            <w:vAlign w:val="center"/>
            <w:hideMark/>
          </w:tcPr>
          <w:p w14:paraId="5B11DDAB"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15</w:t>
            </w:r>
          </w:p>
        </w:tc>
        <w:tc>
          <w:tcPr>
            <w:tcW w:w="151" w:type="pct"/>
            <w:tcBorders>
              <w:top w:val="nil"/>
              <w:left w:val="nil"/>
              <w:bottom w:val="single" w:sz="4" w:space="0" w:color="auto"/>
              <w:right w:val="single" w:sz="4" w:space="0" w:color="auto"/>
            </w:tcBorders>
            <w:shd w:val="clear" w:color="auto" w:fill="B4C227"/>
            <w:noWrap/>
            <w:textDirection w:val="btLr"/>
            <w:vAlign w:val="center"/>
            <w:hideMark/>
          </w:tcPr>
          <w:p w14:paraId="5771D3D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10</w:t>
            </w:r>
          </w:p>
        </w:tc>
        <w:tc>
          <w:tcPr>
            <w:tcW w:w="151" w:type="pct"/>
            <w:tcBorders>
              <w:top w:val="nil"/>
              <w:left w:val="nil"/>
              <w:bottom w:val="single" w:sz="4" w:space="0" w:color="auto"/>
              <w:right w:val="single" w:sz="4" w:space="0" w:color="auto"/>
            </w:tcBorders>
            <w:shd w:val="clear" w:color="auto" w:fill="D2DE5A"/>
            <w:noWrap/>
            <w:textDirection w:val="btLr"/>
            <w:vAlign w:val="center"/>
            <w:hideMark/>
          </w:tcPr>
          <w:p w14:paraId="44D7EBF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11</w:t>
            </w:r>
          </w:p>
        </w:tc>
        <w:tc>
          <w:tcPr>
            <w:tcW w:w="151" w:type="pct"/>
            <w:tcBorders>
              <w:top w:val="nil"/>
              <w:left w:val="nil"/>
              <w:bottom w:val="single" w:sz="4" w:space="0" w:color="auto"/>
              <w:right w:val="single" w:sz="4" w:space="0" w:color="auto"/>
            </w:tcBorders>
            <w:shd w:val="clear" w:color="auto" w:fill="D2DE5A"/>
            <w:noWrap/>
            <w:textDirection w:val="btLr"/>
            <w:vAlign w:val="center"/>
            <w:hideMark/>
          </w:tcPr>
          <w:p w14:paraId="2A834F6C"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5</w:t>
            </w:r>
          </w:p>
        </w:tc>
        <w:tc>
          <w:tcPr>
            <w:tcW w:w="151" w:type="pct"/>
            <w:tcBorders>
              <w:top w:val="nil"/>
              <w:left w:val="nil"/>
              <w:bottom w:val="single" w:sz="4" w:space="0" w:color="auto"/>
              <w:right w:val="single" w:sz="4" w:space="0" w:color="auto"/>
            </w:tcBorders>
            <w:shd w:val="clear" w:color="auto" w:fill="D2DE5A"/>
            <w:noWrap/>
            <w:textDirection w:val="btLr"/>
            <w:vAlign w:val="center"/>
            <w:hideMark/>
          </w:tcPr>
          <w:p w14:paraId="0A8AB808"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7</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06C2BD90"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2</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77EEE8B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2361D506"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18</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7B36116E"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6447A963"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13</w:t>
            </w:r>
          </w:p>
        </w:tc>
        <w:tc>
          <w:tcPr>
            <w:tcW w:w="151" w:type="pct"/>
            <w:tcBorders>
              <w:top w:val="nil"/>
              <w:left w:val="nil"/>
              <w:bottom w:val="single" w:sz="4" w:space="0" w:color="auto"/>
              <w:right w:val="single" w:sz="4" w:space="0" w:color="auto"/>
            </w:tcBorders>
            <w:shd w:val="clear" w:color="auto" w:fill="E3EB9B"/>
            <w:noWrap/>
            <w:textDirection w:val="btLr"/>
            <w:vAlign w:val="center"/>
            <w:hideMark/>
          </w:tcPr>
          <w:p w14:paraId="2C3A21B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7</w:t>
            </w:r>
          </w:p>
        </w:tc>
        <w:tc>
          <w:tcPr>
            <w:tcW w:w="151" w:type="pct"/>
            <w:tcBorders>
              <w:top w:val="nil"/>
              <w:left w:val="nil"/>
              <w:bottom w:val="single" w:sz="4" w:space="0" w:color="auto"/>
              <w:right w:val="single" w:sz="4" w:space="0" w:color="auto"/>
            </w:tcBorders>
            <w:shd w:val="clear" w:color="auto" w:fill="ECF1BC" w:themeFill="background2" w:themeFillTint="66"/>
            <w:noWrap/>
            <w:textDirection w:val="btLr"/>
            <w:vAlign w:val="center"/>
            <w:hideMark/>
          </w:tcPr>
          <w:p w14:paraId="4D2B5E43"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7</w:t>
            </w:r>
          </w:p>
        </w:tc>
        <w:tc>
          <w:tcPr>
            <w:tcW w:w="151" w:type="pct"/>
            <w:tcBorders>
              <w:top w:val="nil"/>
              <w:left w:val="nil"/>
              <w:bottom w:val="single" w:sz="4" w:space="0" w:color="auto"/>
              <w:right w:val="single" w:sz="4" w:space="0" w:color="auto"/>
            </w:tcBorders>
            <w:shd w:val="clear" w:color="auto" w:fill="F5F8DD"/>
            <w:noWrap/>
            <w:textDirection w:val="btLr"/>
            <w:vAlign w:val="center"/>
            <w:hideMark/>
          </w:tcPr>
          <w:p w14:paraId="13CC1DD0"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15</w:t>
            </w:r>
          </w:p>
        </w:tc>
        <w:tc>
          <w:tcPr>
            <w:tcW w:w="151" w:type="pct"/>
            <w:tcBorders>
              <w:top w:val="nil"/>
              <w:left w:val="nil"/>
              <w:bottom w:val="single" w:sz="4" w:space="0" w:color="auto"/>
              <w:right w:val="single" w:sz="4" w:space="0" w:color="auto"/>
            </w:tcBorders>
            <w:shd w:val="clear" w:color="auto" w:fill="auto"/>
            <w:noWrap/>
            <w:textDirection w:val="btLr"/>
            <w:vAlign w:val="center"/>
            <w:hideMark/>
          </w:tcPr>
          <w:p w14:paraId="18A07681"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9</w:t>
            </w:r>
          </w:p>
        </w:tc>
        <w:tc>
          <w:tcPr>
            <w:tcW w:w="151" w:type="pct"/>
            <w:tcBorders>
              <w:top w:val="nil"/>
              <w:left w:val="nil"/>
              <w:bottom w:val="single" w:sz="4" w:space="0" w:color="auto"/>
              <w:right w:val="single" w:sz="4" w:space="0" w:color="auto"/>
            </w:tcBorders>
            <w:shd w:val="clear" w:color="auto" w:fill="auto"/>
            <w:noWrap/>
            <w:textDirection w:val="btLr"/>
            <w:vAlign w:val="center"/>
            <w:hideMark/>
          </w:tcPr>
          <w:p w14:paraId="5EEEE058" w14:textId="77777777" w:rsidR="008A2E09" w:rsidRPr="00E5087D" w:rsidRDefault="008A2E09">
            <w:pPr>
              <w:spacing w:after="0" w:line="240" w:lineRule="auto"/>
              <w:ind w:right="113"/>
              <w:jc w:val="right"/>
              <w:rPr>
                <w:rFonts w:eastAsia="Times New Roman" w:cs="Arial"/>
                <w:b/>
                <w:bCs/>
                <w:color w:val="auto"/>
                <w:sz w:val="20"/>
                <w:szCs w:val="20"/>
                <w:lang w:eastAsia="en-AU"/>
              </w:rPr>
            </w:pPr>
            <w:r w:rsidRPr="00E5087D">
              <w:rPr>
                <w:rFonts w:eastAsia="Times New Roman" w:cs="Arial"/>
                <w:b/>
                <w:bCs/>
                <w:color w:val="auto"/>
                <w:sz w:val="20"/>
                <w:szCs w:val="20"/>
                <w:lang w:eastAsia="en-AU"/>
              </w:rPr>
              <w:t>4</w:t>
            </w:r>
          </w:p>
        </w:tc>
        <w:tc>
          <w:tcPr>
            <w:tcW w:w="151" w:type="pct"/>
            <w:tcBorders>
              <w:top w:val="nil"/>
              <w:left w:val="nil"/>
              <w:bottom w:val="single" w:sz="4" w:space="0" w:color="auto"/>
              <w:right w:val="single" w:sz="4" w:space="0" w:color="auto"/>
            </w:tcBorders>
            <w:shd w:val="clear" w:color="auto" w:fill="D9D9D9" w:themeFill="background1" w:themeFillShade="D9"/>
            <w:noWrap/>
            <w:textDirection w:val="btLr"/>
            <w:vAlign w:val="center"/>
            <w:hideMark/>
          </w:tcPr>
          <w:p w14:paraId="0D2173A0" w14:textId="77777777" w:rsidR="008A2E09" w:rsidRPr="00E5087D" w:rsidRDefault="008A2E09">
            <w:pPr>
              <w:spacing w:after="0" w:line="240" w:lineRule="auto"/>
              <w:jc w:val="center"/>
              <w:rPr>
                <w:rFonts w:eastAsia="Times New Roman" w:cs="Arial"/>
                <w:color w:val="auto"/>
                <w:lang w:eastAsia="en-AU"/>
              </w:rPr>
            </w:pPr>
          </w:p>
        </w:tc>
      </w:tr>
    </w:tbl>
    <w:p w14:paraId="3F85ABA9" w14:textId="7AD9D705" w:rsidR="00EA2E55" w:rsidRPr="002D0A3D" w:rsidRDefault="00293C02" w:rsidP="002D0A3D">
      <w:pPr>
        <w:spacing w:before="360" w:after="120" w:line="276" w:lineRule="auto"/>
      </w:pPr>
      <w:r>
        <w:rPr>
          <w14:numForm w14:val="lining"/>
          <w14:numSpacing w14:val="proportional"/>
        </w:rPr>
        <w:t xml:space="preserve">There are </w:t>
      </w:r>
      <w:r w:rsidR="008A2E09" w:rsidRPr="00E5087D">
        <w:rPr>
          <w14:numForm w14:val="lining"/>
          <w14:numSpacing w14:val="proportional"/>
        </w:rPr>
        <w:t xml:space="preserve">a number of occupations that are common </w:t>
      </w:r>
      <w:r>
        <w:rPr>
          <w14:numForm w14:val="lining"/>
          <w14:numSpacing w14:val="proportional"/>
        </w:rPr>
        <w:t xml:space="preserve">to </w:t>
      </w:r>
      <w:r w:rsidR="008A2E09" w:rsidRPr="00E5087D">
        <w:rPr>
          <w14:numForm w14:val="lining"/>
          <w14:numSpacing w14:val="proportional"/>
        </w:rPr>
        <w:t>clean energy</w:t>
      </w:r>
      <w:r>
        <w:rPr>
          <w14:numForm w14:val="lining"/>
          <w14:numSpacing w14:val="proportional"/>
        </w:rPr>
        <w:t xml:space="preserve"> and transitioning segments</w:t>
      </w:r>
      <w:r w:rsidR="004F47A3">
        <w:rPr>
          <w14:numForm w14:val="lining"/>
          <w14:numSpacing w14:val="proportional"/>
        </w:rPr>
        <w:t>,</w:t>
      </w:r>
      <w:r w:rsidR="00406810">
        <w:rPr>
          <w14:numForm w14:val="lining"/>
          <w14:numSpacing w14:val="proportional"/>
        </w:rPr>
        <w:t xml:space="preserve"> includ</w:t>
      </w:r>
      <w:r w:rsidR="004F47A3">
        <w:rPr>
          <w14:numForm w14:val="lining"/>
          <w14:numSpacing w14:val="proportional"/>
        </w:rPr>
        <w:t>ing</w:t>
      </w:r>
      <w:r w:rsidR="00406810">
        <w:rPr>
          <w14:numForm w14:val="lining"/>
          <w14:numSpacing w14:val="proportional"/>
        </w:rPr>
        <w:t xml:space="preserve"> </w:t>
      </w:r>
      <w:r w:rsidR="310E585C" w:rsidRPr="00E5087D">
        <w:rPr>
          <w14:numForm w14:val="lining"/>
          <w14:numSpacing w14:val="proportional"/>
        </w:rPr>
        <w:t>E</w:t>
      </w:r>
      <w:r w:rsidR="3AF5A332" w:rsidRPr="00E5087D">
        <w:rPr>
          <w14:numForm w14:val="lining"/>
          <w14:numSpacing w14:val="proportional"/>
        </w:rPr>
        <w:t xml:space="preserve">lectricians, </w:t>
      </w:r>
      <w:r w:rsidR="092381AA" w:rsidRPr="00E5087D">
        <w:rPr>
          <w14:numForm w14:val="lining"/>
          <w14:numSpacing w14:val="proportional"/>
        </w:rPr>
        <w:t>M</w:t>
      </w:r>
      <w:r w:rsidR="3AF5A332" w:rsidRPr="00E5087D">
        <w:rPr>
          <w14:numForm w14:val="lining"/>
          <w14:numSpacing w14:val="proportional"/>
        </w:rPr>
        <w:t xml:space="preserve">etal </w:t>
      </w:r>
      <w:r w:rsidR="404A1D6A" w:rsidRPr="00E5087D">
        <w:rPr>
          <w14:numForm w14:val="lining"/>
          <w14:numSpacing w14:val="proportional"/>
        </w:rPr>
        <w:t>F</w:t>
      </w:r>
      <w:r w:rsidR="3AF5A332" w:rsidRPr="00E5087D">
        <w:rPr>
          <w14:numForm w14:val="lining"/>
          <w14:numSpacing w14:val="proportional"/>
        </w:rPr>
        <w:t xml:space="preserve">itters and </w:t>
      </w:r>
      <w:r w:rsidR="162A70DC" w:rsidRPr="00E5087D">
        <w:rPr>
          <w14:numForm w14:val="lining"/>
          <w14:numSpacing w14:val="proportional"/>
        </w:rPr>
        <w:t>M</w:t>
      </w:r>
      <w:r w:rsidR="3AF5A332" w:rsidRPr="00E5087D">
        <w:rPr>
          <w14:numForm w14:val="lining"/>
          <w14:numSpacing w14:val="proportional"/>
        </w:rPr>
        <w:t xml:space="preserve">achinists, </w:t>
      </w:r>
      <w:r w:rsidR="00C101B7">
        <w:rPr>
          <w14:numForm w14:val="lining"/>
          <w14:numSpacing w14:val="proportional"/>
        </w:rPr>
        <w:t xml:space="preserve">and </w:t>
      </w:r>
      <w:r w:rsidR="30D91A87" w:rsidRPr="00E5087D">
        <w:rPr>
          <w14:numForm w14:val="lining"/>
          <w14:numSpacing w14:val="proportional"/>
        </w:rPr>
        <w:t>C</w:t>
      </w:r>
      <w:r w:rsidR="3AF5A332" w:rsidRPr="00E5087D">
        <w:rPr>
          <w14:numForm w14:val="lining"/>
          <w14:numSpacing w14:val="proportional"/>
        </w:rPr>
        <w:t xml:space="preserve">hemical, </w:t>
      </w:r>
      <w:r w:rsidR="2BFB80A5" w:rsidRPr="00E5087D">
        <w:rPr>
          <w14:numForm w14:val="lining"/>
          <w14:numSpacing w14:val="proportional"/>
        </w:rPr>
        <w:t>G</w:t>
      </w:r>
      <w:r w:rsidR="3AF5A332" w:rsidRPr="00E5087D">
        <w:rPr>
          <w14:numForm w14:val="lining"/>
          <w14:numSpacing w14:val="proportional"/>
        </w:rPr>
        <w:t xml:space="preserve">as and </w:t>
      </w:r>
      <w:r w:rsidR="4287E59C" w:rsidRPr="00E5087D">
        <w:rPr>
          <w14:numForm w14:val="lining"/>
          <w14:numSpacing w14:val="proportional"/>
        </w:rPr>
        <w:t>P</w:t>
      </w:r>
      <w:r w:rsidR="3AF5A332" w:rsidRPr="00E5087D">
        <w:rPr>
          <w14:numForm w14:val="lining"/>
          <w14:numSpacing w14:val="proportional"/>
        </w:rPr>
        <w:t xml:space="preserve">etroleum and </w:t>
      </w:r>
      <w:r w:rsidR="496DFF9A" w:rsidRPr="00E5087D">
        <w:rPr>
          <w14:numForm w14:val="lining"/>
          <w14:numSpacing w14:val="proportional"/>
        </w:rPr>
        <w:t>P</w:t>
      </w:r>
      <w:r w:rsidR="3AF5A332" w:rsidRPr="00E5087D">
        <w:rPr>
          <w14:numForm w14:val="lining"/>
          <w14:numSpacing w14:val="proportional"/>
        </w:rPr>
        <w:t xml:space="preserve">ower </w:t>
      </w:r>
      <w:r w:rsidR="7CC7B7CB" w:rsidRPr="00E5087D">
        <w:rPr>
          <w14:numForm w14:val="lining"/>
          <w14:numSpacing w14:val="proportional"/>
        </w:rPr>
        <w:t>G</w:t>
      </w:r>
      <w:r w:rsidR="3AF5A332" w:rsidRPr="00E5087D">
        <w:rPr>
          <w14:numForm w14:val="lining"/>
          <w14:numSpacing w14:val="proportional"/>
        </w:rPr>
        <w:t xml:space="preserve">eneration </w:t>
      </w:r>
      <w:r w:rsidR="1D197E31" w:rsidRPr="00E5087D">
        <w:rPr>
          <w14:numForm w14:val="lining"/>
          <w14:numSpacing w14:val="proportional"/>
        </w:rPr>
        <w:t>P</w:t>
      </w:r>
      <w:r w:rsidR="3AF5A332" w:rsidRPr="00E5087D">
        <w:rPr>
          <w14:numForm w14:val="lining"/>
          <w14:numSpacing w14:val="proportional"/>
        </w:rPr>
        <w:t xml:space="preserve">lant </w:t>
      </w:r>
      <w:r w:rsidR="4260B74C" w:rsidRPr="00E5087D">
        <w:rPr>
          <w14:numForm w14:val="lining"/>
          <w14:numSpacing w14:val="proportional"/>
        </w:rPr>
        <w:t>O</w:t>
      </w:r>
      <w:r w:rsidR="3AF5A332" w:rsidRPr="00E5087D">
        <w:rPr>
          <w14:numForm w14:val="lining"/>
          <w14:numSpacing w14:val="proportional"/>
        </w:rPr>
        <w:t>perators</w:t>
      </w:r>
      <w:r w:rsidR="002D0A3D">
        <w:rPr>
          <w14:numForm w14:val="lining"/>
          <w14:numSpacing w14:val="proportional"/>
        </w:rPr>
        <w:t>. Figure 2.3 shows</w:t>
      </w:r>
      <w:r w:rsidR="00EC51F5">
        <w:rPr>
          <w14:numForm w14:val="lining"/>
          <w14:numSpacing w14:val="proportional"/>
        </w:rPr>
        <w:t xml:space="preserve"> 10 large occupations in the transitioning segment and</w:t>
      </w:r>
      <w:r w:rsidR="00194A84">
        <w:rPr>
          <w14:numForm w14:val="lining"/>
          <w14:numSpacing w14:val="proportional"/>
        </w:rPr>
        <w:t xml:space="preserve"> </w:t>
      </w:r>
      <w:r w:rsidR="004F47A3">
        <w:rPr>
          <w14:numForm w14:val="lining"/>
          <w14:numSpacing w14:val="proportional"/>
        </w:rPr>
        <w:t xml:space="preserve">their commonality with </w:t>
      </w:r>
      <w:r w:rsidR="00194A84">
        <w:rPr>
          <w14:numForm w14:val="lining"/>
          <w14:numSpacing w14:val="proportional"/>
        </w:rPr>
        <w:t>two clean energy segments.</w:t>
      </w:r>
      <w:r w:rsidR="00333E16">
        <w:rPr>
          <w14:numForm w14:val="lining"/>
          <w14:numSpacing w14:val="proportional"/>
        </w:rPr>
        <w:t xml:space="preserve"> </w:t>
      </w:r>
      <w:r w:rsidR="004F47A3" w:rsidRPr="00482240">
        <w:rPr>
          <w:b/>
          <w:bCs/>
          <w14:numForm w14:val="lining"/>
          <w14:numSpacing w14:val="proportional"/>
        </w:rPr>
        <w:t xml:space="preserve">Chapter </w:t>
      </w:r>
      <w:r w:rsidR="00445EEE" w:rsidRPr="00482240">
        <w:rPr>
          <w:b/>
          <w:bCs/>
          <w14:numForm w14:val="lining"/>
          <w14:numSpacing w14:val="proportional"/>
        </w:rPr>
        <w:t>4</w:t>
      </w:r>
      <w:r w:rsidR="00445EEE" w:rsidRPr="00482240">
        <w:rPr>
          <w:b/>
          <w:bCs/>
          <w:smallCaps/>
          <w14:numForm w14:val="lining"/>
          <w14:numSpacing w14:val="proportional"/>
        </w:rPr>
        <w:t>d</w:t>
      </w:r>
      <w:r w:rsidR="00445EEE">
        <w:rPr>
          <w14:numForm w14:val="lining"/>
          <w14:numSpacing w14:val="proportional"/>
        </w:rPr>
        <w:t xml:space="preserve"> explores workforce transitions in greater detail.</w:t>
      </w:r>
    </w:p>
    <w:p w14:paraId="22DA13D3" w14:textId="7AF8597C" w:rsidR="00A463A3" w:rsidRPr="00E5087D" w:rsidRDefault="00A463A3" w:rsidP="00491CCC">
      <w:pPr>
        <w:keepNext/>
        <w:spacing w:before="360" w:after="120"/>
        <w:rPr>
          <w:rStyle w:val="Strong"/>
          <w:b w:val="0"/>
          <w:color w:val="auto"/>
        </w:rPr>
      </w:pPr>
      <w:r w:rsidRPr="00E5087D">
        <w:rPr>
          <w:rStyle w:val="Strong"/>
          <w:color w:val="auto"/>
        </w:rPr>
        <w:t xml:space="preserve">Figure </w:t>
      </w:r>
      <w:r w:rsidR="00475BE5">
        <w:rPr>
          <w:rStyle w:val="Strong"/>
          <w:color w:val="auto"/>
        </w:rPr>
        <w:t>2.3</w:t>
      </w:r>
      <w:r w:rsidR="00B31D90">
        <w:rPr>
          <w:rStyle w:val="Strong"/>
          <w:color w:val="auto"/>
        </w:rPr>
        <w:t>.</w:t>
      </w:r>
      <w:r w:rsidRPr="00E5087D">
        <w:rPr>
          <w:rStyle w:val="Strong"/>
          <w:color w:val="auto"/>
        </w:rPr>
        <w:t xml:space="preserve"> Common occupations for clean energy and transitioning sectors </w:t>
      </w:r>
    </w:p>
    <w:tbl>
      <w:tblPr>
        <w:tblStyle w:val="TableGrid"/>
        <w:tblW w:w="9067" w:type="dxa"/>
        <w:tblLook w:val="04A0" w:firstRow="1" w:lastRow="0" w:firstColumn="1" w:lastColumn="0" w:noHBand="0" w:noVBand="1"/>
      </w:tblPr>
      <w:tblGrid>
        <w:gridCol w:w="6232"/>
        <w:gridCol w:w="1418"/>
        <w:gridCol w:w="1417"/>
      </w:tblGrid>
      <w:tr w:rsidR="0044109F" w:rsidRPr="00F27002" w14:paraId="57ABA217" w14:textId="77777777" w:rsidTr="00153483">
        <w:tc>
          <w:tcPr>
            <w:tcW w:w="6232" w:type="dxa"/>
            <w:shd w:val="clear" w:color="auto" w:fill="D9D9D9" w:themeFill="background1" w:themeFillShade="D9"/>
            <w:vAlign w:val="center"/>
          </w:tcPr>
          <w:p w14:paraId="6AC0CF43" w14:textId="77777777" w:rsidR="0044109F" w:rsidRPr="00F27002" w:rsidRDefault="0044109F" w:rsidP="00153483">
            <w:pPr>
              <w:rPr>
                <w:rFonts w:cs="Arial"/>
                <w:b/>
              </w:rPr>
            </w:pPr>
            <w:r w:rsidRPr="00153483">
              <w:rPr>
                <w:rFonts w:cs="Arial"/>
                <w:b/>
                <w:sz w:val="20"/>
                <w:szCs w:val="20"/>
              </w:rPr>
              <w:t>Largest occupations in the transitioning segment</w:t>
            </w:r>
          </w:p>
        </w:tc>
        <w:tc>
          <w:tcPr>
            <w:tcW w:w="1418" w:type="dxa"/>
            <w:shd w:val="clear" w:color="auto" w:fill="D9D9D9" w:themeFill="background1" w:themeFillShade="D9"/>
            <w:vAlign w:val="center"/>
          </w:tcPr>
          <w:p w14:paraId="01DC3C1F" w14:textId="77777777" w:rsidR="0044109F" w:rsidRPr="00F27002" w:rsidRDefault="0044109F" w:rsidP="00153483">
            <w:pPr>
              <w:jc w:val="center"/>
              <w:rPr>
                <w:rFonts w:cs="Arial"/>
                <w:sz w:val="18"/>
                <w:szCs w:val="18"/>
              </w:rPr>
            </w:pPr>
            <w:r w:rsidRPr="00F27002">
              <w:rPr>
                <w:rFonts w:cs="Arial"/>
                <w:sz w:val="18"/>
                <w:szCs w:val="18"/>
              </w:rPr>
              <w:t>Clean Energy</w:t>
            </w:r>
            <w:r w:rsidRPr="00F27002">
              <w:rPr>
                <w:rFonts w:cs="Arial"/>
                <w:sz w:val="18"/>
                <w:szCs w:val="18"/>
              </w:rPr>
              <w:br/>
              <w:t xml:space="preserve"> Generation</w:t>
            </w:r>
          </w:p>
        </w:tc>
        <w:tc>
          <w:tcPr>
            <w:tcW w:w="1417" w:type="dxa"/>
            <w:shd w:val="clear" w:color="auto" w:fill="D9D9D9" w:themeFill="background1" w:themeFillShade="D9"/>
            <w:vAlign w:val="center"/>
          </w:tcPr>
          <w:p w14:paraId="78FB319F" w14:textId="77777777" w:rsidR="0044109F" w:rsidRPr="00F27002" w:rsidRDefault="0044109F" w:rsidP="00153483">
            <w:pPr>
              <w:jc w:val="center"/>
              <w:rPr>
                <w:rFonts w:cs="Arial"/>
                <w:sz w:val="18"/>
                <w:szCs w:val="18"/>
              </w:rPr>
            </w:pPr>
            <w:r w:rsidRPr="00F27002">
              <w:rPr>
                <w:rFonts w:cs="Arial"/>
                <w:sz w:val="18"/>
                <w:szCs w:val="18"/>
              </w:rPr>
              <w:t>Clean Energy</w:t>
            </w:r>
            <w:r w:rsidRPr="00F27002">
              <w:rPr>
                <w:rFonts w:cs="Arial"/>
                <w:sz w:val="18"/>
                <w:szCs w:val="18"/>
              </w:rPr>
              <w:br/>
              <w:t>Supply Chain</w:t>
            </w:r>
          </w:p>
        </w:tc>
      </w:tr>
      <w:tr w:rsidR="0044109F" w:rsidRPr="00F27002" w14:paraId="5ED33656" w14:textId="77777777" w:rsidTr="00491CCC">
        <w:tc>
          <w:tcPr>
            <w:tcW w:w="6232" w:type="dxa"/>
            <w:vAlign w:val="bottom"/>
          </w:tcPr>
          <w:p w14:paraId="6E762A8A" w14:textId="77777777" w:rsidR="0044109F" w:rsidRPr="00F27002" w:rsidRDefault="0044109F">
            <w:pPr>
              <w:rPr>
                <w:rFonts w:cs="Arial"/>
              </w:rPr>
            </w:pPr>
            <w:r w:rsidRPr="002601ED">
              <w:rPr>
                <w:rFonts w:eastAsia="Times New Roman" w:cs="Arial"/>
                <w:color w:val="000000"/>
                <w:sz w:val="18"/>
                <w:szCs w:val="18"/>
                <w:lang w:eastAsia="en-AU"/>
              </w:rPr>
              <w:t>Drillers, Miners and Shot Firers</w:t>
            </w:r>
          </w:p>
        </w:tc>
        <w:tc>
          <w:tcPr>
            <w:tcW w:w="1418" w:type="dxa"/>
            <w:shd w:val="clear" w:color="auto" w:fill="FFA3A3"/>
          </w:tcPr>
          <w:p w14:paraId="464AD656"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D2DE5A" w:themeFill="background2"/>
          </w:tcPr>
          <w:p w14:paraId="400D71CA"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7BF7EB1E" w14:textId="77777777">
        <w:tc>
          <w:tcPr>
            <w:tcW w:w="6232" w:type="dxa"/>
            <w:vAlign w:val="bottom"/>
          </w:tcPr>
          <w:p w14:paraId="67D866EB" w14:textId="77777777" w:rsidR="0044109F" w:rsidRPr="00F27002" w:rsidRDefault="0044109F">
            <w:pPr>
              <w:rPr>
                <w:rFonts w:cs="Arial"/>
              </w:rPr>
            </w:pPr>
            <w:r w:rsidRPr="002601ED">
              <w:rPr>
                <w:rFonts w:eastAsia="Times New Roman" w:cs="Arial"/>
                <w:color w:val="000000"/>
                <w:sz w:val="18"/>
                <w:szCs w:val="18"/>
                <w:lang w:eastAsia="en-AU"/>
              </w:rPr>
              <w:t>Service Station Attendants</w:t>
            </w:r>
          </w:p>
        </w:tc>
        <w:tc>
          <w:tcPr>
            <w:tcW w:w="1418" w:type="dxa"/>
            <w:shd w:val="clear" w:color="auto" w:fill="FFA3A3"/>
          </w:tcPr>
          <w:p w14:paraId="73F131DD"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FFA3A3"/>
          </w:tcPr>
          <w:p w14:paraId="0712EC17" w14:textId="77777777" w:rsidR="0044109F" w:rsidRPr="00F27002" w:rsidRDefault="0044109F">
            <w:pPr>
              <w:jc w:val="center"/>
              <w:rPr>
                <w:rFonts w:cs="Arial"/>
              </w:rPr>
            </w:pPr>
            <w:r w:rsidRPr="004F4B0C">
              <w:rPr>
                <w:rFonts w:ascii="Wingdings" w:eastAsia="Wingdings" w:hAnsi="Wingdings" w:cs="Wingdings"/>
              </w:rPr>
              <w:t>û</w:t>
            </w:r>
          </w:p>
        </w:tc>
      </w:tr>
      <w:tr w:rsidR="0044109F" w:rsidRPr="00F27002" w14:paraId="41286600" w14:textId="77777777" w:rsidTr="00491CCC">
        <w:tc>
          <w:tcPr>
            <w:tcW w:w="6232" w:type="dxa"/>
            <w:vAlign w:val="bottom"/>
          </w:tcPr>
          <w:p w14:paraId="7103EA03" w14:textId="77777777" w:rsidR="0044109F" w:rsidRPr="00F27002" w:rsidRDefault="0044109F">
            <w:pPr>
              <w:rPr>
                <w:rFonts w:cs="Arial"/>
              </w:rPr>
            </w:pPr>
            <w:r w:rsidRPr="002601ED">
              <w:rPr>
                <w:rFonts w:eastAsia="Times New Roman" w:cs="Arial"/>
                <w:b/>
                <w:bCs/>
                <w:color w:val="000000"/>
                <w:sz w:val="18"/>
                <w:szCs w:val="18"/>
                <w:lang w:eastAsia="en-AU"/>
              </w:rPr>
              <w:t>Metal Fitters and Machinists</w:t>
            </w:r>
          </w:p>
        </w:tc>
        <w:tc>
          <w:tcPr>
            <w:tcW w:w="1418" w:type="dxa"/>
            <w:shd w:val="clear" w:color="auto" w:fill="D2DE5A" w:themeFill="background2"/>
          </w:tcPr>
          <w:p w14:paraId="3E3568B4"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21FEA5B9"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6517959A" w14:textId="77777777" w:rsidTr="00491CCC">
        <w:tc>
          <w:tcPr>
            <w:tcW w:w="6232" w:type="dxa"/>
            <w:vAlign w:val="bottom"/>
          </w:tcPr>
          <w:p w14:paraId="45DDE5E4" w14:textId="77777777" w:rsidR="0044109F" w:rsidRPr="00F27002" w:rsidRDefault="0044109F">
            <w:pPr>
              <w:rPr>
                <w:rFonts w:cs="Arial"/>
              </w:rPr>
            </w:pPr>
            <w:r w:rsidRPr="002601ED">
              <w:rPr>
                <w:rFonts w:eastAsia="Times New Roman" w:cs="Arial"/>
                <w:b/>
                <w:bCs/>
                <w:color w:val="000000"/>
                <w:sz w:val="18"/>
                <w:szCs w:val="18"/>
                <w:lang w:eastAsia="en-AU"/>
              </w:rPr>
              <w:t>Other Building and Engineering Technicians</w:t>
            </w:r>
          </w:p>
        </w:tc>
        <w:tc>
          <w:tcPr>
            <w:tcW w:w="1418" w:type="dxa"/>
            <w:shd w:val="clear" w:color="auto" w:fill="FFA3A3"/>
          </w:tcPr>
          <w:p w14:paraId="6CC93823"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D2DE5A" w:themeFill="background2"/>
          </w:tcPr>
          <w:p w14:paraId="7E7B8E86"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5485229D" w14:textId="77777777" w:rsidTr="00491CCC">
        <w:tc>
          <w:tcPr>
            <w:tcW w:w="6232" w:type="dxa"/>
            <w:vAlign w:val="bottom"/>
          </w:tcPr>
          <w:p w14:paraId="54D31693" w14:textId="77777777" w:rsidR="0044109F" w:rsidRPr="00F27002" w:rsidRDefault="0044109F">
            <w:pPr>
              <w:rPr>
                <w:rFonts w:cs="Arial"/>
              </w:rPr>
            </w:pPr>
            <w:r w:rsidRPr="002601ED">
              <w:rPr>
                <w:rFonts w:eastAsia="Times New Roman" w:cs="Arial"/>
                <w:color w:val="000000"/>
                <w:sz w:val="18"/>
                <w:szCs w:val="18"/>
                <w:lang w:eastAsia="en-AU"/>
              </w:rPr>
              <w:t>Truck Drivers</w:t>
            </w:r>
          </w:p>
        </w:tc>
        <w:tc>
          <w:tcPr>
            <w:tcW w:w="1418" w:type="dxa"/>
            <w:shd w:val="clear" w:color="auto" w:fill="D2DE5A" w:themeFill="background2"/>
          </w:tcPr>
          <w:p w14:paraId="4115F93E"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03079253"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431FA755" w14:textId="77777777" w:rsidTr="00491CCC">
        <w:tc>
          <w:tcPr>
            <w:tcW w:w="6232" w:type="dxa"/>
            <w:vAlign w:val="bottom"/>
          </w:tcPr>
          <w:p w14:paraId="128DBE2D" w14:textId="77777777" w:rsidR="0044109F" w:rsidRPr="00F27002" w:rsidRDefault="0044109F">
            <w:pPr>
              <w:rPr>
                <w:rFonts w:cs="Arial"/>
              </w:rPr>
            </w:pPr>
            <w:r w:rsidRPr="002601ED">
              <w:rPr>
                <w:rFonts w:eastAsia="Times New Roman" w:cs="Arial"/>
                <w:b/>
                <w:bCs/>
                <w:color w:val="000000"/>
                <w:sz w:val="18"/>
                <w:szCs w:val="18"/>
                <w:lang w:eastAsia="en-AU"/>
              </w:rPr>
              <w:t>Electricians</w:t>
            </w:r>
          </w:p>
        </w:tc>
        <w:tc>
          <w:tcPr>
            <w:tcW w:w="1418" w:type="dxa"/>
            <w:shd w:val="clear" w:color="auto" w:fill="D2DE5A" w:themeFill="background2"/>
          </w:tcPr>
          <w:p w14:paraId="62C5865C"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4EC0523C"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6CCFC9D0" w14:textId="77777777" w:rsidTr="00491CCC">
        <w:tc>
          <w:tcPr>
            <w:tcW w:w="6232" w:type="dxa"/>
            <w:vAlign w:val="bottom"/>
          </w:tcPr>
          <w:p w14:paraId="3063320F" w14:textId="77777777" w:rsidR="0044109F" w:rsidRPr="00F27002" w:rsidRDefault="0044109F">
            <w:pPr>
              <w:rPr>
                <w:rFonts w:cs="Arial"/>
              </w:rPr>
            </w:pPr>
            <w:r w:rsidRPr="002601ED">
              <w:rPr>
                <w:rFonts w:eastAsia="Times New Roman" w:cs="Arial"/>
                <w:b/>
                <w:bCs/>
                <w:color w:val="000000"/>
                <w:sz w:val="18"/>
                <w:szCs w:val="18"/>
                <w:lang w:eastAsia="en-AU"/>
              </w:rPr>
              <w:t>Chemical, Gas, Petroleum and Power Generation Plant Operators</w:t>
            </w:r>
          </w:p>
        </w:tc>
        <w:tc>
          <w:tcPr>
            <w:tcW w:w="1418" w:type="dxa"/>
            <w:shd w:val="clear" w:color="auto" w:fill="FFA3A3"/>
          </w:tcPr>
          <w:p w14:paraId="68843C8B" w14:textId="77777777" w:rsidR="0044109F" w:rsidRPr="00F27002" w:rsidRDefault="0044109F">
            <w:pPr>
              <w:jc w:val="center"/>
              <w:rPr>
                <w:rFonts w:cs="Arial"/>
              </w:rPr>
            </w:pPr>
            <w:r w:rsidRPr="004F4B0C">
              <w:rPr>
                <w:rFonts w:ascii="Wingdings" w:eastAsia="Wingdings" w:hAnsi="Wingdings" w:cs="Wingdings"/>
              </w:rPr>
              <w:t>û</w:t>
            </w:r>
          </w:p>
        </w:tc>
        <w:tc>
          <w:tcPr>
            <w:tcW w:w="1417" w:type="dxa"/>
            <w:shd w:val="clear" w:color="auto" w:fill="D2DE5A" w:themeFill="background2"/>
          </w:tcPr>
          <w:p w14:paraId="34138B32" w14:textId="77777777" w:rsidR="0044109F" w:rsidRPr="00F27002" w:rsidRDefault="0044109F">
            <w:pPr>
              <w:jc w:val="center"/>
              <w:rPr>
                <w:rFonts w:cs="Arial"/>
              </w:rPr>
            </w:pPr>
            <w:r w:rsidRPr="004F4B0C">
              <w:rPr>
                <w:rFonts w:ascii="Wingdings" w:eastAsia="Wingdings" w:hAnsi="Wingdings" w:cs="Wingdings"/>
              </w:rPr>
              <w:t>ü</w:t>
            </w:r>
          </w:p>
        </w:tc>
      </w:tr>
      <w:tr w:rsidR="0044109F" w:rsidRPr="00F27002" w14:paraId="5C1FE039" w14:textId="77777777" w:rsidTr="00491CCC">
        <w:tc>
          <w:tcPr>
            <w:tcW w:w="6232" w:type="dxa"/>
            <w:vAlign w:val="bottom"/>
          </w:tcPr>
          <w:p w14:paraId="7A7E29CB" w14:textId="77777777" w:rsidR="0044109F" w:rsidRPr="00F27002" w:rsidRDefault="0044109F">
            <w:pPr>
              <w:rPr>
                <w:rFonts w:cs="Arial"/>
              </w:rPr>
            </w:pPr>
            <w:r w:rsidRPr="002601ED">
              <w:rPr>
                <w:rFonts w:eastAsia="Times New Roman" w:cs="Arial"/>
                <w:b/>
                <w:bCs/>
                <w:color w:val="000000"/>
                <w:sz w:val="18"/>
                <w:szCs w:val="18"/>
                <w:lang w:eastAsia="en-AU"/>
              </w:rPr>
              <w:t>Production Managers</w:t>
            </w:r>
          </w:p>
        </w:tc>
        <w:tc>
          <w:tcPr>
            <w:tcW w:w="1418" w:type="dxa"/>
            <w:shd w:val="clear" w:color="auto" w:fill="D2DE5A" w:themeFill="background2"/>
          </w:tcPr>
          <w:p w14:paraId="55164D0D" w14:textId="77777777" w:rsidR="0044109F" w:rsidRPr="00F27002" w:rsidRDefault="0044109F">
            <w:pPr>
              <w:jc w:val="center"/>
              <w:rPr>
                <w:rFonts w:cs="Arial"/>
              </w:rPr>
            </w:pPr>
            <w:r w:rsidRPr="004F4B0C">
              <w:rPr>
                <w:rFonts w:ascii="Wingdings" w:eastAsia="Wingdings" w:hAnsi="Wingdings" w:cs="Wingdings"/>
              </w:rPr>
              <w:t>ü</w:t>
            </w:r>
          </w:p>
        </w:tc>
        <w:tc>
          <w:tcPr>
            <w:tcW w:w="1417" w:type="dxa"/>
            <w:shd w:val="clear" w:color="auto" w:fill="D2DE5A" w:themeFill="background2"/>
          </w:tcPr>
          <w:p w14:paraId="5396D2C0" w14:textId="77777777" w:rsidR="0044109F" w:rsidRPr="00F27002" w:rsidRDefault="0044109F">
            <w:pPr>
              <w:jc w:val="center"/>
              <w:rPr>
                <w:rFonts w:cs="Arial"/>
              </w:rPr>
            </w:pPr>
            <w:r w:rsidRPr="004F4B0C">
              <w:rPr>
                <w:rFonts w:ascii="Wingdings" w:eastAsia="Wingdings" w:hAnsi="Wingdings" w:cs="Wingdings"/>
              </w:rPr>
              <w:t>ü</w:t>
            </w:r>
          </w:p>
        </w:tc>
      </w:tr>
    </w:tbl>
    <w:p w14:paraId="0CF8C5B2" w14:textId="6987A2A6" w:rsidR="00A463A3" w:rsidRPr="00E5087D" w:rsidRDefault="00322D33" w:rsidP="004F4B0C">
      <w:pPr>
        <w:spacing w:before="80"/>
        <w:rPr>
          <w:bCs/>
          <w:color w:val="auto"/>
          <w14:ligatures w14:val="standard"/>
          <w14:numForm w14:val="lining"/>
          <w14:numSpacing w14:val="proportional"/>
        </w:rPr>
      </w:pPr>
      <w:r w:rsidRPr="00E5087D">
        <w:rPr>
          <w:rStyle w:val="Strong"/>
          <w:b w:val="0"/>
          <w:bCs w:val="0"/>
          <w:color w:val="auto"/>
          <w:sz w:val="18"/>
          <w:szCs w:val="18"/>
        </w:rPr>
        <w:t>Occupations meeting the “</w:t>
      </w:r>
      <w:r w:rsidR="00DA2BD3">
        <w:rPr>
          <w:rStyle w:val="Strong"/>
          <w:b w:val="0"/>
          <w:bCs w:val="0"/>
          <w:color w:val="auto"/>
          <w:sz w:val="18"/>
          <w:szCs w:val="18"/>
        </w:rPr>
        <w:t>critical</w:t>
      </w:r>
      <w:r w:rsidRPr="00E5087D">
        <w:rPr>
          <w:rStyle w:val="Strong"/>
          <w:b w:val="0"/>
          <w:bCs w:val="0"/>
          <w:color w:val="auto"/>
          <w:sz w:val="18"/>
          <w:szCs w:val="18"/>
        </w:rPr>
        <w:t>” criteria are bolded.</w:t>
      </w:r>
      <w:r w:rsidR="00A463A3" w:rsidRPr="00E5087D">
        <w:rPr>
          <w:bCs/>
          <w:color w:val="auto"/>
          <w14:ligatures w14:val="standard"/>
          <w14:numForm w14:val="lining"/>
          <w14:numSpacing w14:val="proportional"/>
        </w:rPr>
        <w:br w:type="page"/>
      </w:r>
    </w:p>
    <w:p w14:paraId="4C176D93" w14:textId="77777777" w:rsidR="0000313B" w:rsidRPr="00E5087D" w:rsidRDefault="0000313B" w:rsidP="0000313B">
      <w:pPr>
        <w:pStyle w:val="Heading3"/>
      </w:pPr>
      <w:r w:rsidRPr="00E5087D">
        <w:lastRenderedPageBreak/>
        <w:t>Emerging occupations and industries</w:t>
      </w:r>
    </w:p>
    <w:p w14:paraId="30C617BF" w14:textId="77777777" w:rsidR="00005F2D" w:rsidRPr="00E5087D" w:rsidRDefault="00005F2D" w:rsidP="00322D33">
      <w:pPr>
        <w:spacing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There are a growing number of new and emerging occupations that are not well captured by existing structures like ANZSCO. However, there is an important distinction between a new occupation, which has substantially different skill needs, and a specialisation or alternate title which is an existing occupation but in a new context.</w:t>
      </w:r>
      <w:r w:rsidRPr="00E5087D">
        <w:rPr>
          <w:rStyle w:val="EndnoteReference"/>
          <w:spacing w:val="2"/>
          <w14:ligatures w14:val="standard"/>
          <w14:numForm w14:val="lining"/>
          <w14:numSpacing w14:val="proportional"/>
        </w:rPr>
        <w:endnoteReference w:id="32"/>
      </w:r>
      <w:r w:rsidRPr="00E5087D">
        <w:rPr>
          <w:spacing w:val="2"/>
          <w14:ligatures w14:val="standard"/>
          <w14:numForm w14:val="lining"/>
          <w14:numSpacing w14:val="proportional"/>
        </w:rPr>
        <w:t xml:space="preserve"> </w:t>
      </w:r>
    </w:p>
    <w:p w14:paraId="3A89CA1C" w14:textId="15E470CC" w:rsidR="00005F2D" w:rsidRPr="00E5087D" w:rsidRDefault="35F6DB3B" w:rsidP="00322D33">
      <w:pPr>
        <w:spacing w:after="120" w:line="276" w:lineRule="auto"/>
      </w:pPr>
      <w:r w:rsidRPr="00E5087D">
        <w:rPr>
          <w:spacing w:val="2"/>
          <w14:ligatures w14:val="standard"/>
          <w14:numForm w14:val="lining"/>
          <w14:numSpacing w14:val="proportional"/>
        </w:rPr>
        <w:t xml:space="preserve">While the ABS is in the process of updating ANZSCO, it is important to note that not every emerging occupation will meet the ABS’ criteria to be included as a discreet </w:t>
      </w:r>
      <w:r w:rsidR="3991F452" w:rsidRPr="00E5087D">
        <w:rPr>
          <w:spacing w:val="2"/>
          <w14:ligatures w14:val="standard"/>
          <w14:numForm w14:val="lining"/>
          <w14:numSpacing w14:val="proportional"/>
        </w:rPr>
        <w:t xml:space="preserve">occupation (ANZSCO 6-digit </w:t>
      </w:r>
      <w:r w:rsidRPr="00E5087D">
        <w:rPr>
          <w:spacing w:val="2"/>
          <w14:ligatures w14:val="standard"/>
          <w14:numForm w14:val="lining"/>
          <w14:numSpacing w14:val="proportional"/>
        </w:rPr>
        <w:t>code</w:t>
      </w:r>
      <w:r w:rsidR="5A7B496D" w:rsidRPr="00E5087D">
        <w:rPr>
          <w:spacing w:val="2"/>
          <w14:ligatures w14:val="standard"/>
          <w14:numForm w14:val="lining"/>
          <w14:numSpacing w14:val="proportional"/>
        </w:rPr>
        <w:t>)</w:t>
      </w:r>
      <w:r w:rsidRPr="00E5087D">
        <w:rPr>
          <w:spacing w:val="2"/>
          <w14:ligatures w14:val="standard"/>
          <w14:numForm w14:val="lining"/>
          <w14:numSpacing w14:val="proportional"/>
        </w:rPr>
        <w:t xml:space="preserve">. For example, in 2022 the ABS added Solar Installers as a specialisation of Electricians, rather than </w:t>
      </w:r>
      <w:r w:rsidR="507F0551" w:rsidRPr="00E5087D">
        <w:rPr>
          <w:spacing w:val="2"/>
          <w14:ligatures w14:val="standard"/>
          <w14:numForm w14:val="lining"/>
          <w14:numSpacing w14:val="proportional"/>
        </w:rPr>
        <w:t xml:space="preserve">having it as </w:t>
      </w:r>
      <w:r w:rsidRPr="00E5087D">
        <w:rPr>
          <w:spacing w:val="2"/>
          <w14:ligatures w14:val="standard"/>
          <w14:numForm w14:val="lining"/>
          <w14:numSpacing w14:val="proportional"/>
        </w:rPr>
        <w:t>its own occupation</w:t>
      </w:r>
      <w:r w:rsidR="0FB0E5F9" w:rsidRPr="00E5087D">
        <w:rPr>
          <w:spacing w:val="2"/>
          <w14:ligatures w14:val="standard"/>
          <w14:numForm w14:val="lining"/>
          <w14:numSpacing w14:val="proportional"/>
        </w:rPr>
        <w:t xml:space="preserve"> with a different code</w:t>
      </w:r>
      <w:r w:rsidRPr="00E5087D">
        <w:rPr>
          <w:spacing w:val="2"/>
          <w14:ligatures w14:val="standard"/>
          <w14:numForm w14:val="lining"/>
          <w14:numSpacing w14:val="proportional"/>
        </w:rPr>
        <w:t xml:space="preserve">, meaning it is not </w:t>
      </w:r>
      <w:r w:rsidR="3DC889DA" w:rsidRPr="00E5087D">
        <w:rPr>
          <w:spacing w:val="2"/>
          <w14:ligatures w14:val="standard"/>
          <w14:numForm w14:val="lining"/>
          <w14:numSpacing w14:val="proportional"/>
        </w:rPr>
        <w:t xml:space="preserve">able to </w:t>
      </w:r>
      <w:r w:rsidR="008711A1" w:rsidRPr="00E5087D">
        <w:rPr>
          <w:spacing w:val="2"/>
          <w14:ligatures w14:val="standard"/>
          <w14:numForm w14:val="lining"/>
          <w14:numSpacing w14:val="proportional"/>
        </w:rPr>
        <w:t>be measured</w:t>
      </w:r>
      <w:r w:rsidRPr="00E5087D">
        <w:rPr>
          <w:spacing w:val="2"/>
          <w14:ligatures w14:val="standard"/>
          <w14:numForm w14:val="lining"/>
          <w14:numSpacing w14:val="proportional"/>
        </w:rPr>
        <w:t xml:space="preserve"> </w:t>
      </w:r>
      <w:r w:rsidR="4D486116" w:rsidRPr="00E5087D">
        <w:rPr>
          <w:spacing w:val="2"/>
          <w14:ligatures w14:val="standard"/>
          <w14:numForm w14:val="lining"/>
          <w14:numSpacing w14:val="proportional"/>
        </w:rPr>
        <w:t>separately</w:t>
      </w:r>
      <w:r w:rsidR="0A741935" w:rsidRPr="00E5087D">
        <w:rPr>
          <w:spacing w:val="2"/>
          <w14:ligatures w14:val="standard"/>
          <w14:numForm w14:val="lining"/>
          <w14:numSpacing w14:val="proportional"/>
        </w:rPr>
        <w:t>.</w:t>
      </w:r>
      <w:r w:rsidR="00005F2D" w:rsidRPr="00E5087D">
        <w:rPr>
          <w:rStyle w:val="EndnoteReference"/>
          <w:spacing w:val="2"/>
          <w14:ligatures w14:val="standard"/>
          <w14:numForm w14:val="lining"/>
          <w14:numSpacing w14:val="proportional"/>
        </w:rPr>
        <w:endnoteReference w:id="33"/>
      </w:r>
      <w:r w:rsidRPr="00E5087D">
        <w:rPr>
          <w:spacing w:val="2"/>
          <w14:ligatures w14:val="standard"/>
          <w14:numForm w14:val="lining"/>
          <w14:numSpacing w14:val="proportional"/>
        </w:rPr>
        <w:t xml:space="preserve"> Wind Turbine Technicians is another occupation </w:t>
      </w:r>
      <w:r w:rsidR="0009388A">
        <w:rPr>
          <w:spacing w:val="2"/>
          <w14:ligatures w14:val="standard"/>
          <w14:numForm w14:val="lining"/>
          <w14:numSpacing w14:val="proportional"/>
        </w:rPr>
        <w:t>that</w:t>
      </w:r>
      <w:r w:rsidRPr="00E5087D">
        <w:rPr>
          <w:spacing w:val="2"/>
          <w14:ligatures w14:val="standard"/>
          <w14:numForm w14:val="lining"/>
          <w14:numSpacing w14:val="proportional"/>
        </w:rPr>
        <w:t xml:space="preserve"> while identified by the National Skills Commission</w:t>
      </w:r>
      <w:r w:rsidR="49603D72" w:rsidRPr="00E5087D">
        <w:rPr>
          <w:spacing w:val="2"/>
          <w14:ligatures w14:val="standard"/>
          <w14:numForm w14:val="lining"/>
          <w14:numSpacing w14:val="proportional"/>
        </w:rPr>
        <w:t xml:space="preserve"> (NSC)</w:t>
      </w:r>
      <w:r w:rsidRPr="00E5087D">
        <w:rPr>
          <w:spacing w:val="2"/>
          <w14:ligatures w14:val="standard"/>
          <w14:numForm w14:val="lining"/>
          <w14:numSpacing w14:val="proportional"/>
        </w:rPr>
        <w:t xml:space="preserve"> in 2020, did not meet the ABS’ criteria for inclusion. </w:t>
      </w:r>
    </w:p>
    <w:p w14:paraId="531B7833" w14:textId="29B18D9D" w:rsidR="00005F2D" w:rsidRDefault="00847EBD" w:rsidP="00847EBD">
      <w:pPr>
        <w:spacing w:after="360" w:line="276" w:lineRule="auto"/>
        <w:rPr>
          <w:spacing w:val="2"/>
          <w14:ligatures w14:val="standard"/>
          <w14:numForm w14:val="lining"/>
          <w14:numSpacing w14:val="proportional"/>
        </w:rPr>
      </w:pPr>
      <w:r w:rsidRPr="00E5087D">
        <w:rPr>
          <w:noProof/>
        </w:rPr>
        <mc:AlternateContent>
          <mc:Choice Requires="wpg">
            <w:drawing>
              <wp:anchor distT="0" distB="0" distL="114300" distR="114300" simplePos="0" relativeHeight="251658278" behindDoc="1" locked="0" layoutInCell="1" allowOverlap="1" wp14:anchorId="0F3B655D" wp14:editId="72AAC6DA">
                <wp:simplePos x="0" y="0"/>
                <wp:positionH relativeFrom="column">
                  <wp:posOffset>0</wp:posOffset>
                </wp:positionH>
                <wp:positionV relativeFrom="paragraph">
                  <wp:posOffset>1297577</wp:posOffset>
                </wp:positionV>
                <wp:extent cx="5731511" cy="1364342"/>
                <wp:effectExtent l="0" t="0" r="21590" b="26670"/>
                <wp:wrapNone/>
                <wp:docPr id="92" name="Group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1" cy="1364342"/>
                          <a:chOff x="-1" y="33474"/>
                          <a:chExt cx="5880736" cy="588246"/>
                        </a:xfrm>
                      </wpg:grpSpPr>
                      <wps:wsp>
                        <wps:cNvPr id="93" name="Rectangle: Top Corners Rounded 93"/>
                        <wps:cNvSpPr/>
                        <wps:spPr>
                          <a:xfrm>
                            <a:off x="-1" y="33474"/>
                            <a:ext cx="1778230" cy="109398"/>
                          </a:xfrm>
                          <a:prstGeom prst="round2SameRect">
                            <a:avLst/>
                          </a:prstGeom>
                          <a:solidFill>
                            <a:srgbClr val="BAD9C3"/>
                          </a:solidFill>
                          <a:ln>
                            <a:solidFill>
                              <a:srgbClr val="BAD9C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4DB85B" w14:textId="08D0FB1A" w:rsidR="00005F2D" w:rsidRPr="006E07A7" w:rsidRDefault="00005F2D" w:rsidP="00356AD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94" name="Rectangle 94"/>
                        <wps:cNvSpPr/>
                        <wps:spPr>
                          <a:xfrm>
                            <a:off x="0" y="133498"/>
                            <a:ext cx="5880735" cy="488222"/>
                          </a:xfrm>
                          <a:prstGeom prst="rect">
                            <a:avLst/>
                          </a:prstGeom>
                          <a:solidFill>
                            <a:srgbClr val="F2F2F2"/>
                          </a:solidFill>
                          <a:ln>
                            <a:solidFill>
                              <a:srgbClr val="BAD9C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D44A5" w14:textId="64488B50" w:rsidR="00005F2D" w:rsidRPr="00A90F3C" w:rsidRDefault="00005F2D" w:rsidP="00356AD8">
                              <w:pPr>
                                <w:spacing w:after="0" w:line="276" w:lineRule="auto"/>
                                <w:ind w:left="113" w:right="113"/>
                                <w:rPr>
                                  <w:lang w:val="en-US"/>
                                </w:rPr>
                              </w:pP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F3B655D" id="Group 92" o:spid="_x0000_s1041" alt="&quot;&quot;" style="position:absolute;margin-left:0;margin-top:102.15pt;width:451.3pt;height:107.45pt;z-index:-251658202" coordorigin=",334" coordsize="58807,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">
                <v:shape id="Rectangle: Top Corners Rounded 93" o:spid="_x0000_s1042" style="position:absolute;top:334;width:17782;height:1094;visibility:visible;mso-wrap-style:square;v-text-anchor:middle" coordsize="1778230,109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" adj="-11796480,,5400" path="m18233,l1759997,v10070,,18233,8163,18233,18233l1778230,109398r,l,109398r,l,18233c,8163,8163,,18233,xe" fillcolor="#bad9c3" strokecolor="#bad9c3" strokeweight="1pt">
                  <v:stroke joinstyle="miter"/>
                  <v:formulas/>
                  <v:path arrowok="t" o:connecttype="custom" o:connectlocs="18233,0;1759997,0;1778230,18233;1778230,109398;1778230,109398;0,109398;0,109398;0,18233;18233,0" o:connectangles="0,0,0,0,0,0,0,0,0" textboxrect="0,0,1778230,109398"/>
                  <v:textbox inset=",0,,0">
                    <w:txbxContent>
                      <w:p w14:paraId="784DB85B" w14:textId="08D0FB1A" w:rsidR="00005F2D" w:rsidRPr="006E07A7" w:rsidRDefault="00005F2D" w:rsidP="00356AD8">
                        <w:pPr>
                          <w:spacing w:after="0" w:line="240" w:lineRule="auto"/>
                          <w:rPr>
                            <w:b/>
                            <w:bCs/>
                            <w14:numForm w14:val="lining"/>
                            <w14:numSpacing w14:val="proportional"/>
                          </w:rPr>
                        </w:pPr>
                      </w:p>
                    </w:txbxContent>
                  </v:textbox>
                </v:shape>
                <v:rect id="Rectangle 94" o:spid="_x0000_s1043" style="position:absolute;top:1334;width:58807;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" fillcolor="#f2f2f2" strokecolor="#bad9c3" strokeweight="1pt">
                  <v:textbox inset="2mm,1mm,1mm,1mm">
                    <w:txbxContent>
                      <w:p w14:paraId="039D44A5" w14:textId="64488B50" w:rsidR="00005F2D" w:rsidRPr="00A90F3C" w:rsidRDefault="00005F2D" w:rsidP="00356AD8">
                        <w:pPr>
                          <w:spacing w:after="0" w:line="276" w:lineRule="auto"/>
                          <w:ind w:left="113" w:right="113"/>
                          <w:rPr>
                            <w:lang w:val="en-US"/>
                          </w:rPr>
                        </w:pPr>
                      </w:p>
                    </w:txbxContent>
                  </v:textbox>
                </v:rect>
              </v:group>
            </w:pict>
          </mc:Fallback>
        </mc:AlternateContent>
      </w:r>
      <w:r w:rsidR="35F6DB3B" w:rsidRPr="00E5087D">
        <w:rPr>
          <w:spacing w:val="2"/>
          <w14:ligatures w14:val="standard"/>
          <w14:numForm w14:val="lining"/>
          <w14:numSpacing w14:val="proportional"/>
        </w:rPr>
        <w:t xml:space="preserve">This is particularly challenging for government </w:t>
      </w:r>
      <w:r w:rsidR="021D5E5C">
        <w:rPr>
          <w:spacing w:val="2"/>
          <w14:ligatures w14:val="standard"/>
          <w14:numForm w14:val="lining"/>
          <w14:numSpacing w14:val="proportional"/>
        </w:rPr>
        <w:t xml:space="preserve">policy interventions in </w:t>
      </w:r>
      <w:r w:rsidR="000351EE">
        <w:rPr>
          <w:spacing w:val="2"/>
          <w14:ligatures w14:val="standard"/>
          <w14:numForm w14:val="lining"/>
          <w14:numSpacing w14:val="proportional"/>
        </w:rPr>
        <w:t>occupations defined under</w:t>
      </w:r>
      <w:r w:rsidR="021D5E5C">
        <w:rPr>
          <w:spacing w:val="2"/>
          <w14:ligatures w14:val="standard"/>
          <w14:numForm w14:val="lining"/>
          <w14:numSpacing w14:val="proportional"/>
        </w:rPr>
        <w:t xml:space="preserve"> the areas of</w:t>
      </w:r>
      <w:r w:rsidR="35F6DB3B" w:rsidRPr="00E5087D">
        <w:rPr>
          <w:spacing w:val="2"/>
          <w14:ligatures w14:val="standard"/>
          <w14:numForm w14:val="lining"/>
          <w14:numSpacing w14:val="proportional"/>
        </w:rPr>
        <w:t xml:space="preserve"> skilled migration and vocational education that often link eligibility criteria to </w:t>
      </w:r>
      <w:r w:rsidR="25D96E36" w:rsidRPr="00E5087D">
        <w:rPr>
          <w:spacing w:val="2"/>
          <w14:ligatures w14:val="standard"/>
          <w14:numForm w14:val="lining"/>
          <w14:numSpacing w14:val="proportional"/>
        </w:rPr>
        <w:t xml:space="preserve">occupations defined in </w:t>
      </w:r>
      <w:r w:rsidR="35F6DB3B" w:rsidRPr="00E5087D">
        <w:rPr>
          <w:spacing w:val="2"/>
          <w14:ligatures w14:val="standard"/>
          <w14:numForm w14:val="lining"/>
          <w14:numSpacing w14:val="proportional"/>
        </w:rPr>
        <w:t xml:space="preserve">ANZSCO, meaning emerging occupations are often unable to be included or individually targeted. A new, consistent approach to identifying and reporting on emerging occupations could help governments incorporate emerging occupations into program design, without having to </w:t>
      </w:r>
      <w:r w:rsidR="00747803">
        <w:rPr>
          <w:spacing w:val="2"/>
          <w14:ligatures w14:val="standard"/>
          <w14:numForm w14:val="lining"/>
          <w14:numSpacing w14:val="proportional"/>
        </w:rPr>
        <w:t xml:space="preserve">replace or </w:t>
      </w:r>
      <w:r w:rsidR="35F6DB3B" w:rsidRPr="00E5087D">
        <w:rPr>
          <w:spacing w:val="2"/>
          <w14:ligatures w14:val="standard"/>
          <w14:numForm w14:val="lining"/>
          <w14:numSpacing w14:val="proportional"/>
        </w:rPr>
        <w:t>change ANZSCO.</w:t>
      </w:r>
    </w:p>
    <w:p w14:paraId="2C6C8DEE" w14:textId="170E575F" w:rsidR="00847EBD" w:rsidRPr="006E07A7" w:rsidRDefault="00847EBD" w:rsidP="00847EBD">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2.1</w:t>
      </w:r>
    </w:p>
    <w:p w14:paraId="5FDF292C" w14:textId="2C65D1E2" w:rsidR="00005F2D" w:rsidRPr="00EE03B1" w:rsidRDefault="00847EBD" w:rsidP="00EE03B1">
      <w:pPr>
        <w:spacing w:before="200" w:after="0" w:line="276" w:lineRule="auto"/>
        <w:ind w:left="170" w:right="113"/>
        <w:rPr>
          <w:lang w:val="en-US"/>
        </w:rPr>
      </w:pPr>
      <w:r w:rsidRPr="007920E0">
        <w:rPr>
          <w:lang w:val="en-US"/>
        </w:rPr>
        <w:t>In consultation with stakeholders, J</w:t>
      </w:r>
      <w:r>
        <w:rPr>
          <w:lang w:val="en-US"/>
        </w:rPr>
        <w:t>SA</w:t>
      </w:r>
      <w:r w:rsidRPr="007920E0">
        <w:rPr>
          <w:lang w:val="en-US"/>
        </w:rPr>
        <w:t xml:space="preserve"> and the A</w:t>
      </w:r>
      <w:r>
        <w:rPr>
          <w:lang w:val="en-US"/>
        </w:rPr>
        <w:t>BS</w:t>
      </w:r>
      <w:r w:rsidRPr="007920E0">
        <w:rPr>
          <w:lang w:val="en-US"/>
        </w:rPr>
        <w:t xml:space="preserve"> should explore </w:t>
      </w:r>
      <w:r>
        <w:rPr>
          <w:lang w:val="en-US"/>
        </w:rPr>
        <w:t>opportunities for a new</w:t>
      </w:r>
      <w:r w:rsidRPr="007920E0">
        <w:rPr>
          <w:lang w:val="en-US"/>
        </w:rPr>
        <w:t xml:space="preserve"> mechanism to </w:t>
      </w:r>
      <w:r>
        <w:rPr>
          <w:lang w:val="en-US"/>
        </w:rPr>
        <w:t>identify</w:t>
      </w:r>
      <w:r w:rsidRPr="007920E0">
        <w:rPr>
          <w:lang w:val="en-US"/>
        </w:rPr>
        <w:t xml:space="preserve"> emerging occupations in the labour market that don’t meet ANZSCO criteria. A </w:t>
      </w:r>
      <w:r>
        <w:rPr>
          <w:lang w:val="en-US"/>
        </w:rPr>
        <w:t xml:space="preserve">consistent and </w:t>
      </w:r>
      <w:r w:rsidRPr="007920E0">
        <w:rPr>
          <w:lang w:val="en-US"/>
        </w:rPr>
        <w:t xml:space="preserve">evidence-based </w:t>
      </w:r>
      <w:r>
        <w:rPr>
          <w:lang w:val="en-US"/>
        </w:rPr>
        <w:t xml:space="preserve">approach </w:t>
      </w:r>
      <w:r w:rsidRPr="007920E0">
        <w:rPr>
          <w:lang w:val="en-US"/>
        </w:rPr>
        <w:t>could allow government systems, like migration and VET, to better respond to and acknowledge emerging roles without undermining the core principles of ANZSCO</w:t>
      </w:r>
      <w:r>
        <w:rPr>
          <w:lang w:val="en-US"/>
        </w:rPr>
        <w:t xml:space="preserve"> and the restructure work underway.</w:t>
      </w:r>
    </w:p>
    <w:p w14:paraId="3EF31C8E" w14:textId="77777777" w:rsidR="005B0E80" w:rsidRPr="00E5087D" w:rsidRDefault="005B0E80">
      <w:pPr>
        <w:rPr>
          <w:spacing w:val="2"/>
          <w14:ligatures w14:val="standard"/>
          <w14:numForm w14:val="lining"/>
          <w14:numSpacing w14:val="proportional"/>
        </w:rPr>
      </w:pPr>
      <w:r w:rsidRPr="00E5087D">
        <w:rPr>
          <w:spacing w:val="2"/>
          <w14:ligatures w14:val="standard"/>
          <w14:numForm w14:val="lining"/>
          <w14:numSpacing w14:val="proportional"/>
        </w:rPr>
        <w:br w:type="page"/>
      </w:r>
    </w:p>
    <w:p w14:paraId="3B5F53BB" w14:textId="19D9D915" w:rsidR="00C57F85" w:rsidRPr="00E5087D" w:rsidRDefault="0000313B" w:rsidP="005B0E80">
      <w:pPr>
        <w:spacing w:before="48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lastRenderedPageBreak/>
        <w:t>Exploratory analysis produced by the NSC in 2020 highlighted four key emerging occupations</w:t>
      </w:r>
      <w:r w:rsidR="00BA5F50" w:rsidRPr="00E5087D">
        <w:rPr>
          <w:spacing w:val="2"/>
          <w14:ligatures w14:val="standard"/>
          <w14:numForm w14:val="lining"/>
          <w14:numSpacing w14:val="proportional"/>
        </w:rPr>
        <w:t xml:space="preserve"> related to clean energy</w:t>
      </w:r>
      <w:r w:rsidRPr="00E5087D">
        <w:rPr>
          <w:spacing w:val="2"/>
          <w14:ligatures w14:val="standard"/>
          <w14:numForm w14:val="lining"/>
          <w14:numSpacing w14:val="proportional"/>
        </w:rPr>
        <w:t xml:space="preserve">: Solar Installers (mapped to Electricians), Wind Turbine Technicians (mapped to Power Generation Plant Operator), Energy Auditors and Energy Efficiency Engineers. </w:t>
      </w:r>
      <w:r w:rsidR="00500A87" w:rsidRPr="00500A87">
        <w:rPr>
          <w:spacing w:val="2"/>
          <w14:ligatures w14:val="standard"/>
          <w14:numForm w14:val="lining"/>
          <w14:numSpacing w14:val="proportional"/>
        </w:rPr>
        <w:t>JSA</w:t>
      </w:r>
      <w:r w:rsidRPr="00E5087D">
        <w:rPr>
          <w:spacing w:val="2"/>
          <w14:ligatures w14:val="standard"/>
          <w14:numForm w14:val="lining"/>
          <w14:numSpacing w14:val="proportional"/>
        </w:rPr>
        <w:t xml:space="preserve"> has since taken carriage of this work, with Figure </w:t>
      </w:r>
      <w:r w:rsidR="00B31D90">
        <w:rPr>
          <w:spacing w:val="2"/>
          <w14:ligatures w14:val="standard"/>
          <w14:numForm w14:val="lining"/>
          <w14:numSpacing w14:val="proportional"/>
        </w:rPr>
        <w:t>2.4</w:t>
      </w:r>
      <w:r w:rsidR="005B0E80" w:rsidRPr="00E5087D">
        <w:rPr>
          <w:spacing w:val="2"/>
          <w14:ligatures w14:val="standard"/>
          <w14:numForm w14:val="lining"/>
          <w14:numSpacing w14:val="proportional"/>
        </w:rPr>
        <w:t xml:space="preserve"> showing how job advertisements for these roles have grown.</w:t>
      </w:r>
    </w:p>
    <w:p w14:paraId="4DE787AC" w14:textId="7D3DD005" w:rsidR="0000313B" w:rsidRPr="00E5087D" w:rsidRDefault="0000313B" w:rsidP="00EE03B1">
      <w:pPr>
        <w:pBdr>
          <w:top w:val="single" w:sz="4" w:space="5" w:color="BFBFBF" w:themeColor="background1" w:themeShade="BF"/>
        </w:pBdr>
        <w:spacing w:before="240" w:after="0" w:line="276" w:lineRule="auto"/>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Figure </w:t>
      </w:r>
      <w:r w:rsidR="00B31D90">
        <w:rPr>
          <w:b/>
          <w:bCs/>
          <w:spacing w:val="2"/>
          <w14:ligatures w14:val="standard"/>
          <w14:numForm w14:val="lining"/>
          <w14:numSpacing w14:val="proportional"/>
        </w:rPr>
        <w:t>2.4.</w:t>
      </w:r>
      <w:r w:rsidRPr="00E5087D">
        <w:rPr>
          <w:b/>
          <w:bCs/>
          <w:spacing w:val="2"/>
          <w14:ligatures w14:val="standard"/>
          <w14:numForm w14:val="lining"/>
          <w14:numSpacing w14:val="proportional"/>
        </w:rPr>
        <w:t xml:space="preserve"> Job posting counts for emerging occupations</w:t>
      </w:r>
    </w:p>
    <w:p w14:paraId="575F158B" w14:textId="2A07390C" w:rsidR="00CF4A94" w:rsidRPr="00E5087D" w:rsidRDefault="00CF4A94" w:rsidP="00891779">
      <w:pPr>
        <w:spacing w:after="0" w:line="276" w:lineRule="auto"/>
        <w:rPr>
          <w:b/>
          <w:bCs/>
          <w:spacing w:val="2"/>
          <w14:ligatures w14:val="standard"/>
          <w14:numForm w14:val="lining"/>
          <w14:numSpacing w14:val="proportional"/>
        </w:rPr>
      </w:pPr>
      <w:r>
        <w:rPr>
          <w:noProof/>
        </w:rPr>
        <w:drawing>
          <wp:inline distT="0" distB="0" distL="0" distR="0" wp14:anchorId="72245833" wp14:editId="685745A5">
            <wp:extent cx="5731510" cy="3192780"/>
            <wp:effectExtent l="0" t="0" r="2540" b="7620"/>
            <wp:docPr id="2025630333" name="Graphic 2025630333" descr="This figure captures  job posting counts for emerging occupations between 2018 and 2022, showing that the occupation with the highest demand is energy auditor. This is followed by Energy Efficiency Engineers, Solar Photovoltaic Installers and Wind Turbine Technic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30333" name="Graphic 2025630333" descr="This figure captures  job posting counts for emerging occupations between 2018 and 2022, showing that the occupation with the highest demand is energy auditor. This is followed by Energy Efficiency Engineers, Solar Photovoltaic Installers and Wind Turbine Technicians. "/>
                    <pic:cNvPicPr/>
                  </pic:nvPicPr>
                  <pic:blipFill>
                    <a:blip r:embed="rId67">
                      <a:extLst>
                        <a:ext uri="{96DAC541-7B7A-43D3-8B79-37D633B846F1}">
                          <asvg:svgBlip xmlns:asvg="http://schemas.microsoft.com/office/drawing/2016/SVG/main" r:embed="rId68"/>
                        </a:ext>
                      </a:extLst>
                    </a:blip>
                    <a:stretch>
                      <a:fillRect/>
                    </a:stretch>
                  </pic:blipFill>
                  <pic:spPr>
                    <a:xfrm>
                      <a:off x="0" y="0"/>
                      <a:ext cx="5731510" cy="3192780"/>
                    </a:xfrm>
                    <a:prstGeom prst="rect">
                      <a:avLst/>
                    </a:prstGeom>
                  </pic:spPr>
                </pic:pic>
              </a:graphicData>
            </a:graphic>
          </wp:inline>
        </w:drawing>
      </w:r>
    </w:p>
    <w:p w14:paraId="09D91859" w14:textId="37ED1C01" w:rsidR="0000313B" w:rsidRPr="00E5087D" w:rsidRDefault="0000313B" w:rsidP="0000313B">
      <w:pPr>
        <w:spacing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Source: </w:t>
      </w:r>
      <w:r w:rsidR="00500A87" w:rsidRPr="00500A87">
        <w:rPr>
          <w:spacing w:val="2"/>
          <w:sz w:val="18"/>
          <w:szCs w:val="18"/>
          <w14:ligatures w14:val="standard"/>
          <w14:numForm w14:val="lining"/>
          <w14:numSpacing w14:val="proportional"/>
        </w:rPr>
        <w:t>JSA</w:t>
      </w:r>
      <w:r w:rsidRPr="00E5087D">
        <w:rPr>
          <w:spacing w:val="2"/>
          <w:sz w:val="18"/>
          <w:szCs w:val="18"/>
          <w14:ligatures w14:val="standard"/>
          <w14:numForm w14:val="lining"/>
          <w14:numSpacing w14:val="proportional"/>
        </w:rPr>
        <w:t xml:space="preserve"> 2023, Lightcast</w:t>
      </w:r>
    </w:p>
    <w:p w14:paraId="5461E4F4" w14:textId="0AC3979B" w:rsidR="0000313B" w:rsidRPr="00E5087D" w:rsidRDefault="0000313B" w:rsidP="0000313B">
      <w:p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The data analytics function within JSA is currently researching a range of new and emerging occupations, with some occupations having relevance to the clean energy sector. Exploratory analysis </w:t>
      </w:r>
      <w:r w:rsidR="000E0010" w:rsidRPr="00E5087D">
        <w:rPr>
          <w:spacing w:val="2"/>
          <w14:ligatures w14:val="standard"/>
          <w14:numForm w14:val="lining"/>
          <w14:numSpacing w14:val="proportional"/>
        </w:rPr>
        <w:t>has</w:t>
      </w:r>
      <w:r w:rsidRPr="00E5087D">
        <w:rPr>
          <w:spacing w:val="2"/>
          <w14:ligatures w14:val="standard"/>
          <w14:numForm w14:val="lining"/>
          <w14:numSpacing w14:val="proportional"/>
        </w:rPr>
        <w:t xml:space="preserve"> identified the following list of occupations, including: </w:t>
      </w:r>
    </w:p>
    <w:p w14:paraId="51ED0427" w14:textId="698EB6C4" w:rsidR="0000313B" w:rsidRDefault="00C27AFC"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C27AFC">
        <w:rPr>
          <w:spacing w:val="2"/>
          <w14:ligatures w14:val="standard"/>
          <w14:numForm w14:val="lining"/>
          <w14:numSpacing w14:val="proportional"/>
        </w:rPr>
        <w:t>EV</w:t>
      </w:r>
      <w:r w:rsidR="00C92F19">
        <w:rPr>
          <w:spacing w:val="2"/>
          <w14:ligatures w14:val="standard"/>
          <w14:numForm w14:val="lining"/>
          <w14:numSpacing w14:val="proportional"/>
        </w:rPr>
        <w:t xml:space="preserve"> Mechanic</w:t>
      </w:r>
    </w:p>
    <w:p w14:paraId="1DC87364" w14:textId="318F472C"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Climate Change Analyst</w:t>
      </w:r>
    </w:p>
    <w:p w14:paraId="7A2947A5" w14:textId="36FC6EBA"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Recycling Coordinator</w:t>
      </w:r>
    </w:p>
    <w:p w14:paraId="1FB201B9" w14:textId="46ABD68D"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Energy Broker</w:t>
      </w:r>
    </w:p>
    <w:p w14:paraId="03566639" w14:textId="0FF45F4B" w:rsidR="00C92F19"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Solar Energy Systems Engineer</w:t>
      </w:r>
    </w:p>
    <w:p w14:paraId="52769223" w14:textId="54862D2A" w:rsidR="00C92F19" w:rsidRPr="00E5087D" w:rsidRDefault="00C92F19"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Pr>
          <w:spacing w:val="2"/>
          <w14:ligatures w14:val="standard"/>
          <w14:numForm w14:val="lining"/>
          <w14:numSpacing w14:val="proportional"/>
        </w:rPr>
        <w:t>Weatherisation Installers and Technicians</w:t>
      </w:r>
      <w:r w:rsidR="00D86030">
        <w:rPr>
          <w:spacing w:val="2"/>
          <w14:ligatures w14:val="standard"/>
          <w14:numForm w14:val="lining"/>
          <w14:numSpacing w14:val="proportional"/>
        </w:rPr>
        <w:t>.</w:t>
      </w:r>
    </w:p>
    <w:p w14:paraId="0CC51DB2" w14:textId="709EC69F" w:rsidR="0000313B" w:rsidRPr="00E5087D" w:rsidRDefault="000E0010" w:rsidP="0000313B">
      <w:pPr>
        <w:spacing w:before="16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During the course of this study, s</w:t>
      </w:r>
      <w:r w:rsidR="0000313B" w:rsidRPr="00E5087D">
        <w:rPr>
          <w:spacing w:val="2"/>
          <w14:ligatures w14:val="standard"/>
          <w14:numForm w14:val="lining"/>
          <w14:numSpacing w14:val="proportional"/>
        </w:rPr>
        <w:t xml:space="preserve">takeholders have also raised a range of </w:t>
      </w:r>
      <w:r w:rsidRPr="00E5087D">
        <w:rPr>
          <w:spacing w:val="2"/>
          <w14:ligatures w14:val="standard"/>
          <w14:numForm w14:val="lining"/>
          <w14:numSpacing w14:val="proportional"/>
        </w:rPr>
        <w:t xml:space="preserve">other </w:t>
      </w:r>
      <w:r w:rsidR="0000313B" w:rsidRPr="00E5087D">
        <w:rPr>
          <w:spacing w:val="2"/>
          <w14:ligatures w14:val="standard"/>
          <w14:numForm w14:val="lining"/>
          <w14:numSpacing w14:val="proportional"/>
        </w:rPr>
        <w:t>potential emerging occupations, including:</w:t>
      </w:r>
    </w:p>
    <w:p w14:paraId="0110DAC2"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Carbon capture and storage specialists</w:t>
      </w:r>
    </w:p>
    <w:p w14:paraId="1947C323"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Hydrogen fuel cell technicians</w:t>
      </w:r>
    </w:p>
    <w:p w14:paraId="7115CDFC"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Battery design specialists (grid and residential)</w:t>
      </w:r>
    </w:p>
    <w:p w14:paraId="6C8C2632" w14:textId="77777777" w:rsidR="0000313B" w:rsidRPr="00E5087D" w:rsidRDefault="0000313B" w:rsidP="00F25595">
      <w:pPr>
        <w:pStyle w:val="ListParagraph"/>
        <w:numPr>
          <w:ilvl w:val="0"/>
          <w:numId w:val="18"/>
        </w:numPr>
        <w:spacing w:after="0" w:line="276" w:lineRule="auto"/>
        <w:ind w:left="714" w:hanging="357"/>
        <w:contextualSpacing w:val="0"/>
        <w:rPr>
          <w:spacing w:val="2"/>
          <w14:ligatures w14:val="standard"/>
          <w14:numForm w14:val="lining"/>
          <w14:numSpacing w14:val="proportional"/>
        </w:rPr>
      </w:pPr>
      <w:r w:rsidRPr="00E5087D">
        <w:rPr>
          <w:spacing w:val="2"/>
          <w14:ligatures w14:val="standard"/>
          <w14:numForm w14:val="lining"/>
          <w14:numSpacing w14:val="proportional"/>
        </w:rPr>
        <w:t>Battery recycling specialists</w:t>
      </w:r>
    </w:p>
    <w:p w14:paraId="57A22A7F" w14:textId="2DAF30CE" w:rsidR="000E0010" w:rsidRPr="00E5087D" w:rsidRDefault="0000313B" w:rsidP="00F25595">
      <w:pPr>
        <w:pStyle w:val="ListParagraph"/>
        <w:numPr>
          <w:ilvl w:val="0"/>
          <w:numId w:val="18"/>
        </w:numPr>
        <w:spacing w:after="0" w:line="276" w:lineRule="auto"/>
        <w:rPr>
          <w:spacing w:val="2"/>
          <w14:ligatures w14:val="standard"/>
          <w14:numForm w14:val="lining"/>
          <w14:numSpacing w14:val="proportional"/>
        </w:rPr>
      </w:pPr>
      <w:r w:rsidRPr="00E5087D">
        <w:rPr>
          <w:spacing w:val="2"/>
          <w14:ligatures w14:val="standard"/>
          <w14:numForm w14:val="lining"/>
          <w14:numSpacing w14:val="proportional"/>
        </w:rPr>
        <w:t>Blade engineers</w:t>
      </w:r>
      <w:r w:rsidR="00D86030">
        <w:rPr>
          <w:spacing w:val="2"/>
          <w14:ligatures w14:val="standard"/>
          <w14:numForm w14:val="lining"/>
          <w14:numSpacing w14:val="proportional"/>
        </w:rPr>
        <w:t>.</w:t>
      </w:r>
    </w:p>
    <w:p w14:paraId="7492790B" w14:textId="77777777" w:rsidR="000E0010" w:rsidRPr="00E5087D" w:rsidRDefault="000E0010">
      <w:pPr>
        <w:rPr>
          <w:spacing w:val="2"/>
          <w14:ligatures w14:val="standard"/>
          <w14:numForm w14:val="lining"/>
          <w14:numSpacing w14:val="proportional"/>
        </w:rPr>
      </w:pPr>
      <w:r w:rsidRPr="00E5087D">
        <w:rPr>
          <w:spacing w:val="2"/>
          <w14:ligatures w14:val="standard"/>
          <w14:numForm w14:val="lining"/>
          <w14:numSpacing w14:val="proportional"/>
        </w:rPr>
        <w:br w:type="page"/>
      </w:r>
    </w:p>
    <w:p w14:paraId="1275D1F9" w14:textId="3A03964B" w:rsidR="0000313B" w:rsidRPr="00E5087D" w:rsidRDefault="19152597" w:rsidP="388C0A0B">
      <w:pPr>
        <w:pBdr>
          <w:top w:val="single" w:sz="4" w:space="6" w:color="BFBFBF" w:themeColor="background1" w:themeShade="BF"/>
        </w:pBdr>
        <w:spacing w:before="120" w:after="0" w:line="276" w:lineRule="auto"/>
        <w:rPr>
          <w:b/>
          <w:bCs/>
          <w:spacing w:val="2"/>
          <w14:ligatures w14:val="standard"/>
          <w14:numForm w14:val="lining"/>
          <w14:numSpacing w14:val="proportional"/>
        </w:rPr>
      </w:pPr>
      <w:r w:rsidRPr="00E5087D">
        <w:rPr>
          <w:b/>
          <w:bCs/>
          <w:spacing w:val="2"/>
          <w14:ligatures w14:val="standard"/>
          <w14:numForm w14:val="lining"/>
          <w14:numSpacing w14:val="proportional"/>
        </w:rPr>
        <w:lastRenderedPageBreak/>
        <w:t xml:space="preserve">Figure </w:t>
      </w:r>
      <w:r w:rsidR="41839734">
        <w:rPr>
          <w:b/>
          <w:bCs/>
          <w:spacing w:val="2"/>
          <w14:ligatures w14:val="standard"/>
          <w14:numForm w14:val="lining"/>
          <w14:numSpacing w14:val="proportional"/>
        </w:rPr>
        <w:t>2.5</w:t>
      </w:r>
      <w:r w:rsidR="1A257E2B">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Job posting counts for potential emerging occupations</w:t>
      </w:r>
    </w:p>
    <w:p w14:paraId="4D04F7AE" w14:textId="35EDD08B" w:rsidR="0000313B" w:rsidRPr="00E5087D" w:rsidRDefault="00C92F19" w:rsidP="0000313B">
      <w:pPr>
        <w:spacing w:after="0" w:line="276" w:lineRule="auto"/>
        <w:rPr>
          <w:spacing w:val="2"/>
          <w14:ligatures w14:val="standard"/>
          <w14:numForm w14:val="lining"/>
          <w14:numSpacing w14:val="proportional"/>
        </w:rPr>
      </w:pPr>
      <w:r>
        <w:rPr>
          <w:noProof/>
        </w:rPr>
        <w:drawing>
          <wp:inline distT="0" distB="0" distL="0" distR="0" wp14:anchorId="7F664826" wp14:editId="2FFB06C7">
            <wp:extent cx="5731510" cy="3161665"/>
            <wp:effectExtent l="0" t="0" r="2540" b="635"/>
            <wp:docPr id="1433023291" name="Graphic 1433023291" descr="This figure captures job posting counts for potential emerging occupations between 2018 and 2022, showing that the occupation with the highest demand in 2022 was electric vehicle mechanic. This was followed by climate change analysts, recycling coordinators, energy brokers, solar energy systems engineers, and weatherisation installers and technic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23291" name="Graphic 1433023291" descr="This figure captures job posting counts for potential emerging occupations between 2018 and 2022, showing that the occupation with the highest demand in 2022 was electric vehicle mechanic. This was followed by climate change analysts, recycling coordinators, energy brokers, solar energy systems engineers, and weatherisation installers and technicians. "/>
                    <pic:cNvPicPr/>
                  </pic:nvPicPr>
                  <pic:blipFill>
                    <a:blip r:embed="rId69">
                      <a:extLst>
                        <a:ext uri="{96DAC541-7B7A-43D3-8B79-37D633B846F1}">
                          <asvg:svgBlip xmlns:asvg="http://schemas.microsoft.com/office/drawing/2016/SVG/main" r:embed="rId70"/>
                        </a:ext>
                      </a:extLst>
                    </a:blip>
                    <a:stretch>
                      <a:fillRect/>
                    </a:stretch>
                  </pic:blipFill>
                  <pic:spPr>
                    <a:xfrm>
                      <a:off x="0" y="0"/>
                      <a:ext cx="5731510" cy="3161665"/>
                    </a:xfrm>
                    <a:prstGeom prst="rect">
                      <a:avLst/>
                    </a:prstGeom>
                  </pic:spPr>
                </pic:pic>
              </a:graphicData>
            </a:graphic>
          </wp:inline>
        </w:drawing>
      </w:r>
    </w:p>
    <w:p w14:paraId="529E9DDC" w14:textId="4D047FE9" w:rsidR="0000313B" w:rsidRPr="00E5087D" w:rsidRDefault="0000313B" w:rsidP="00CC1E2D">
      <w:pPr>
        <w:spacing w:after="36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Source: </w:t>
      </w:r>
      <w:r w:rsidR="00500A87" w:rsidRPr="00500A87">
        <w:rPr>
          <w:spacing w:val="2"/>
          <w:sz w:val="18"/>
          <w:szCs w:val="18"/>
          <w14:ligatures w14:val="standard"/>
          <w14:numForm w14:val="lining"/>
          <w14:numSpacing w14:val="proportional"/>
        </w:rPr>
        <w:t>JSA</w:t>
      </w:r>
      <w:r w:rsidRPr="00E5087D">
        <w:rPr>
          <w:spacing w:val="2"/>
          <w:sz w:val="18"/>
          <w:szCs w:val="18"/>
          <w14:ligatures w14:val="standard"/>
          <w14:numForm w14:val="lining"/>
          <w14:numSpacing w14:val="proportional"/>
        </w:rPr>
        <w:t xml:space="preserve"> 2023, Lightcast</w:t>
      </w:r>
      <w:r w:rsidR="00341386">
        <w:rPr>
          <w:spacing w:val="2"/>
          <w:sz w:val="18"/>
          <w:szCs w:val="18"/>
          <w14:ligatures w14:val="standard"/>
          <w14:numForm w14:val="lining"/>
          <w14:numSpacing w14:val="proportional"/>
        </w:rPr>
        <w:t xml:space="preserve"> job advertisement data.</w:t>
      </w:r>
    </w:p>
    <w:p w14:paraId="13CDD1DA" w14:textId="77777777" w:rsidR="00C92F19" w:rsidRDefault="00C92F19">
      <w:pPr>
        <w:rPr>
          <w:rFonts w:asciiTheme="minorHAnsi" w:eastAsiaTheme="majorEastAsia" w:hAnsiTheme="minorHAnsi" w:cstheme="minorHAnsi"/>
          <w:b/>
          <w:sz w:val="56"/>
          <w:szCs w:val="26"/>
        </w:rPr>
      </w:pPr>
      <w:r>
        <w:rPr>
          <w:rFonts w:asciiTheme="minorHAnsi" w:hAnsiTheme="minorHAnsi" w:cstheme="minorHAnsi"/>
        </w:rPr>
        <w:br w:type="page"/>
      </w:r>
    </w:p>
    <w:p w14:paraId="45D1337B" w14:textId="4A9A12BE" w:rsidR="00EC2D19" w:rsidRPr="00E5087D" w:rsidRDefault="00EC2D19" w:rsidP="00EC2D19">
      <w:pPr>
        <w:pStyle w:val="Heading2"/>
      </w:pPr>
      <w:bookmarkStart w:id="34" w:name="_Toc146892668"/>
      <w:r w:rsidRPr="00D05592">
        <w:rPr>
          <w:rFonts w:asciiTheme="minorHAnsi" w:hAnsiTheme="minorHAnsi" w:cstheme="minorHAnsi"/>
        </w:rPr>
        <w:lastRenderedPageBreak/>
        <w:t>2</w:t>
      </w:r>
      <w:r w:rsidRPr="00D05592">
        <w:rPr>
          <w:rFonts w:asciiTheme="minorHAnsi" w:hAnsiTheme="minorHAnsi" w:cstheme="minorHAnsi"/>
          <w:smallCaps/>
        </w:rPr>
        <w:t>d</w:t>
      </w:r>
      <w:r w:rsidRPr="00D05592">
        <w:rPr>
          <w:rFonts w:asciiTheme="minorHAnsi" w:hAnsiTheme="minorHAnsi" w:cstheme="minorHAnsi"/>
        </w:rPr>
        <w:t>.</w:t>
      </w:r>
      <w:r w:rsidRPr="00E5087D">
        <w:t xml:space="preserve"> </w:t>
      </w:r>
      <w:r w:rsidRPr="00E5087D">
        <w:rPr>
          <w:b w:val="0"/>
          <w:bCs/>
        </w:rPr>
        <w:t>Data limitations</w:t>
      </w:r>
      <w:bookmarkEnd w:id="34"/>
    </w:p>
    <w:p w14:paraId="05B0D7D8" w14:textId="77777777" w:rsidR="00EC2D19" w:rsidRPr="00E5087D" w:rsidRDefault="00EC2D19" w:rsidP="00EC2D19">
      <w:pPr>
        <w:pStyle w:val="Bodycopy"/>
        <w:spacing w:after="120" w:line="276" w:lineRule="auto"/>
        <w:rPr>
          <w:b/>
          <w:bCs/>
          <w14:numForm w14:val="lining"/>
          <w14:numSpacing w14:val="proportional"/>
        </w:rPr>
      </w:pPr>
      <w:r w:rsidRPr="00E5087D">
        <w:rPr>
          <w14:numForm w14:val="lining"/>
          <w14:numSpacing w14:val="proportional"/>
        </w:rPr>
        <w:t>While this study addresses a number of information gaps, longer-term solutions will be needed to truly improve the data landscape for this critical sector.</w:t>
      </w:r>
    </w:p>
    <w:p w14:paraId="6C552AFE" w14:textId="1F4523A8" w:rsidR="00EC2D19" w:rsidRPr="00E5087D" w:rsidRDefault="3DB10B58" w:rsidP="00EC2D19">
      <w:pPr>
        <w:pStyle w:val="Bodycopy"/>
        <w:spacing w:after="120" w:line="276" w:lineRule="auto"/>
      </w:pPr>
      <w:r w:rsidRPr="00E5087D">
        <w:rPr>
          <w14:numForm w14:val="lining"/>
          <w14:numSpacing w14:val="proportional"/>
        </w:rPr>
        <w:t xml:space="preserve">Earlier this year, the Australian Government launched the first AEER survey to provide a sample </w:t>
      </w:r>
      <w:r w:rsidR="51CC02E5" w:rsidRPr="00E5087D">
        <w:rPr>
          <w14:numForm w14:val="lining"/>
          <w14:numSpacing w14:val="proportional"/>
        </w:rPr>
        <w:t xml:space="preserve">data </w:t>
      </w:r>
      <w:r w:rsidRPr="00E5087D">
        <w:rPr>
          <w14:numForm w14:val="lining"/>
          <w14:numSpacing w14:val="proportional"/>
        </w:rPr>
        <w:t>of the energy workforce.</w:t>
      </w:r>
      <w:r w:rsidR="4ACF3C3B">
        <w:rPr>
          <w14:numForm w14:val="lining"/>
          <w14:numSpacing w14:val="proportional"/>
        </w:rPr>
        <w:t xml:space="preserve"> </w:t>
      </w:r>
      <w:r w:rsidR="4ACF3C3B" w:rsidRPr="00A27434">
        <w:rPr>
          <w14:numForm w14:val="lining"/>
          <w14:numSpacing w14:val="proportional"/>
        </w:rPr>
        <w:t>Unfortunately</w:t>
      </w:r>
      <w:r w:rsidR="245916D9" w:rsidRPr="00A27434">
        <w:rPr>
          <w14:numForm w14:val="lining"/>
          <w14:numSpacing w14:val="proportional"/>
        </w:rPr>
        <w:t>,</w:t>
      </w:r>
      <w:r w:rsidR="4ACF3C3B" w:rsidRPr="00A27434">
        <w:rPr>
          <w14:numForm w14:val="lining"/>
          <w14:numSpacing w14:val="proportional"/>
        </w:rPr>
        <w:t xml:space="preserve"> due to a low response rate and non-random sample, the survey produced limited quantitative results.</w:t>
      </w:r>
      <w:r w:rsidRPr="00E5087D">
        <w:rPr>
          <w14:numForm w14:val="lining"/>
          <w14:numSpacing w14:val="proportional"/>
        </w:rPr>
        <w:t xml:space="preserve"> </w:t>
      </w:r>
    </w:p>
    <w:p w14:paraId="1A5F54F3" w14:textId="6CB76DF4" w:rsidR="00EC2D19" w:rsidRDefault="00EC2D19" w:rsidP="00EC2D19">
      <w:pPr>
        <w:pStyle w:val="Bodycopy"/>
        <w:spacing w:before="120" w:after="240" w:line="276" w:lineRule="auto"/>
      </w:pPr>
      <w:r w:rsidRPr="00E5087D">
        <w:rPr>
          <w14:numForm w14:val="lining"/>
          <w14:numSpacing w14:val="proportional"/>
        </w:rPr>
        <w:t xml:space="preserve">JSA will work with DCCEEW to develop a business case to build on the capability of the AEER and broaden its data collection in future years. A well-developed AEER would support many areas of government, industry and the education and training sector to effectively manage the clean energy </w:t>
      </w:r>
      <w:r w:rsidR="00621DD8">
        <w:rPr>
          <w14:numForm w14:val="lining"/>
          <w14:numSpacing w14:val="proportional"/>
        </w:rPr>
        <w:t>transformation</w:t>
      </w:r>
      <w:r w:rsidRPr="00E5087D">
        <w:t>.</w:t>
      </w:r>
    </w:p>
    <w:p w14:paraId="5AB5E088" w14:textId="67216F9C" w:rsidR="00D550F7" w:rsidRPr="006E07A7" w:rsidRDefault="00D550F7" w:rsidP="00D550F7">
      <w:pPr>
        <w:spacing w:before="360" w:after="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79" behindDoc="1" locked="0" layoutInCell="1" allowOverlap="1" wp14:anchorId="401A17CA" wp14:editId="49F814F1">
                <wp:simplePos x="0" y="0"/>
                <wp:positionH relativeFrom="column">
                  <wp:posOffset>0</wp:posOffset>
                </wp:positionH>
                <wp:positionV relativeFrom="paragraph">
                  <wp:posOffset>44087</wp:posOffset>
                </wp:positionV>
                <wp:extent cx="5731510" cy="1516745"/>
                <wp:effectExtent l="0" t="0" r="21590" b="26670"/>
                <wp:wrapNone/>
                <wp:docPr id="98" name="Group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516745"/>
                          <a:chOff x="0" y="0"/>
                          <a:chExt cx="5880735" cy="939901"/>
                        </a:xfrm>
                      </wpg:grpSpPr>
                      <wps:wsp>
                        <wps:cNvPr id="99" name="Rectangle: Top Corners Rounded 99"/>
                        <wps:cNvSpPr/>
                        <wps:spPr>
                          <a:xfrm>
                            <a:off x="0" y="0"/>
                            <a:ext cx="1772990" cy="142909"/>
                          </a:xfrm>
                          <a:prstGeom prst="round2SameRect">
                            <a:avLst/>
                          </a:prstGeom>
                          <a:solidFill>
                            <a:srgbClr val="BAD9C3"/>
                          </a:solidFill>
                          <a:ln>
                            <a:solidFill>
                              <a:srgbClr val="BAD9C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14619E8" w14:textId="77777777" w:rsidR="00D550F7" w:rsidRPr="006E07A7" w:rsidRDefault="00D550F7" w:rsidP="00D550F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0" name="Rectangle 100"/>
                        <wps:cNvSpPr/>
                        <wps:spPr>
                          <a:xfrm>
                            <a:off x="0" y="133531"/>
                            <a:ext cx="5880735" cy="806370"/>
                          </a:xfrm>
                          <a:prstGeom prst="rect">
                            <a:avLst/>
                          </a:prstGeom>
                          <a:solidFill>
                            <a:srgbClr val="F2F2F2"/>
                          </a:solidFill>
                          <a:ln>
                            <a:solidFill>
                              <a:srgbClr val="BAD9C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CB65" w14:textId="77777777" w:rsidR="00D550F7" w:rsidRPr="00A90F3C" w:rsidRDefault="00D550F7" w:rsidP="00D550F7">
                              <w:pPr>
                                <w:spacing w:after="0" w:line="276" w:lineRule="auto"/>
                                <w:ind w:left="113" w:right="113"/>
                                <w:rPr>
                                  <w:lang w:val="en-US"/>
                                </w:rPr>
                              </w:pP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01A17CA" id="Group 98" o:spid="_x0000_s1044" alt="&quot;&quot;" style="position:absolute;left:0;text-align:left;margin-left:0;margin-top:3.45pt;width:451.3pt;height:119.45pt;z-index:-251658201;mso-height-relative:margin" coordsize="58807,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">
                <v:shape id="Rectangle: Top Corners Rounded 99" o:spid="_x0000_s1045" style="position:absolute;width:17729;height:1429;visibility:visible;mso-wrap-style:square;v-text-anchor:middle" coordsize="1772990,142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" adj="-11796480,,5400" path="m23819,l1749171,v13155,,23819,10664,23819,23819l1772990,142909r,l,142909r,l,23819c,10664,10664,,23819,xe" fillcolor="#bad9c3" strokecolor="#bad9c3" strokeweight="1pt">
                  <v:stroke joinstyle="miter"/>
                  <v:formulas/>
                  <v:path arrowok="t" o:connecttype="custom" o:connectlocs="23819,0;1749171,0;1772990,23819;1772990,142909;1772990,142909;0,142909;0,142909;0,23819;23819,0" o:connectangles="0,0,0,0,0,0,0,0,0" textboxrect="0,0,1772990,142909"/>
                  <v:textbox inset=",0,,0">
                    <w:txbxContent>
                      <w:p w14:paraId="614619E8" w14:textId="77777777" w:rsidR="00D550F7" w:rsidRPr="006E07A7" w:rsidRDefault="00D550F7" w:rsidP="00D550F7">
                        <w:pPr>
                          <w:spacing w:after="0" w:line="240" w:lineRule="auto"/>
                          <w:rPr>
                            <w:b/>
                            <w:bCs/>
                            <w14:numForm w14:val="lining"/>
                            <w14:numSpacing w14:val="proportional"/>
                          </w:rPr>
                        </w:pPr>
                      </w:p>
                    </w:txbxContent>
                  </v:textbox>
                </v:shape>
                <v:rect id="Rectangle 100" o:spid="_x0000_s1046" style="position:absolute;top:1335;width:58807;height:8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" fillcolor="#f2f2f2" strokecolor="#bad9c3" strokeweight="1pt">
                  <v:textbox inset="2mm,1mm,1mm,1mm">
                    <w:txbxContent>
                      <w:p w14:paraId="595CCB65" w14:textId="77777777" w:rsidR="00D550F7" w:rsidRPr="00A90F3C" w:rsidRDefault="00D550F7" w:rsidP="00D550F7">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2.2</w:t>
      </w:r>
    </w:p>
    <w:p w14:paraId="749A337B" w14:textId="76DD6BB1" w:rsidR="00D550F7" w:rsidRPr="00D550F7" w:rsidRDefault="00D550F7" w:rsidP="00D550F7">
      <w:pPr>
        <w:spacing w:before="200" w:after="0" w:line="276" w:lineRule="auto"/>
        <w:ind w:left="170" w:right="113"/>
        <w:rPr>
          <w:lang w:val="en-US"/>
        </w:rPr>
      </w:pPr>
      <w:r w:rsidRPr="004F74E5">
        <w:t xml:space="preserve">The Australian Government </w:t>
      </w:r>
      <w:r>
        <w:t xml:space="preserve">could </w:t>
      </w:r>
      <w:r w:rsidRPr="004F74E5">
        <w:t xml:space="preserve">commission a comprehensive and regular </w:t>
      </w:r>
      <w:r>
        <w:t>AEER</w:t>
      </w:r>
      <w:r w:rsidRPr="004F74E5">
        <w:t xml:space="preserve">. </w:t>
      </w:r>
      <w:r>
        <w:br/>
      </w:r>
      <w:r w:rsidRPr="004F74E5">
        <w:t>This will be critical to address data gaps limiting Australia’s ability to identify and project future needs, especially in emerging sectors and energy-focused roles in industries outside core sectors. The AEER should build on the whole-of-labour-market mapping initiated by this study to provide a consistent approach for identifying and measuring the workforce.</w:t>
      </w:r>
    </w:p>
    <w:p w14:paraId="71C3D758" w14:textId="61A30A93" w:rsidR="00F54935" w:rsidRDefault="00275165" w:rsidP="00D550F7">
      <w:pPr>
        <w:pStyle w:val="Bodycopy"/>
        <w:spacing w:before="480" w:after="360" w:line="276" w:lineRule="auto"/>
        <w:rPr>
          <w14:numForm w14:val="lining"/>
          <w14:numSpacing w14:val="proportional"/>
        </w:rPr>
      </w:pPr>
      <w:r w:rsidRPr="00E5087D">
        <w:rPr>
          <w:noProof/>
        </w:rPr>
        <mc:AlternateContent>
          <mc:Choice Requires="wpg">
            <w:drawing>
              <wp:anchor distT="0" distB="0" distL="114300" distR="114300" simplePos="0" relativeHeight="251658280" behindDoc="1" locked="0" layoutInCell="1" allowOverlap="1" wp14:anchorId="53F5D31C" wp14:editId="4D483C10">
                <wp:simplePos x="0" y="0"/>
                <wp:positionH relativeFrom="column">
                  <wp:posOffset>0</wp:posOffset>
                </wp:positionH>
                <wp:positionV relativeFrom="paragraph">
                  <wp:posOffset>1974941</wp:posOffset>
                </wp:positionV>
                <wp:extent cx="5731510" cy="946150"/>
                <wp:effectExtent l="0" t="0" r="21590" b="25400"/>
                <wp:wrapNone/>
                <wp:docPr id="101" name="Group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46150"/>
                          <a:chOff x="0" y="0"/>
                          <a:chExt cx="5880735" cy="586499"/>
                        </a:xfrm>
                      </wpg:grpSpPr>
                      <wps:wsp>
                        <wps:cNvPr id="102" name="Rectangle: Top Corners Rounded 102"/>
                        <wps:cNvSpPr/>
                        <wps:spPr>
                          <a:xfrm>
                            <a:off x="0" y="0"/>
                            <a:ext cx="1772990" cy="142909"/>
                          </a:xfrm>
                          <a:prstGeom prst="round2SameRect">
                            <a:avLst/>
                          </a:prstGeom>
                          <a:solidFill>
                            <a:srgbClr val="BAD9C3"/>
                          </a:solidFill>
                          <a:ln>
                            <a:solidFill>
                              <a:srgbClr val="BAD9C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3DFB7A" w14:textId="77777777" w:rsidR="00275165" w:rsidRPr="006E07A7" w:rsidRDefault="00275165" w:rsidP="00275165">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4" name="Rectangle 104"/>
                        <wps:cNvSpPr/>
                        <wps:spPr>
                          <a:xfrm>
                            <a:off x="0" y="133523"/>
                            <a:ext cx="5880735" cy="452976"/>
                          </a:xfrm>
                          <a:prstGeom prst="rect">
                            <a:avLst/>
                          </a:prstGeom>
                          <a:solidFill>
                            <a:srgbClr val="F2F2F2"/>
                          </a:solidFill>
                          <a:ln>
                            <a:solidFill>
                              <a:srgbClr val="BAD9C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56F48" w14:textId="77777777" w:rsidR="00275165" w:rsidRPr="00A90F3C" w:rsidRDefault="00275165" w:rsidP="00275165">
                              <w:pPr>
                                <w:spacing w:after="0" w:line="276" w:lineRule="auto"/>
                                <w:ind w:left="113" w:right="113"/>
                                <w:rPr>
                                  <w:lang w:val="en-US"/>
                                </w:rPr>
                              </w:pP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53F5D31C" id="Group 101" o:spid="_x0000_s1047" alt="&quot;&quot;" style="position:absolute;margin-left:0;margin-top:155.5pt;width:451.3pt;height:74.5pt;z-index:-251658200" coordsize="58807,5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">
                <v:shape id="Rectangle: Top Corners Rounded 102" o:spid="_x0000_s1048" style="position:absolute;width:17729;height:1429;visibility:visible;mso-wrap-style:square;v-text-anchor:middle" coordsize="1772990,1429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" adj="-11796480,,5400" path="m23819,l1749171,v13155,,23819,10664,23819,23819l1772990,142909r,l,142909r,l,23819c,10664,10664,,23819,xe" fillcolor="#bad9c3" strokecolor="#bad9c3" strokeweight="1pt">
                  <v:stroke joinstyle="miter"/>
                  <v:formulas/>
                  <v:path arrowok="t" o:connecttype="custom" o:connectlocs="23819,0;1749171,0;1772990,23819;1772990,142909;1772990,142909;0,142909;0,142909;0,23819;23819,0" o:connectangles="0,0,0,0,0,0,0,0,0" textboxrect="0,0,1772990,142909"/>
                  <v:textbox inset=",0,,0">
                    <w:txbxContent>
                      <w:p w14:paraId="643DFB7A" w14:textId="77777777" w:rsidR="00275165" w:rsidRPr="006E07A7" w:rsidRDefault="00275165" w:rsidP="00275165">
                        <w:pPr>
                          <w:spacing w:after="0" w:line="240" w:lineRule="auto"/>
                          <w:rPr>
                            <w:b/>
                            <w:bCs/>
                            <w14:numForm w14:val="lining"/>
                            <w14:numSpacing w14:val="proportional"/>
                          </w:rPr>
                        </w:pPr>
                      </w:p>
                    </w:txbxContent>
                  </v:textbox>
                </v:shape>
                <v:rect id="Rectangle 104" o:spid="_x0000_s1049" style="position:absolute;top:1335;width:58807;height:4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" fillcolor="#f2f2f2" strokecolor="#bad9c3" strokeweight="1pt">
                  <v:textbox inset="2mm,1mm,1mm,1mm">
                    <w:txbxContent>
                      <w:p w14:paraId="38E56F48" w14:textId="77777777" w:rsidR="00275165" w:rsidRPr="00A90F3C" w:rsidRDefault="00275165" w:rsidP="00275165">
                        <w:pPr>
                          <w:spacing w:after="0" w:line="276" w:lineRule="auto"/>
                          <w:ind w:left="113" w:right="113"/>
                          <w:rPr>
                            <w:lang w:val="en-US"/>
                          </w:rPr>
                        </w:pPr>
                      </w:p>
                    </w:txbxContent>
                  </v:textbox>
                </v:rect>
              </v:group>
            </w:pict>
          </mc:Fallback>
        </mc:AlternateContent>
      </w:r>
      <w:r w:rsidR="00EC2D19" w:rsidRPr="00E5087D">
        <w:rPr>
          <w14:numForm w14:val="lining"/>
          <w14:numSpacing w14:val="proportional"/>
        </w:rPr>
        <w:t xml:space="preserve">In 2020, the ABS published a data set called Employment in Renewable Energy Activities. This series provided annual employment estimates for renewable energy activities in Australia, from 2009-10 to 2018-19. Unlike other data, this series can be disaggregated by type of renewable activity (e.g. solar, wind), giving us a rare insight into the current day employment of these sectors. This type of product can provide regular, consistent time series of employment and allow government to track the progress of the clean energy transition. The Australian Government should consider </w:t>
      </w:r>
      <w:r w:rsidR="000C621C" w:rsidRPr="00E5087D">
        <w:rPr>
          <w14:numForm w14:val="lining"/>
          <w14:numSpacing w14:val="proportional"/>
        </w:rPr>
        <w:t xml:space="preserve">supporting </w:t>
      </w:r>
      <w:r w:rsidR="00EC2D19" w:rsidRPr="00E5087D">
        <w:rPr>
          <w14:numForm w14:val="lining"/>
          <w14:numSpacing w14:val="proportional"/>
        </w:rPr>
        <w:t>the ABS to renew this product</w:t>
      </w:r>
      <w:r w:rsidR="000C621C" w:rsidRPr="00E5087D">
        <w:rPr>
          <w14:numForm w14:val="lining"/>
          <w14:numSpacing w14:val="proportional"/>
        </w:rPr>
        <w:t xml:space="preserve"> to complement the more extensive AEER.</w:t>
      </w:r>
    </w:p>
    <w:p w14:paraId="7493CD53" w14:textId="77777777" w:rsidR="00275165" w:rsidRPr="006E07A7" w:rsidRDefault="00275165" w:rsidP="00275165">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2.3</w:t>
      </w:r>
    </w:p>
    <w:p w14:paraId="5D3302C1" w14:textId="6B96DF8E" w:rsidR="00275165" w:rsidRPr="00A90F3C" w:rsidRDefault="00275165" w:rsidP="00275165">
      <w:pPr>
        <w:spacing w:before="200" w:after="0" w:line="276" w:lineRule="auto"/>
        <w:ind w:left="170" w:right="113"/>
        <w:rPr>
          <w:lang w:val="en-US"/>
        </w:rPr>
      </w:pPr>
      <w:r w:rsidRPr="00661932">
        <w:t xml:space="preserve">The ABS </w:t>
      </w:r>
      <w:r>
        <w:t xml:space="preserve">could </w:t>
      </w:r>
      <w:r w:rsidRPr="00661932">
        <w:t>be supported to re-run the Employment in Renewable Energy Activities series on an annual basis. A consistent, regular release of data is critical for governments to monitor the workforce’s progress.</w:t>
      </w:r>
    </w:p>
    <w:p w14:paraId="1E526BB3" w14:textId="7CA9417F" w:rsidR="00B9016F" w:rsidRPr="00E5087D" w:rsidRDefault="0086022B" w:rsidP="003745BE">
      <w:pPr>
        <w:rPr>
          <w:sz w:val="18"/>
          <w:szCs w:val="18"/>
        </w:rPr>
        <w:sectPr w:rsidR="00B9016F" w:rsidRPr="00E5087D" w:rsidSect="0054082D">
          <w:headerReference w:type="even" r:id="rId71"/>
          <w:headerReference w:type="default" r:id="rId72"/>
          <w:footerReference w:type="even" r:id="rId73"/>
          <w:headerReference w:type="first" r:id="rId74"/>
          <w:footerReference w:type="first" r:id="rId75"/>
          <w:endnotePr>
            <w:numFmt w:val="decimal"/>
          </w:endnotePr>
          <w:type w:val="continuous"/>
          <w:pgSz w:w="11906" w:h="16838" w:code="9"/>
          <w:pgMar w:top="1440" w:right="1440" w:bottom="1440" w:left="1440" w:header="0" w:footer="709" w:gutter="0"/>
          <w:cols w:space="708"/>
          <w:docGrid w:linePitch="360"/>
        </w:sectPr>
      </w:pPr>
      <w:r w:rsidRPr="00E5087D">
        <w:rPr>
          <w:sz w:val="18"/>
          <w:szCs w:val="18"/>
        </w:rPr>
        <w:br w:type="page"/>
      </w:r>
    </w:p>
    <w:p w14:paraId="6A8E9A45" w14:textId="0462DDCE" w:rsidR="00923260" w:rsidRPr="00283B23" w:rsidRDefault="00462E4E" w:rsidP="00851D42">
      <w:pPr>
        <w:pStyle w:val="Heading1"/>
        <w:spacing w:before="8000" w:line="240" w:lineRule="auto"/>
        <w:ind w:left="283" w:right="283"/>
      </w:pPr>
      <w:bookmarkStart w:id="35" w:name="_Toc146892669"/>
      <w:r>
        <w:rPr>
          <w:b w:val="0"/>
          <w:bCs/>
          <w:noProof/>
          <w:sz w:val="72"/>
        </w:rPr>
        <w:lastRenderedPageBreak/>
        <w:drawing>
          <wp:anchor distT="0" distB="0" distL="114300" distR="114300" simplePos="0" relativeHeight="251662436" behindDoc="0" locked="0" layoutInCell="1" allowOverlap="1" wp14:anchorId="3D29EA5A" wp14:editId="51DD6D26">
            <wp:simplePos x="0" y="0"/>
            <wp:positionH relativeFrom="column">
              <wp:posOffset>-912611</wp:posOffset>
            </wp:positionH>
            <wp:positionV relativeFrom="paragraph">
              <wp:posOffset>-919703</wp:posOffset>
            </wp:positionV>
            <wp:extent cx="7559675" cy="5431790"/>
            <wp:effectExtent l="0" t="0" r="3175" b="0"/>
            <wp:wrapNone/>
            <wp:docPr id="43339829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98295" name="Picture 7">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14:sizeRelH relativeFrom="page">
              <wp14:pctWidth>0</wp14:pctWidth>
            </wp14:sizeRelH>
            <wp14:sizeRelV relativeFrom="page">
              <wp14:pctHeight>0</wp14:pctHeight>
            </wp14:sizeRelV>
          </wp:anchor>
        </w:drawing>
      </w:r>
      <w:r w:rsidR="00923260" w:rsidRPr="00835633">
        <w:rPr>
          <w:b w:val="0"/>
          <w:bCs/>
          <w:sz w:val="72"/>
        </w:rPr>
        <w:t xml:space="preserve">Chapter </w:t>
      </w:r>
      <w:r w:rsidR="00923260" w:rsidRPr="00835633">
        <w:rPr>
          <w:b w:val="0"/>
          <w:bCs/>
          <w:spacing w:val="-5"/>
          <w:sz w:val="72"/>
        </w:rPr>
        <w:t>3:</w:t>
      </w:r>
      <w:r w:rsidR="00923260">
        <w:rPr>
          <w:spacing w:val="-5"/>
          <w:sz w:val="72"/>
        </w:rPr>
        <w:br/>
      </w:r>
      <w:r w:rsidR="00923260" w:rsidRPr="00835633">
        <w:rPr>
          <w:sz w:val="92"/>
          <w:szCs w:val="92"/>
        </w:rPr>
        <w:t>The</w:t>
      </w:r>
      <w:r w:rsidR="00923260" w:rsidRPr="00835633">
        <w:rPr>
          <w:spacing w:val="-34"/>
          <w:sz w:val="92"/>
          <w:szCs w:val="92"/>
        </w:rPr>
        <w:t xml:space="preserve"> </w:t>
      </w:r>
      <w:r w:rsidR="00923260" w:rsidRPr="00835633">
        <w:rPr>
          <w:sz w:val="92"/>
          <w:szCs w:val="92"/>
        </w:rPr>
        <w:t>current</w:t>
      </w:r>
      <w:r w:rsidR="00923260" w:rsidRPr="00835633">
        <w:rPr>
          <w:sz w:val="92"/>
          <w:szCs w:val="92"/>
        </w:rPr>
        <w:br/>
      </w:r>
      <w:r w:rsidR="00923260" w:rsidRPr="00835633">
        <w:rPr>
          <w:spacing w:val="-2"/>
          <w:sz w:val="92"/>
          <w:szCs w:val="92"/>
        </w:rPr>
        <w:t>workforce</w:t>
      </w:r>
      <w:bookmarkEnd w:id="35"/>
    </w:p>
    <w:p w14:paraId="7BC130EA" w14:textId="77777777" w:rsidR="00923260" w:rsidRPr="00BB2E09" w:rsidRDefault="00923260" w:rsidP="00851D42">
      <w:pPr>
        <w:pStyle w:val="BodyText"/>
        <w:spacing w:before="521" w:line="247" w:lineRule="auto"/>
        <w:ind w:left="283" w:right="283"/>
        <w:rPr>
          <w:lang w:val="en-AU"/>
        </w:rPr>
      </w:pPr>
      <w:r w:rsidRPr="00BB2E09">
        <w:rPr>
          <w:lang w:val="en-AU"/>
        </w:rPr>
        <w:t>Explores the size and composition of the clean energy workforce.</w:t>
      </w:r>
      <w:r w:rsidRPr="00BB2E09">
        <w:rPr>
          <w:spacing w:val="-7"/>
          <w:lang w:val="en-AU"/>
        </w:rPr>
        <w:t xml:space="preserve"> </w:t>
      </w:r>
      <w:r w:rsidRPr="00BB2E09">
        <w:rPr>
          <w:lang w:val="en-AU"/>
        </w:rPr>
        <w:t>Includes</w:t>
      </w:r>
      <w:r w:rsidRPr="00BB2E09">
        <w:rPr>
          <w:spacing w:val="-7"/>
          <w:lang w:val="en-AU"/>
        </w:rPr>
        <w:t xml:space="preserve"> </w:t>
      </w:r>
      <w:r w:rsidRPr="00BB2E09">
        <w:rPr>
          <w:lang w:val="en-AU"/>
        </w:rPr>
        <w:t>demographic,</w:t>
      </w:r>
      <w:r w:rsidRPr="00BB2E09">
        <w:rPr>
          <w:spacing w:val="-7"/>
          <w:lang w:val="en-AU"/>
        </w:rPr>
        <w:t xml:space="preserve"> </w:t>
      </w:r>
      <w:r w:rsidRPr="00BB2E09">
        <w:rPr>
          <w:lang w:val="en-AU"/>
        </w:rPr>
        <w:t>geographic</w:t>
      </w:r>
      <w:r w:rsidRPr="00BB2E09">
        <w:rPr>
          <w:spacing w:val="-7"/>
          <w:lang w:val="en-AU"/>
        </w:rPr>
        <w:t xml:space="preserve"> </w:t>
      </w:r>
      <w:r w:rsidRPr="00BB2E09">
        <w:rPr>
          <w:lang w:val="en-AU"/>
        </w:rPr>
        <w:t>and</w:t>
      </w:r>
      <w:r w:rsidRPr="00BB2E09">
        <w:rPr>
          <w:spacing w:val="-7"/>
          <w:lang w:val="en-AU"/>
        </w:rPr>
        <w:t xml:space="preserve"> </w:t>
      </w:r>
      <w:r w:rsidRPr="00BB2E09">
        <w:rPr>
          <w:lang w:val="en-AU"/>
        </w:rPr>
        <w:t xml:space="preserve">employment </w:t>
      </w:r>
      <w:r w:rsidRPr="00BB2E09">
        <w:rPr>
          <w:spacing w:val="-2"/>
          <w:lang w:val="en-AU"/>
        </w:rPr>
        <w:t>characteristics.</w:t>
      </w:r>
    </w:p>
    <w:p w14:paraId="04261CA3" w14:textId="1B2C37CC" w:rsidR="00B9016F" w:rsidRPr="00E5087D" w:rsidRDefault="00835633">
      <w:pPr>
        <w:rPr>
          <w:sz w:val="18"/>
          <w:szCs w:val="18"/>
        </w:rPr>
      </w:pPr>
      <w:r w:rsidRPr="00E5087D">
        <w:rPr>
          <w:noProof/>
        </w:rPr>
        <mc:AlternateContent>
          <mc:Choice Requires="wps">
            <w:drawing>
              <wp:anchor distT="0" distB="0" distL="114300" distR="114300" simplePos="0" relativeHeight="251658259" behindDoc="1" locked="0" layoutInCell="1" allowOverlap="1" wp14:anchorId="60A064DD" wp14:editId="3C9058EB">
                <wp:simplePos x="0" y="0"/>
                <wp:positionH relativeFrom="margin">
                  <wp:posOffset>-915670</wp:posOffset>
                </wp:positionH>
                <wp:positionV relativeFrom="page">
                  <wp:posOffset>5431790</wp:posOffset>
                </wp:positionV>
                <wp:extent cx="7559675" cy="5259705"/>
                <wp:effectExtent l="0" t="0" r="3175" b="0"/>
                <wp:wrapNone/>
                <wp:docPr id="109" name="Freeform: Shape 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A0D3F6"/>
                        </a:solidFill>
                      </wps:spPr>
                      <wps:txbx>
                        <w:txbxContent>
                          <w:p w14:paraId="0A16F749" w14:textId="77777777" w:rsidR="00835633" w:rsidRDefault="00835633" w:rsidP="00835633">
                            <w:pPr>
                              <w:jc w:val="center"/>
                            </w:pPr>
                          </w:p>
                        </w:txbxContent>
                      </wps:txbx>
                      <wps:bodyPr wrap="square" lIns="0" tIns="0" rIns="0" bIns="0" rtlCol="0">
                        <a:prstTxWarp prst="textNoShape">
                          <a:avLst/>
                        </a:prstTxWarp>
                        <a:noAutofit/>
                      </wps:bodyPr>
                    </wps:wsp>
                  </a:graphicData>
                </a:graphic>
              </wp:anchor>
            </w:drawing>
          </mc:Choice>
          <mc:Fallback>
            <w:pict>
              <v:shape w14:anchorId="60A064DD" id="Freeform: Shape 109" o:spid="_x0000_s1050" alt="&quot;&quot;" style="position:absolute;margin-left:-72.1pt;margin-top:427.7pt;width:595.25pt;height:414.15pt;z-index:-251658221;visibility:visible;mso-wrap-style:square;mso-wrap-distance-left:9pt;mso-wrap-distance-top:0;mso-wrap-distance-right:9pt;mso-wrap-distance-bottom:0;mso-position-horizontal:absolute;mso-position-horizontal-relative:margin;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" adj="-11796480,,5400" path="m7559992,l,,,5259603r7559992,l7559992,xe" fillcolor="#a0d3f6" stroked="f">
                <v:stroke joinstyle="miter"/>
                <v:formulas/>
                <v:path arrowok="t" o:connecttype="custom" textboxrect="0,0,7560309,5259705"/>
                <v:textbox inset="0,0,0,0">
                  <w:txbxContent>
                    <w:p w14:paraId="0A16F749" w14:textId="77777777" w:rsidR="00835633" w:rsidRDefault="00835633" w:rsidP="00835633">
                      <w:pPr>
                        <w:jc w:val="center"/>
                      </w:pPr>
                    </w:p>
                  </w:txbxContent>
                </v:textbox>
                <w10:wrap anchorx="margin" anchory="page"/>
              </v:shape>
            </w:pict>
          </mc:Fallback>
        </mc:AlternateContent>
      </w:r>
      <w:r w:rsidR="00B9016F" w:rsidRPr="00E5087D">
        <w:rPr>
          <w:sz w:val="18"/>
          <w:szCs w:val="18"/>
        </w:rPr>
        <w:br w:type="page"/>
      </w:r>
    </w:p>
    <w:p w14:paraId="6E08069E" w14:textId="532C4572" w:rsidR="00304D4B" w:rsidRPr="000327FD" w:rsidRDefault="00304D4B" w:rsidP="000327FD">
      <w:pPr>
        <w:pStyle w:val="Heading2"/>
      </w:pPr>
      <w:bookmarkStart w:id="36" w:name="_Toc146892670"/>
      <w:r w:rsidRPr="00E5087D">
        <w:lastRenderedPageBreak/>
        <w:t>Introduction</w:t>
      </w:r>
      <w:bookmarkEnd w:id="36"/>
    </w:p>
    <w:p w14:paraId="323607D5" w14:textId="02BA1EA6" w:rsidR="00304D4B" w:rsidRPr="00E5087D" w:rsidRDefault="00304D4B" w:rsidP="000327FD">
      <w:pPr>
        <w:spacing w:after="120" w:line="276" w:lineRule="auto"/>
      </w:pPr>
      <w:r w:rsidRPr="00E5087D">
        <w:rPr>
          <w14:numForm w14:val="lining"/>
          <w14:numSpacing w14:val="proportional"/>
        </w:rPr>
        <w:t>In the first part</w:t>
      </w:r>
      <w:r w:rsidR="000327FD">
        <w:rPr>
          <w14:numForm w14:val="lining"/>
          <w14:numSpacing w14:val="proportional"/>
        </w:rPr>
        <w:t xml:space="preserve"> of this chapter</w:t>
      </w:r>
      <w:r w:rsidRPr="00E5087D">
        <w:rPr>
          <w14:numForm w14:val="lining"/>
          <w14:numSpacing w14:val="proportional"/>
        </w:rPr>
        <w:t xml:space="preserve">, we look at the characteristics the workers in clean energy, using the segments presented in Chapter </w:t>
      </w:r>
      <w:r w:rsidR="000327FD">
        <w:rPr>
          <w14:numForm w14:val="lining"/>
          <w14:numSpacing w14:val="proportional"/>
        </w:rPr>
        <w:t>2</w:t>
      </w:r>
      <w:r w:rsidRPr="00E5087D">
        <w:rPr>
          <w14:numForm w14:val="lining"/>
          <w14:numSpacing w14:val="proportional"/>
        </w:rPr>
        <w:t>.</w:t>
      </w:r>
      <w:r w:rsidR="000327FD">
        <w:rPr>
          <w14:numForm w14:val="lining"/>
          <w14:numSpacing w14:val="proportional"/>
        </w:rPr>
        <w:t xml:space="preserve"> </w:t>
      </w:r>
      <w:r w:rsidR="4C59B36F" w:rsidRPr="00E5087D">
        <w:rPr>
          <w14:numForm w14:val="lining"/>
          <w14:numSpacing w14:val="proportional"/>
        </w:rPr>
        <w:t xml:space="preserve">Our analysis relies on </w:t>
      </w:r>
      <w:r w:rsidR="15F1DE76" w:rsidRPr="00E5087D">
        <w:rPr>
          <w14:numForm w14:val="lining"/>
          <w14:numSpacing w14:val="proportional"/>
        </w:rPr>
        <w:t>C</w:t>
      </w:r>
      <w:r w:rsidR="4C59B36F" w:rsidRPr="00E5087D">
        <w:rPr>
          <w14:numForm w14:val="lining"/>
          <w14:numSpacing w14:val="proportional"/>
        </w:rPr>
        <w:t>ensus data</w:t>
      </w:r>
      <w:r w:rsidR="5969D134" w:rsidRPr="00E5087D">
        <w:rPr>
          <w14:numForm w14:val="lining"/>
          <w14:numSpacing w14:val="proportional"/>
        </w:rPr>
        <w:t>, and other data sources,</w:t>
      </w:r>
      <w:r w:rsidR="4C59B36F" w:rsidRPr="00E5087D">
        <w:rPr>
          <w14:numForm w14:val="lining"/>
          <w14:numSpacing w14:val="proportional"/>
        </w:rPr>
        <w:t xml:space="preserve"> as a baseline for consistent analysis of</w:t>
      </w:r>
      <w:r w:rsidR="4759E55F">
        <w:rPr>
          <w14:numForm w14:val="lining"/>
          <w14:numSpacing w14:val="proportional"/>
        </w:rPr>
        <w:t>:</w:t>
      </w:r>
      <w:r w:rsidR="4C59B36F" w:rsidRPr="00E5087D">
        <w:rPr>
          <w14:numForm w14:val="lining"/>
          <w14:numSpacing w14:val="proportional"/>
        </w:rPr>
        <w:t xml:space="preserve"> </w:t>
      </w:r>
    </w:p>
    <w:p w14:paraId="5DD752D7" w14:textId="0232D1FD" w:rsidR="00304D4B" w:rsidRPr="00E5087D" w:rsidRDefault="6ABC5A33" w:rsidP="00F25595">
      <w:pPr>
        <w:pStyle w:val="ListParagraph"/>
        <w:numPr>
          <w:ilvl w:val="0"/>
          <w:numId w:val="55"/>
        </w:numPr>
        <w:spacing w:after="80" w:line="276" w:lineRule="auto"/>
      </w:pPr>
      <w:r w:rsidRPr="00E5087D">
        <w:rPr>
          <w14:numForm w14:val="lining"/>
          <w14:numSpacing w14:val="proportional"/>
        </w:rPr>
        <w:t>d</w:t>
      </w:r>
      <w:r w:rsidR="4C59B36F" w:rsidRPr="00E5087D">
        <w:rPr>
          <w14:numForm w14:val="lining"/>
          <w14:numSpacing w14:val="proportional"/>
        </w:rPr>
        <w:t>emographic characteristics, including gender, age, highest level of education, Aboriginal and Torres Strait Islander status, country of birth, and disability status.</w:t>
      </w:r>
    </w:p>
    <w:p w14:paraId="2891E17E" w14:textId="72AE8703" w:rsidR="00304D4B" w:rsidRPr="00E5087D" w:rsidRDefault="4007FF54" w:rsidP="00F25595">
      <w:pPr>
        <w:pStyle w:val="ListParagraph"/>
        <w:numPr>
          <w:ilvl w:val="0"/>
          <w:numId w:val="55"/>
        </w:numPr>
        <w:spacing w:after="80" w:line="276" w:lineRule="auto"/>
      </w:pPr>
      <w:r w:rsidRPr="00E5087D">
        <w:rPr>
          <w14:numForm w14:val="lining"/>
          <w14:numSpacing w14:val="proportional"/>
        </w:rPr>
        <w:t>s</w:t>
      </w:r>
      <w:r w:rsidR="4C59B36F" w:rsidRPr="00E5087D">
        <w:rPr>
          <w14:numForm w14:val="lining"/>
          <w14:numSpacing w14:val="proportional"/>
        </w:rPr>
        <w:t>patial characteristics, namely where workers live and work.</w:t>
      </w:r>
    </w:p>
    <w:p w14:paraId="7F845B03" w14:textId="096BE57D" w:rsidR="00304D4B" w:rsidRPr="00E5087D" w:rsidRDefault="2617EFD4" w:rsidP="00F25595">
      <w:pPr>
        <w:pStyle w:val="ListParagraph"/>
        <w:numPr>
          <w:ilvl w:val="0"/>
          <w:numId w:val="55"/>
        </w:numPr>
        <w:spacing w:after="80" w:line="276" w:lineRule="auto"/>
      </w:pPr>
      <w:r w:rsidRPr="00E5087D">
        <w:rPr>
          <w14:numForm w14:val="lining"/>
          <w14:numSpacing w14:val="proportional"/>
        </w:rPr>
        <w:t>e</w:t>
      </w:r>
      <w:r w:rsidR="4C59B36F" w:rsidRPr="00E5087D">
        <w:rPr>
          <w14:numForm w14:val="lining"/>
          <w14:numSpacing w14:val="proportional"/>
        </w:rPr>
        <w:t xml:space="preserve">mployment characteristics, including working hours, </w:t>
      </w:r>
      <w:r w:rsidR="00BB231E">
        <w:rPr>
          <w14:numForm w14:val="lining"/>
          <w14:numSpacing w14:val="proportional"/>
        </w:rPr>
        <w:t>income</w:t>
      </w:r>
      <w:r w:rsidR="4C59B36F" w:rsidRPr="00E5087D">
        <w:rPr>
          <w14:numForm w14:val="lining"/>
          <w14:numSpacing w14:val="proportional"/>
        </w:rPr>
        <w:t>, work travel patterns, forms of employment and union membership.</w:t>
      </w:r>
    </w:p>
    <w:p w14:paraId="6E6F6C16" w14:textId="05B68E04" w:rsidR="00937D02" w:rsidRDefault="00937D02" w:rsidP="000327FD">
      <w:pPr>
        <w:spacing w:before="120" w:after="120" w:line="276" w:lineRule="auto"/>
        <w:rPr>
          <w14:numForm w14:val="lining"/>
          <w14:numSpacing w14:val="proportional"/>
        </w:rPr>
      </w:pPr>
      <w:r>
        <w:rPr>
          <w14:numForm w14:val="lining"/>
          <w14:numSpacing w14:val="proportional"/>
        </w:rPr>
        <w:t xml:space="preserve">This analysis is </w:t>
      </w:r>
      <w:r w:rsidR="008065A3">
        <w:rPr>
          <w14:numForm w14:val="lining"/>
          <w14:numSpacing w14:val="proportional"/>
        </w:rPr>
        <w:t>i</w:t>
      </w:r>
      <w:r w:rsidR="00FE6B76">
        <w:rPr>
          <w14:numForm w14:val="lining"/>
          <w14:numSpacing w14:val="proportional"/>
        </w:rPr>
        <w:t>llustrative</w:t>
      </w:r>
      <w:r w:rsidR="008065A3">
        <w:rPr>
          <w14:numForm w14:val="lining"/>
          <w14:numSpacing w14:val="proportional"/>
        </w:rPr>
        <w:t xml:space="preserve"> for some industry segments</w:t>
      </w:r>
      <w:r w:rsidR="0090154B">
        <w:rPr>
          <w14:numForm w14:val="lining"/>
          <w14:numSpacing w14:val="proportional"/>
        </w:rPr>
        <w:t xml:space="preserve"> and occupations</w:t>
      </w:r>
      <w:r w:rsidR="008065A3">
        <w:rPr>
          <w14:numForm w14:val="lining"/>
          <w14:numSpacing w14:val="proportional"/>
        </w:rPr>
        <w:t xml:space="preserve">, </w:t>
      </w:r>
      <w:r w:rsidR="00D71C32">
        <w:rPr>
          <w14:numForm w14:val="lining"/>
          <w14:numSpacing w14:val="proportional"/>
        </w:rPr>
        <w:t xml:space="preserve">as we can only analyse </w:t>
      </w:r>
      <w:r>
        <w:rPr>
          <w14:numForm w14:val="lining"/>
          <w14:numSpacing w14:val="proportional"/>
        </w:rPr>
        <w:t xml:space="preserve">those employed in the </w:t>
      </w:r>
      <w:r w:rsidR="008065A3">
        <w:rPr>
          <w14:numForm w14:val="lining"/>
          <w14:numSpacing w14:val="proportional"/>
        </w:rPr>
        <w:t xml:space="preserve">whole </w:t>
      </w:r>
      <w:r>
        <w:rPr>
          <w14:numForm w14:val="lining"/>
          <w14:numSpacing w14:val="proportional"/>
        </w:rPr>
        <w:t xml:space="preserve">industry </w:t>
      </w:r>
      <w:r w:rsidR="003043C8">
        <w:rPr>
          <w14:numForm w14:val="lining"/>
          <w14:numSpacing w14:val="proportional"/>
        </w:rPr>
        <w:t>groups</w:t>
      </w:r>
      <w:r>
        <w:rPr>
          <w14:numForm w14:val="lining"/>
          <w14:numSpacing w14:val="proportional"/>
        </w:rPr>
        <w:t xml:space="preserve"> related to the clean </w:t>
      </w:r>
      <w:r w:rsidR="00D71C32">
        <w:rPr>
          <w14:numForm w14:val="lining"/>
          <w14:numSpacing w14:val="proportional"/>
        </w:rPr>
        <w:t>energy segments</w:t>
      </w:r>
      <w:r w:rsidR="00130840">
        <w:rPr>
          <w14:numForm w14:val="lining"/>
          <w14:numSpacing w14:val="proportional"/>
        </w:rPr>
        <w:t xml:space="preserve"> or whole critical occupation</w:t>
      </w:r>
      <w:r w:rsidR="00D71C32">
        <w:rPr>
          <w14:numForm w14:val="lining"/>
          <w14:numSpacing w14:val="proportional"/>
        </w:rPr>
        <w:t xml:space="preserve"> identified in </w:t>
      </w:r>
      <w:r w:rsidR="00D71C32" w:rsidRPr="003F655F">
        <w:rPr>
          <w14:numForm w14:val="lining"/>
          <w14:numSpacing w14:val="proportional"/>
        </w:rPr>
        <w:t>Chapter 2</w:t>
      </w:r>
      <w:r w:rsidR="00FE6B76" w:rsidRPr="003F655F">
        <w:rPr>
          <w14:numForm w14:val="lining"/>
          <w14:numSpacing w14:val="proportional"/>
        </w:rPr>
        <w:t>,</w:t>
      </w:r>
      <w:r w:rsidR="00FE6B76">
        <w:rPr>
          <w:b/>
          <w:bCs/>
          <w14:numForm w14:val="lining"/>
          <w14:numSpacing w14:val="proportional"/>
        </w:rPr>
        <w:t xml:space="preserve"> </w:t>
      </w:r>
      <w:r w:rsidR="00FE6B76">
        <w:rPr>
          <w14:numForm w14:val="lining"/>
          <w14:numSpacing w14:val="proportional"/>
        </w:rPr>
        <w:t>and not the specific clean energy workers within these</w:t>
      </w:r>
      <w:r w:rsidR="00D71C32">
        <w:rPr>
          <w14:numForm w14:val="lining"/>
          <w14:numSpacing w14:val="proportional"/>
        </w:rPr>
        <w:t>.</w:t>
      </w:r>
    </w:p>
    <w:p w14:paraId="13A483CB" w14:textId="045C9291" w:rsidR="00304D4B" w:rsidRPr="00E5087D" w:rsidRDefault="00304D4B" w:rsidP="000327FD">
      <w:pPr>
        <w:spacing w:before="120" w:after="120" w:line="276" w:lineRule="auto"/>
        <w:rPr>
          <w14:numForm w14:val="lining"/>
          <w14:numSpacing w14:val="proportional"/>
        </w:rPr>
      </w:pPr>
      <w:r w:rsidRPr="00E5087D">
        <w:rPr>
          <w14:numForm w14:val="lining"/>
          <w14:numSpacing w14:val="proportional"/>
        </w:rPr>
        <w:t>In the second part, we examine the characteristics of firms in clean energy, again considered segment by segment. This includes consideration of the following, wherever relevant:</w:t>
      </w:r>
    </w:p>
    <w:p w14:paraId="2960C668" w14:textId="04549161" w:rsidR="00304D4B" w:rsidRPr="00E5087D" w:rsidRDefault="2245835C" w:rsidP="00F25595">
      <w:pPr>
        <w:pStyle w:val="ListParagraph"/>
        <w:numPr>
          <w:ilvl w:val="0"/>
          <w:numId w:val="56"/>
        </w:numPr>
        <w:spacing w:after="80" w:line="276" w:lineRule="auto"/>
      </w:pPr>
      <w:r w:rsidRPr="00E5087D">
        <w:rPr>
          <w14:numForm w14:val="lining"/>
          <w14:numSpacing w14:val="proportional"/>
        </w:rPr>
        <w:t>f</w:t>
      </w:r>
      <w:r w:rsidR="4C59B36F" w:rsidRPr="00E5087D">
        <w:rPr>
          <w14:numForm w14:val="lining"/>
          <w14:numSpacing w14:val="proportional"/>
        </w:rPr>
        <w:t>irm size and age</w:t>
      </w:r>
    </w:p>
    <w:p w14:paraId="00A85E73" w14:textId="3B59ED50" w:rsidR="00304D4B" w:rsidRPr="00E5087D" w:rsidRDefault="0B454FFB" w:rsidP="00F25595">
      <w:pPr>
        <w:pStyle w:val="ListParagraph"/>
        <w:numPr>
          <w:ilvl w:val="0"/>
          <w:numId w:val="56"/>
        </w:numPr>
        <w:spacing w:after="80" w:line="276" w:lineRule="auto"/>
      </w:pPr>
      <w:r w:rsidRPr="00E5087D">
        <w:rPr>
          <w14:numForm w14:val="lining"/>
          <w14:numSpacing w14:val="proportional"/>
        </w:rPr>
        <w:t>o</w:t>
      </w:r>
      <w:r w:rsidR="4C59B36F" w:rsidRPr="00E5087D">
        <w:rPr>
          <w14:numForm w14:val="lining"/>
          <w14:numSpacing w14:val="proportional"/>
        </w:rPr>
        <w:t>wnership structure (public vs private)</w:t>
      </w:r>
    </w:p>
    <w:p w14:paraId="563C0D03" w14:textId="34E03EBA" w:rsidR="00304D4B" w:rsidRPr="00E5087D" w:rsidRDefault="6D092CD5" w:rsidP="00F25595">
      <w:pPr>
        <w:pStyle w:val="ListParagraph"/>
        <w:numPr>
          <w:ilvl w:val="0"/>
          <w:numId w:val="56"/>
        </w:numPr>
        <w:spacing w:after="80" w:line="276" w:lineRule="auto"/>
      </w:pPr>
      <w:r w:rsidRPr="00E5087D">
        <w:rPr>
          <w14:numForm w14:val="lining"/>
          <w14:numSpacing w14:val="proportional"/>
        </w:rPr>
        <w:t>a</w:t>
      </w:r>
      <w:r w:rsidR="4C59B36F" w:rsidRPr="00E5087D">
        <w:rPr>
          <w14:numForm w14:val="lining"/>
          <w14:numSpacing w14:val="proportional"/>
        </w:rPr>
        <w:t xml:space="preserve">ctivities and involvement in other economic sectors, with a particular focus on the transitioning sector and the clean energy supply chain. </w:t>
      </w:r>
    </w:p>
    <w:p w14:paraId="58CBFE83" w14:textId="19D33ED0" w:rsidR="00304D4B" w:rsidRPr="00E5087D" w:rsidRDefault="5AC0222F" w:rsidP="00F25595">
      <w:pPr>
        <w:pStyle w:val="ListParagraph"/>
        <w:numPr>
          <w:ilvl w:val="0"/>
          <w:numId w:val="56"/>
        </w:numPr>
        <w:spacing w:after="80" w:line="276" w:lineRule="auto"/>
      </w:pPr>
      <w:r w:rsidRPr="00E5087D">
        <w:rPr>
          <w14:numForm w14:val="lining"/>
          <w14:numSpacing w14:val="proportional"/>
        </w:rPr>
        <w:t>b</w:t>
      </w:r>
      <w:r w:rsidR="4C59B36F" w:rsidRPr="00E5087D">
        <w:rPr>
          <w14:numForm w14:val="lining"/>
          <w14:numSpacing w14:val="proportional"/>
        </w:rPr>
        <w:t>usiness models</w:t>
      </w:r>
    </w:p>
    <w:p w14:paraId="24EFC567" w14:textId="4421AA65" w:rsidR="00304D4B" w:rsidRPr="00E5087D" w:rsidRDefault="09EFC43D" w:rsidP="00F25595">
      <w:pPr>
        <w:pStyle w:val="ListParagraph"/>
        <w:numPr>
          <w:ilvl w:val="0"/>
          <w:numId w:val="56"/>
        </w:numPr>
        <w:spacing w:after="80" w:line="276" w:lineRule="auto"/>
      </w:pPr>
      <w:r w:rsidRPr="00E5087D">
        <w:rPr>
          <w14:numForm w14:val="lining"/>
          <w14:numSpacing w14:val="proportional"/>
        </w:rPr>
        <w:t>r</w:t>
      </w:r>
      <w:r w:rsidR="4C59B36F" w:rsidRPr="00E5087D">
        <w:rPr>
          <w14:numForm w14:val="lining"/>
          <w14:numSpacing w14:val="proportional"/>
        </w:rPr>
        <w:t>ole of employer associations and peak bodies, engagement with trade unions, First Nations groups and communities.</w:t>
      </w:r>
    </w:p>
    <w:p w14:paraId="1D74C3C8" w14:textId="77777777" w:rsidR="00304D4B" w:rsidRPr="00E5087D" w:rsidRDefault="00304D4B" w:rsidP="00322D33">
      <w:pPr>
        <w:spacing w:before="160" w:line="276" w:lineRule="auto"/>
        <w:rPr>
          <w14:numForm w14:val="lining"/>
          <w14:numSpacing w14:val="proportional"/>
        </w:rPr>
      </w:pPr>
      <w:r w:rsidRPr="00E5087D">
        <w:rPr>
          <w14:numForm w14:val="lining"/>
          <w14:numSpacing w14:val="proportional"/>
        </w:rPr>
        <w:t>The rationale for examining these characteristics is to better understand how workers are engaged and labour deployed in these firms – this will reveal (hopefully) potential mutual interests and levers for positive workforce development.</w:t>
      </w:r>
    </w:p>
    <w:p w14:paraId="23878E73" w14:textId="77777777" w:rsidR="00304D4B" w:rsidRPr="00E5087D" w:rsidRDefault="00304D4B" w:rsidP="00304D4B">
      <w:r w:rsidRPr="00E5087D">
        <w:br w:type="page"/>
      </w:r>
    </w:p>
    <w:p w14:paraId="01337543" w14:textId="003477D5" w:rsidR="00CE6D1F" w:rsidRPr="00E5087D" w:rsidRDefault="00CE6D1F" w:rsidP="00CE6D1F">
      <w:pPr>
        <w:pStyle w:val="Heading2"/>
      </w:pPr>
      <w:bookmarkStart w:id="37" w:name="_Toc146892671"/>
      <w:r w:rsidRPr="00D05592">
        <w:rPr>
          <w:rFonts w:asciiTheme="minorHAnsi" w:hAnsiTheme="minorHAnsi" w:cstheme="minorHAnsi"/>
        </w:rPr>
        <w:lastRenderedPageBreak/>
        <w:t>3</w:t>
      </w:r>
      <w:r w:rsidRPr="00D05592">
        <w:rPr>
          <w:rFonts w:asciiTheme="minorHAnsi" w:hAnsiTheme="minorHAnsi" w:cstheme="minorHAnsi"/>
          <w:smallCaps/>
        </w:rPr>
        <w:t>a</w:t>
      </w:r>
      <w:r w:rsidRPr="00D05592">
        <w:rPr>
          <w:rFonts w:asciiTheme="minorHAnsi" w:hAnsiTheme="minorHAnsi" w:cstheme="minorHAnsi"/>
        </w:rPr>
        <w:t>.</w:t>
      </w:r>
      <w:r w:rsidRPr="00E5087D">
        <w:t xml:space="preserve"> Worker characteristics</w:t>
      </w:r>
      <w:bookmarkEnd w:id="37"/>
    </w:p>
    <w:p w14:paraId="2E26397F" w14:textId="77777777" w:rsidR="00CE6D1F" w:rsidRPr="00E5087D" w:rsidRDefault="00CE6D1F" w:rsidP="00CE6D1F">
      <w:pPr>
        <w:pStyle w:val="Heading3"/>
      </w:pPr>
      <w:r w:rsidRPr="00E5087D">
        <w:t>Demographic characteristics</w:t>
      </w:r>
    </w:p>
    <w:p w14:paraId="0B7892C9" w14:textId="77777777" w:rsidR="00CE6D1F" w:rsidRPr="00E5087D" w:rsidRDefault="2C8D7505" w:rsidP="00A904FE">
      <w:pPr>
        <w:pStyle w:val="Heading4"/>
        <w:spacing w:before="240" w:after="120"/>
        <w:rPr>
          <w:color w:val="0C6DAD" w:themeColor="accent3" w:themeShade="BF"/>
        </w:rPr>
      </w:pPr>
      <w:r w:rsidRPr="388C0A0B">
        <w:rPr>
          <w:color w:val="0C6DAD" w:themeColor="accent3" w:themeShade="BF"/>
        </w:rPr>
        <w:t>Gender</w:t>
      </w:r>
    </w:p>
    <w:p w14:paraId="2BA3D93D" w14:textId="7E3D3FD6" w:rsidR="00CE6D1F" w:rsidRPr="00E5087D" w:rsidRDefault="2C8D7505" w:rsidP="00CE6D1F">
      <w:pPr>
        <w:spacing w:after="120" w:line="276" w:lineRule="auto"/>
      </w:pPr>
      <w:r w:rsidRPr="00E5087D">
        <w:rPr>
          <w14:numForm w14:val="lining"/>
          <w14:numSpacing w14:val="proportional"/>
        </w:rPr>
        <w:t>Women are underrepresented within the clean energy workforce, particularly in higher</w:t>
      </w:r>
      <w:r w:rsidR="00CF2CCB">
        <w:rPr>
          <w14:numForm w14:val="lining"/>
          <w14:numSpacing w14:val="proportional"/>
        </w:rPr>
        <w:t xml:space="preserve"> skill-</w:t>
      </w:r>
      <w:r w:rsidRPr="00E5087D">
        <w:rPr>
          <w14:numForm w14:val="lining"/>
          <w14:numSpacing w14:val="proportional"/>
        </w:rPr>
        <w:t xml:space="preserve">level occupations, clean energy critical occupations, and senior positions. </w:t>
      </w:r>
      <w:r w:rsidR="5A35287C" w:rsidRPr="00DF7F1D">
        <w:rPr>
          <w14:numForm w14:val="lining"/>
          <w14:numSpacing w14:val="proportional"/>
        </w:rPr>
        <w:t>Overall,</w:t>
      </w:r>
      <w:r w:rsidR="08BDCCBC" w:rsidRPr="00F914B6">
        <w:t xml:space="preserve"> </w:t>
      </w:r>
      <w:r w:rsidR="08BDCCBC">
        <w:t>65%</w:t>
      </w:r>
      <w:r w:rsidR="4AB799D0">
        <w:t xml:space="preserve"> </w:t>
      </w:r>
      <w:r w:rsidR="5A35287C" w:rsidRPr="00F914B6">
        <w:rPr>
          <w14:numForm w14:val="lining"/>
          <w14:numSpacing w14:val="proportional"/>
        </w:rPr>
        <w:t xml:space="preserve">of the clean energy workforce is </w:t>
      </w:r>
      <w:r w:rsidR="7A9CADBC">
        <w:rPr>
          <w14:numForm w14:val="lining"/>
          <w14:numSpacing w14:val="proportional"/>
        </w:rPr>
        <w:t>male</w:t>
      </w:r>
      <w:r w:rsidR="3231AEFF" w:rsidRPr="00F914B6">
        <w:rPr>
          <w14:numForm w14:val="lining"/>
          <w14:numSpacing w14:val="proportional"/>
        </w:rPr>
        <w:t xml:space="preserve"> but th</w:t>
      </w:r>
      <w:r w:rsidR="4AB799D0">
        <w:rPr>
          <w14:numForm w14:val="lining"/>
          <w14:numSpacing w14:val="proportional"/>
        </w:rPr>
        <w:t>is</w:t>
      </w:r>
      <w:r w:rsidR="3231AEFF" w:rsidRPr="00F914B6">
        <w:rPr>
          <w14:numForm w14:val="lining"/>
          <w14:numSpacing w14:val="proportional"/>
        </w:rPr>
        <w:t xml:space="preserve"> var</w:t>
      </w:r>
      <w:r w:rsidR="4AB799D0">
        <w:rPr>
          <w14:numForm w14:val="lining"/>
          <w14:numSpacing w14:val="proportional"/>
        </w:rPr>
        <w:t>ies</w:t>
      </w:r>
      <w:r w:rsidR="3231AEFF" w:rsidRPr="00F914B6">
        <w:rPr>
          <w14:numForm w14:val="lining"/>
          <w14:numSpacing w14:val="proportional"/>
        </w:rPr>
        <w:t xml:space="preserve"> </w:t>
      </w:r>
      <w:r w:rsidR="32844BDF" w:rsidRPr="00F914B6">
        <w:rPr>
          <w14:numForm w14:val="lining"/>
          <w14:numSpacing w14:val="proportional"/>
        </w:rPr>
        <w:t>ac</w:t>
      </w:r>
      <w:r w:rsidR="5B668DD1" w:rsidRPr="00F914B6">
        <w:rPr>
          <w14:numForm w14:val="lining"/>
          <w14:numSpacing w14:val="proportional"/>
        </w:rPr>
        <w:t>r</w:t>
      </w:r>
      <w:r w:rsidR="32844BDF" w:rsidRPr="00F914B6">
        <w:rPr>
          <w14:numForm w14:val="lining"/>
          <w14:numSpacing w14:val="proportional"/>
        </w:rPr>
        <w:t>oss</w:t>
      </w:r>
      <w:r w:rsidR="3231AEFF" w:rsidRPr="00F914B6">
        <w:rPr>
          <w14:numForm w14:val="lining"/>
          <w14:numSpacing w14:val="proportional"/>
        </w:rPr>
        <w:t xml:space="preserve"> the </w:t>
      </w:r>
      <w:r w:rsidR="0E492872" w:rsidRPr="00F914B6">
        <w:rPr>
          <w14:numForm w14:val="lining"/>
          <w14:numSpacing w14:val="proportional"/>
        </w:rPr>
        <w:t xml:space="preserve">clean energy </w:t>
      </w:r>
      <w:r w:rsidR="3231AEFF" w:rsidRPr="00F914B6">
        <w:rPr>
          <w14:numForm w14:val="lining"/>
          <w14:numSpacing w14:val="proportional"/>
        </w:rPr>
        <w:t xml:space="preserve">demand, enabling and supply segments </w:t>
      </w:r>
      <w:r w:rsidR="4AB799D0">
        <w:rPr>
          <w14:numForm w14:val="lining"/>
          <w14:numSpacing w14:val="proportional"/>
        </w:rPr>
        <w:t>(</w:t>
      </w:r>
      <w:r w:rsidR="5D73FCA8" w:rsidRPr="00F914B6">
        <w:rPr>
          <w14:numForm w14:val="lining"/>
          <w14:numSpacing w14:val="proportional"/>
        </w:rPr>
        <w:t xml:space="preserve">84%, </w:t>
      </w:r>
      <w:r w:rsidR="7407D72C" w:rsidRPr="00F914B6">
        <w:rPr>
          <w14:numForm w14:val="lining"/>
          <w14:numSpacing w14:val="proportional"/>
        </w:rPr>
        <w:t>5</w:t>
      </w:r>
      <w:r w:rsidR="280E59EA" w:rsidRPr="00F914B6">
        <w:rPr>
          <w14:numForm w14:val="lining"/>
          <w14:numSpacing w14:val="proportional"/>
        </w:rPr>
        <w:t>6</w:t>
      </w:r>
      <w:r w:rsidR="5D73FCA8" w:rsidRPr="00F914B6">
        <w:rPr>
          <w14:numForm w14:val="lining"/>
          <w14:numSpacing w14:val="proportional"/>
        </w:rPr>
        <w:t>%, 74</w:t>
      </w:r>
      <w:r w:rsidR="7407D72C" w:rsidRPr="00F914B6">
        <w:rPr>
          <w14:numForm w14:val="lining"/>
          <w14:numSpacing w14:val="proportional"/>
        </w:rPr>
        <w:t xml:space="preserve">% </w:t>
      </w:r>
      <w:r w:rsidR="3231AEFF" w:rsidRPr="00DF7F1D">
        <w:rPr>
          <w14:numForm w14:val="lining"/>
          <w14:numSpacing w14:val="proportional"/>
        </w:rPr>
        <w:t>respectively</w:t>
      </w:r>
      <w:r w:rsidR="4AB799D0">
        <w:rPr>
          <w14:numForm w14:val="lining"/>
          <w14:numSpacing w14:val="proportional"/>
        </w:rPr>
        <w:t>)</w:t>
      </w:r>
      <w:r w:rsidR="3231AEFF" w:rsidRPr="00DF7F1D">
        <w:rPr>
          <w14:numForm w14:val="lining"/>
          <w14:numSpacing w14:val="proportional"/>
        </w:rPr>
        <w:t xml:space="preserve">. </w:t>
      </w:r>
      <w:r w:rsidRPr="00E5087D">
        <w:rPr>
          <w14:numForm w14:val="lining"/>
          <w14:numSpacing w14:val="proportional"/>
        </w:rPr>
        <w:t xml:space="preserve">Looking at the distribution of women by </w:t>
      </w:r>
      <w:r w:rsidR="308189FD" w:rsidRPr="00E5087D">
        <w:rPr>
          <w14:numForm w14:val="lining"/>
          <w14:numSpacing w14:val="proportional"/>
        </w:rPr>
        <w:t>c</w:t>
      </w:r>
      <w:r w:rsidRPr="00E5087D">
        <w:rPr>
          <w14:numForm w14:val="lining"/>
          <w14:numSpacing w14:val="proportional"/>
        </w:rPr>
        <w:t xml:space="preserve">lean </w:t>
      </w:r>
      <w:r w:rsidR="67AE1AE9" w:rsidRPr="00E5087D">
        <w:rPr>
          <w14:numForm w14:val="lining"/>
          <w14:numSpacing w14:val="proportional"/>
        </w:rPr>
        <w:t>e</w:t>
      </w:r>
      <w:r w:rsidRPr="00E5087D">
        <w:rPr>
          <w14:numForm w14:val="lining"/>
          <w14:numSpacing w14:val="proportional"/>
        </w:rPr>
        <w:t xml:space="preserve">nergy </w:t>
      </w:r>
      <w:r w:rsidR="002C3B9C">
        <w:rPr>
          <w14:numForm w14:val="lining"/>
          <w14:numSpacing w14:val="proportional"/>
        </w:rPr>
        <w:t>sub-segment</w:t>
      </w:r>
      <w:r w:rsidRPr="00E5087D">
        <w:rPr>
          <w14:numForm w14:val="lining"/>
          <w14:numSpacing w14:val="proportional"/>
        </w:rPr>
        <w:t xml:space="preserve">s, Figure </w:t>
      </w:r>
      <w:r w:rsidR="7D154B44">
        <w:rPr>
          <w14:numForm w14:val="lining"/>
          <w14:numSpacing w14:val="proportional"/>
        </w:rPr>
        <w:t>3.1</w:t>
      </w:r>
      <w:r w:rsidRPr="00E5087D">
        <w:rPr>
          <w14:numForm w14:val="lining"/>
          <w14:numSpacing w14:val="proportional"/>
        </w:rPr>
        <w:t xml:space="preserve"> shows that the lowest levels of female participation are in </w:t>
      </w:r>
      <w:r w:rsidR="6F558352" w:rsidRPr="00E5087D">
        <w:rPr>
          <w14:numForm w14:val="lining"/>
          <w14:numSpacing w14:val="proportional"/>
        </w:rPr>
        <w:t>c</w:t>
      </w:r>
      <w:r w:rsidRPr="00E5087D">
        <w:rPr>
          <w14:numForm w14:val="lining"/>
          <w14:numSpacing w14:val="proportional"/>
        </w:rPr>
        <w:t xml:space="preserve">lean </w:t>
      </w:r>
      <w:r w:rsidR="11D6027A" w:rsidRPr="00E5087D">
        <w:rPr>
          <w14:numForm w14:val="lining"/>
          <w14:numSpacing w14:val="proportional"/>
        </w:rPr>
        <w:t>e</w:t>
      </w:r>
      <w:r w:rsidRPr="00E5087D">
        <w:rPr>
          <w14:numForm w14:val="lining"/>
          <w14:numSpacing w14:val="proportional"/>
        </w:rPr>
        <w:t xml:space="preserve">nergy </w:t>
      </w:r>
      <w:r w:rsidR="04D6DA44" w:rsidRPr="00E5087D">
        <w:rPr>
          <w14:numForm w14:val="lining"/>
          <w14:numSpacing w14:val="proportional"/>
        </w:rPr>
        <w:t>d</w:t>
      </w:r>
      <w:r w:rsidRPr="00E5087D">
        <w:rPr>
          <w14:numForm w14:val="lining"/>
          <w14:numSpacing w14:val="proportional"/>
        </w:rPr>
        <w:t xml:space="preserve">emand (energy performance, energy usage and energy transport) (predominantly in the </w:t>
      </w:r>
      <w:r w:rsidR="00CF2CCB">
        <w:rPr>
          <w14:numForm w14:val="lining"/>
          <w14:numSpacing w14:val="proportional"/>
        </w:rPr>
        <w:t>C</w:t>
      </w:r>
      <w:r w:rsidRPr="00E5087D">
        <w:rPr>
          <w14:numForm w14:val="lining"/>
          <w14:numSpacing w14:val="proportional"/>
        </w:rPr>
        <w:t>onstruction industry)</w:t>
      </w:r>
      <w:r w:rsidR="77A1FCB4" w:rsidRPr="00E5087D">
        <w:rPr>
          <w14:numForm w14:val="lining"/>
          <w14:numSpacing w14:val="proportional"/>
        </w:rPr>
        <w:t xml:space="preserve"> and</w:t>
      </w:r>
      <w:r w:rsidRPr="00E5087D">
        <w:rPr>
          <w14:numForm w14:val="lining"/>
          <w14:numSpacing w14:val="proportional"/>
        </w:rPr>
        <w:t xml:space="preserve"> </w:t>
      </w:r>
      <w:r w:rsidR="31F87B90" w:rsidRPr="00E5087D">
        <w:rPr>
          <w14:numForm w14:val="lining"/>
          <w14:numSpacing w14:val="proportional"/>
        </w:rPr>
        <w:t>c</w:t>
      </w:r>
      <w:r w:rsidRPr="00E5087D">
        <w:rPr>
          <w14:numForm w14:val="lining"/>
          <w14:numSpacing w14:val="proportional"/>
        </w:rPr>
        <w:t xml:space="preserve">lean </w:t>
      </w:r>
      <w:r w:rsidR="50BFCAC1" w:rsidRPr="00E5087D">
        <w:rPr>
          <w14:numForm w14:val="lining"/>
          <w14:numSpacing w14:val="proportional"/>
        </w:rPr>
        <w:t>e</w:t>
      </w:r>
      <w:r w:rsidRPr="00E5087D">
        <w:rPr>
          <w14:numForm w14:val="lining"/>
          <w14:numSpacing w14:val="proportional"/>
        </w:rPr>
        <w:t xml:space="preserve">nergy </w:t>
      </w:r>
      <w:r w:rsidR="2C6ED8D6" w:rsidRPr="00E5087D">
        <w:rPr>
          <w14:numForm w14:val="lining"/>
          <w14:numSpacing w14:val="proportional"/>
        </w:rPr>
        <w:t>e</w:t>
      </w:r>
      <w:r w:rsidRPr="00E5087D">
        <w:rPr>
          <w14:numForm w14:val="lining"/>
          <w14:numSpacing w14:val="proportional"/>
        </w:rPr>
        <w:t>nabling (supply chain and vehicle and equipment production, trade and maintenance)</w:t>
      </w:r>
      <w:r w:rsidR="4721222A" w:rsidRPr="00E5087D">
        <w:rPr>
          <w14:numForm w14:val="lining"/>
          <w14:numSpacing w14:val="proportional"/>
        </w:rPr>
        <w:t>. There are</w:t>
      </w:r>
      <w:r w:rsidRPr="00E5087D">
        <w:rPr>
          <w14:numForm w14:val="lining"/>
          <w14:numSpacing w14:val="proportional"/>
        </w:rPr>
        <w:t xml:space="preserve"> slightly higher levels in </w:t>
      </w:r>
      <w:r w:rsidR="7837590C" w:rsidRPr="00E5087D">
        <w:rPr>
          <w14:numForm w14:val="lining"/>
          <w14:numSpacing w14:val="proportional"/>
        </w:rPr>
        <w:t>c</w:t>
      </w:r>
      <w:r w:rsidRPr="00E5087D">
        <w:rPr>
          <w14:numForm w14:val="lining"/>
          <w14:numSpacing w14:val="proportional"/>
        </w:rPr>
        <w:t xml:space="preserve">lean </w:t>
      </w:r>
      <w:r w:rsidR="4B3A8107" w:rsidRPr="00E5087D">
        <w:rPr>
          <w14:numForm w14:val="lining"/>
          <w14:numSpacing w14:val="proportional"/>
        </w:rPr>
        <w:t>e</w:t>
      </w:r>
      <w:r w:rsidRPr="00E5087D">
        <w:rPr>
          <w14:numForm w14:val="lining"/>
          <w14:numSpacing w14:val="proportional"/>
        </w:rPr>
        <w:t xml:space="preserve">nergy </w:t>
      </w:r>
      <w:r w:rsidR="7989F4FD" w:rsidRPr="00E5087D">
        <w:rPr>
          <w14:numForm w14:val="lining"/>
          <w14:numSpacing w14:val="proportional"/>
        </w:rPr>
        <w:t>s</w:t>
      </w:r>
      <w:r w:rsidRPr="00E5087D">
        <w:rPr>
          <w14:numForm w14:val="lining"/>
          <w14:numSpacing w14:val="proportional"/>
        </w:rPr>
        <w:t xml:space="preserve">upply (distribution and generation). </w:t>
      </w:r>
    </w:p>
    <w:p w14:paraId="47D1BB6F" w14:textId="24B2AB1A" w:rsidR="00CE6D1F" w:rsidRPr="00E5087D" w:rsidRDefault="2C8D7505" w:rsidP="00DA2712">
      <w:pPr>
        <w:spacing w:after="240" w:line="276" w:lineRule="auto"/>
      </w:pPr>
      <w:r w:rsidRPr="00E5087D">
        <w:rPr>
          <w14:numForm w14:val="lining"/>
          <w14:numSpacing w14:val="proportional"/>
        </w:rPr>
        <w:t xml:space="preserve">The three more white collar </w:t>
      </w:r>
      <w:r w:rsidR="34635999" w:rsidRPr="00E5087D">
        <w:rPr>
          <w14:numForm w14:val="lining"/>
          <w14:numSpacing w14:val="proportional"/>
        </w:rPr>
        <w:t>c</w:t>
      </w:r>
      <w:r w:rsidRPr="00E5087D">
        <w:rPr>
          <w14:numForm w14:val="lining"/>
          <w14:numSpacing w14:val="proportional"/>
        </w:rPr>
        <w:t xml:space="preserve">lean </w:t>
      </w:r>
      <w:r w:rsidR="2E3981F5" w:rsidRPr="00E5087D">
        <w:rPr>
          <w14:numForm w14:val="lining"/>
          <w14:numSpacing w14:val="proportional"/>
        </w:rPr>
        <w:t>e</w:t>
      </w:r>
      <w:r w:rsidRPr="00E5087D">
        <w:rPr>
          <w14:numForm w14:val="lining"/>
          <w14:numSpacing w14:val="proportional"/>
        </w:rPr>
        <w:t xml:space="preserve">nergy </w:t>
      </w:r>
      <w:r w:rsidR="046B95FE" w:rsidRPr="00E5087D">
        <w:rPr>
          <w14:numForm w14:val="lining"/>
          <w14:numSpacing w14:val="proportional"/>
        </w:rPr>
        <w:t>e</w:t>
      </w:r>
      <w:r w:rsidRPr="00E5087D">
        <w:rPr>
          <w14:numForm w14:val="lining"/>
          <w14:numSpacing w14:val="proportional"/>
        </w:rPr>
        <w:t xml:space="preserve">nabling </w:t>
      </w:r>
      <w:r w:rsidR="00D84BCC">
        <w:rPr>
          <w14:numForm w14:val="lining"/>
          <w14:numSpacing w14:val="proportional"/>
        </w:rPr>
        <w:t>sub-</w:t>
      </w:r>
      <w:r w:rsidRPr="00E5087D">
        <w:rPr>
          <w14:numForm w14:val="lining"/>
          <w14:numSpacing w14:val="proportional"/>
        </w:rPr>
        <w:t xml:space="preserve">segments (education, training, research and technology, finance, legal and business, and regulatory) are the only clean energy segments with majority female </w:t>
      </w:r>
      <w:r w:rsidR="50BF5D04" w:rsidRPr="00E5087D">
        <w:rPr>
          <w14:numForm w14:val="lining"/>
          <w14:numSpacing w14:val="proportional"/>
        </w:rPr>
        <w:t>workers</w:t>
      </w:r>
      <w:r w:rsidRPr="00E5087D">
        <w:rPr>
          <w14:numForm w14:val="lining"/>
          <w14:numSpacing w14:val="proportional"/>
        </w:rPr>
        <w:t xml:space="preserve">. In comparison, other industry groups </w:t>
      </w:r>
      <w:r w:rsidR="72883EE6" w:rsidRPr="00E5087D">
        <w:rPr>
          <w14:numForm w14:val="lining"/>
          <w14:numSpacing w14:val="proportional"/>
        </w:rPr>
        <w:t>have</w:t>
      </w:r>
      <w:r w:rsidRPr="00E5087D">
        <w:rPr>
          <w14:numForm w14:val="lining"/>
          <w14:numSpacing w14:val="proportional"/>
        </w:rPr>
        <w:t xml:space="preserve"> more than 50</w:t>
      </w:r>
      <w:r w:rsidR="6F4B7F94">
        <w:rPr>
          <w14:numForm w14:val="lining"/>
          <w14:numSpacing w14:val="proportional"/>
        </w:rPr>
        <w:t>%</w:t>
      </w:r>
      <w:r w:rsidRPr="00E5087D">
        <w:rPr>
          <w14:numForm w14:val="lining"/>
          <w14:numSpacing w14:val="proportional"/>
        </w:rPr>
        <w:t xml:space="preserve"> female participation.</w:t>
      </w:r>
      <w:r w:rsidR="008454F8" w:rsidRPr="00E5087D">
        <w:rPr>
          <w14:numForm w14:val="lining"/>
          <w14:numSpacing w14:val="proportional"/>
        </w:rPr>
        <w:t xml:space="preserve"> Occupationally, the gender segregation is even more apparent, especially amongst the Technicians and Trades </w:t>
      </w:r>
      <w:r w:rsidR="1CD2C86D" w:rsidRPr="00E5087D">
        <w:rPr>
          <w14:numForm w14:val="lining"/>
          <w14:numSpacing w14:val="proportional"/>
        </w:rPr>
        <w:t>occupations</w:t>
      </w:r>
      <w:r w:rsidR="004C535B">
        <w:rPr>
          <w14:numForm w14:val="lining"/>
          <w14:numSpacing w14:val="proportional"/>
        </w:rPr>
        <w:t xml:space="preserve"> (Figure 3.2)</w:t>
      </w:r>
      <w:r w:rsidR="1CD2C86D" w:rsidRPr="00E5087D">
        <w:rPr>
          <w14:numForm w14:val="lining"/>
          <w14:numSpacing w14:val="proportional"/>
        </w:rPr>
        <w:t xml:space="preserve">. </w:t>
      </w:r>
    </w:p>
    <w:p w14:paraId="27D4EB03" w14:textId="1E97EC54" w:rsidR="00E94301" w:rsidRDefault="00CE6D1F" w:rsidP="000327FD">
      <w:pPr>
        <w:pBdr>
          <w:top w:val="single" w:sz="4" w:space="6" w:color="BFBFBF" w:themeColor="background1" w:themeShade="BF"/>
        </w:pBdr>
        <w:spacing w:after="120"/>
      </w:pPr>
      <w:r w:rsidRPr="00E5087D">
        <w:rPr>
          <w:b/>
          <w:bCs/>
        </w:rPr>
        <w:t xml:space="preserve">Figure </w:t>
      </w:r>
      <w:r w:rsidR="00A20D74">
        <w:rPr>
          <w:b/>
          <w:bCs/>
        </w:rPr>
        <w:t>3.1</w:t>
      </w:r>
      <w:r w:rsidR="009E6F85" w:rsidRPr="00E5087D">
        <w:rPr>
          <w:b/>
          <w:bCs/>
        </w:rPr>
        <w:t>.</w:t>
      </w:r>
      <w:r w:rsidR="00811B99">
        <w:rPr>
          <w:b/>
          <w:bCs/>
        </w:rPr>
        <w:t xml:space="preserve"> Female representation by</w:t>
      </w:r>
      <w:r w:rsidRPr="00E5087D">
        <w:rPr>
          <w:b/>
          <w:bCs/>
        </w:rPr>
        <w:t xml:space="preserve"> Clean Energy </w:t>
      </w:r>
      <w:r w:rsidR="002C3B9C">
        <w:rPr>
          <w:b/>
          <w:bCs/>
        </w:rPr>
        <w:t>Sub-segment</w:t>
      </w:r>
      <w:r w:rsidR="3209B5B2">
        <w:rPr>
          <w:noProof/>
        </w:rPr>
        <w:drawing>
          <wp:inline distT="0" distB="0" distL="0" distR="0" wp14:anchorId="6994A7B6" wp14:editId="2839F0F3">
            <wp:extent cx="5562600" cy="3708400"/>
            <wp:effectExtent l="0" t="0" r="0" b="0"/>
            <wp:docPr id="852268087" name="Picture 852268087" descr="This figure represents the proportion of females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68087" name="Picture 852268087" descr="This figure represents the proportion of females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pic:cNvPicPr/>
                  </pic:nvPicPr>
                  <pic:blipFill>
                    <a:blip r:embed="rId77" cstate="screen">
                      <a:extLst>
                        <a:ext uri="{28A0092B-C50C-407E-A947-70E740481C1C}">
                          <a14:useLocalDpi xmlns:a14="http://schemas.microsoft.com/office/drawing/2010/main"/>
                        </a:ext>
                      </a:extLst>
                    </a:blip>
                    <a:stretch>
                      <a:fillRect/>
                    </a:stretch>
                  </pic:blipFill>
                  <pic:spPr>
                    <a:xfrm>
                      <a:off x="0" y="0"/>
                      <a:ext cx="5562600" cy="3708400"/>
                    </a:xfrm>
                    <a:prstGeom prst="rect">
                      <a:avLst/>
                    </a:prstGeom>
                  </pic:spPr>
                </pic:pic>
              </a:graphicData>
            </a:graphic>
          </wp:inline>
        </w:drawing>
      </w:r>
    </w:p>
    <w:p w14:paraId="15D9213A" w14:textId="43081330" w:rsidR="00CE6D1F" w:rsidRPr="00E5087D" w:rsidRDefault="00E94301" w:rsidP="000327FD">
      <w:r w:rsidRPr="00E94301">
        <w:rPr>
          <w:sz w:val="18"/>
          <w:szCs w:val="18"/>
        </w:rPr>
        <w:t>Source: ABS Census of Population and Housing, 2021</w:t>
      </w:r>
    </w:p>
    <w:p w14:paraId="79ED0E37" w14:textId="77777777" w:rsidR="000327FD" w:rsidRDefault="000327FD">
      <w:pPr>
        <w:rPr>
          <w:rFonts w:eastAsia="Arial" w:cs="Arial"/>
          <w:b/>
        </w:rPr>
      </w:pPr>
      <w:r>
        <w:rPr>
          <w:rFonts w:eastAsia="Arial" w:cs="Arial"/>
          <w:b/>
        </w:rPr>
        <w:br w:type="page"/>
      </w:r>
    </w:p>
    <w:p w14:paraId="0BF1D567" w14:textId="45521B45" w:rsidR="3F32D168" w:rsidRPr="00E94301" w:rsidRDefault="3F32D168" w:rsidP="000327FD">
      <w:pPr>
        <w:pBdr>
          <w:top w:val="single" w:sz="4" w:space="6" w:color="BFBFBF" w:themeColor="background1" w:themeShade="BF"/>
        </w:pBdr>
        <w:spacing w:after="120"/>
        <w:rPr>
          <w:rFonts w:eastAsia="Arial" w:cs="Arial"/>
          <w:b/>
        </w:rPr>
      </w:pPr>
      <w:r w:rsidRPr="00E94301">
        <w:rPr>
          <w:rFonts w:eastAsia="Arial" w:cs="Arial"/>
          <w:b/>
        </w:rPr>
        <w:lastRenderedPageBreak/>
        <w:t>Figure 3.</w:t>
      </w:r>
      <w:r w:rsidR="0068345C" w:rsidRPr="00811B99">
        <w:rPr>
          <w:rFonts w:eastAsia="Arial" w:cs="Arial"/>
          <w:b/>
        </w:rPr>
        <w:t>2.</w:t>
      </w:r>
      <w:r w:rsidRPr="00E94301">
        <w:rPr>
          <w:rFonts w:eastAsia="Arial" w:cs="Arial"/>
          <w:b/>
        </w:rPr>
        <w:t xml:space="preserve"> Female participation across the critical occupations</w:t>
      </w:r>
      <w:r w:rsidR="7D10628D" w:rsidRPr="00E94301">
        <w:rPr>
          <w:rFonts w:eastAsia="Arial" w:cs="Arial"/>
          <w:b/>
        </w:rPr>
        <w:t xml:space="preserve"> in clean energy</w:t>
      </w:r>
      <w:r w:rsidRPr="00E94301">
        <w:rPr>
          <w:rFonts w:eastAsia="Arial" w:cs="Arial"/>
          <w:b/>
        </w:rPr>
        <w:t xml:space="preserve"> </w:t>
      </w:r>
    </w:p>
    <w:p w14:paraId="3030123A" w14:textId="5A6DFE3A" w:rsidR="00E94301" w:rsidRDefault="7F6B17E5" w:rsidP="53410727">
      <w:pPr>
        <w:spacing w:before="240" w:after="120" w:line="276" w:lineRule="auto"/>
      </w:pPr>
      <w:r>
        <w:rPr>
          <w:noProof/>
        </w:rPr>
        <w:drawing>
          <wp:inline distT="0" distB="0" distL="0" distR="0" wp14:anchorId="02FDC01D" wp14:editId="1F5558BC">
            <wp:extent cx="5337532" cy="7670706"/>
            <wp:effectExtent l="0" t="0" r="0" b="0"/>
            <wp:docPr id="2074122864" name="Picture 2074122864" descr="This figure represents female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22864" name="Picture 2074122864" descr="This figure represents female participation across the 38 critical occupations in clean energy. Representation is over 50% in enabling segments such as education, training, research and technology; finance, legal and business and; regulatory. The lowest representation of the female clean energy workforce is in Demand - energy usage at around 10% participation."/>
                    <pic:cNvPicPr/>
                  </pic:nvPicPr>
                  <pic:blipFill>
                    <a:blip r:embed="rId78" cstate="screen">
                      <a:extLst>
                        <a:ext uri="{28A0092B-C50C-407E-A947-70E740481C1C}">
                          <a14:useLocalDpi xmlns:a14="http://schemas.microsoft.com/office/drawing/2010/main"/>
                        </a:ext>
                      </a:extLst>
                    </a:blip>
                    <a:stretch>
                      <a:fillRect/>
                    </a:stretch>
                  </pic:blipFill>
                  <pic:spPr>
                    <a:xfrm>
                      <a:off x="0" y="0"/>
                      <a:ext cx="5337532" cy="7670706"/>
                    </a:xfrm>
                    <a:prstGeom prst="rect">
                      <a:avLst/>
                    </a:prstGeom>
                  </pic:spPr>
                </pic:pic>
              </a:graphicData>
            </a:graphic>
          </wp:inline>
        </w:drawing>
      </w:r>
    </w:p>
    <w:p w14:paraId="15A7555D" w14:textId="77777777" w:rsidR="00E94301" w:rsidRPr="00E5087D" w:rsidRDefault="00E94301" w:rsidP="00E94301">
      <w:r w:rsidRPr="00E94301">
        <w:rPr>
          <w:sz w:val="18"/>
          <w:szCs w:val="18"/>
        </w:rPr>
        <w:t>Source: ABS Census of Population and Housing, 2021</w:t>
      </w:r>
    </w:p>
    <w:p w14:paraId="7FD9825A" w14:textId="77777777" w:rsidR="000327FD" w:rsidRDefault="000327FD">
      <w:pPr>
        <w:rPr>
          <w14:numForm w14:val="lining"/>
          <w14:numSpacing w14:val="proportional"/>
        </w:rPr>
      </w:pPr>
      <w:r>
        <w:rPr>
          <w14:numForm w14:val="lining"/>
          <w14:numSpacing w14:val="proportional"/>
        </w:rPr>
        <w:br w:type="page"/>
      </w:r>
    </w:p>
    <w:p w14:paraId="525DC7EE" w14:textId="566AB553" w:rsidR="00CE6D1F" w:rsidRPr="00E5087D" w:rsidRDefault="00CE6D1F" w:rsidP="00E94301">
      <w:pPr>
        <w:spacing w:before="240" w:after="120" w:line="276" w:lineRule="auto"/>
      </w:pPr>
      <w:r w:rsidRPr="00E5087D">
        <w:rPr>
          <w14:numForm w14:val="lining"/>
          <w14:numSpacing w14:val="proportional"/>
        </w:rPr>
        <w:lastRenderedPageBreak/>
        <w:t xml:space="preserve">The </w:t>
      </w:r>
      <w:r w:rsidR="00712085">
        <w:rPr>
          <w:rFonts w:cs="Arial"/>
          <w14:numForm w14:val="lining"/>
          <w14:numSpacing w14:val="proportional"/>
        </w:rPr>
        <w:t>CEC’s</w:t>
      </w:r>
      <w:r w:rsidRPr="00E5087D">
        <w:rPr>
          <w14:numForm w14:val="lining"/>
          <w14:numSpacing w14:val="proportional"/>
        </w:rPr>
        <w:t xml:space="preserve"> survey found the representation of women decreased as </w:t>
      </w:r>
      <w:r w:rsidR="7BD343EE" w:rsidRPr="00E5087D">
        <w:rPr>
          <w14:numForm w14:val="lining"/>
          <w14:numSpacing w14:val="proportional"/>
        </w:rPr>
        <w:t>roles became</w:t>
      </w:r>
      <w:r w:rsidRPr="00E5087D">
        <w:rPr>
          <w14:numForm w14:val="lining"/>
          <w14:numSpacing w14:val="proportional"/>
        </w:rPr>
        <w:t xml:space="preserve"> senior leadership roles or board positions.</w:t>
      </w:r>
      <w:r w:rsidRPr="00E5087D">
        <w:rPr>
          <w:rStyle w:val="EndnoteReference"/>
          <w14:numForm w14:val="lining"/>
          <w14:numSpacing w14:val="proportional"/>
        </w:rPr>
        <w:endnoteReference w:id="34"/>
      </w:r>
    </w:p>
    <w:p w14:paraId="10388A82" w14:textId="0EC6DFF8" w:rsidR="00CE6D1F" w:rsidRPr="00E5087D" w:rsidRDefault="1F79CBF3" w:rsidP="008D34E8">
      <w:pPr>
        <w:spacing w:after="120" w:line="276" w:lineRule="auto"/>
        <w:rPr>
          <w14:numForm w14:val="lining"/>
          <w14:numSpacing w14:val="proportional"/>
        </w:rPr>
      </w:pPr>
      <w:r w:rsidRPr="00E5087D">
        <w:rPr>
          <w14:numForm w14:val="lining"/>
          <w14:numSpacing w14:val="proportional"/>
        </w:rPr>
        <w:t>Across all three sectors of</w:t>
      </w:r>
      <w:r w:rsidR="00CE6D1F" w:rsidRPr="00E5087D">
        <w:rPr>
          <w14:numForm w14:val="lining"/>
          <w14:numSpacing w14:val="proportional"/>
        </w:rPr>
        <w:t xml:space="preserve"> clean energy</w:t>
      </w:r>
      <w:r w:rsidR="4AD826DB" w:rsidRPr="00E5087D">
        <w:rPr>
          <w14:numForm w14:val="lining"/>
          <w14:numSpacing w14:val="proportional"/>
        </w:rPr>
        <w:t>,</w:t>
      </w:r>
      <w:r w:rsidR="00CE6D1F" w:rsidRPr="00E5087D">
        <w:rPr>
          <w14:numForm w14:val="lining"/>
          <w14:numSpacing w14:val="proportional"/>
        </w:rPr>
        <w:t xml:space="preserve"> transitioning and emission intensive, women are more likely to work in on-selling electricity</w:t>
      </w:r>
      <w:r w:rsidR="0AD9A490" w:rsidRPr="00E5087D">
        <w:rPr>
          <w14:numForm w14:val="lining"/>
          <w14:numSpacing w14:val="proportional"/>
        </w:rPr>
        <w:t xml:space="preserve"> and</w:t>
      </w:r>
      <w:r w:rsidR="00CE6D1F" w:rsidRPr="00E5087D">
        <w:rPr>
          <w14:numForm w14:val="lining"/>
          <w14:numSpacing w14:val="proportional"/>
        </w:rPr>
        <w:t xml:space="preserve"> fuel retailing than in energy generation, gas supply and electricity distribution transmission. Where women are </w:t>
      </w:r>
      <w:r w:rsidR="3CC6C671" w:rsidRPr="00E5087D">
        <w:rPr>
          <w14:numForm w14:val="lining"/>
          <w14:numSpacing w14:val="proportional"/>
        </w:rPr>
        <w:t>working</w:t>
      </w:r>
      <w:r w:rsidR="00CE6D1F" w:rsidRPr="00E5087D">
        <w:rPr>
          <w14:numForm w14:val="lining"/>
          <w14:numSpacing w14:val="proportional"/>
        </w:rPr>
        <w:t xml:space="preserve"> in clean energy, they </w:t>
      </w:r>
      <w:r w:rsidR="7F7D30CC" w:rsidRPr="00E5087D">
        <w:rPr>
          <w14:numForm w14:val="lining"/>
          <w14:numSpacing w14:val="proportional"/>
        </w:rPr>
        <w:t xml:space="preserve">are </w:t>
      </w:r>
      <w:r w:rsidR="00CE6D1F" w:rsidRPr="00E5087D">
        <w:rPr>
          <w14:numForm w14:val="lining"/>
          <w14:numSpacing w14:val="proportional"/>
        </w:rPr>
        <w:t xml:space="preserve">in roles </w:t>
      </w:r>
      <w:r w:rsidR="00937C54">
        <w:rPr>
          <w14:numForm w14:val="lining"/>
          <w14:numSpacing w14:val="proportional"/>
        </w:rPr>
        <w:t>such as</w:t>
      </w:r>
      <w:r w:rsidR="00CE6D1F" w:rsidRPr="00E5087D">
        <w:rPr>
          <w14:numForm w14:val="lining"/>
          <w14:numSpacing w14:val="proportional"/>
        </w:rPr>
        <w:t xml:space="preserve"> general clerks, office managers, accounting clerks, commercial cleaners and interior design </w:t>
      </w:r>
      <w:r w:rsidR="0482F2BC" w:rsidRPr="00E5087D">
        <w:rPr>
          <w14:numForm w14:val="lining"/>
          <w14:numSpacing w14:val="proportional"/>
        </w:rPr>
        <w:t>whereas</w:t>
      </w:r>
      <w:r w:rsidR="00CE6D1F" w:rsidRPr="00E5087D">
        <w:rPr>
          <w14:numForm w14:val="lining"/>
          <w14:numSpacing w14:val="proportional"/>
        </w:rPr>
        <w:t xml:space="preserve"> female representation in trade qualified roles and engineering roles </w:t>
      </w:r>
      <w:r w:rsidR="55A38BBE" w:rsidRPr="00E5087D">
        <w:rPr>
          <w14:numForm w14:val="lining"/>
          <w14:numSpacing w14:val="proportional"/>
        </w:rPr>
        <w:t>is</w:t>
      </w:r>
      <w:r w:rsidR="00CE6D1F" w:rsidRPr="00E5087D">
        <w:rPr>
          <w14:numForm w14:val="lining"/>
          <w14:numSpacing w14:val="proportional"/>
        </w:rPr>
        <w:t xml:space="preserve"> very low.</w:t>
      </w:r>
    </w:p>
    <w:p w14:paraId="642665FB" w14:textId="663BAF4C" w:rsidR="00CE6D1F" w:rsidRDefault="0E3F9550" w:rsidP="008D34E8">
      <w:pPr>
        <w:spacing w:after="120" w:line="276" w:lineRule="auto"/>
        <w:rPr>
          <w14:numForm w14:val="lining"/>
          <w14:numSpacing w14:val="proportional"/>
        </w:rPr>
      </w:pPr>
      <w:r>
        <w:rPr>
          <w14:numForm w14:val="lining"/>
          <w14:numSpacing w14:val="proportional"/>
        </w:rPr>
        <w:t>The barriers to women’s participation in the clean energy workforce including issues around</w:t>
      </w:r>
      <w:r w:rsidR="1E8E0185">
        <w:rPr>
          <w14:numForm w14:val="lining"/>
          <w14:numSpacing w14:val="proportional"/>
        </w:rPr>
        <w:t xml:space="preserve"> the gender pay gap; workplace</w:t>
      </w:r>
      <w:r>
        <w:rPr>
          <w14:numForm w14:val="lining"/>
          <w14:numSpacing w14:val="proportional"/>
        </w:rPr>
        <w:t xml:space="preserve"> safety</w:t>
      </w:r>
      <w:r w:rsidR="5A9B2A4E">
        <w:rPr>
          <w14:numForm w14:val="lining"/>
          <w14:numSpacing w14:val="proportional"/>
        </w:rPr>
        <w:t xml:space="preserve"> </w:t>
      </w:r>
      <w:r w:rsidR="5AF9B2DD">
        <w:rPr>
          <w14:numForm w14:val="lining"/>
          <w14:numSpacing w14:val="proportional"/>
        </w:rPr>
        <w:t>in particular high rates of</w:t>
      </w:r>
      <w:r w:rsidR="5A9B2A4E">
        <w:rPr>
          <w14:numForm w14:val="lining"/>
          <w14:numSpacing w14:val="proportional"/>
        </w:rPr>
        <w:t xml:space="preserve"> </w:t>
      </w:r>
      <w:r>
        <w:rPr>
          <w14:numForm w14:val="lining"/>
          <w14:numSpacing w14:val="proportional"/>
        </w:rPr>
        <w:t xml:space="preserve">sexual </w:t>
      </w:r>
      <w:r w:rsidR="5A460EA7">
        <w:rPr>
          <w14:numForm w14:val="lining"/>
          <w14:numSpacing w14:val="proportional"/>
        </w:rPr>
        <w:t>harassment</w:t>
      </w:r>
      <w:r>
        <w:rPr>
          <w14:numForm w14:val="lining"/>
          <w14:numSpacing w14:val="proportional"/>
        </w:rPr>
        <w:t xml:space="preserve"> and </w:t>
      </w:r>
      <w:r w:rsidR="77E8B762">
        <w:rPr>
          <w14:numForm w14:val="lining"/>
          <w14:numSpacing w14:val="proportional"/>
        </w:rPr>
        <w:t xml:space="preserve">basic issues like </w:t>
      </w:r>
      <w:r w:rsidR="2B45C4D5">
        <w:rPr>
          <w14:numForm w14:val="lining"/>
          <w14:numSpacing w14:val="proportional"/>
        </w:rPr>
        <w:t xml:space="preserve">suitable workplace amenities </w:t>
      </w:r>
      <w:r>
        <w:rPr>
          <w14:numForm w14:val="lining"/>
          <w14:numSpacing w14:val="proportional"/>
        </w:rPr>
        <w:t xml:space="preserve">is discussed in </w:t>
      </w:r>
      <w:r w:rsidRPr="00EE68FD">
        <w:rPr>
          <w:b/>
          <w:bCs/>
          <w14:numForm w14:val="lining"/>
          <w14:numSpacing w14:val="proportional"/>
        </w:rPr>
        <w:t>Chapter 8</w:t>
      </w:r>
      <w:r>
        <w:rPr>
          <w14:numForm w14:val="lining"/>
          <w14:numSpacing w14:val="proportional"/>
        </w:rPr>
        <w:t xml:space="preserve">. </w:t>
      </w:r>
      <w:r w:rsidR="34D889DE">
        <w:rPr>
          <w14:numForm w14:val="lining"/>
          <w14:numSpacing w14:val="proportional"/>
        </w:rPr>
        <w:t>I</w:t>
      </w:r>
      <w:r w:rsidR="7633A4AC">
        <w:rPr>
          <w14:numForm w14:val="lining"/>
          <w14:numSpacing w14:val="proportional"/>
        </w:rPr>
        <w:t>ncreasing women’s participation is key to scaling up the workfo</w:t>
      </w:r>
      <w:r w:rsidR="08E335B7">
        <w:rPr>
          <w14:numForm w14:val="lining"/>
          <w14:numSpacing w14:val="proportional"/>
        </w:rPr>
        <w:t>rce that we need for the</w:t>
      </w:r>
      <w:r w:rsidR="5C5CC515">
        <w:rPr>
          <w14:numForm w14:val="lining"/>
          <w14:numSpacing w14:val="proportional"/>
        </w:rPr>
        <w:t xml:space="preserve"> net zero</w:t>
      </w:r>
      <w:r w:rsidR="08E335B7">
        <w:rPr>
          <w14:numForm w14:val="lining"/>
          <w14:numSpacing w14:val="proportional"/>
        </w:rPr>
        <w:t xml:space="preserve"> transition </w:t>
      </w:r>
      <w:r w:rsidR="2269773F">
        <w:rPr>
          <w14:numForm w14:val="lining"/>
          <w14:numSpacing w14:val="proportional"/>
        </w:rPr>
        <w:t xml:space="preserve">so opportunities </w:t>
      </w:r>
      <w:r w:rsidR="70D5728C">
        <w:rPr>
          <w14:numForm w14:val="lining"/>
          <w14:numSpacing w14:val="proportional"/>
        </w:rPr>
        <w:t>to do this including</w:t>
      </w:r>
      <w:r w:rsidR="2269773F">
        <w:rPr>
          <w14:numForm w14:val="lining"/>
          <w14:numSpacing w14:val="proportional"/>
        </w:rPr>
        <w:t xml:space="preserve"> t</w:t>
      </w:r>
      <w:r w:rsidR="7CBBA97A">
        <w:t>he Smart Energy Council</w:t>
      </w:r>
      <w:r w:rsidR="7FDACDB6">
        <w:t xml:space="preserve">’s </w:t>
      </w:r>
      <w:r w:rsidR="7CBBA97A">
        <w:t xml:space="preserve">Gender Action Plan </w:t>
      </w:r>
      <w:r w:rsidR="2D1F6AAE">
        <w:t xml:space="preserve">are also highlighted in </w:t>
      </w:r>
      <w:r w:rsidR="0068345C" w:rsidRPr="00EE68FD">
        <w:rPr>
          <w:b/>
          <w:bCs/>
        </w:rPr>
        <w:t>C</w:t>
      </w:r>
      <w:r w:rsidR="2D1F6AAE" w:rsidRPr="00EE68FD">
        <w:rPr>
          <w:b/>
          <w:bCs/>
        </w:rPr>
        <w:t>hapter 8</w:t>
      </w:r>
      <w:r w:rsidR="2D1F6AAE">
        <w:t>.</w:t>
      </w:r>
    </w:p>
    <w:p w14:paraId="3C7B41AB" w14:textId="77777777" w:rsidR="00CE6D1F" w:rsidRPr="00E5087D" w:rsidRDefault="00CE6D1F">
      <w:pPr>
        <w:rPr>
          <w14:numForm w14:val="lining"/>
          <w14:numSpacing w14:val="proportional"/>
        </w:rPr>
      </w:pPr>
      <w:r w:rsidRPr="00E5087D">
        <w:rPr>
          <w14:numForm w14:val="lining"/>
          <w14:numSpacing w14:val="proportional"/>
        </w:rPr>
        <w:br w:type="page"/>
      </w:r>
    </w:p>
    <w:p w14:paraId="1F50FC59" w14:textId="77777777" w:rsidR="00501F44" w:rsidRPr="00E5087D" w:rsidRDefault="00501F44" w:rsidP="00501F44">
      <w:pPr>
        <w:pStyle w:val="Heading4"/>
        <w:rPr>
          <w:color w:val="0C6DAD" w:themeColor="accent3" w:themeShade="BF"/>
        </w:rPr>
      </w:pPr>
      <w:r w:rsidRPr="00E5087D">
        <w:rPr>
          <w:color w:val="0C6DAD" w:themeColor="accent3" w:themeShade="BF"/>
        </w:rPr>
        <w:lastRenderedPageBreak/>
        <w:t>Age</w:t>
      </w:r>
    </w:p>
    <w:p w14:paraId="00EDAADE" w14:textId="5FFC1A88" w:rsidR="00501F44" w:rsidRPr="00E5087D" w:rsidRDefault="0B2CBF79" w:rsidP="00501F44">
      <w:pPr>
        <w:spacing w:before="120" w:after="240" w:line="276" w:lineRule="auto"/>
        <w:rPr>
          <w:highlight w:val="yellow"/>
          <w14:numForm w14:val="lining"/>
          <w14:numSpacing w14:val="proportional"/>
        </w:rPr>
      </w:pPr>
      <w:r>
        <w:rPr>
          <w14:numForm w14:val="lining"/>
          <w14:numSpacing w14:val="proportional"/>
        </w:rPr>
        <w:t xml:space="preserve">The average age of the clean energy workforce is </w:t>
      </w:r>
      <w:r w:rsidR="76657513">
        <w:rPr>
          <w14:numForm w14:val="lining"/>
          <w14:numSpacing w14:val="proportional"/>
        </w:rPr>
        <w:t xml:space="preserve">42, which is </w:t>
      </w:r>
      <w:r w:rsidR="3C8613C9">
        <w:t xml:space="preserve">on par with the average age of the </w:t>
      </w:r>
      <w:r w:rsidR="00991B71">
        <w:t xml:space="preserve">workforce in </w:t>
      </w:r>
      <w:r w:rsidR="3C8613C9">
        <w:t>emissions-intensive and transitioning</w:t>
      </w:r>
      <w:r w:rsidR="00991B71">
        <w:t xml:space="preserve"> segments</w:t>
      </w:r>
      <w:r w:rsidR="6EE5B6C6">
        <w:rPr>
          <w14:numForm w14:val="lining"/>
          <w14:numSpacing w14:val="proportional"/>
        </w:rPr>
        <w:t>. It is</w:t>
      </w:r>
      <w:r w:rsidR="76657513">
        <w:rPr>
          <w14:numForm w14:val="lining"/>
          <w14:numSpacing w14:val="proportional"/>
        </w:rPr>
        <w:t xml:space="preserve"> </w:t>
      </w:r>
      <w:r w:rsidR="21EA0749">
        <w:rPr>
          <w14:numForm w14:val="lining"/>
          <w14:numSpacing w14:val="proportional"/>
        </w:rPr>
        <w:t>slightly older than</w:t>
      </w:r>
      <w:r>
        <w:rPr>
          <w14:numForm w14:val="lining"/>
          <w14:numSpacing w14:val="proportional"/>
        </w:rPr>
        <w:t xml:space="preserve"> the </w:t>
      </w:r>
      <w:r w:rsidR="315B774A">
        <w:rPr>
          <w14:numForm w14:val="lining"/>
          <w14:numSpacing w14:val="proportional"/>
        </w:rPr>
        <w:t xml:space="preserve">wider </w:t>
      </w:r>
      <w:r>
        <w:rPr>
          <w14:numForm w14:val="lining"/>
          <w14:numSpacing w14:val="proportional"/>
        </w:rPr>
        <w:t xml:space="preserve">Australian labour force </w:t>
      </w:r>
      <w:r w:rsidR="76657513">
        <w:rPr>
          <w14:numForm w14:val="lining"/>
          <w14:numSpacing w14:val="proportional"/>
        </w:rPr>
        <w:t xml:space="preserve">which </w:t>
      </w:r>
      <w:r w:rsidR="21EA0749">
        <w:rPr>
          <w14:numForm w14:val="lining"/>
          <w14:numSpacing w14:val="proportional"/>
        </w:rPr>
        <w:t>has an average age of 40</w:t>
      </w:r>
      <w:r>
        <w:rPr>
          <w14:numForm w14:val="lining"/>
          <w14:numSpacing w14:val="proportional"/>
        </w:rPr>
        <w:t xml:space="preserve">. </w:t>
      </w:r>
      <w:r w:rsidR="16D85B62" w:rsidRPr="00E5087D">
        <w:rPr>
          <w14:numForm w14:val="lining"/>
          <w14:numSpacing w14:val="proportional"/>
        </w:rPr>
        <w:t xml:space="preserve">Across all </w:t>
      </w:r>
      <w:r w:rsidR="002C3B9C">
        <w:rPr>
          <w14:numForm w14:val="lining"/>
          <w14:numSpacing w14:val="proportional"/>
        </w:rPr>
        <w:t>sub-segment</w:t>
      </w:r>
      <w:r w:rsidR="16D85B62" w:rsidRPr="00E5087D">
        <w:rPr>
          <w14:numForm w14:val="lining"/>
          <w14:numSpacing w14:val="proportional"/>
        </w:rPr>
        <w:t>s, the average age ranges from 37 to 44</w:t>
      </w:r>
      <w:r w:rsidR="00F05CAD">
        <w:rPr>
          <w14:numForm w14:val="lining"/>
          <w14:numSpacing w14:val="proportional"/>
        </w:rPr>
        <w:t xml:space="preserve"> (Figure 3.</w:t>
      </w:r>
      <w:r w:rsidR="001134FA">
        <w:rPr>
          <w14:numForm w14:val="lining"/>
          <w14:numSpacing w14:val="proportional"/>
        </w:rPr>
        <w:t>3</w:t>
      </w:r>
      <w:r w:rsidR="00F05CAD">
        <w:rPr>
          <w14:numForm w14:val="lining"/>
          <w14:numSpacing w14:val="proportional"/>
        </w:rPr>
        <w:t>)</w:t>
      </w:r>
      <w:r w:rsidR="16D85B62" w:rsidRPr="00E5087D">
        <w:rPr>
          <w14:numForm w14:val="lining"/>
          <w14:numSpacing w14:val="proportional"/>
        </w:rPr>
        <w:t xml:space="preserve">. </w:t>
      </w:r>
      <w:r w:rsidR="030E3F4A" w:rsidRPr="00E5087D">
        <w:rPr>
          <w14:numForm w14:val="lining"/>
          <w14:numSpacing w14:val="proportional"/>
        </w:rPr>
        <w:t xml:space="preserve">The clean energy </w:t>
      </w:r>
      <w:r w:rsidR="3901DC06" w:rsidRPr="00E5087D">
        <w:rPr>
          <w14:numForm w14:val="lining"/>
          <w14:numSpacing w14:val="proportional"/>
        </w:rPr>
        <w:t xml:space="preserve">demand </w:t>
      </w:r>
      <w:r w:rsidR="030E3F4A" w:rsidRPr="00E5087D">
        <w:rPr>
          <w14:numForm w14:val="lining"/>
          <w14:numSpacing w14:val="proportional"/>
        </w:rPr>
        <w:t>workforce is younger than the</w:t>
      </w:r>
      <w:r w:rsidR="0BA740A0" w:rsidRPr="00E5087D">
        <w:rPr>
          <w14:numForm w14:val="lining"/>
          <w14:numSpacing w14:val="proportional"/>
        </w:rPr>
        <w:t xml:space="preserve"> other segments</w:t>
      </w:r>
      <w:r w:rsidR="4F35BBE8" w:rsidRPr="00E5087D">
        <w:rPr>
          <w14:numForm w14:val="lining"/>
          <w14:numSpacing w14:val="proportional"/>
        </w:rPr>
        <w:t>,</w:t>
      </w:r>
      <w:r w:rsidR="0BA740A0" w:rsidRPr="00E5087D">
        <w:rPr>
          <w14:numForm w14:val="lining"/>
          <w14:numSpacing w14:val="proportional"/>
        </w:rPr>
        <w:t xml:space="preserve"> </w:t>
      </w:r>
      <w:r w:rsidR="25303817" w:rsidRPr="00E5087D">
        <w:rPr>
          <w14:numForm w14:val="lining"/>
          <w14:numSpacing w14:val="proportional"/>
        </w:rPr>
        <w:t xml:space="preserve">especially amongst the energy usage and performance </w:t>
      </w:r>
      <w:r w:rsidR="002C3B9C">
        <w:rPr>
          <w14:numForm w14:val="lining"/>
          <w14:numSpacing w14:val="proportional"/>
        </w:rPr>
        <w:t>sub-segment</w:t>
      </w:r>
      <w:r w:rsidR="25303817" w:rsidRPr="00E5087D">
        <w:rPr>
          <w14:numForm w14:val="lining"/>
          <w14:numSpacing w14:val="proportional"/>
        </w:rPr>
        <w:t>s. The</w:t>
      </w:r>
      <w:r w:rsidR="030E3F4A" w:rsidRPr="00E5087D">
        <w:rPr>
          <w14:numForm w14:val="lining"/>
          <w14:numSpacing w14:val="proportional"/>
        </w:rPr>
        <w:t xml:space="preserve"> emissions-intensive</w:t>
      </w:r>
      <w:r w:rsidR="1BEFCCA8" w:rsidRPr="00E5087D">
        <w:rPr>
          <w14:numForm w14:val="lining"/>
          <w14:numSpacing w14:val="proportional"/>
        </w:rPr>
        <w:t xml:space="preserve">, demand transport and enabling regulatory </w:t>
      </w:r>
      <w:r w:rsidR="030E3F4A" w:rsidRPr="00E5087D">
        <w:rPr>
          <w14:numForm w14:val="lining"/>
          <w14:numSpacing w14:val="proportional"/>
        </w:rPr>
        <w:t>workforce</w:t>
      </w:r>
      <w:r w:rsidR="5B332A5B" w:rsidRPr="00E5087D">
        <w:rPr>
          <w14:numForm w14:val="lining"/>
          <w14:numSpacing w14:val="proportional"/>
        </w:rPr>
        <w:t xml:space="preserve">s are </w:t>
      </w:r>
      <w:r w:rsidR="55E947EB" w:rsidRPr="00E5087D">
        <w:rPr>
          <w14:numForm w14:val="lining"/>
          <w14:numSpacing w14:val="proportional"/>
        </w:rPr>
        <w:t xml:space="preserve">slightly older with an average age </w:t>
      </w:r>
      <w:r w:rsidR="3C8613C9">
        <w:rPr>
          <w14:numForm w14:val="lining"/>
          <w14:numSpacing w14:val="proportional"/>
        </w:rPr>
        <w:t xml:space="preserve">ranging 43 to </w:t>
      </w:r>
      <w:r w:rsidR="55E947EB" w:rsidRPr="00E5087D">
        <w:rPr>
          <w14:numForm w14:val="lining"/>
          <w14:numSpacing w14:val="proportional"/>
        </w:rPr>
        <w:t xml:space="preserve">44. </w:t>
      </w:r>
      <w:r w:rsidR="124DC788" w:rsidRPr="00CE2E80">
        <w:rPr>
          <w14:numForm w14:val="lining"/>
          <w14:numSpacing w14:val="proportional"/>
        </w:rPr>
        <w:t>Several</w:t>
      </w:r>
      <w:r w:rsidR="030E3F4A" w:rsidRPr="00CE2E80">
        <w:rPr>
          <w14:numForm w14:val="lining"/>
          <w14:numSpacing w14:val="proportional"/>
        </w:rPr>
        <w:t xml:space="preserve"> of </w:t>
      </w:r>
      <w:r w:rsidR="030E3F4A" w:rsidRPr="00CE2E80">
        <w:t>the technical occupations and professional roles within environmental science and engineering</w:t>
      </w:r>
      <w:r w:rsidR="7A94F974" w:rsidRPr="00CE2E80">
        <w:t xml:space="preserve"> are also younger than the transitioning and emissions sectors</w:t>
      </w:r>
      <w:r w:rsidR="09755DBB">
        <w:t>, which have a higher proportion of workers approaching retirement age</w:t>
      </w:r>
      <w:r w:rsidR="030E3F4A" w:rsidRPr="00CE2E80">
        <w:t>.</w:t>
      </w:r>
    </w:p>
    <w:p w14:paraId="38C0B388" w14:textId="102C1A51" w:rsidR="00501F44" w:rsidRPr="00E5087D" w:rsidRDefault="00501F44" w:rsidP="00DA2712">
      <w:pPr>
        <w:pBdr>
          <w:top w:val="single" w:sz="4" w:space="6" w:color="BFBFBF" w:themeColor="background1" w:themeShade="BF"/>
        </w:pBdr>
        <w:spacing w:after="0"/>
        <w:rPr>
          <w:b/>
          <w:bCs/>
        </w:rPr>
      </w:pPr>
      <w:r w:rsidRPr="00E5087D">
        <w:rPr>
          <w:b/>
          <w:bCs/>
        </w:rPr>
        <w:t xml:space="preserve">Figure </w:t>
      </w:r>
      <w:r w:rsidR="0068345C">
        <w:rPr>
          <w:b/>
          <w:bCs/>
        </w:rPr>
        <w:t>3.</w:t>
      </w:r>
      <w:r w:rsidR="001134FA">
        <w:rPr>
          <w:b/>
          <w:bCs/>
        </w:rPr>
        <w:t>3</w:t>
      </w:r>
      <w:r w:rsidR="009E6F85" w:rsidRPr="00E5087D">
        <w:rPr>
          <w:b/>
          <w:bCs/>
        </w:rPr>
        <w:t>.</w:t>
      </w:r>
      <w:r w:rsidRPr="00E5087D">
        <w:rPr>
          <w:b/>
          <w:bCs/>
        </w:rPr>
        <w:t xml:space="preserve"> Average Age by Clean Energy </w:t>
      </w:r>
      <w:r w:rsidR="002C3B9C">
        <w:rPr>
          <w:b/>
          <w:bCs/>
        </w:rPr>
        <w:t>Sub-segment</w:t>
      </w:r>
    </w:p>
    <w:p w14:paraId="24CFE38F" w14:textId="55CECA0F" w:rsidR="00C70AA0" w:rsidRDefault="00CA6D3B" w:rsidP="00C70AA0">
      <w:pPr>
        <w:spacing w:before="120"/>
        <w:rPr>
          <w:sz w:val="18"/>
          <w:szCs w:val="18"/>
        </w:rPr>
      </w:pPr>
      <w:r>
        <w:rPr>
          <w:noProof/>
          <w:sz w:val="18"/>
          <w:szCs w:val="18"/>
        </w:rPr>
        <w:drawing>
          <wp:inline distT="0" distB="0" distL="0" distR="0" wp14:anchorId="792A724B" wp14:editId="4138139E">
            <wp:extent cx="5731510" cy="3820795"/>
            <wp:effectExtent l="0" t="0" r="2540" b="8255"/>
            <wp:docPr id="52" name="Picture 52" descr="This figure represents the average age of workers by clean energy sub-segment. The average age across all segments is 40, with the youngest average age of 37 in Demand - energy usage, followed by 39 in Demand - energy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his figure represents the average age of workers by clean energy sub-segment. The average age across all segments is 40, with the youngest average age of 37 in Demand - energy usage, followed by 39 in Demand - energy performance"/>
                    <pic:cNvPicPr/>
                  </pic:nvPicPr>
                  <pic:blipFill>
                    <a:blip r:embed="rId79"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3BAF00F8" w14:textId="5659A89C" w:rsidR="00CB2686" w:rsidRPr="008D34E8" w:rsidRDefault="00CB2686" w:rsidP="00C70AA0">
      <w:pPr>
        <w:spacing w:before="120"/>
        <w:rPr>
          <w:sz w:val="18"/>
          <w:szCs w:val="18"/>
        </w:rPr>
      </w:pPr>
      <w:r w:rsidRPr="008D34E8">
        <w:rPr>
          <w:sz w:val="18"/>
          <w:szCs w:val="18"/>
        </w:rPr>
        <w:t>Source: ABS Census of Population and Housing 2021</w:t>
      </w:r>
    </w:p>
    <w:p w14:paraId="4E35A342" w14:textId="77777777" w:rsidR="00E94301" w:rsidRDefault="00E94301">
      <w:pPr>
        <w:rPr>
          <w:rFonts w:cs="Arial"/>
          <w:b/>
          <w:bCs/>
          <w:color w:val="0C6DAD" w:themeColor="accent3" w:themeShade="BF"/>
          <w:sz w:val="28"/>
        </w:rPr>
      </w:pPr>
      <w:r>
        <w:rPr>
          <w:color w:val="0C6DAD" w:themeColor="accent3" w:themeShade="BF"/>
        </w:rPr>
        <w:br w:type="page"/>
      </w:r>
    </w:p>
    <w:p w14:paraId="615C2BA0" w14:textId="218A4C08" w:rsidR="007F691E" w:rsidRPr="00E5087D" w:rsidRDefault="5C4EF3E5" w:rsidP="00CB2686">
      <w:pPr>
        <w:pStyle w:val="Heading4"/>
        <w:spacing w:before="360"/>
        <w:rPr>
          <w:color w:val="0C6DAD" w:themeColor="accent3" w:themeShade="BF"/>
        </w:rPr>
      </w:pPr>
      <w:r w:rsidRPr="388C0A0B">
        <w:rPr>
          <w:color w:val="0C6DAD" w:themeColor="accent3" w:themeShade="BF"/>
        </w:rPr>
        <w:lastRenderedPageBreak/>
        <w:t>Highest level of education</w:t>
      </w:r>
    </w:p>
    <w:p w14:paraId="03F53D65" w14:textId="1A09A777" w:rsidR="007F691E" w:rsidRPr="00E5087D" w:rsidRDefault="5C4EF3E5" w:rsidP="00E94301">
      <w:pPr>
        <w:spacing w:after="120" w:line="276" w:lineRule="auto"/>
      </w:pPr>
      <w:r w:rsidRPr="00E5087D">
        <w:rPr>
          <w14:numForm w14:val="lining"/>
          <w14:numSpacing w14:val="proportional"/>
        </w:rPr>
        <w:t xml:space="preserve">The level of qualifications differs </w:t>
      </w:r>
      <w:r w:rsidR="039677A6" w:rsidRPr="00E5087D">
        <w:rPr>
          <w14:numForm w14:val="lining"/>
          <w14:numSpacing w14:val="proportional"/>
        </w:rPr>
        <w:t xml:space="preserve">significantly </w:t>
      </w:r>
      <w:r w:rsidRPr="00E5087D">
        <w:rPr>
          <w14:numForm w14:val="lining"/>
          <w14:numSpacing w14:val="proportional"/>
        </w:rPr>
        <w:t>across the clean energy segments. In general, clean energy workforce segments contain a larger proportion of VET-qualified workers than the overall economy</w:t>
      </w:r>
      <w:r w:rsidR="00027F5B">
        <w:rPr>
          <w14:numForm w14:val="lining"/>
          <w14:numSpacing w14:val="proportional"/>
        </w:rPr>
        <w:t xml:space="preserve"> (Figure 3.</w:t>
      </w:r>
      <w:r w:rsidR="001C5739">
        <w:rPr>
          <w14:numForm w14:val="lining"/>
          <w14:numSpacing w14:val="proportional"/>
        </w:rPr>
        <w:t>4</w:t>
      </w:r>
      <w:r w:rsidR="00027F5B">
        <w:rPr>
          <w14:numForm w14:val="lining"/>
          <w14:numSpacing w14:val="proportional"/>
        </w:rPr>
        <w:t>)</w:t>
      </w:r>
      <w:r w:rsidRPr="00E5087D">
        <w:rPr>
          <w14:numForm w14:val="lining"/>
          <w14:numSpacing w14:val="proportional"/>
        </w:rPr>
        <w:t xml:space="preserve">. There are exceptions: in the </w:t>
      </w:r>
      <w:r w:rsidR="026554B0" w:rsidRPr="00E5087D">
        <w:rPr>
          <w14:numForm w14:val="lining"/>
          <w14:numSpacing w14:val="proportional"/>
        </w:rPr>
        <w:t>e</w:t>
      </w:r>
      <w:r w:rsidRPr="00E5087D">
        <w:rPr>
          <w14:numForm w14:val="lining"/>
          <w14:numSpacing w14:val="proportional"/>
        </w:rPr>
        <w:t xml:space="preserve">nabling </w:t>
      </w:r>
      <w:r w:rsidR="66F72DF7" w:rsidRPr="00E5087D">
        <w:rPr>
          <w14:numForm w14:val="lining"/>
          <w14:numSpacing w14:val="proportional"/>
        </w:rPr>
        <w:t>sub-</w:t>
      </w:r>
      <w:r w:rsidRPr="00E5087D">
        <w:rPr>
          <w14:numForm w14:val="lining"/>
          <w14:numSpacing w14:val="proportional"/>
        </w:rPr>
        <w:t>segments of education, training, research; finance, legal, business, a</w:t>
      </w:r>
      <w:r w:rsidR="38FA56E1" w:rsidRPr="00E5087D">
        <w:rPr>
          <w14:numForm w14:val="lining"/>
          <w14:numSpacing w14:val="proportional"/>
        </w:rPr>
        <w:t>s well as</w:t>
      </w:r>
      <w:r w:rsidRPr="00E5087D">
        <w:rPr>
          <w14:numForm w14:val="lining"/>
          <w14:numSpacing w14:val="proportional"/>
        </w:rPr>
        <w:t xml:space="preserve"> clean energy regulation</w:t>
      </w:r>
      <w:r w:rsidR="27033438" w:rsidRPr="00E5087D">
        <w:rPr>
          <w14:numForm w14:val="lining"/>
          <w14:numSpacing w14:val="proportional"/>
        </w:rPr>
        <w:t xml:space="preserve"> where</w:t>
      </w:r>
      <w:r w:rsidRPr="00E5087D">
        <w:rPr>
          <w14:numForm w14:val="lining"/>
          <w14:numSpacing w14:val="proportional"/>
        </w:rPr>
        <w:t xml:space="preserve"> there are higher levels of degree-qualified workers</w:t>
      </w:r>
      <w:r w:rsidR="600FA67C" w:rsidRPr="00E5087D">
        <w:rPr>
          <w14:numForm w14:val="lining"/>
          <w14:numSpacing w14:val="proportional"/>
        </w:rPr>
        <w:t>.</w:t>
      </w:r>
      <w:r w:rsidRPr="00E5087D">
        <w:rPr>
          <w14:numForm w14:val="lining"/>
          <w14:numSpacing w14:val="proportional"/>
        </w:rPr>
        <w:t xml:space="preserve"> </w:t>
      </w:r>
      <w:r w:rsidR="590866AA" w:rsidRPr="00E5087D">
        <w:rPr>
          <w14:numForm w14:val="lining"/>
          <w14:numSpacing w14:val="proportional"/>
        </w:rPr>
        <w:t>O</w:t>
      </w:r>
      <w:r w:rsidRPr="00E5087D">
        <w:rPr>
          <w14:numForm w14:val="lining"/>
          <w14:numSpacing w14:val="proportional"/>
        </w:rPr>
        <w:t>f the clean energy segments, the transport and carbon lifecycle segments have the largest proportion of workers without a post-school qualification</w:t>
      </w:r>
      <w:r w:rsidR="00A9127C">
        <w:rPr>
          <w14:numForm w14:val="lining"/>
          <w14:numSpacing w14:val="proportional"/>
        </w:rPr>
        <w:t xml:space="preserve"> at Certificate level III or higher</w:t>
      </w:r>
      <w:r w:rsidRPr="00E5087D">
        <w:rPr>
          <w14:numForm w14:val="lining"/>
          <w14:numSpacing w14:val="proportional"/>
        </w:rPr>
        <w:t>.</w:t>
      </w:r>
    </w:p>
    <w:p w14:paraId="7240F50D" w14:textId="0A2DFE01" w:rsidR="007F691E" w:rsidRPr="00E5087D" w:rsidRDefault="6C63F498" w:rsidP="00E94301">
      <w:pPr>
        <w:spacing w:after="240" w:line="276" w:lineRule="auto"/>
      </w:pPr>
      <w:r w:rsidRPr="00E5087D">
        <w:rPr>
          <w14:numForm w14:val="lining"/>
          <w14:numSpacing w14:val="proportional"/>
        </w:rPr>
        <w:t>A notable</w:t>
      </w:r>
      <w:r w:rsidR="007F691E" w:rsidRPr="00E5087D">
        <w:rPr>
          <w14:numForm w14:val="lining"/>
          <w14:numSpacing w14:val="proportional"/>
        </w:rPr>
        <w:t xml:space="preserve"> finding is that the clean energy supply segment comprises a larger proportion of workers with higher education (undergraduate and postgraduate qualifications) than the transitioning segment </w:t>
      </w:r>
      <w:r w:rsidR="362CBBA6" w:rsidRPr="00E5087D">
        <w:rPr>
          <w14:numForm w14:val="lining"/>
          <w14:numSpacing w14:val="proportional"/>
        </w:rPr>
        <w:t>which has</w:t>
      </w:r>
      <w:r w:rsidR="007F691E" w:rsidRPr="00E5087D">
        <w:rPr>
          <w14:numForm w14:val="lining"/>
          <w14:numSpacing w14:val="proportional"/>
        </w:rPr>
        <w:t xml:space="preserve"> workers in coal-fired power stations. </w:t>
      </w:r>
    </w:p>
    <w:p w14:paraId="700163EF" w14:textId="4FFF8573" w:rsidR="007F691E" w:rsidRPr="00E5087D" w:rsidRDefault="007F691E" w:rsidP="00453B44">
      <w:pPr>
        <w:pBdr>
          <w:top w:val="single" w:sz="4" w:space="6" w:color="BFBFBF" w:themeColor="background1" w:themeShade="BF"/>
        </w:pBdr>
        <w:spacing w:after="120"/>
        <w:rPr>
          <w:b/>
          <w:bCs/>
        </w:rPr>
      </w:pPr>
      <w:r w:rsidRPr="00E5087D">
        <w:rPr>
          <w:b/>
          <w:bCs/>
        </w:rPr>
        <w:t xml:space="preserve">Figure </w:t>
      </w:r>
      <w:r w:rsidR="0068345C">
        <w:rPr>
          <w:b/>
          <w:bCs/>
        </w:rPr>
        <w:t>3.</w:t>
      </w:r>
      <w:r w:rsidR="001C5739">
        <w:rPr>
          <w:b/>
          <w:bCs/>
        </w:rPr>
        <w:t>4</w:t>
      </w:r>
      <w:r w:rsidR="009E6F85" w:rsidRPr="00E5087D">
        <w:rPr>
          <w:b/>
          <w:bCs/>
        </w:rPr>
        <w:t>.</w:t>
      </w:r>
      <w:r w:rsidRPr="00E5087D">
        <w:rPr>
          <w:b/>
          <w:bCs/>
        </w:rPr>
        <w:t xml:space="preserve"> Highest Level of Education proportion by Clean Energy Sub-Segment</w:t>
      </w:r>
    </w:p>
    <w:p w14:paraId="0946A03E" w14:textId="4657D71E" w:rsidR="00CB2686" w:rsidRPr="008D34E8" w:rsidRDefault="00407FF0" w:rsidP="00CB2686">
      <w:pPr>
        <w:rPr>
          <w:sz w:val="18"/>
          <w:szCs w:val="18"/>
        </w:rPr>
      </w:pPr>
      <w:r>
        <w:rPr>
          <w:noProof/>
          <w:sz w:val="16"/>
          <w:szCs w:val="16"/>
        </w:rPr>
        <w:drawing>
          <wp:inline distT="0" distB="0" distL="0" distR="0" wp14:anchorId="6FA0F4DB" wp14:editId="31FC9049">
            <wp:extent cx="5731510" cy="4776470"/>
            <wp:effectExtent l="0" t="0" r="2540" b="5080"/>
            <wp:docPr id="446236807" name="Picture 446236807" descr="This figure represents the highest level of education of workers across clean energy sub-segment. Certificate III and IV qualified workers are represented strongest in Demand segments, versus Enabling segments which have a larger proportion of Degree and Post graduate qualified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7" name="Picture 446236807" descr="This figure represents the highest level of education of workers across clean energy sub-segment. Certificate III and IV qualified workers are represented strongest in Demand segments, versus Enabling segments which have a larger proportion of Degree and Post graduate qualified workers"/>
                    <pic:cNvPicPr/>
                  </pic:nvPicPr>
                  <pic:blipFill>
                    <a:blip r:embed="rId80" cstate="screen">
                      <a:extLst>
                        <a:ext uri="{28A0092B-C50C-407E-A947-70E740481C1C}">
                          <a14:useLocalDpi xmlns:a14="http://schemas.microsoft.com/office/drawing/2010/main"/>
                        </a:ext>
                      </a:extLst>
                    </a:blip>
                    <a:stretch>
                      <a:fillRect/>
                    </a:stretch>
                  </pic:blipFill>
                  <pic:spPr>
                    <a:xfrm>
                      <a:off x="0" y="0"/>
                      <a:ext cx="5731510" cy="4776470"/>
                    </a:xfrm>
                    <a:prstGeom prst="rect">
                      <a:avLst/>
                    </a:prstGeom>
                  </pic:spPr>
                </pic:pic>
              </a:graphicData>
            </a:graphic>
          </wp:inline>
        </w:drawing>
      </w:r>
      <w:r w:rsidR="35861B03" w:rsidRPr="388C0A0B">
        <w:rPr>
          <w:sz w:val="18"/>
          <w:szCs w:val="18"/>
        </w:rPr>
        <w:t>Source: ABS Census of Population and Housing 2021</w:t>
      </w:r>
    </w:p>
    <w:p w14:paraId="02D2A270" w14:textId="77777777" w:rsidR="00E94301" w:rsidRDefault="00E94301">
      <w:pPr>
        <w:rPr>
          <w:rFonts w:cs="Arial"/>
          <w:b/>
          <w:bCs/>
          <w:color w:val="0C6DAD" w:themeColor="accent3" w:themeShade="BF"/>
          <w:sz w:val="28"/>
        </w:rPr>
      </w:pPr>
      <w:r>
        <w:rPr>
          <w:color w:val="0C6DAD" w:themeColor="accent3" w:themeShade="BF"/>
        </w:rPr>
        <w:br w:type="page"/>
      </w:r>
    </w:p>
    <w:p w14:paraId="0E84CBBA" w14:textId="0CD1A9DC" w:rsidR="007F691E" w:rsidRPr="00E5087D" w:rsidRDefault="09D80558" w:rsidP="00322D33">
      <w:pPr>
        <w:pStyle w:val="Heading4"/>
        <w:spacing w:before="360" w:line="240" w:lineRule="auto"/>
        <w:rPr>
          <w:color w:val="0C6DAD" w:themeColor="accent3" w:themeShade="BF"/>
        </w:rPr>
      </w:pPr>
      <w:r w:rsidRPr="03D1716F">
        <w:rPr>
          <w:color w:val="0C6DAD" w:themeColor="accent3" w:themeShade="BF"/>
        </w:rPr>
        <w:lastRenderedPageBreak/>
        <w:t>First Nations</w:t>
      </w:r>
      <w:r w:rsidR="007F691E" w:rsidRPr="03D1716F">
        <w:rPr>
          <w:color w:val="0C6DAD" w:themeColor="accent3" w:themeShade="BF"/>
        </w:rPr>
        <w:t xml:space="preserve"> status</w:t>
      </w:r>
    </w:p>
    <w:p w14:paraId="3A77CE98" w14:textId="65E69915" w:rsidR="00CB2686" w:rsidRDefault="00EF4768" w:rsidP="00E94301">
      <w:pPr>
        <w:spacing w:before="240" w:after="240" w:line="257" w:lineRule="auto"/>
      </w:pPr>
      <w:r>
        <w:rPr>
          <w14:numForm w14:val="lining"/>
          <w14:numSpacing w14:val="proportional"/>
        </w:rPr>
        <w:t>T</w:t>
      </w:r>
      <w:r w:rsidR="2FFD3505" w:rsidRPr="00E5087D">
        <w:rPr>
          <w14:numForm w14:val="lining"/>
          <w14:numSpacing w14:val="proportional"/>
        </w:rPr>
        <w:t xml:space="preserve">he proportion of First Nations </w:t>
      </w:r>
      <w:r w:rsidR="00CE739A">
        <w:rPr>
          <w14:numForm w14:val="lining"/>
          <w14:numSpacing w14:val="proportional"/>
        </w:rPr>
        <w:t>people</w:t>
      </w:r>
      <w:r w:rsidR="2FFD3505" w:rsidRPr="00E5087D">
        <w:rPr>
          <w14:numForm w14:val="lining"/>
          <w14:numSpacing w14:val="proportional"/>
        </w:rPr>
        <w:t xml:space="preserve"> working in </w:t>
      </w:r>
      <w:r w:rsidR="4ADB527C">
        <w:t xml:space="preserve">the </w:t>
      </w:r>
      <w:r w:rsidR="5F1DED6E">
        <w:t>c</w:t>
      </w:r>
      <w:r w:rsidR="7D550DB9">
        <w:t xml:space="preserve">lean </w:t>
      </w:r>
      <w:r w:rsidR="5F1DED6E">
        <w:t>e</w:t>
      </w:r>
      <w:r w:rsidR="7D550DB9">
        <w:t>nergy</w:t>
      </w:r>
      <w:r w:rsidR="5F1DED6E">
        <w:t xml:space="preserve"> w</w:t>
      </w:r>
      <w:r w:rsidR="7D550DB9">
        <w:t xml:space="preserve">orkforce </w:t>
      </w:r>
      <w:r w:rsidR="2FFD3505">
        <w:t xml:space="preserve">is typically lower than </w:t>
      </w:r>
      <w:r w:rsidR="00117AF9">
        <w:t xml:space="preserve">the proportion working </w:t>
      </w:r>
      <w:r w:rsidR="002D10D3">
        <w:t>in transitioning industries</w:t>
      </w:r>
      <w:r w:rsidR="00117AF9">
        <w:t xml:space="preserve">. It is also lower than the </w:t>
      </w:r>
      <w:r w:rsidR="002D10D3">
        <w:t>labour force average</w:t>
      </w:r>
      <w:r w:rsidR="2FFD3505">
        <w:t xml:space="preserve">. </w:t>
      </w:r>
      <w:r w:rsidR="408818F7">
        <w:t xml:space="preserve">As </w:t>
      </w:r>
      <w:r w:rsidR="28BC18F9">
        <w:t xml:space="preserve">Figure </w:t>
      </w:r>
      <w:r w:rsidR="090949DE">
        <w:t>3.</w:t>
      </w:r>
      <w:r w:rsidR="00237874">
        <w:t>5</w:t>
      </w:r>
      <w:r w:rsidR="408818F7">
        <w:t xml:space="preserve"> shows,</w:t>
      </w:r>
      <w:r w:rsidR="28BC18F9">
        <w:t xml:space="preserve"> </w:t>
      </w:r>
      <w:r w:rsidR="687BC955">
        <w:t>the highest proportion of First Nations</w:t>
      </w:r>
      <w:r w:rsidR="00117AF9">
        <w:t xml:space="preserve"> people</w:t>
      </w:r>
      <w:r w:rsidR="687BC955">
        <w:t xml:space="preserve"> </w:t>
      </w:r>
      <w:r w:rsidR="408818F7">
        <w:t>in the clean energy sector</w:t>
      </w:r>
      <w:r w:rsidR="687BC955">
        <w:t xml:space="preserve"> is in the carbon </w:t>
      </w:r>
      <w:r>
        <w:t>lifecycle</w:t>
      </w:r>
      <w:r w:rsidR="687BC955">
        <w:t xml:space="preserve"> sub-segment, which is d</w:t>
      </w:r>
      <w:r w:rsidR="758C32A8">
        <w:t>iscussed</w:t>
      </w:r>
      <w:r w:rsidR="687BC955">
        <w:t xml:space="preserve"> further in </w:t>
      </w:r>
      <w:r w:rsidR="687BC955" w:rsidRPr="00EE68FD">
        <w:rPr>
          <w:b/>
          <w:bCs/>
        </w:rPr>
        <w:t>Chapter 8</w:t>
      </w:r>
      <w:r w:rsidR="687BC955">
        <w:t>.</w:t>
      </w:r>
    </w:p>
    <w:p w14:paraId="32B59752" w14:textId="2CD0C2D7" w:rsidR="007F691E" w:rsidRPr="00E5087D" w:rsidRDefault="007F691E" w:rsidP="00C43755">
      <w:pPr>
        <w:pBdr>
          <w:top w:val="single" w:sz="4" w:space="6" w:color="BFBFBF" w:themeColor="background1" w:themeShade="BF"/>
        </w:pBdr>
        <w:spacing w:after="120"/>
        <w:rPr>
          <w:b/>
          <w:bCs/>
        </w:rPr>
      </w:pPr>
      <w:r w:rsidRPr="00E5087D">
        <w:rPr>
          <w:b/>
          <w:bCs/>
        </w:rPr>
        <w:t xml:space="preserve">Figure </w:t>
      </w:r>
      <w:r w:rsidR="00AC56F6">
        <w:rPr>
          <w:b/>
          <w:bCs/>
        </w:rPr>
        <w:t>3.</w:t>
      </w:r>
      <w:r w:rsidR="00237874">
        <w:rPr>
          <w:b/>
          <w:bCs/>
        </w:rPr>
        <w:t>5</w:t>
      </w:r>
      <w:r w:rsidR="009E6F85" w:rsidRPr="00E5087D">
        <w:rPr>
          <w:b/>
          <w:bCs/>
        </w:rPr>
        <w:t>.</w:t>
      </w:r>
      <w:r w:rsidRPr="00E5087D">
        <w:rPr>
          <w:b/>
          <w:bCs/>
        </w:rPr>
        <w:t xml:space="preserve"> First Nations representation by Clean Energy Sub-Segment</w:t>
      </w:r>
      <w:r w:rsidRPr="004F4B0C">
        <w:tab/>
      </w:r>
    </w:p>
    <w:p w14:paraId="7B7AF555" w14:textId="4808EA1E" w:rsidR="00E94301" w:rsidRDefault="001F50C5" w:rsidP="00703D31">
      <w:pPr>
        <w:pStyle w:val="Bodycopy"/>
      </w:pPr>
      <w:r>
        <w:rPr>
          <w:noProof/>
        </w:rPr>
        <w:drawing>
          <wp:inline distT="0" distB="0" distL="0" distR="0" wp14:anchorId="362E0781" wp14:editId="5038E6D6">
            <wp:extent cx="5731510" cy="3820795"/>
            <wp:effectExtent l="0" t="0" r="2540" b="8255"/>
            <wp:docPr id="446236800" name="Picture 446236800" descr="This figure represents the proportion of First Nations people in the clean energy workforce by sub-segment. The strongest representation of First Nations people is in Carbon Lifecycle at almost 5%, followed by Enabling - regulatory and Transitioning at around 3.5%. The lowest representation is in Supply - generation at less th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0" name="Picture 446236800" descr="This figure represents the proportion of First Nations people in the clean energy workforce by sub-segment. The strongest representation of First Nations people is in Carbon Lifecycle at almost 5%, followed by Enabling - regulatory and Transitioning at around 3.5%. The lowest representation is in Supply - generation at less than 1%"/>
                    <pic:cNvPicPr/>
                  </pic:nvPicPr>
                  <pic:blipFill>
                    <a:blip r:embed="rId81"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4A271A32" w14:textId="0118CFCE" w:rsidR="00DA2712" w:rsidRPr="00703D31" w:rsidRDefault="00CB2686" w:rsidP="00703D31">
      <w:pPr>
        <w:pStyle w:val="Bodycopy"/>
        <w:rPr>
          <w:rFonts w:cs="Arial"/>
          <w:b/>
          <w:bCs/>
          <w:szCs w:val="18"/>
        </w:rPr>
      </w:pPr>
      <w:r w:rsidRPr="00703D31">
        <w:rPr>
          <w:sz w:val="18"/>
          <w:szCs w:val="18"/>
        </w:rPr>
        <w:t>Source: ABS Census of Population and Housing 2021</w:t>
      </w:r>
      <w:r w:rsidR="00DA2712" w:rsidRPr="00703D31">
        <w:rPr>
          <w:sz w:val="18"/>
          <w:szCs w:val="18"/>
        </w:rPr>
        <w:br w:type="page"/>
      </w:r>
    </w:p>
    <w:p w14:paraId="5E23BE09" w14:textId="059F4502" w:rsidR="00350CC2" w:rsidRPr="00E5087D" w:rsidRDefault="00350CC2" w:rsidP="00322D33">
      <w:pPr>
        <w:pStyle w:val="Heading4"/>
        <w:spacing w:before="360" w:line="240" w:lineRule="auto"/>
        <w:rPr>
          <w:color w:val="0C6DAD" w:themeColor="accent3" w:themeShade="BF"/>
        </w:rPr>
      </w:pPr>
      <w:r w:rsidRPr="00E5087D">
        <w:rPr>
          <w:color w:val="0C6DAD" w:themeColor="accent3" w:themeShade="BF"/>
        </w:rPr>
        <w:lastRenderedPageBreak/>
        <w:t>Country of birth</w:t>
      </w:r>
    </w:p>
    <w:p w14:paraId="1C3E5938" w14:textId="3F1301D8" w:rsidR="00350CC2" w:rsidRPr="00E5087D" w:rsidRDefault="1C9EF6FB" w:rsidP="005F1479">
      <w:pPr>
        <w:spacing w:after="240" w:line="276" w:lineRule="auto"/>
      </w:pPr>
      <w:r w:rsidRPr="00E5087D">
        <w:rPr>
          <w14:numForm w14:val="lining"/>
          <w14:numSpacing w14:val="proportional"/>
        </w:rPr>
        <w:t xml:space="preserve">Around </w:t>
      </w:r>
      <w:r w:rsidR="6E368D6F">
        <w:rPr>
          <w14:numForm w14:val="lining"/>
          <w14:numSpacing w14:val="proportional"/>
        </w:rPr>
        <w:t>26</w:t>
      </w:r>
      <w:r w:rsidR="223DCEF8">
        <w:rPr>
          <w14:numForm w14:val="lining"/>
          <w14:numSpacing w14:val="proportional"/>
        </w:rPr>
        <w:t>% of</w:t>
      </w:r>
      <w:r w:rsidRPr="00E5087D">
        <w:rPr>
          <w14:numForm w14:val="lining"/>
          <w14:numSpacing w14:val="proportional"/>
        </w:rPr>
        <w:t xml:space="preserve"> the Clean Energy workforce are </w:t>
      </w:r>
      <w:r w:rsidR="1E72D824">
        <w:rPr>
          <w14:numForm w14:val="lining"/>
          <w14:numSpacing w14:val="proportional"/>
        </w:rPr>
        <w:t>overseas born workers,</w:t>
      </w:r>
      <w:r w:rsidR="1E72D824" w:rsidRPr="00E5087D">
        <w:rPr>
          <w14:numForm w14:val="lining"/>
          <w14:numSpacing w14:val="proportional"/>
        </w:rPr>
        <w:t xml:space="preserve"> </w:t>
      </w:r>
      <w:r w:rsidRPr="00E5087D">
        <w:rPr>
          <w14:numForm w14:val="lining"/>
          <w14:numSpacing w14:val="proportional"/>
        </w:rPr>
        <w:t xml:space="preserve">with the </w:t>
      </w:r>
      <w:r w:rsidR="40CCAD94" w:rsidRPr="00E5087D">
        <w:rPr>
          <w14:numForm w14:val="lining"/>
          <w14:numSpacing w14:val="proportional"/>
        </w:rPr>
        <w:t>e</w:t>
      </w:r>
      <w:r w:rsidRPr="00E5087D">
        <w:rPr>
          <w14:numForm w14:val="lining"/>
          <w14:numSpacing w14:val="proportional"/>
        </w:rPr>
        <w:t xml:space="preserve">nabling segments having the highest proportion </w:t>
      </w:r>
      <w:r w:rsidR="1E72D824">
        <w:rPr>
          <w14:numForm w14:val="lining"/>
          <w14:numSpacing w14:val="proportional"/>
        </w:rPr>
        <w:t>of overseas born workers</w:t>
      </w:r>
      <w:r w:rsidR="1E72D824" w:rsidRPr="00E5087D">
        <w:rPr>
          <w14:numForm w14:val="lining"/>
          <w14:numSpacing w14:val="proportional"/>
        </w:rPr>
        <w:t xml:space="preserve"> </w:t>
      </w:r>
      <w:r w:rsidRPr="00E5087D">
        <w:rPr>
          <w14:numForm w14:val="lining"/>
          <w14:numSpacing w14:val="proportional"/>
        </w:rPr>
        <w:t xml:space="preserve">(over </w:t>
      </w:r>
      <w:r w:rsidR="00EC0296">
        <w:rPr>
          <w14:numForm w14:val="lining"/>
          <w14:numSpacing w14:val="proportional"/>
        </w:rPr>
        <w:t>30</w:t>
      </w:r>
      <w:r w:rsidR="223DCEF8">
        <w:rPr>
          <w14:numForm w14:val="lining"/>
          <w14:numSpacing w14:val="proportional"/>
        </w:rPr>
        <w:t>%</w:t>
      </w:r>
      <w:r w:rsidRPr="00E5087D">
        <w:rPr>
          <w14:numForm w14:val="lining"/>
          <w14:numSpacing w14:val="proportional"/>
        </w:rPr>
        <w:t>).</w:t>
      </w:r>
      <w:r w:rsidR="007E1DFE">
        <w:rPr>
          <w14:numForm w14:val="lining"/>
          <w14:numSpacing w14:val="proportional"/>
        </w:rPr>
        <w:t xml:space="preserve"> Clean energy supply segments are broadly similar to the transitioning segment</w:t>
      </w:r>
      <w:r w:rsidR="00A47876">
        <w:rPr>
          <w14:numForm w14:val="lining"/>
          <w14:numSpacing w14:val="proportional"/>
        </w:rPr>
        <w:t>,</w:t>
      </w:r>
      <w:r w:rsidR="007E1DFE">
        <w:rPr>
          <w14:numForm w14:val="lining"/>
          <w14:numSpacing w14:val="proportional"/>
        </w:rPr>
        <w:t xml:space="preserve"> and </w:t>
      </w:r>
      <w:r w:rsidR="00A47876">
        <w:rPr>
          <w14:numForm w14:val="lining"/>
          <w14:numSpacing w14:val="proportional"/>
        </w:rPr>
        <w:t xml:space="preserve">are </w:t>
      </w:r>
      <w:r w:rsidR="007E1DFE">
        <w:rPr>
          <w14:numForm w14:val="lining"/>
          <w14:numSpacing w14:val="proportional"/>
        </w:rPr>
        <w:t>below the labour market average</w:t>
      </w:r>
      <w:r w:rsidR="00DB3EAB">
        <w:rPr>
          <w14:numForm w14:val="lining"/>
          <w14:numSpacing w14:val="proportional"/>
        </w:rPr>
        <w:t xml:space="preserve"> (Figure 3.</w:t>
      </w:r>
      <w:r w:rsidR="00BD4609">
        <w:rPr>
          <w14:numForm w14:val="lining"/>
          <w14:numSpacing w14:val="proportional"/>
        </w:rPr>
        <w:t>6</w:t>
      </w:r>
      <w:r w:rsidR="00DB3EAB">
        <w:rPr>
          <w14:numForm w14:val="lining"/>
          <w14:numSpacing w14:val="proportional"/>
        </w:rPr>
        <w:t>)</w:t>
      </w:r>
      <w:r w:rsidR="007E1DFE">
        <w:rPr>
          <w14:numForm w14:val="lining"/>
          <w14:numSpacing w14:val="proportional"/>
        </w:rPr>
        <w:t>.</w:t>
      </w:r>
      <w:r w:rsidR="0032063B">
        <w:rPr>
          <w14:numForm w14:val="lining"/>
          <w14:numSpacing w14:val="proportional"/>
        </w:rPr>
        <w:t xml:space="preserve"> </w:t>
      </w:r>
    </w:p>
    <w:p w14:paraId="1EF17164" w14:textId="2A01D4F5" w:rsidR="00350CC2" w:rsidRPr="004F4B0C" w:rsidRDefault="00350CC2" w:rsidP="00DA2712">
      <w:pPr>
        <w:pBdr>
          <w:top w:val="single" w:sz="4" w:space="6" w:color="BFBFBF" w:themeColor="background1" w:themeShade="BF"/>
        </w:pBdr>
        <w:spacing w:after="240"/>
      </w:pPr>
      <w:r w:rsidRPr="00DA2712">
        <w:rPr>
          <w:b/>
          <w:bCs/>
        </w:rPr>
        <w:t xml:space="preserve">Figure </w:t>
      </w:r>
      <w:r w:rsidR="009E6F85" w:rsidRPr="00DA2712">
        <w:rPr>
          <w:b/>
          <w:bCs/>
        </w:rPr>
        <w:t>3</w:t>
      </w:r>
      <w:r w:rsidR="007409E5">
        <w:rPr>
          <w:b/>
          <w:bCs/>
        </w:rPr>
        <w:t>.</w:t>
      </w:r>
      <w:r w:rsidR="00DB439F">
        <w:rPr>
          <w:b/>
          <w:bCs/>
        </w:rPr>
        <w:t>6</w:t>
      </w:r>
      <w:r w:rsidR="009E6F85" w:rsidRPr="00DA2712">
        <w:rPr>
          <w:b/>
          <w:bCs/>
        </w:rPr>
        <w:t>.</w:t>
      </w:r>
      <w:r w:rsidRPr="00DA2712">
        <w:rPr>
          <w:b/>
          <w:bCs/>
        </w:rPr>
        <w:t xml:space="preserve"> </w:t>
      </w:r>
      <w:r w:rsidR="006B208B" w:rsidRPr="6798A955">
        <w:rPr>
          <w:b/>
          <w:bCs/>
        </w:rPr>
        <w:t>Workers</w:t>
      </w:r>
      <w:r w:rsidR="006B208B">
        <w:rPr>
          <w:b/>
          <w:bCs/>
        </w:rPr>
        <w:t xml:space="preserve"> born overseas</w:t>
      </w:r>
      <w:r w:rsidR="00E94301">
        <w:rPr>
          <w:b/>
          <w:bCs/>
        </w:rPr>
        <w:t xml:space="preserve"> </w:t>
      </w:r>
      <w:r w:rsidRPr="00DA2712">
        <w:rPr>
          <w:b/>
          <w:bCs/>
        </w:rPr>
        <w:t xml:space="preserve">by Clean Energy Sub-Segment </w:t>
      </w:r>
      <w:r w:rsidR="385C268D">
        <w:rPr>
          <w:noProof/>
        </w:rPr>
        <w:drawing>
          <wp:inline distT="0" distB="0" distL="0" distR="0" wp14:anchorId="678A7C6C" wp14:editId="1AFF53A7">
            <wp:extent cx="5867350" cy="3725056"/>
            <wp:effectExtent l="0" t="0" r="635" b="8890"/>
            <wp:docPr id="1435246614" name="Picture 1435246614" descr="This figure represents the proportion of workers born overseas in the clean energy workforce by sub-segment. On average, 26% of the clean energy workforce were born overseas. The strongest representation is in enabling segments, in particular education, training, research and technology at almos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46614" name="Picture 1435246614" descr="This figure represents the proportion of workers born overseas in the clean energy workforce by sub-segment. On average, 26% of the clean energy workforce were born overseas. The strongest representation is in enabling segments, in particular education, training, research and technology at almost 40%"/>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5867350" cy="3725056"/>
                    </a:xfrm>
                    <a:prstGeom prst="rect">
                      <a:avLst/>
                    </a:prstGeom>
                    <a:ln>
                      <a:noFill/>
                    </a:ln>
                    <a:extLst>
                      <a:ext uri="{53640926-AAD7-44D8-BBD7-CCE9431645EC}">
                        <a14:shadowObscured xmlns:a14="http://schemas.microsoft.com/office/drawing/2010/main"/>
                      </a:ext>
                    </a:extLst>
                  </pic:spPr>
                </pic:pic>
              </a:graphicData>
            </a:graphic>
          </wp:inline>
        </w:drawing>
      </w:r>
    </w:p>
    <w:p w14:paraId="4F8BC787" w14:textId="77777777" w:rsidR="00DA2712" w:rsidRPr="008D34E8" w:rsidRDefault="00DA2712" w:rsidP="00DA2712">
      <w:pPr>
        <w:rPr>
          <w:sz w:val="18"/>
          <w:szCs w:val="18"/>
        </w:rPr>
      </w:pPr>
      <w:r w:rsidRPr="008D34E8">
        <w:rPr>
          <w:sz w:val="18"/>
          <w:szCs w:val="18"/>
        </w:rPr>
        <w:t>Source: ABS Census of Population and Housing 2021</w:t>
      </w:r>
    </w:p>
    <w:p w14:paraId="27A7E37D" w14:textId="77777777" w:rsidR="00664FF5" w:rsidRDefault="00664FF5">
      <w:pPr>
        <w:rPr>
          <w:b/>
          <w:bCs/>
        </w:rPr>
      </w:pPr>
      <w:r>
        <w:rPr>
          <w:b/>
          <w:bCs/>
        </w:rPr>
        <w:br w:type="page"/>
      </w:r>
    </w:p>
    <w:p w14:paraId="105204E7" w14:textId="70AD220F" w:rsidR="00664FF5" w:rsidRPr="00664FF5" w:rsidRDefault="00664FF5" w:rsidP="0032063B">
      <w:pPr>
        <w:spacing w:after="240"/>
      </w:pPr>
      <w:r w:rsidRPr="00664FF5">
        <w:lastRenderedPageBreak/>
        <w:t>Of</w:t>
      </w:r>
      <w:r>
        <w:t xml:space="preserve"> the 38 critical clean energy occupations, engineering professions have the highest proportion of overseas born workers (</w:t>
      </w:r>
      <w:r w:rsidR="007B2952">
        <w:t xml:space="preserve">Figure </w:t>
      </w:r>
      <w:r w:rsidR="00A47876">
        <w:t>3.</w:t>
      </w:r>
      <w:r w:rsidR="00DB439F">
        <w:t>7</w:t>
      </w:r>
      <w:r>
        <w:t xml:space="preserve">). </w:t>
      </w:r>
      <w:r w:rsidR="00CC27F0">
        <w:t>In 2021, over half of Australia’s Electrical Engineers were born overseas. Conversely, critical trade occupations, including Electricians</w:t>
      </w:r>
      <w:r w:rsidR="00D83C0A">
        <w:t xml:space="preserve">, </w:t>
      </w:r>
      <w:r w:rsidR="00CC27F0">
        <w:t>ha</w:t>
      </w:r>
      <w:r w:rsidR="00D83C0A">
        <w:t>d</w:t>
      </w:r>
      <w:r w:rsidR="00CC27F0">
        <w:t xml:space="preserve"> </w:t>
      </w:r>
      <w:r w:rsidR="000259B5">
        <w:t>a very low share of overseas born workers (less than 20%)</w:t>
      </w:r>
      <w:r w:rsidR="00682119">
        <w:t xml:space="preserve"> despite being in high demand</w:t>
      </w:r>
      <w:r w:rsidR="000259B5">
        <w:t xml:space="preserve">. This </w:t>
      </w:r>
      <w:r w:rsidR="00682119">
        <w:t>highlights</w:t>
      </w:r>
      <w:r w:rsidR="000259B5">
        <w:t xml:space="preserve"> </w:t>
      </w:r>
      <w:r w:rsidR="00682119">
        <w:t xml:space="preserve">the fact that Australia’s migration system has had an uneven impact on the labour market, skewing towards higher skill level </w:t>
      </w:r>
      <w:r w:rsidR="00D83C0A">
        <w:t>professions</w:t>
      </w:r>
      <w:r w:rsidR="00682119">
        <w:t xml:space="preserve">. A similar observation can be made of Australia’s international education market, </w:t>
      </w:r>
      <w:r w:rsidR="00D83C0A">
        <w:t>where higher education receives a larger share of enrolments than VET.</w:t>
      </w:r>
      <w:r w:rsidR="00682119">
        <w:t xml:space="preserve"> </w:t>
      </w:r>
    </w:p>
    <w:p w14:paraId="55BCCEDD" w14:textId="4AB451F7" w:rsidR="007B2952" w:rsidRDefault="007B2952" w:rsidP="000327FD">
      <w:pPr>
        <w:pBdr>
          <w:top w:val="single" w:sz="4" w:space="6" w:color="BFBFBF" w:themeColor="background1" w:themeShade="BF"/>
        </w:pBdr>
        <w:spacing w:after="0"/>
        <w:rPr>
          <w:b/>
          <w:bCs/>
        </w:rPr>
      </w:pPr>
      <w:r>
        <w:rPr>
          <w:b/>
          <w:bCs/>
        </w:rPr>
        <w:t xml:space="preserve">Figure </w:t>
      </w:r>
      <w:r w:rsidR="00A47876">
        <w:rPr>
          <w:b/>
          <w:bCs/>
        </w:rPr>
        <w:t>3.</w:t>
      </w:r>
      <w:r w:rsidR="00015E4C">
        <w:rPr>
          <w:b/>
          <w:bCs/>
        </w:rPr>
        <w:t>7</w:t>
      </w:r>
      <w:r w:rsidR="00A47876">
        <w:rPr>
          <w:b/>
          <w:bCs/>
        </w:rPr>
        <w:t>. Workers born overseas by critical occupation</w:t>
      </w:r>
    </w:p>
    <w:p w14:paraId="4758D89D" w14:textId="77777777" w:rsidR="007B2952" w:rsidRDefault="007B2952" w:rsidP="007B2952">
      <w:pPr>
        <w:spacing w:after="0"/>
        <w:rPr>
          <w:b/>
          <w:bCs/>
        </w:rPr>
      </w:pPr>
      <w:r>
        <w:rPr>
          <w:noProof/>
        </w:rPr>
        <w:drawing>
          <wp:inline distT="0" distB="0" distL="0" distR="0" wp14:anchorId="367AE131" wp14:editId="038786BA">
            <wp:extent cx="5731510" cy="5806440"/>
            <wp:effectExtent l="0" t="0" r="2540" b="3810"/>
            <wp:docPr id="113" name="Graphic 113" descr="This figure represents the proportion of workers born overseas by critical clean energy occupation. The strongest representation is Electrical Engineers with over half of these workers born overseas. The lowest representation is Plumbers at just over 10% born overs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phic 113" descr="This figure represents the proportion of workers born overseas by critical clean energy occupation. The strongest representation is Electrical Engineers with over half of these workers born overseas. The lowest representation is Plumbers at just over 10% born overseas."/>
                    <pic:cNvPicPr/>
                  </pic:nvPicPr>
                  <pic:blipFill>
                    <a:blip r:embed="rId83">
                      <a:extLst>
                        <a:ext uri="{96DAC541-7B7A-43D3-8B79-37D633B846F1}">
                          <asvg:svgBlip xmlns:asvg="http://schemas.microsoft.com/office/drawing/2016/SVG/main" r:embed="rId84"/>
                        </a:ext>
                      </a:extLst>
                    </a:blip>
                    <a:stretch>
                      <a:fillRect/>
                    </a:stretch>
                  </pic:blipFill>
                  <pic:spPr>
                    <a:xfrm>
                      <a:off x="0" y="0"/>
                      <a:ext cx="5731510" cy="5806440"/>
                    </a:xfrm>
                    <a:prstGeom prst="rect">
                      <a:avLst/>
                    </a:prstGeom>
                  </pic:spPr>
                </pic:pic>
              </a:graphicData>
            </a:graphic>
          </wp:inline>
        </w:drawing>
      </w:r>
    </w:p>
    <w:p w14:paraId="3B93A557" w14:textId="77777777" w:rsidR="00791163" w:rsidRDefault="00791163" w:rsidP="00791163">
      <w:pPr>
        <w:rPr>
          <w:sz w:val="18"/>
          <w:szCs w:val="18"/>
        </w:rPr>
      </w:pPr>
      <w:r w:rsidRPr="008D34E8">
        <w:rPr>
          <w:sz w:val="18"/>
          <w:szCs w:val="18"/>
        </w:rPr>
        <w:t>Source: ABS Census of Population and Housing 2021</w:t>
      </w:r>
    </w:p>
    <w:p w14:paraId="7CB5ED1D" w14:textId="77777777" w:rsidR="00351678" w:rsidRDefault="00351678">
      <w:pPr>
        <w:rPr>
          <w14:numForm w14:val="lining"/>
          <w14:numSpacing w14:val="proportional"/>
        </w:rPr>
      </w:pPr>
      <w:r>
        <w:rPr>
          <w14:numForm w14:val="lining"/>
          <w14:numSpacing w14:val="proportional"/>
        </w:rPr>
        <w:br w:type="page"/>
      </w:r>
    </w:p>
    <w:p w14:paraId="0C9AD839" w14:textId="14DBE7F2" w:rsidR="00516B24" w:rsidRDefault="00350CC2" w:rsidP="0032063B">
      <w:pPr>
        <w:spacing w:before="360" w:after="360" w:line="276" w:lineRule="auto"/>
        <w:rPr>
          <w14:numForm w14:val="lining"/>
          <w14:numSpacing w14:val="proportional"/>
        </w:rPr>
      </w:pPr>
      <w:r w:rsidRPr="00E5087D">
        <w:rPr>
          <w14:numForm w14:val="lining"/>
          <w14:numSpacing w14:val="proportional"/>
        </w:rPr>
        <w:lastRenderedPageBreak/>
        <w:t xml:space="preserve">Within clean energy, </w:t>
      </w:r>
      <w:r w:rsidR="00EE0F24">
        <w:rPr>
          <w14:numForm w14:val="lining"/>
          <w14:numSpacing w14:val="proportional"/>
        </w:rPr>
        <w:t xml:space="preserve">overseas born workers </w:t>
      </w:r>
      <w:r w:rsidRPr="00E5087D">
        <w:rPr>
          <w14:numForm w14:val="lining"/>
          <w14:numSpacing w14:val="proportional"/>
        </w:rPr>
        <w:t>come from around the world</w:t>
      </w:r>
      <w:r w:rsidR="00C523E3">
        <w:rPr>
          <w14:numForm w14:val="lining"/>
          <w14:numSpacing w14:val="proportional"/>
        </w:rPr>
        <w:t>, with</w:t>
      </w:r>
      <w:r w:rsidRPr="00E5087D">
        <w:rPr>
          <w14:numForm w14:val="lining"/>
          <w14:numSpacing w14:val="proportional"/>
        </w:rPr>
        <w:t xml:space="preserve"> Southern</w:t>
      </w:r>
      <w:r w:rsidR="00EE68FD">
        <w:rPr>
          <w14:numForm w14:val="lining"/>
          <w14:numSpacing w14:val="proportional"/>
        </w:rPr>
        <w:t xml:space="preserve"> </w:t>
      </w:r>
      <w:r w:rsidRPr="00E5087D">
        <w:rPr>
          <w14:numForm w14:val="lining"/>
          <w14:numSpacing w14:val="proportional"/>
        </w:rPr>
        <w:t>Asia</w:t>
      </w:r>
      <w:r w:rsidR="00E94301">
        <w:rPr>
          <w14:numForm w14:val="lining"/>
          <w14:numSpacing w14:val="proportional"/>
        </w:rPr>
        <w:t xml:space="preserve"> </w:t>
      </w:r>
      <w:r w:rsidR="00C523E3">
        <w:rPr>
          <w14:numForm w14:val="lining"/>
          <w14:numSpacing w14:val="proportional"/>
        </w:rPr>
        <w:t>being the largest source</w:t>
      </w:r>
      <w:r w:rsidR="008D39DF">
        <w:rPr>
          <w14:numForm w14:val="lining"/>
          <w14:numSpacing w14:val="proportional"/>
        </w:rPr>
        <w:t xml:space="preserve"> region</w:t>
      </w:r>
      <w:r w:rsidR="00C523E3">
        <w:rPr>
          <w14:numForm w14:val="lining"/>
          <w14:numSpacing w14:val="proportional"/>
        </w:rPr>
        <w:t xml:space="preserve"> </w:t>
      </w:r>
      <w:r w:rsidR="00E94301">
        <w:rPr>
          <w14:numForm w14:val="lining"/>
          <w14:numSpacing w14:val="proportional"/>
        </w:rPr>
        <w:t xml:space="preserve">(Figure </w:t>
      </w:r>
      <w:r w:rsidR="007409E5">
        <w:rPr>
          <w14:numForm w14:val="lining"/>
          <w14:numSpacing w14:val="proportional"/>
        </w:rPr>
        <w:t>3.</w:t>
      </w:r>
      <w:r w:rsidR="008D39DF">
        <w:rPr>
          <w14:numForm w14:val="lining"/>
          <w14:numSpacing w14:val="proportional"/>
        </w:rPr>
        <w:t>8</w:t>
      </w:r>
      <w:r w:rsidR="00E94301">
        <w:rPr>
          <w14:numForm w14:val="lining"/>
          <w14:numSpacing w14:val="proportional"/>
        </w:rPr>
        <w:t>)</w:t>
      </w:r>
      <w:r w:rsidRPr="00E5087D">
        <w:rPr>
          <w14:numForm w14:val="lining"/>
          <w14:numSpacing w14:val="proportional"/>
        </w:rPr>
        <w:t>.</w:t>
      </w:r>
      <w:r w:rsidR="00791163">
        <w:rPr>
          <w14:numForm w14:val="lining"/>
          <w14:numSpacing w14:val="proportional"/>
        </w:rPr>
        <w:t xml:space="preserve"> </w:t>
      </w:r>
      <w:r w:rsidR="00557477">
        <w:rPr>
          <w14:numForm w14:val="lining"/>
          <w14:numSpacing w14:val="proportional"/>
        </w:rPr>
        <w:t>Countries of birth were broadly consistent across most sub-segments and with the broader labour market.</w:t>
      </w:r>
    </w:p>
    <w:p w14:paraId="214B5E7E" w14:textId="2D0C2FA8" w:rsidR="00815712" w:rsidRPr="00E5087D" w:rsidRDefault="00815712" w:rsidP="00C523E3">
      <w:pPr>
        <w:pBdr>
          <w:top w:val="single" w:sz="4" w:space="6" w:color="BFBFBF" w:themeColor="background1" w:themeShade="BF"/>
        </w:pBdr>
        <w:spacing w:after="120"/>
        <w:rPr>
          <w:b/>
          <w14:numForm w14:val="lining"/>
          <w14:numSpacing w14:val="proportional"/>
        </w:rPr>
      </w:pPr>
      <w:r w:rsidRPr="00E5087D">
        <w:rPr>
          <w:b/>
          <w14:numForm w14:val="lining"/>
          <w14:numSpacing w14:val="proportional"/>
        </w:rPr>
        <w:t xml:space="preserve">Figure </w:t>
      </w:r>
      <w:r w:rsidR="007409E5">
        <w:rPr>
          <w:b/>
          <w14:numForm w14:val="lining"/>
          <w14:numSpacing w14:val="proportional"/>
        </w:rPr>
        <w:t>3.</w:t>
      </w:r>
      <w:r w:rsidR="008D39DF">
        <w:rPr>
          <w:b/>
          <w14:numForm w14:val="lining"/>
          <w14:numSpacing w14:val="proportional"/>
        </w:rPr>
        <w:t>8</w:t>
      </w:r>
      <w:r w:rsidR="009E6F85" w:rsidRPr="00E5087D">
        <w:rPr>
          <w:b/>
          <w14:numForm w14:val="lining"/>
          <w14:numSpacing w14:val="proportional"/>
        </w:rPr>
        <w:t>.</w:t>
      </w:r>
      <w:r w:rsidRPr="00E5087D">
        <w:rPr>
          <w:b/>
          <w14:numForm w14:val="lining"/>
          <w14:numSpacing w14:val="proportional"/>
        </w:rPr>
        <w:t xml:space="preserve"> </w:t>
      </w:r>
      <w:r w:rsidRPr="00516B24">
        <w:rPr>
          <w:b/>
          <w:bCs/>
        </w:rPr>
        <w:t>Country</w:t>
      </w:r>
      <w:r w:rsidRPr="00E5087D">
        <w:rPr>
          <w:b/>
          <w14:numForm w14:val="lining"/>
          <w14:numSpacing w14:val="proportional"/>
        </w:rPr>
        <w:t xml:space="preserve"> of birth for </w:t>
      </w:r>
      <w:r w:rsidRPr="00516B24">
        <w:rPr>
          <w:b/>
          <w:bCs/>
        </w:rPr>
        <w:t>workers</w:t>
      </w:r>
      <w:r w:rsidRPr="00E5087D">
        <w:rPr>
          <w:b/>
          <w14:numForm w14:val="lining"/>
          <w14:numSpacing w14:val="proportional"/>
        </w:rPr>
        <w:t xml:space="preserve"> born outside of Australia</w:t>
      </w:r>
    </w:p>
    <w:p w14:paraId="6374CD88" w14:textId="01F9D56A" w:rsidR="00815712" w:rsidRDefault="00C523E3" w:rsidP="00C523E3">
      <w:pPr>
        <w:pBdr>
          <w:top w:val="single" w:sz="4" w:space="6" w:color="BFBFBF" w:themeColor="background1" w:themeShade="BF"/>
        </w:pBdr>
        <w:spacing w:before="120" w:after="120"/>
        <w:rPr>
          <w:b/>
          <w14:numForm w14:val="lining"/>
          <w14:numSpacing w14:val="proportional"/>
        </w:rPr>
      </w:pPr>
      <w:r>
        <w:rPr>
          <w:b/>
          <w:bCs/>
          <w:noProof/>
        </w:rPr>
        <w:drawing>
          <wp:inline distT="0" distB="0" distL="0" distR="0" wp14:anchorId="2AAA928A" wp14:editId="5B7462CE">
            <wp:extent cx="5731510" cy="6686550"/>
            <wp:effectExtent l="0" t="0" r="2540" b="0"/>
            <wp:docPr id="35" name="Picture 35" descr="This figure represents the country of birth for workers in the clean energy workforce born overseas by sub-segment. Workers born in Southern Asia represent the largest cohort overall across the sub-segments, followed by the United Kingdo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is figure represents the country of birth for workers in the clean energy workforce born overseas by sub-segment. Workers born in Southern Asia represent the largest cohort overall across the sub-segments, followed by the United Kingdom region."/>
                    <pic:cNvPicPr/>
                  </pic:nvPicPr>
                  <pic:blipFill>
                    <a:blip r:embed="rId85" cstate="screen">
                      <a:extLst>
                        <a:ext uri="{28A0092B-C50C-407E-A947-70E740481C1C}">
                          <a14:useLocalDpi xmlns:a14="http://schemas.microsoft.com/office/drawing/2010/main"/>
                        </a:ext>
                      </a:extLst>
                    </a:blip>
                    <a:stretch>
                      <a:fillRect/>
                    </a:stretch>
                  </pic:blipFill>
                  <pic:spPr>
                    <a:xfrm>
                      <a:off x="0" y="0"/>
                      <a:ext cx="5731510" cy="6686550"/>
                    </a:xfrm>
                    <a:prstGeom prst="rect">
                      <a:avLst/>
                    </a:prstGeom>
                  </pic:spPr>
                </pic:pic>
              </a:graphicData>
            </a:graphic>
          </wp:inline>
        </w:drawing>
      </w:r>
    </w:p>
    <w:p w14:paraId="6413E71C" w14:textId="4999C7BF" w:rsidR="00F96C85" w:rsidRPr="00557477" w:rsidRDefault="00516B24">
      <w:pPr>
        <w:rPr>
          <w:sz w:val="18"/>
          <w:szCs w:val="18"/>
        </w:rPr>
      </w:pPr>
      <w:r w:rsidRPr="008D34E8">
        <w:rPr>
          <w:sz w:val="18"/>
          <w:szCs w:val="18"/>
        </w:rPr>
        <w:t>Source: ABS Census of Population and Housing 2021</w:t>
      </w:r>
      <w:r w:rsidR="00F96C85">
        <w:rPr>
          <w:color w:val="0C6DAD" w:themeColor="accent3" w:themeShade="BF"/>
        </w:rPr>
        <w:br w:type="page"/>
      </w:r>
    </w:p>
    <w:p w14:paraId="656C3D6B" w14:textId="77777777" w:rsidR="00F96C85" w:rsidRPr="00E5087D" w:rsidRDefault="00F96C85" w:rsidP="00322D33">
      <w:pPr>
        <w:pStyle w:val="Heading4"/>
        <w:spacing w:before="360" w:line="240" w:lineRule="auto"/>
        <w:rPr>
          <w:color w:val="0C6DAD" w:themeColor="accent3" w:themeShade="BF"/>
        </w:rPr>
      </w:pPr>
      <w:r w:rsidRPr="00E5087D">
        <w:rPr>
          <w:color w:val="0C6DAD" w:themeColor="accent3" w:themeShade="BF"/>
        </w:rPr>
        <w:lastRenderedPageBreak/>
        <w:t>Disability and health status</w:t>
      </w:r>
    </w:p>
    <w:p w14:paraId="047D2B7C" w14:textId="47054621" w:rsidR="00F96C85" w:rsidRPr="00E5087D" w:rsidRDefault="00FCA134" w:rsidP="00516B24">
      <w:pPr>
        <w:spacing w:after="240" w:line="276" w:lineRule="auto"/>
      </w:pPr>
      <w:r w:rsidRPr="00E5087D">
        <w:rPr>
          <w14:numForm w14:val="lining"/>
          <w14:numSpacing w14:val="proportional"/>
        </w:rPr>
        <w:t>Based on the limited data available, rates of long-term health conditions (a proxy indicator for disability status in the Census) are somewhat lower than the general workforce</w:t>
      </w:r>
      <w:r w:rsidR="00823EDD">
        <w:rPr>
          <w14:numForm w14:val="lining"/>
          <w14:numSpacing w14:val="proportional"/>
        </w:rPr>
        <w:t xml:space="preserve"> (Figure </w:t>
      </w:r>
      <w:r w:rsidR="007D5687">
        <w:rPr>
          <w14:numForm w14:val="lining"/>
          <w14:numSpacing w14:val="proportional"/>
        </w:rPr>
        <w:t>3.</w:t>
      </w:r>
      <w:r w:rsidR="00157FDB">
        <w:rPr>
          <w14:numForm w14:val="lining"/>
          <w14:numSpacing w14:val="proportional"/>
        </w:rPr>
        <w:t>9</w:t>
      </w:r>
      <w:r w:rsidR="00823EDD">
        <w:rPr>
          <w14:numForm w14:val="lining"/>
          <w14:numSpacing w14:val="proportional"/>
        </w:rPr>
        <w:t>)</w:t>
      </w:r>
      <w:r w:rsidRPr="00E5087D">
        <w:rPr>
          <w14:numForm w14:val="lining"/>
          <w14:numSpacing w14:val="proportional"/>
        </w:rPr>
        <w:t xml:space="preserve">. Where higher rates are observed, these are in the enabling </w:t>
      </w:r>
      <w:r w:rsidR="52326897" w:rsidRPr="00E5087D">
        <w:rPr>
          <w14:numForm w14:val="lining"/>
          <w14:numSpacing w14:val="proportional"/>
        </w:rPr>
        <w:t>sub-</w:t>
      </w:r>
      <w:r w:rsidRPr="00E5087D">
        <w:rPr>
          <w14:numForm w14:val="lining"/>
          <w14:numSpacing w14:val="proportional"/>
        </w:rPr>
        <w:t xml:space="preserve">sectors </w:t>
      </w:r>
      <w:r w:rsidR="007D5687">
        <w:rPr>
          <w14:numForm w14:val="lining"/>
          <w14:numSpacing w14:val="proportional"/>
        </w:rPr>
        <w:t>(</w:t>
      </w:r>
      <w:r w:rsidRPr="00E5087D">
        <w:rPr>
          <w14:numForm w14:val="lining"/>
          <w14:numSpacing w14:val="proportional"/>
        </w:rPr>
        <w:t xml:space="preserve">education, training, </w:t>
      </w:r>
      <w:r w:rsidR="007D5687">
        <w:rPr>
          <w14:numForm w14:val="lining"/>
          <w14:numSpacing w14:val="proportional"/>
        </w:rPr>
        <w:t xml:space="preserve">regulatory, and </w:t>
      </w:r>
      <w:r w:rsidRPr="00E5087D">
        <w:rPr>
          <w14:numForm w14:val="lining"/>
          <w14:numSpacing w14:val="proportional"/>
        </w:rPr>
        <w:t>research and technology</w:t>
      </w:r>
      <w:r w:rsidR="007D5687">
        <w:rPr>
          <w14:numForm w14:val="lining"/>
          <w14:numSpacing w14:val="proportional"/>
        </w:rPr>
        <w:t>)</w:t>
      </w:r>
      <w:r w:rsidRPr="00E5087D">
        <w:rPr>
          <w14:numForm w14:val="lining"/>
          <w14:numSpacing w14:val="proportional"/>
        </w:rPr>
        <w:t xml:space="preserve">, which may be reflective of these </w:t>
      </w:r>
      <w:r w:rsidR="007D5687">
        <w:rPr>
          <w14:numForm w14:val="lining"/>
          <w14:numSpacing w14:val="proportional"/>
        </w:rPr>
        <w:t>broader industries than</w:t>
      </w:r>
      <w:r w:rsidRPr="00E5087D">
        <w:rPr>
          <w14:numForm w14:val="lining"/>
          <w14:numSpacing w14:val="proportional"/>
        </w:rPr>
        <w:t xml:space="preserve"> clean energy</w:t>
      </w:r>
      <w:r w:rsidR="007D5687">
        <w:rPr>
          <w14:numForm w14:val="lining"/>
          <w14:numSpacing w14:val="proportional"/>
        </w:rPr>
        <w:t xml:space="preserve"> specifically.</w:t>
      </w:r>
    </w:p>
    <w:p w14:paraId="1D117E6A" w14:textId="53EACEFB" w:rsidR="00F96C85" w:rsidRPr="0087098C" w:rsidRDefault="00F96C85" w:rsidP="0087098C">
      <w:pPr>
        <w:pBdr>
          <w:top w:val="single" w:sz="4" w:space="6" w:color="BFBFBF" w:themeColor="background1" w:themeShade="BF"/>
        </w:pBdr>
        <w:spacing w:after="240"/>
        <w:rPr>
          <w:b/>
          <w14:numForm w14:val="lining"/>
          <w14:numSpacing w14:val="proportional"/>
        </w:rPr>
      </w:pPr>
      <w:r w:rsidRPr="00E5087D">
        <w:rPr>
          <w:b/>
          <w14:numForm w14:val="lining"/>
          <w14:numSpacing w14:val="proportional"/>
        </w:rPr>
        <w:t xml:space="preserve">Figure </w:t>
      </w:r>
      <w:r w:rsidR="007409E5">
        <w:rPr>
          <w:b/>
          <w14:numForm w14:val="lining"/>
          <w14:numSpacing w14:val="proportional"/>
        </w:rPr>
        <w:t>3.</w:t>
      </w:r>
      <w:r w:rsidR="00157FDB">
        <w:rPr>
          <w:b/>
          <w14:numForm w14:val="lining"/>
          <w14:numSpacing w14:val="proportional"/>
        </w:rPr>
        <w:t>9</w:t>
      </w:r>
      <w:r w:rsidR="009E6F85" w:rsidRPr="00E5087D">
        <w:rPr>
          <w:b/>
          <w14:numForm w14:val="lining"/>
          <w14:numSpacing w14:val="proportional"/>
        </w:rPr>
        <w:t>.</w:t>
      </w:r>
      <w:r w:rsidRPr="00E5087D">
        <w:rPr>
          <w:b/>
          <w14:numForm w14:val="lining"/>
          <w14:numSpacing w14:val="proportional"/>
        </w:rPr>
        <w:t xml:space="preserve"> Long-term health </w:t>
      </w:r>
      <w:r w:rsidRPr="00516B24">
        <w:rPr>
          <w:b/>
          <w:bCs/>
        </w:rPr>
        <w:t>conditions</w:t>
      </w:r>
      <w:r w:rsidRPr="00E5087D">
        <w:rPr>
          <w:b/>
          <w14:numForm w14:val="lining"/>
          <w14:numSpacing w14:val="proportional"/>
        </w:rPr>
        <w:t xml:space="preserve"> by Clean Energy </w:t>
      </w:r>
      <w:r w:rsidR="00A77917">
        <w:rPr>
          <w:b/>
          <w14:numForm w14:val="lining"/>
          <w14:numSpacing w14:val="proportional"/>
        </w:rPr>
        <w:t>sub-</w:t>
      </w:r>
      <w:r w:rsidR="00EE68FD">
        <w:rPr>
          <w:b/>
          <w14:numForm w14:val="lining"/>
          <w14:numSpacing w14:val="proportional"/>
        </w:rPr>
        <w:t>segment</w:t>
      </w:r>
      <w:r w:rsidR="0087098C">
        <w:rPr>
          <w:noProof/>
          <w:sz w:val="16"/>
          <w:szCs w:val="16"/>
        </w:rPr>
        <w:drawing>
          <wp:inline distT="0" distB="0" distL="0" distR="0" wp14:anchorId="0F668672" wp14:editId="3C672147">
            <wp:extent cx="5731510" cy="3820795"/>
            <wp:effectExtent l="0" t="0" r="2540" b="8255"/>
            <wp:docPr id="446236801" name="Picture 446236801" descr="This figure represents people with long-term health conditions working in clean energy by sub-segment. Almost 10% of workers in enabling - education, training, research and technology have reported a long-term health cond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1" name="Picture 446236801" descr="This figure represents people with long-term health conditions working in clean energy by sub-segment. Almost 10% of workers in enabling - education, training, research and technology have reported a long-term health condition. "/>
                    <pic:cNvPicPr/>
                  </pic:nvPicPr>
                  <pic:blipFill>
                    <a:blip r:embed="rId86"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5C0C8989" w14:textId="77777777" w:rsidR="00603763" w:rsidRPr="00E5087D" w:rsidRDefault="00603763" w:rsidP="00603763">
      <w:r w:rsidRPr="00E94301">
        <w:rPr>
          <w:sz w:val="18"/>
          <w:szCs w:val="18"/>
        </w:rPr>
        <w:t>Source: ABS Census of Population and Housing, 2021</w:t>
      </w:r>
    </w:p>
    <w:p w14:paraId="7245B385" w14:textId="77777777" w:rsidR="00603763" w:rsidRDefault="00603763">
      <w:pPr>
        <w:rPr>
          <w:rFonts w:eastAsiaTheme="majorEastAsia" w:cstheme="majorBidi"/>
          <w:b/>
          <w:sz w:val="32"/>
          <w:szCs w:val="24"/>
        </w:rPr>
      </w:pPr>
      <w:r>
        <w:br w:type="page"/>
      </w:r>
    </w:p>
    <w:p w14:paraId="3AEEBE43" w14:textId="70D048DE" w:rsidR="00C2013C" w:rsidRPr="00E5087D" w:rsidRDefault="00BF22F6" w:rsidP="00322D33">
      <w:pPr>
        <w:pStyle w:val="Heading3"/>
        <w:spacing w:before="600"/>
      </w:pPr>
      <w:r>
        <w:lastRenderedPageBreak/>
        <w:t>Regional</w:t>
      </w:r>
      <w:r w:rsidR="00C2013C" w:rsidRPr="00E5087D">
        <w:t xml:space="preserve"> characteristics</w:t>
      </w:r>
    </w:p>
    <w:p w14:paraId="584E5392" w14:textId="486817B3" w:rsidR="003B4C11" w:rsidRDefault="009B6FD1" w:rsidP="00603763">
      <w:pPr>
        <w:spacing w:after="360" w:line="276" w:lineRule="auto"/>
        <w:rPr>
          <w:noProof/>
        </w:rPr>
      </w:pPr>
      <w:r>
        <w:rPr>
          <w:noProof/>
        </w:rPr>
        <w:t>T</w:t>
      </w:r>
      <w:r w:rsidR="3832ECCD" w:rsidRPr="5C9D18AC">
        <w:rPr>
          <w:noProof/>
        </w:rPr>
        <w:t xml:space="preserve">he clean energy </w:t>
      </w:r>
      <w:r w:rsidR="59E3EE97" w:rsidRPr="5C9D18AC">
        <w:rPr>
          <w:noProof/>
        </w:rPr>
        <w:t>genera</w:t>
      </w:r>
      <w:r w:rsidR="0E5232E6" w:rsidRPr="5C9D18AC">
        <w:rPr>
          <w:noProof/>
        </w:rPr>
        <w:t>t</w:t>
      </w:r>
      <w:r w:rsidR="76787898" w:rsidRPr="5C9D18AC">
        <w:rPr>
          <w:noProof/>
        </w:rPr>
        <w:t xml:space="preserve">ion and distribution </w:t>
      </w:r>
      <w:r w:rsidR="738132CC" w:rsidRPr="5C9D18AC">
        <w:rPr>
          <w:noProof/>
        </w:rPr>
        <w:t xml:space="preserve">workforce is </w:t>
      </w:r>
      <w:r w:rsidR="3150F70D" w:rsidRPr="5C9D18AC">
        <w:rPr>
          <w:noProof/>
        </w:rPr>
        <w:t>l</w:t>
      </w:r>
      <w:r w:rsidR="738132CC" w:rsidRPr="5C9D18AC">
        <w:rPr>
          <w:noProof/>
        </w:rPr>
        <w:t xml:space="preserve">ocated </w:t>
      </w:r>
      <w:r w:rsidR="00B515F2">
        <w:t xml:space="preserve">across Australia, with </w:t>
      </w:r>
      <w:r w:rsidR="00B515F2" w:rsidRPr="00BB2E09">
        <w:t>large</w:t>
      </w:r>
      <w:r w:rsidR="00B515F2">
        <w:t xml:space="preserve"> proportions </w:t>
      </w:r>
      <w:r w:rsidR="5C3F2D20" w:rsidRPr="5C9D18AC">
        <w:rPr>
          <w:noProof/>
        </w:rPr>
        <w:t xml:space="preserve">in </w:t>
      </w:r>
      <w:r w:rsidR="11113FE7" w:rsidRPr="5C9D18AC">
        <w:rPr>
          <w:noProof/>
        </w:rPr>
        <w:t>metropolitan areas</w:t>
      </w:r>
      <w:r w:rsidR="51CA2258" w:rsidRPr="5C9D18AC">
        <w:rPr>
          <w:noProof/>
        </w:rPr>
        <w:t xml:space="preserve">, </w:t>
      </w:r>
      <w:r w:rsidR="6DD0CCC5" w:rsidRPr="5C9D18AC">
        <w:rPr>
          <w:noProof/>
        </w:rPr>
        <w:t xml:space="preserve">potentially </w:t>
      </w:r>
      <w:r w:rsidR="51CA2258" w:rsidRPr="5C9D18AC">
        <w:rPr>
          <w:noProof/>
        </w:rPr>
        <w:t xml:space="preserve">reflecting </w:t>
      </w:r>
      <w:r w:rsidR="00B515F2">
        <w:t>white collar</w:t>
      </w:r>
      <w:r w:rsidR="1ECAEC3A" w:rsidRPr="5C9D18AC">
        <w:rPr>
          <w:noProof/>
        </w:rPr>
        <w:t xml:space="preserve"> </w:t>
      </w:r>
      <w:r w:rsidR="001A148F">
        <w:rPr>
          <w:noProof/>
        </w:rPr>
        <w:t>professions</w:t>
      </w:r>
      <w:r w:rsidR="1ECAEC3A" w:rsidRPr="5C9D18AC">
        <w:rPr>
          <w:noProof/>
        </w:rPr>
        <w:t xml:space="preserve"> </w:t>
      </w:r>
      <w:r w:rsidR="001A148F">
        <w:rPr>
          <w:noProof/>
        </w:rPr>
        <w:t>in this</w:t>
      </w:r>
      <w:r w:rsidR="78723DE9" w:rsidRPr="5C9D18AC">
        <w:rPr>
          <w:noProof/>
        </w:rPr>
        <w:t xml:space="preserve"> workforce</w:t>
      </w:r>
      <w:r w:rsidR="00827815">
        <w:rPr>
          <w:noProof/>
        </w:rPr>
        <w:t xml:space="preserve"> (Figure 3.1</w:t>
      </w:r>
      <w:r w:rsidR="00A51350">
        <w:rPr>
          <w:noProof/>
        </w:rPr>
        <w:t>0</w:t>
      </w:r>
      <w:r w:rsidR="00827815">
        <w:rPr>
          <w:noProof/>
        </w:rPr>
        <w:t>)</w:t>
      </w:r>
      <w:r w:rsidR="78723DE9" w:rsidRPr="5C9D18AC">
        <w:rPr>
          <w:noProof/>
        </w:rPr>
        <w:t>.</w:t>
      </w:r>
      <w:r w:rsidR="1ECAEC3A" w:rsidRPr="5C9D18AC">
        <w:rPr>
          <w:noProof/>
        </w:rPr>
        <w:t xml:space="preserve"> </w:t>
      </w:r>
      <w:r w:rsidR="00B515F2">
        <w:t>R</w:t>
      </w:r>
      <w:r w:rsidR="003B4C11" w:rsidRPr="00BB2E09">
        <w:t>egional</w:t>
      </w:r>
      <w:r w:rsidR="003B4C11">
        <w:rPr>
          <w:noProof/>
        </w:rPr>
        <w:t xml:space="preserve"> areas of Tasmania and </w:t>
      </w:r>
      <w:r w:rsidR="00ED251D">
        <w:rPr>
          <w:noProof/>
        </w:rPr>
        <w:t>in</w:t>
      </w:r>
      <w:r w:rsidR="003B4C11">
        <w:rPr>
          <w:noProof/>
        </w:rPr>
        <w:t xml:space="preserve"> Snowy </w:t>
      </w:r>
      <w:r w:rsidR="00BB2E09" w:rsidRPr="00BB2E09">
        <w:t>Mountains</w:t>
      </w:r>
      <w:r w:rsidR="00B515F2">
        <w:t xml:space="preserve"> also have large concentrations of clean energy generation workers</w:t>
      </w:r>
      <w:r w:rsidR="003B4C11">
        <w:rPr>
          <w:noProof/>
        </w:rPr>
        <w:t xml:space="preserve">, reflecting </w:t>
      </w:r>
      <w:r w:rsidR="00A375A5">
        <w:rPr>
          <w:noProof/>
        </w:rPr>
        <w:t>hydroelectricit</w:t>
      </w:r>
      <w:r w:rsidR="00ED251D">
        <w:rPr>
          <w:noProof/>
        </w:rPr>
        <w:t>y employment</w:t>
      </w:r>
      <w:r w:rsidR="00ED251D" w:rsidRPr="00BB2E09">
        <w:t>.</w:t>
      </w:r>
      <w:r w:rsidR="007322D2">
        <w:rPr>
          <w:noProof/>
        </w:rPr>
        <w:t xml:space="preserve"> The transitioning segment has a larger workforce </w:t>
      </w:r>
      <w:r w:rsidR="00BB2E09">
        <w:t>presence</w:t>
      </w:r>
      <w:r w:rsidR="007322D2">
        <w:rPr>
          <w:noProof/>
        </w:rPr>
        <w:t xml:space="preserve"> in regional areas, </w:t>
      </w:r>
      <w:r w:rsidR="00BB2E09" w:rsidRPr="00BB2E09">
        <w:t>particularly</w:t>
      </w:r>
      <w:r w:rsidR="007322D2">
        <w:rPr>
          <w:noProof/>
        </w:rPr>
        <w:t xml:space="preserve"> in Queensland and </w:t>
      </w:r>
      <w:r w:rsidR="007D2C2E">
        <w:rPr>
          <w:noProof/>
        </w:rPr>
        <w:t>NSW</w:t>
      </w:r>
      <w:r w:rsidR="00BB2E09" w:rsidRPr="00BB2E09">
        <w:t>.</w:t>
      </w:r>
      <w:r w:rsidR="00A375A5">
        <w:rPr>
          <w:noProof/>
        </w:rPr>
        <w:t xml:space="preserve"> </w:t>
      </w:r>
    </w:p>
    <w:p w14:paraId="2D9B101B" w14:textId="13685A94" w:rsidR="00893BCE" w:rsidRPr="004F690B" w:rsidRDefault="00893BCE" w:rsidP="007A2A4F">
      <w:pPr>
        <w:pBdr>
          <w:top w:val="single" w:sz="4" w:space="6" w:color="BFBFBF" w:themeColor="background1" w:themeShade="BF"/>
        </w:pBdr>
        <w:spacing w:after="240"/>
        <w:rPr>
          <w:rFonts w:eastAsia="Arial" w:cs="Arial"/>
          <w:b/>
        </w:rPr>
      </w:pPr>
      <w:r w:rsidRPr="004F690B">
        <w:rPr>
          <w:rFonts w:eastAsia="Arial" w:cs="Arial"/>
          <w:b/>
        </w:rPr>
        <w:t>Figure 3.</w:t>
      </w:r>
      <w:r>
        <w:rPr>
          <w:rFonts w:eastAsia="Arial" w:cs="Arial"/>
          <w:b/>
        </w:rPr>
        <w:t>1</w:t>
      </w:r>
      <w:r w:rsidR="00A51350">
        <w:rPr>
          <w:rFonts w:eastAsia="Arial" w:cs="Arial"/>
          <w:b/>
        </w:rPr>
        <w:t>0</w:t>
      </w:r>
      <w:r>
        <w:rPr>
          <w:rFonts w:eastAsia="Arial" w:cs="Arial"/>
          <w:b/>
        </w:rPr>
        <w:t>.</w:t>
      </w:r>
      <w:r w:rsidRPr="004F690B">
        <w:rPr>
          <w:rFonts w:eastAsia="Arial" w:cs="Arial"/>
          <w:b/>
        </w:rPr>
        <w:t xml:space="preserve"> Place of Work (SA3) </w:t>
      </w:r>
      <w:r w:rsidRPr="007A2A4F">
        <w:rPr>
          <w:b/>
          <w14:numForm w14:val="lining"/>
          <w14:numSpacing w14:val="proportional"/>
        </w:rPr>
        <w:t>by</w:t>
      </w:r>
      <w:r w:rsidRPr="004F690B">
        <w:rPr>
          <w:rFonts w:eastAsia="Arial" w:cs="Arial"/>
          <w:b/>
        </w:rPr>
        <w:t xml:space="preserve"> Clean Energy </w:t>
      </w:r>
      <w:r w:rsidR="007A2A4F">
        <w:rPr>
          <w:rFonts w:eastAsia="Arial" w:cs="Arial"/>
          <w:b/>
        </w:rPr>
        <w:t>s</w:t>
      </w:r>
      <w:r w:rsidRPr="00BB2E09">
        <w:rPr>
          <w:rFonts w:eastAsia="Arial" w:cs="Arial"/>
          <w:b/>
        </w:rPr>
        <w:t>ub</w:t>
      </w:r>
      <w:r w:rsidR="007A2A4F">
        <w:rPr>
          <w:rFonts w:eastAsia="Arial" w:cs="Arial"/>
          <w:b/>
        </w:rPr>
        <w:t>-s</w:t>
      </w:r>
      <w:r w:rsidRPr="00BB2E09">
        <w:rPr>
          <w:rFonts w:eastAsia="Arial" w:cs="Arial"/>
          <w:b/>
        </w:rPr>
        <w:t>egments</w:t>
      </w:r>
    </w:p>
    <w:p w14:paraId="30C5A1CB" w14:textId="73F4A7D8" w:rsidR="002C7602" w:rsidRDefault="007A2A4F" w:rsidP="00893BCE">
      <w:pPr>
        <w:spacing w:after="0" w:line="276" w:lineRule="auto"/>
        <w:rPr>
          <w:rFonts w:eastAsia="Arial" w:cs="Arial"/>
          <w:color w:val="498205"/>
        </w:rPr>
      </w:pPr>
      <w:r w:rsidRPr="007A2A4F">
        <w:rPr>
          <w:rFonts w:eastAsia="Arial" w:cs="Arial"/>
          <w:noProof/>
          <w:color w:val="498205"/>
        </w:rPr>
        <w:drawing>
          <wp:inline distT="0" distB="0" distL="0" distR="0" wp14:anchorId="6915F81A" wp14:editId="02ECC5A7">
            <wp:extent cx="5731510" cy="4878705"/>
            <wp:effectExtent l="0" t="0" r="2540" b="0"/>
            <wp:docPr id="1087981682" name="Picture 1087981682" descr="This figure represents the place of work by clean energy sub-segments within SA3 regions in Australia. The figure shows a strong representation across all sub-segments along the eastern coast. Tasmania shows a large proportion of clean energy generation workers due to the hydroelectricity industry. Central Queensland has a large proportion of transitioning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82" name="Picture 1087981682" descr="This figure represents the place of work by clean energy sub-segments within SA3 regions in Australia. The figure shows a strong representation across all sub-segments along the eastern coast. Tasmania shows a large proportion of clean energy generation workers due to the hydroelectricity industry. Central Queensland has a large proportion of transitioning workers."/>
                    <pic:cNvPicPr/>
                  </pic:nvPicPr>
                  <pic:blipFill>
                    <a:blip r:embed="rId87"/>
                    <a:stretch>
                      <a:fillRect/>
                    </a:stretch>
                  </pic:blipFill>
                  <pic:spPr>
                    <a:xfrm>
                      <a:off x="0" y="0"/>
                      <a:ext cx="5731510" cy="4878705"/>
                    </a:xfrm>
                    <a:prstGeom prst="rect">
                      <a:avLst/>
                    </a:prstGeom>
                  </pic:spPr>
                </pic:pic>
              </a:graphicData>
            </a:graphic>
          </wp:inline>
        </w:drawing>
      </w:r>
    </w:p>
    <w:p w14:paraId="3EE42C87" w14:textId="48B16858" w:rsidR="00603763" w:rsidRDefault="18E72408" w:rsidP="00BB2E09">
      <w:pPr>
        <w:spacing w:after="240" w:line="276" w:lineRule="auto"/>
        <w:rPr>
          <w:sz w:val="18"/>
          <w:szCs w:val="18"/>
        </w:rPr>
      </w:pPr>
      <w:r w:rsidRPr="0DAB41AA">
        <w:rPr>
          <w:sz w:val="18"/>
          <w:szCs w:val="18"/>
          <w14:numForm w14:val="lining"/>
          <w14:numSpacing w14:val="proportional"/>
        </w:rPr>
        <w:t>Source: ABS Census of Population and Housing 2021</w:t>
      </w:r>
    </w:p>
    <w:p w14:paraId="3FC0E1BF" w14:textId="77777777" w:rsidR="007E3FF2" w:rsidRDefault="00603763">
      <w:pPr>
        <w:rPr>
          <w:sz w:val="18"/>
          <w:szCs w:val="18"/>
        </w:rPr>
      </w:pPr>
      <w:r>
        <w:rPr>
          <w:sz w:val="18"/>
          <w:szCs w:val="18"/>
        </w:rPr>
        <w:br w:type="page"/>
      </w:r>
    </w:p>
    <w:p w14:paraId="2375AE50" w14:textId="5174A8BB" w:rsidR="00603763" w:rsidRPr="00EE68FD" w:rsidRDefault="000C6727">
      <w:pPr>
        <w:rPr>
          <w:noProof/>
        </w:rPr>
      </w:pPr>
      <w:r w:rsidRPr="60F6EFC8">
        <w:rPr>
          <w:noProof/>
        </w:rPr>
        <w:lastRenderedPageBreak/>
        <w:t>There are a number of regions across Australia with high proportion</w:t>
      </w:r>
      <w:r w:rsidR="00353280" w:rsidRPr="60F6EFC8">
        <w:rPr>
          <w:noProof/>
        </w:rPr>
        <w:t>s</w:t>
      </w:r>
      <w:r w:rsidRPr="60F6EFC8">
        <w:rPr>
          <w:noProof/>
        </w:rPr>
        <w:t xml:space="preserve"> of transitioning employment in their labour markets (Figure 3.1</w:t>
      </w:r>
      <w:r w:rsidR="00902B62" w:rsidRPr="60F6EFC8">
        <w:rPr>
          <w:noProof/>
        </w:rPr>
        <w:t>1</w:t>
      </w:r>
      <w:r w:rsidRPr="60F6EFC8">
        <w:rPr>
          <w:noProof/>
        </w:rPr>
        <w:t xml:space="preserve">). </w:t>
      </w:r>
      <w:r w:rsidR="0096049C" w:rsidRPr="60F6EFC8">
        <w:rPr>
          <w:noProof/>
        </w:rPr>
        <w:t xml:space="preserve">We’ve identified 12 regions </w:t>
      </w:r>
      <w:r w:rsidR="00291C2A" w:rsidRPr="60F6EFC8">
        <w:rPr>
          <w:noProof/>
        </w:rPr>
        <w:t>where workers in transitioning industries make up</w:t>
      </w:r>
      <w:r w:rsidR="0096049C" w:rsidRPr="60F6EFC8">
        <w:rPr>
          <w:noProof/>
        </w:rPr>
        <w:t xml:space="preserve"> more than 2% of </w:t>
      </w:r>
      <w:r w:rsidR="00291C2A" w:rsidRPr="60F6EFC8">
        <w:rPr>
          <w:noProof/>
        </w:rPr>
        <w:t>local employment.</w:t>
      </w:r>
      <w:r w:rsidR="0096049C" w:rsidRPr="60F6EFC8">
        <w:rPr>
          <w:noProof/>
        </w:rPr>
        <w:t xml:space="preserve"> </w:t>
      </w:r>
      <w:r w:rsidR="00291C2A" w:rsidRPr="60F6EFC8">
        <w:rPr>
          <w:noProof/>
        </w:rPr>
        <w:t xml:space="preserve">As these regions are </w:t>
      </w:r>
      <w:r w:rsidRPr="60F6EFC8">
        <w:rPr>
          <w:noProof/>
        </w:rPr>
        <w:t xml:space="preserve">more exposed </w:t>
      </w:r>
      <w:r w:rsidR="00291C2A" w:rsidRPr="60F6EFC8">
        <w:rPr>
          <w:noProof/>
        </w:rPr>
        <w:t xml:space="preserve">to </w:t>
      </w:r>
      <w:r w:rsidRPr="60F6EFC8">
        <w:rPr>
          <w:noProof/>
        </w:rPr>
        <w:t>transition</w:t>
      </w:r>
      <w:r w:rsidR="00291C2A" w:rsidRPr="60F6EFC8">
        <w:rPr>
          <w:noProof/>
        </w:rPr>
        <w:t>ing industries</w:t>
      </w:r>
      <w:r w:rsidRPr="60F6EFC8">
        <w:rPr>
          <w:noProof/>
        </w:rPr>
        <w:t>, the</w:t>
      </w:r>
      <w:r w:rsidR="00353280" w:rsidRPr="60F6EFC8">
        <w:rPr>
          <w:noProof/>
        </w:rPr>
        <w:t>ir</w:t>
      </w:r>
      <w:r w:rsidRPr="60F6EFC8">
        <w:rPr>
          <w:noProof/>
        </w:rPr>
        <w:t xml:space="preserve"> labour markets may experience the greatest impact of decarbonisation. </w:t>
      </w:r>
      <w:r w:rsidR="00325B5B" w:rsidRPr="60F6EFC8">
        <w:rPr>
          <w:noProof/>
        </w:rPr>
        <w:t>For example, i</w:t>
      </w:r>
      <w:r w:rsidR="0096049C" w:rsidRPr="60F6EFC8">
        <w:rPr>
          <w:noProof/>
        </w:rPr>
        <w:t>n Bowen Basin-North (Queensland), around 21% of workers are in a transitioning industry.</w:t>
      </w:r>
      <w:r w:rsidR="00325B5B" w:rsidRPr="60F6EFC8">
        <w:rPr>
          <w:noProof/>
        </w:rPr>
        <w:t xml:space="preserve"> In stark contrast, </w:t>
      </w:r>
      <w:r w:rsidR="00353280" w:rsidRPr="60F6EFC8">
        <w:rPr>
          <w:noProof/>
        </w:rPr>
        <w:t xml:space="preserve">there are </w:t>
      </w:r>
      <w:r w:rsidR="00D45D8E" w:rsidRPr="60F6EFC8">
        <w:rPr>
          <w:noProof/>
        </w:rPr>
        <w:t xml:space="preserve">only five regions </w:t>
      </w:r>
      <w:r w:rsidR="00353280" w:rsidRPr="60F6EFC8">
        <w:rPr>
          <w:noProof/>
        </w:rPr>
        <w:t>where clean energy supply workers (generation and distribution) make up over 1% of their local labour market. This highlights the differences between the two segments, with clean energy work typically being less concentrated and labour intensive than transitioning work.</w:t>
      </w:r>
    </w:p>
    <w:p w14:paraId="0718270F" w14:textId="7B3DC900" w:rsidR="00C2013C" w:rsidRPr="00E5087D" w:rsidRDefault="423668A5" w:rsidP="007564A9">
      <w:pPr>
        <w:pBdr>
          <w:top w:val="single" w:sz="4" w:space="6" w:color="BFBFBF" w:themeColor="background1" w:themeShade="BF"/>
        </w:pBdr>
        <w:spacing w:before="360" w:after="240" w:line="276" w:lineRule="auto"/>
        <w:rPr>
          <w:b/>
          <w:bCs/>
        </w:rPr>
      </w:pPr>
      <w:r w:rsidRPr="0DAB41AA">
        <w:rPr>
          <w:b/>
          <w:bCs/>
          <w14:numForm w14:val="lining"/>
          <w14:numSpacing w14:val="proportional"/>
        </w:rPr>
        <w:t xml:space="preserve">Figure </w:t>
      </w:r>
      <w:r w:rsidR="007409E5">
        <w:rPr>
          <w:b/>
          <w:bCs/>
          <w14:numForm w14:val="lining"/>
          <w14:numSpacing w14:val="proportional"/>
        </w:rPr>
        <w:t>3.1</w:t>
      </w:r>
      <w:r w:rsidR="00902B62">
        <w:rPr>
          <w:b/>
          <w:bCs/>
          <w14:numForm w14:val="lining"/>
          <w14:numSpacing w14:val="proportional"/>
        </w:rPr>
        <w:t>1</w:t>
      </w:r>
      <w:r w:rsidRPr="0AE4CB10">
        <w:rPr>
          <w:b/>
          <w:bCs/>
          <w14:numForm w14:val="lining"/>
          <w14:numSpacing w14:val="proportional"/>
        </w:rPr>
        <w:t>.</w:t>
      </w:r>
      <w:r w:rsidRPr="0DAB41AA">
        <w:rPr>
          <w:b/>
          <w:bCs/>
          <w14:numForm w14:val="lining"/>
          <w14:numSpacing w14:val="proportional"/>
        </w:rPr>
        <w:t xml:space="preserve"> Regions </w:t>
      </w:r>
      <w:r w:rsidR="002C7602">
        <w:rPr>
          <w:b/>
          <w:bCs/>
          <w14:numForm w14:val="lining"/>
          <w14:numSpacing w14:val="proportional"/>
        </w:rPr>
        <w:t>(</w:t>
      </w:r>
      <w:r w:rsidR="007E3FF2">
        <w:rPr>
          <w:b/>
          <w:bCs/>
          <w14:numForm w14:val="lining"/>
          <w14:numSpacing w14:val="proportional"/>
        </w:rPr>
        <w:t>SA</w:t>
      </w:r>
      <w:r w:rsidR="002C7602" w:rsidRPr="00BB2E09">
        <w:rPr>
          <w:b/>
          <w:bCs/>
          <w14:numForm w14:val="lining"/>
          <w14:numSpacing w14:val="proportional"/>
        </w:rPr>
        <w:t>3</w:t>
      </w:r>
      <w:r w:rsidR="002C7602">
        <w:rPr>
          <w:b/>
          <w:bCs/>
          <w14:numForm w14:val="lining"/>
          <w14:numSpacing w14:val="proportional"/>
        </w:rPr>
        <w:t>)</w:t>
      </w:r>
      <w:r w:rsidRPr="0DAB41AA">
        <w:rPr>
          <w:b/>
          <w:bCs/>
          <w14:numForm w14:val="lining"/>
          <w14:numSpacing w14:val="proportional"/>
        </w:rPr>
        <w:t xml:space="preserve"> </w:t>
      </w:r>
      <w:r w:rsidR="00A071D9">
        <w:rPr>
          <w:b/>
          <w:bCs/>
          <w14:numForm w14:val="lining"/>
          <w14:numSpacing w14:val="proportional"/>
        </w:rPr>
        <w:t>where</w:t>
      </w:r>
      <w:r w:rsidRPr="0DAB41AA">
        <w:rPr>
          <w:b/>
          <w:bCs/>
          <w14:numForm w14:val="lining"/>
          <w14:numSpacing w14:val="proportional"/>
        </w:rPr>
        <w:t xml:space="preserve"> transitioning </w:t>
      </w:r>
      <w:r w:rsidR="00A071D9">
        <w:rPr>
          <w:b/>
          <w:bCs/>
          <w14:numForm w14:val="lining"/>
          <w14:numSpacing w14:val="proportional"/>
        </w:rPr>
        <w:t xml:space="preserve">workers are a high proportion </w:t>
      </w:r>
      <w:r w:rsidR="0063312A">
        <w:rPr>
          <w:b/>
          <w:bCs/>
          <w14:numForm w14:val="lining"/>
          <w14:numSpacing w14:val="proportional"/>
        </w:rPr>
        <w:t>(&gt;2%)</w:t>
      </w:r>
      <w:r w:rsidR="00A071D9">
        <w:rPr>
          <w:b/>
          <w:bCs/>
          <w14:numForm w14:val="lining"/>
          <w14:numSpacing w14:val="proportional"/>
        </w:rPr>
        <w:t xml:space="preserve"> of local employment</w:t>
      </w:r>
    </w:p>
    <w:p w14:paraId="770B2D4B" w14:textId="1F3C62B1" w:rsidR="00C2013C" w:rsidRPr="00E5087D" w:rsidRDefault="1E252BE6" w:rsidP="007564A9">
      <w:pPr>
        <w:pStyle w:val="Bodycopy"/>
      </w:pPr>
      <w:r>
        <w:rPr>
          <w:noProof/>
        </w:rPr>
        <w:drawing>
          <wp:inline distT="0" distB="0" distL="0" distR="0" wp14:anchorId="67C2B4EA" wp14:editId="3F445B16">
            <wp:extent cx="6096002" cy="4876798"/>
            <wp:effectExtent l="0" t="0" r="0" b="0"/>
            <wp:docPr id="748996645" name="Picture 748996645" descr="This figure represents regions where the local employment of transitioning workers is greater than 2%. The Bowen Basin in Queensland represents the largest group at 21% of local workers in transitioning industries, followed by the Central Highlands in Queensland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96645" name="Picture 748996645" descr="This figure represents regions where the local employment of transitioning workers is greater than 2%. The Bowen Basin in Queensland represents the largest group at 21% of local workers in transitioning industries, followed by the Central Highlands in Queensland at 15%"/>
                    <pic:cNvPicPr/>
                  </pic:nvPicPr>
                  <pic:blipFill>
                    <a:blip r:embed="rId88" cstate="screen">
                      <a:extLst>
                        <a:ext uri="{28A0092B-C50C-407E-A947-70E740481C1C}">
                          <a14:useLocalDpi xmlns:a14="http://schemas.microsoft.com/office/drawing/2010/main"/>
                        </a:ext>
                      </a:extLst>
                    </a:blip>
                    <a:stretch>
                      <a:fillRect/>
                    </a:stretch>
                  </pic:blipFill>
                  <pic:spPr>
                    <a:xfrm>
                      <a:off x="0" y="0"/>
                      <a:ext cx="6096002" cy="4876798"/>
                    </a:xfrm>
                    <a:prstGeom prst="rect">
                      <a:avLst/>
                    </a:prstGeom>
                  </pic:spPr>
                </pic:pic>
              </a:graphicData>
            </a:graphic>
          </wp:inline>
        </w:drawing>
      </w:r>
    </w:p>
    <w:p w14:paraId="429E243B" w14:textId="1CBE5C64" w:rsidR="00C2013C" w:rsidRPr="00E5087D" w:rsidRDefault="423668A5" w:rsidP="00603763">
      <w:pPr>
        <w:spacing w:before="120" w:line="276" w:lineRule="auto"/>
        <w:rPr>
          <w:sz w:val="18"/>
          <w:szCs w:val="18"/>
        </w:rPr>
      </w:pPr>
      <w:r w:rsidRPr="0DAB41AA">
        <w:rPr>
          <w:sz w:val="18"/>
          <w:szCs w:val="18"/>
          <w14:numForm w14:val="lining"/>
          <w14:numSpacing w14:val="proportional"/>
        </w:rPr>
        <w:t>Source: ABS C</w:t>
      </w:r>
      <w:r w:rsidR="00603763">
        <w:rPr>
          <w:sz w:val="18"/>
          <w:szCs w:val="18"/>
          <w14:numForm w14:val="lining"/>
          <w14:numSpacing w14:val="proportional"/>
        </w:rPr>
        <w:t>ensus of Population and Housing 2021</w:t>
      </w:r>
    </w:p>
    <w:p w14:paraId="4B29F290" w14:textId="159C97F1" w:rsidR="17F9843A" w:rsidRDefault="17F9843A" w:rsidP="1316AB49">
      <w:pPr>
        <w:spacing w:line="276" w:lineRule="auto"/>
      </w:pPr>
      <w:r>
        <w:br w:type="page"/>
      </w:r>
    </w:p>
    <w:p w14:paraId="7ECBD699" w14:textId="23EAB1E0" w:rsidR="00523D40" w:rsidRPr="00E5087D" w:rsidRDefault="00D61904" w:rsidP="00B54E47">
      <w:pPr>
        <w:pStyle w:val="Heading3"/>
      </w:pPr>
      <w:r w:rsidRPr="00E5087D">
        <w:lastRenderedPageBreak/>
        <w:t>Employment characteristics</w:t>
      </w:r>
    </w:p>
    <w:p w14:paraId="19BD8D2F" w14:textId="77777777" w:rsidR="00257E3B" w:rsidRPr="00E5087D" w:rsidRDefault="00257E3B" w:rsidP="00257E3B">
      <w:pPr>
        <w:pStyle w:val="Heading4"/>
        <w:spacing w:after="120"/>
        <w:rPr>
          <w:color w:val="0C6DAD" w:themeColor="accent3" w:themeShade="BF"/>
        </w:rPr>
      </w:pPr>
      <w:r w:rsidRPr="00E5087D">
        <w:rPr>
          <w:color w:val="0C6DAD" w:themeColor="accent3" w:themeShade="BF"/>
        </w:rPr>
        <w:t>Working hours</w:t>
      </w:r>
    </w:p>
    <w:p w14:paraId="17DE10F4" w14:textId="054084E6" w:rsidR="00257E3B" w:rsidRPr="00E5087D" w:rsidRDefault="3C886025" w:rsidP="00257E3B">
      <w:pPr>
        <w:spacing w:after="240" w:line="276" w:lineRule="auto"/>
      </w:pPr>
      <w:r w:rsidRPr="00E5087D">
        <w:rPr>
          <w14:numForm w14:val="lining"/>
          <w14:numSpacing w14:val="proportional"/>
        </w:rPr>
        <w:t xml:space="preserve">Workers in </w:t>
      </w:r>
      <w:r w:rsidR="63ED0513" w:rsidRPr="00E5087D">
        <w:rPr>
          <w14:numForm w14:val="lining"/>
          <w14:numSpacing w14:val="proportional"/>
        </w:rPr>
        <w:t>c</w:t>
      </w:r>
      <w:r w:rsidR="63F0AB5D" w:rsidRPr="00E5087D">
        <w:rPr>
          <w14:numForm w14:val="lining"/>
          <w14:numSpacing w14:val="proportional"/>
        </w:rPr>
        <w:t xml:space="preserve">lean </w:t>
      </w:r>
      <w:r w:rsidR="28E5921A" w:rsidRPr="00E5087D">
        <w:rPr>
          <w14:numForm w14:val="lining"/>
          <w14:numSpacing w14:val="proportional"/>
        </w:rPr>
        <w:t>e</w:t>
      </w:r>
      <w:r w:rsidR="63F0AB5D" w:rsidRPr="00E5087D">
        <w:rPr>
          <w14:numForm w14:val="lining"/>
          <w14:numSpacing w14:val="proportional"/>
        </w:rPr>
        <w:t>nergy segments are more likely to work full</w:t>
      </w:r>
      <w:r w:rsidR="2777B233" w:rsidRPr="00E5087D">
        <w:rPr>
          <w14:numForm w14:val="lining"/>
          <w14:numSpacing w14:val="proportional"/>
        </w:rPr>
        <w:t>-</w:t>
      </w:r>
      <w:r w:rsidR="63F0AB5D" w:rsidRPr="00E5087D">
        <w:rPr>
          <w14:numForm w14:val="lining"/>
          <w14:numSpacing w14:val="proportional"/>
        </w:rPr>
        <w:t>time tha</w:t>
      </w:r>
      <w:r w:rsidR="31DA46C5" w:rsidRPr="00E5087D">
        <w:rPr>
          <w14:numForm w14:val="lining"/>
          <w14:numSpacing w14:val="proportional"/>
        </w:rPr>
        <w:t>n</w:t>
      </w:r>
      <w:r w:rsidR="63F0AB5D" w:rsidRPr="00E5087D">
        <w:rPr>
          <w14:numForm w14:val="lining"/>
          <w14:numSpacing w14:val="proportional"/>
        </w:rPr>
        <w:t xml:space="preserve"> the rest of the </w:t>
      </w:r>
      <w:r w:rsidR="18FBFA7A" w:rsidRPr="00E5087D">
        <w:rPr>
          <w14:numForm w14:val="lining"/>
          <w14:numSpacing w14:val="proportional"/>
        </w:rPr>
        <w:t>workforce</w:t>
      </w:r>
      <w:r w:rsidR="63F0AB5D" w:rsidRPr="00E5087D">
        <w:rPr>
          <w14:numForm w14:val="lining"/>
          <w14:numSpacing w14:val="proportional"/>
        </w:rPr>
        <w:t xml:space="preserve">. </w:t>
      </w:r>
      <w:r w:rsidR="001C1AFE">
        <w:rPr>
          <w14:numForm w14:val="lining"/>
          <w14:numSpacing w14:val="proportional"/>
        </w:rPr>
        <w:t>The clean energy generation and distribution sub-segments have very low proportions of part-time workers (11% and 9% respectively)</w:t>
      </w:r>
      <w:r w:rsidR="009815CE">
        <w:rPr>
          <w14:numForm w14:val="lining"/>
          <w14:numSpacing w14:val="proportional"/>
        </w:rPr>
        <w:t>, less than half the rate of the transitioning segment. All energy sub-segments have lower rates of part-time employment than other industry groups</w:t>
      </w:r>
      <w:r w:rsidR="00E02638">
        <w:rPr>
          <w14:numForm w14:val="lining"/>
          <w14:numSpacing w14:val="proportional"/>
        </w:rPr>
        <w:t xml:space="preserve"> (Figure 3.1</w:t>
      </w:r>
      <w:r w:rsidR="00A476E1">
        <w:rPr>
          <w14:numForm w14:val="lining"/>
          <w14:numSpacing w14:val="proportional"/>
        </w:rPr>
        <w:t>2</w:t>
      </w:r>
      <w:r w:rsidR="00E02638">
        <w:rPr>
          <w14:numForm w14:val="lining"/>
          <w14:numSpacing w14:val="proportional"/>
        </w:rPr>
        <w:t>)</w:t>
      </w:r>
      <w:r w:rsidR="009815CE">
        <w:rPr>
          <w14:numForm w14:val="lining"/>
          <w14:numSpacing w14:val="proportional"/>
        </w:rPr>
        <w:t>.</w:t>
      </w:r>
    </w:p>
    <w:p w14:paraId="442CA48D" w14:textId="41AF34CC" w:rsidR="00257E3B" w:rsidRPr="00E5087D" w:rsidRDefault="00257E3B" w:rsidP="002B1CD2">
      <w:pPr>
        <w:pBdr>
          <w:top w:val="single" w:sz="4" w:space="6" w:color="BFBFBF" w:themeColor="background1" w:themeShade="BF"/>
        </w:pBdr>
        <w:spacing w:after="120"/>
      </w:pPr>
      <w:r w:rsidRPr="00E5087D">
        <w:rPr>
          <w:b/>
          <w14:numForm w14:val="lining"/>
          <w14:numSpacing w14:val="proportional"/>
        </w:rPr>
        <w:t xml:space="preserve">Figure </w:t>
      </w:r>
      <w:r w:rsidR="00D5418D">
        <w:rPr>
          <w:b/>
          <w14:numForm w14:val="lining"/>
          <w14:numSpacing w14:val="proportional"/>
        </w:rPr>
        <w:t>3.1</w:t>
      </w:r>
      <w:r w:rsidR="00A476E1">
        <w:rPr>
          <w:b/>
        </w:rPr>
        <w:t>2</w:t>
      </w:r>
      <w:r w:rsidR="009E6F85" w:rsidRPr="00E5087D">
        <w:rPr>
          <w:b/>
          <w14:numForm w14:val="lining"/>
          <w14:numSpacing w14:val="proportional"/>
        </w:rPr>
        <w:t>.</w:t>
      </w:r>
      <w:r w:rsidRPr="00E5087D">
        <w:rPr>
          <w:b/>
          <w14:numForm w14:val="lining"/>
          <w14:numSpacing w14:val="proportional"/>
        </w:rPr>
        <w:t xml:space="preserve"> Working hours (full-time/part-time status) by Clean Energy Sub-Segment</w:t>
      </w:r>
      <w:r w:rsidRPr="00E5087D">
        <w:t xml:space="preserve"> </w:t>
      </w:r>
    </w:p>
    <w:p w14:paraId="440C615B" w14:textId="77777777" w:rsidR="007564A9" w:rsidRDefault="1B9A121B" w:rsidP="007564A9">
      <w:pPr>
        <w:pStyle w:val="Bodycopy"/>
        <w:spacing w:before="120"/>
        <w:rPr>
          <w:sz w:val="18"/>
          <w:szCs w:val="18"/>
        </w:rPr>
      </w:pPr>
      <w:r>
        <w:rPr>
          <w:noProof/>
        </w:rPr>
        <w:drawing>
          <wp:inline distT="0" distB="0" distL="0" distR="0" wp14:anchorId="1086C971" wp14:editId="382A0666">
            <wp:extent cx="5600700" cy="3733800"/>
            <wp:effectExtent l="0" t="0" r="0" b="0"/>
            <wp:docPr id="385653397" name="Picture 385653397" descr="This figure represents working hours by clean energy sub-segment. Representation of part time workers is low overall, particularly in the supply segments. The highest proportion of part-time workers is represented in enabling - education, training, research and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53397" name="Picture 385653397" descr="This figure represents working hours by clean energy sub-segment. Representation of part time workers is low overall, particularly in the supply segments. The highest proportion of part-time workers is represented in enabling - education, training, research and technology"/>
                    <pic:cNvPicPr/>
                  </pic:nvPicPr>
                  <pic:blipFill>
                    <a:blip r:embed="rId89" cstate="screen">
                      <a:extLst>
                        <a:ext uri="{28A0092B-C50C-407E-A947-70E740481C1C}">
                          <a14:useLocalDpi xmlns:a14="http://schemas.microsoft.com/office/drawing/2010/main"/>
                        </a:ext>
                      </a:extLst>
                    </a:blip>
                    <a:stretch>
                      <a:fillRect/>
                    </a:stretch>
                  </pic:blipFill>
                  <pic:spPr>
                    <a:xfrm>
                      <a:off x="0" y="0"/>
                      <a:ext cx="5600700" cy="3733800"/>
                    </a:xfrm>
                    <a:prstGeom prst="rect">
                      <a:avLst/>
                    </a:prstGeom>
                  </pic:spPr>
                </pic:pic>
              </a:graphicData>
            </a:graphic>
          </wp:inline>
        </w:drawing>
      </w:r>
    </w:p>
    <w:p w14:paraId="1E67B5DD" w14:textId="73DEC3D9" w:rsidR="002B1CD2" w:rsidRPr="00E5087D" w:rsidRDefault="002B1CD2" w:rsidP="007564A9">
      <w:pPr>
        <w:pStyle w:val="Bodycopy"/>
        <w:spacing w:before="240"/>
      </w:pPr>
      <w:r w:rsidRPr="008D34E8">
        <w:rPr>
          <w:sz w:val="18"/>
          <w:szCs w:val="18"/>
        </w:rPr>
        <w:t>Source: ABS Census of Population and Housing 2021</w:t>
      </w:r>
    </w:p>
    <w:p w14:paraId="224255FA" w14:textId="7E94B4CC" w:rsidR="002B1CD2" w:rsidRDefault="00257E3B" w:rsidP="007564A9">
      <w:pPr>
        <w:pStyle w:val="Bodycopy"/>
        <w:spacing w:before="240"/>
      </w:pPr>
      <w:r w:rsidRPr="00E5087D">
        <w:t>Given the low levels of female participation in most of the clean energy workforce segments, and the gendered distribution of part-time work in the Australian workforce in general, it is not surprising to see that women are much more common in part-time roles in the clean energy segments, if not always the majority of part-time workers</w:t>
      </w:r>
      <w:r w:rsidR="00E02638">
        <w:t xml:space="preserve"> (Figure 3.1</w:t>
      </w:r>
      <w:r w:rsidR="009D2A79">
        <w:t>3</w:t>
      </w:r>
      <w:r w:rsidR="00E02638">
        <w:t>)</w:t>
      </w:r>
      <w:r w:rsidRPr="00E5087D">
        <w:t xml:space="preserve">. </w:t>
      </w:r>
    </w:p>
    <w:p w14:paraId="1D1AA8F8" w14:textId="77777777" w:rsidR="002B1CD2" w:rsidRDefault="002B1CD2">
      <w:r>
        <w:br w:type="page"/>
      </w:r>
    </w:p>
    <w:p w14:paraId="04B7E7DA" w14:textId="2B44AB4E" w:rsidR="00632953" w:rsidRPr="00E5087D" w:rsidRDefault="00632953" w:rsidP="002B1CD2">
      <w:pPr>
        <w:pBdr>
          <w:top w:val="single" w:sz="4" w:space="6" w:color="BFBFBF" w:themeColor="background1" w:themeShade="BF"/>
        </w:pBdr>
        <w:spacing w:after="120"/>
        <w:rPr>
          <w:b/>
          <w14:numForm w14:val="lining"/>
          <w14:numSpacing w14:val="proportional"/>
        </w:rPr>
      </w:pPr>
      <w:r w:rsidRPr="00E5087D">
        <w:rPr>
          <w:b/>
          <w14:numForm w14:val="lining"/>
          <w14:numSpacing w14:val="proportional"/>
        </w:rPr>
        <w:lastRenderedPageBreak/>
        <w:t xml:space="preserve">Figure </w:t>
      </w:r>
      <w:r w:rsidR="009E6F85" w:rsidRPr="00E5087D">
        <w:rPr>
          <w:b/>
          <w14:numForm w14:val="lining"/>
          <w14:numSpacing w14:val="proportional"/>
        </w:rPr>
        <w:t>3.</w:t>
      </w:r>
      <w:r w:rsidR="00D5418D">
        <w:rPr>
          <w:b/>
          <w14:numForm w14:val="lining"/>
          <w14:numSpacing w14:val="proportional"/>
        </w:rPr>
        <w:t>1</w:t>
      </w:r>
      <w:r w:rsidR="00824B69">
        <w:rPr>
          <w:b/>
          <w14:numForm w14:val="lining"/>
          <w14:numSpacing w14:val="proportional"/>
        </w:rPr>
        <w:t>3</w:t>
      </w:r>
      <w:r w:rsidR="006E5C5E">
        <w:rPr>
          <w:b/>
          <w14:numForm w14:val="lining"/>
          <w14:numSpacing w14:val="proportional"/>
        </w:rPr>
        <w:t>.</w:t>
      </w:r>
      <w:r w:rsidRPr="00E5087D">
        <w:rPr>
          <w:b/>
          <w14:numForm w14:val="lining"/>
          <w14:numSpacing w14:val="proportional"/>
        </w:rPr>
        <w:t xml:space="preserve"> Gender distribution for part-time working hours by </w:t>
      </w:r>
      <w:r w:rsidR="002B1CD2">
        <w:rPr>
          <w:b/>
          <w14:numForm w14:val="lining"/>
          <w14:numSpacing w14:val="proportional"/>
        </w:rPr>
        <w:t>s</w:t>
      </w:r>
      <w:r w:rsidRPr="00E5087D">
        <w:rPr>
          <w:b/>
          <w14:numForm w14:val="lining"/>
          <w14:numSpacing w14:val="proportional"/>
        </w:rPr>
        <w:t>ub</w:t>
      </w:r>
      <w:r w:rsidR="002B1CD2">
        <w:rPr>
          <w:b/>
          <w14:numForm w14:val="lining"/>
          <w14:numSpacing w14:val="proportional"/>
        </w:rPr>
        <w:t>-s</w:t>
      </w:r>
      <w:r w:rsidRPr="00E5087D">
        <w:rPr>
          <w:b/>
          <w14:numForm w14:val="lining"/>
          <w14:numSpacing w14:val="proportional"/>
        </w:rPr>
        <w:t>egment</w:t>
      </w:r>
    </w:p>
    <w:p w14:paraId="1E46592F" w14:textId="4480CC10" w:rsidR="00632953" w:rsidRDefault="00EF4A8C" w:rsidP="00632953">
      <w:r>
        <w:rPr>
          <w:noProof/>
        </w:rPr>
        <w:drawing>
          <wp:inline distT="0" distB="0" distL="0" distR="0" wp14:anchorId="3024457C" wp14:editId="73E1CAB2">
            <wp:extent cx="5731510" cy="4298950"/>
            <wp:effectExtent l="0" t="0" r="2540" b="6350"/>
            <wp:docPr id="1087981688" name="Picture 1087981688" descr="This figure represents the distribution of part time workers by gender and clean energy sub-segment. Women represent the majority of part time workers overall with almost 50% representation in demand - energy usage. Enabling segments attract the most male part time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88" name="Picture 1087981688" descr="This figure represents the distribution of part time workers by gender and clean energy sub-segment. Women represent the majority of part time workers overall with almost 50% representation in demand - energy usage. Enabling segments attract the most male part time workers."/>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731510" cy="4298950"/>
                    </a:xfrm>
                    <a:prstGeom prst="rect">
                      <a:avLst/>
                    </a:prstGeom>
                    <a:noFill/>
                    <a:ln>
                      <a:noFill/>
                    </a:ln>
                  </pic:spPr>
                </pic:pic>
              </a:graphicData>
            </a:graphic>
          </wp:inline>
        </w:drawing>
      </w:r>
    </w:p>
    <w:p w14:paraId="68F38964" w14:textId="61EAC0DB" w:rsidR="002B1CD2" w:rsidRPr="00E5087D" w:rsidRDefault="002B1CD2" w:rsidP="00632953">
      <w:r w:rsidRPr="008D34E8">
        <w:rPr>
          <w:sz w:val="18"/>
          <w:szCs w:val="18"/>
        </w:rPr>
        <w:t>Source: ABS Census of Population and Housing 2021</w:t>
      </w:r>
    </w:p>
    <w:p w14:paraId="0BD82264" w14:textId="77777777" w:rsidR="00632953" w:rsidRPr="00E5087D" w:rsidRDefault="00632953" w:rsidP="002B1CD2">
      <w:pPr>
        <w:pStyle w:val="Heading4"/>
        <w:spacing w:before="600" w:after="120" w:line="240" w:lineRule="auto"/>
        <w:rPr>
          <w:color w:val="0C6DAD" w:themeColor="accent3" w:themeShade="BF"/>
        </w:rPr>
      </w:pPr>
      <w:r w:rsidRPr="00E5087D">
        <w:rPr>
          <w:color w:val="0C6DAD" w:themeColor="accent3" w:themeShade="BF"/>
        </w:rPr>
        <w:t>Remuneration</w:t>
      </w:r>
    </w:p>
    <w:p w14:paraId="5E7767E7" w14:textId="1BD86607" w:rsidR="002B1CD2" w:rsidRDefault="7A83D74D" w:rsidP="000262D1">
      <w:pPr>
        <w:spacing w:after="120" w:line="276" w:lineRule="auto"/>
        <w:rPr>
          <w14:numForm w14:val="lining"/>
          <w14:numSpacing w14:val="proportional"/>
        </w:rPr>
      </w:pPr>
      <w:r w:rsidRPr="00E5087D">
        <w:rPr>
          <w14:numForm w14:val="lining"/>
          <w14:numSpacing w14:val="proportional"/>
        </w:rPr>
        <w:t xml:space="preserve">In general, </w:t>
      </w:r>
      <w:r w:rsidR="000D7373">
        <w:rPr>
          <w14:numForm w14:val="lining"/>
          <w14:numSpacing w14:val="proportional"/>
        </w:rPr>
        <w:t>remuneration</w:t>
      </w:r>
      <w:r w:rsidRPr="00E5087D">
        <w:rPr>
          <w14:numForm w14:val="lining"/>
          <w14:numSpacing w14:val="proportional"/>
        </w:rPr>
        <w:t xml:space="preserve"> in clean energy (including renewable energy generation, hydrogen production, critical minerals extraction) </w:t>
      </w:r>
      <w:r w:rsidRPr="00BB2E09">
        <w:rPr>
          <w14:numForm w14:val="lining"/>
          <w14:numSpacing w14:val="proportional"/>
        </w:rPr>
        <w:t>lag</w:t>
      </w:r>
      <w:r w:rsidR="000D7373">
        <w:rPr>
          <w14:numForm w14:val="lining"/>
          <w14:numSpacing w14:val="proportional"/>
        </w:rPr>
        <w:t>s</w:t>
      </w:r>
      <w:r w:rsidRPr="00E5087D">
        <w:rPr>
          <w14:numForm w14:val="lining"/>
          <w14:numSpacing w14:val="proportional"/>
        </w:rPr>
        <w:t xml:space="preserve"> behind the </w:t>
      </w:r>
      <w:r w:rsidR="000D7373">
        <w:rPr>
          <w14:numForm w14:val="lining"/>
          <w14:numSpacing w14:val="proportional"/>
        </w:rPr>
        <w:t>remuneration</w:t>
      </w:r>
      <w:r w:rsidRPr="00E5087D">
        <w:rPr>
          <w14:numForm w14:val="lining"/>
          <w14:numSpacing w14:val="proportional"/>
        </w:rPr>
        <w:t xml:space="preserve"> in </w:t>
      </w:r>
      <w:r w:rsidR="000D7373">
        <w:rPr>
          <w14:numForm w14:val="lining"/>
          <w14:numSpacing w14:val="proportional"/>
        </w:rPr>
        <w:t>non-clean energy</w:t>
      </w:r>
      <w:r w:rsidRPr="00BB2E09">
        <w:rPr>
          <w14:numForm w14:val="lining"/>
          <w14:numSpacing w14:val="proportional"/>
        </w:rPr>
        <w:t>.</w:t>
      </w:r>
      <w:r w:rsidRPr="00E5087D">
        <w:rPr>
          <w14:numForm w14:val="lining"/>
          <w14:numSpacing w14:val="proportional"/>
        </w:rPr>
        <w:t xml:space="preserve"> </w:t>
      </w:r>
      <w:r w:rsidR="007B1D4F">
        <w:rPr>
          <w14:numForm w14:val="lining"/>
          <w14:numSpacing w14:val="proportional"/>
        </w:rPr>
        <w:t>This</w:t>
      </w:r>
      <w:r w:rsidRPr="00BB2E09">
        <w:rPr>
          <w14:numForm w14:val="lining"/>
          <w14:numSpacing w14:val="proportional"/>
        </w:rPr>
        <w:t xml:space="preserve"> can </w:t>
      </w:r>
      <w:r w:rsidR="007B1D4F">
        <w:rPr>
          <w14:numForm w14:val="lining"/>
          <w14:numSpacing w14:val="proportional"/>
        </w:rPr>
        <w:t xml:space="preserve">be </w:t>
      </w:r>
      <w:r w:rsidRPr="00BB2E09">
        <w:rPr>
          <w14:numForm w14:val="lining"/>
          <w14:numSpacing w14:val="proportional"/>
        </w:rPr>
        <w:t>s</w:t>
      </w:r>
      <w:r w:rsidR="007B1D4F">
        <w:rPr>
          <w14:numForm w14:val="lining"/>
          <w14:numSpacing w14:val="proportional"/>
        </w:rPr>
        <w:t>een</w:t>
      </w:r>
      <w:r w:rsidRPr="00BB2E09">
        <w:rPr>
          <w14:numForm w14:val="lining"/>
          <w14:numSpacing w14:val="proportional"/>
        </w:rPr>
        <w:t xml:space="preserve"> when </w:t>
      </w:r>
      <w:r w:rsidR="007B1D4F">
        <w:rPr>
          <w14:numForm w14:val="lining"/>
          <w14:numSpacing w14:val="proportional"/>
        </w:rPr>
        <w:t xml:space="preserve">comparing </w:t>
      </w:r>
      <w:r w:rsidRPr="00BB2E09">
        <w:rPr>
          <w14:numForm w14:val="lining"/>
          <w14:numSpacing w14:val="proportional"/>
        </w:rPr>
        <w:t xml:space="preserve">average </w:t>
      </w:r>
      <w:r w:rsidR="0FF954F0" w:rsidRPr="00BB2E09">
        <w:rPr>
          <w14:numForm w14:val="lining"/>
          <w14:numSpacing w14:val="proportional"/>
        </w:rPr>
        <w:t>income</w:t>
      </w:r>
      <w:r w:rsidR="007B1D4F">
        <w:rPr>
          <w14:numForm w14:val="lining"/>
          <w14:numSpacing w14:val="proportional"/>
        </w:rPr>
        <w:t xml:space="preserve">s </w:t>
      </w:r>
      <w:r w:rsidRPr="00BB2E09">
        <w:rPr>
          <w14:numForm w14:val="lining"/>
          <w14:numSpacing w14:val="proportional"/>
        </w:rPr>
        <w:t xml:space="preserve">for </w:t>
      </w:r>
      <w:r w:rsidR="007B1D4F">
        <w:rPr>
          <w14:numForm w14:val="lining"/>
          <w14:numSpacing w14:val="proportional"/>
        </w:rPr>
        <w:t>the 38 critical occupations</w:t>
      </w:r>
      <w:r w:rsidR="000D7373">
        <w:rPr>
          <w14:numForm w14:val="lining"/>
          <w14:numSpacing w14:val="proportional"/>
        </w:rPr>
        <w:t xml:space="preserve"> (Figure 3.1</w:t>
      </w:r>
      <w:r w:rsidR="00EE5E52">
        <w:rPr>
          <w14:numForm w14:val="lining"/>
          <w14:numSpacing w14:val="proportional"/>
        </w:rPr>
        <w:t>4</w:t>
      </w:r>
      <w:r w:rsidR="000D7373">
        <w:rPr>
          <w14:numForm w14:val="lining"/>
          <w14:numSpacing w14:val="proportional"/>
        </w:rPr>
        <w:t>)</w:t>
      </w:r>
      <w:r w:rsidRPr="00BB2E09">
        <w:rPr>
          <w14:numForm w14:val="lining"/>
          <w14:numSpacing w14:val="proportional"/>
        </w:rPr>
        <w:t xml:space="preserve">. </w:t>
      </w:r>
      <w:r w:rsidR="000D7373">
        <w:rPr>
          <w14:numForm w14:val="lining"/>
          <w14:numSpacing w14:val="proportional"/>
        </w:rPr>
        <w:t>In many, but not all cases, both groups of energy workers earn more on average than other workers.</w:t>
      </w:r>
      <w:r w:rsidR="00781288">
        <w:t xml:space="preserve"> </w:t>
      </w:r>
      <w:r w:rsidR="00781288">
        <w:rPr>
          <w14:numForm w14:val="lining"/>
          <w14:numSpacing w14:val="proportional"/>
        </w:rPr>
        <w:t xml:space="preserve">Some of the </w:t>
      </w:r>
      <w:r w:rsidRPr="00E5087D">
        <w:rPr>
          <w14:numForm w14:val="lining"/>
          <w14:numSpacing w14:val="proportional"/>
        </w:rPr>
        <w:t xml:space="preserve">reasons </w:t>
      </w:r>
      <w:r w:rsidR="00781288">
        <w:rPr>
          <w14:numForm w14:val="lining"/>
          <w14:numSpacing w14:val="proportional"/>
        </w:rPr>
        <w:t>behind</w:t>
      </w:r>
      <w:r w:rsidRPr="00E5087D">
        <w:rPr>
          <w14:numForm w14:val="lining"/>
          <w14:numSpacing w14:val="proportional"/>
        </w:rPr>
        <w:t xml:space="preserve"> this disparity </w:t>
      </w:r>
      <w:r w:rsidR="00781288">
        <w:rPr>
          <w14:numForm w14:val="lining"/>
          <w14:numSpacing w14:val="proportional"/>
        </w:rPr>
        <w:t xml:space="preserve">are explored </w:t>
      </w:r>
      <w:r w:rsidRPr="00E5087D">
        <w:rPr>
          <w14:numForm w14:val="lining"/>
          <w14:numSpacing w14:val="proportional"/>
        </w:rPr>
        <w:t xml:space="preserve">in </w:t>
      </w:r>
      <w:r w:rsidRPr="00EE68FD">
        <w:rPr>
          <w:b/>
          <w:bCs/>
          <w14:numForm w14:val="lining"/>
          <w14:numSpacing w14:val="proportional"/>
        </w:rPr>
        <w:t>Chapter 8</w:t>
      </w:r>
      <w:r w:rsidRPr="00E5087D">
        <w:rPr>
          <w14:numForm w14:val="lining"/>
          <w14:numSpacing w14:val="proportional"/>
        </w:rPr>
        <w:t>.</w:t>
      </w:r>
    </w:p>
    <w:p w14:paraId="62159113" w14:textId="3F5DF9B9" w:rsidR="00BE2637" w:rsidRPr="00781288" w:rsidRDefault="00BE2637" w:rsidP="000262D1">
      <w:pPr>
        <w:spacing w:after="120" w:line="276" w:lineRule="auto"/>
      </w:pPr>
      <w:r>
        <w:rPr>
          <w14:numForm w14:val="lining"/>
          <w14:numSpacing w14:val="proportional"/>
        </w:rPr>
        <w:t xml:space="preserve">Remuneration for non-clean energy activities may be skewed by the mining sector, which has typically </w:t>
      </w:r>
      <w:r w:rsidR="00DA3C3B">
        <w:rPr>
          <w14:numForm w14:val="lining"/>
          <w14:numSpacing w14:val="proportional"/>
        </w:rPr>
        <w:t>provided some of the highest renumeration in the labour market.</w:t>
      </w:r>
      <w:r w:rsidR="004B297E">
        <w:rPr>
          <w14:numForm w14:val="lining"/>
          <w14:numSpacing w14:val="proportional"/>
        </w:rPr>
        <w:t xml:space="preserve"> Power Operators, which are employed in </w:t>
      </w:r>
      <w:r w:rsidR="00FA0997">
        <w:rPr>
          <w14:numForm w14:val="lining"/>
          <w14:numSpacing w14:val="proportional"/>
        </w:rPr>
        <w:t>fossil-fuel generation and hydroelectricity</w:t>
      </w:r>
      <w:r w:rsidR="008E40DA">
        <w:rPr>
          <w14:numForm w14:val="lining"/>
          <w14:numSpacing w14:val="proportional"/>
        </w:rPr>
        <w:t>,</w:t>
      </w:r>
      <w:r w:rsidR="00FA0997">
        <w:rPr>
          <w14:numForm w14:val="lining"/>
          <w14:numSpacing w14:val="proportional"/>
        </w:rPr>
        <w:t xml:space="preserve"> earn more in clean energy than non-clean energy. This </w:t>
      </w:r>
      <w:r w:rsidR="008E40DA">
        <w:rPr>
          <w14:numForm w14:val="lining"/>
          <w14:numSpacing w14:val="proportional"/>
        </w:rPr>
        <w:t xml:space="preserve">might </w:t>
      </w:r>
      <w:r w:rsidR="00FA0997">
        <w:rPr>
          <w14:numForm w14:val="lining"/>
          <w14:numSpacing w14:val="proportional"/>
        </w:rPr>
        <w:t xml:space="preserve">suggest that </w:t>
      </w:r>
      <w:r w:rsidR="002D634A">
        <w:rPr>
          <w14:numForm w14:val="lining"/>
          <w14:numSpacing w14:val="proportional"/>
        </w:rPr>
        <w:t xml:space="preserve">clean energy </w:t>
      </w:r>
      <w:r w:rsidR="00FA0997">
        <w:rPr>
          <w14:numForm w14:val="lining"/>
          <w14:numSpacing w14:val="proportional"/>
        </w:rPr>
        <w:t>wage</w:t>
      </w:r>
      <w:r w:rsidR="007E5577">
        <w:rPr>
          <w14:numForm w14:val="lining"/>
          <w14:numSpacing w14:val="proportional"/>
        </w:rPr>
        <w:t xml:space="preserve">s </w:t>
      </w:r>
      <w:r w:rsidR="002D634A">
        <w:rPr>
          <w14:numForm w14:val="lining"/>
          <w14:numSpacing w14:val="proportional"/>
        </w:rPr>
        <w:t>are</w:t>
      </w:r>
      <w:r w:rsidR="007E5577">
        <w:rPr>
          <w14:numForm w14:val="lining"/>
          <w14:numSpacing w14:val="proportional"/>
        </w:rPr>
        <w:t xml:space="preserve"> more competitive when comparing </w:t>
      </w:r>
      <w:r w:rsidR="0050640E">
        <w:rPr>
          <w14:numForm w14:val="lining"/>
          <w14:numSpacing w14:val="proportional"/>
        </w:rPr>
        <w:t>roles in m</w:t>
      </w:r>
      <w:r w:rsidR="008E40DA">
        <w:rPr>
          <w14:numForm w14:val="lining"/>
          <w14:numSpacing w14:val="proportional"/>
        </w:rPr>
        <w:t>ore similar settings.</w:t>
      </w:r>
    </w:p>
    <w:p w14:paraId="431FE3A6" w14:textId="77777777" w:rsidR="000262D1" w:rsidRDefault="000262D1">
      <w:pPr>
        <w:rPr>
          <w14:numForm w14:val="lining"/>
          <w14:numSpacing w14:val="proportional"/>
        </w:rPr>
      </w:pPr>
      <w:r>
        <w:rPr>
          <w14:numForm w14:val="lining"/>
          <w14:numSpacing w14:val="proportional"/>
        </w:rPr>
        <w:br w:type="page"/>
      </w:r>
    </w:p>
    <w:p w14:paraId="762E8089" w14:textId="18DA4421" w:rsidR="001A7ECA" w:rsidRPr="006451BD" w:rsidRDefault="74FA9688" w:rsidP="006451BD">
      <w:pPr>
        <w:pBdr>
          <w:top w:val="single" w:sz="4" w:space="6" w:color="BFBFBF" w:themeColor="background1" w:themeShade="BF"/>
        </w:pBdr>
        <w:spacing w:after="0"/>
        <w:rPr>
          <w:b/>
        </w:rPr>
      </w:pPr>
      <w:r w:rsidRPr="00E5087D">
        <w:rPr>
          <w:b/>
          <w:bCs/>
        </w:rPr>
        <w:lastRenderedPageBreak/>
        <w:t xml:space="preserve">Figure </w:t>
      </w:r>
      <w:r w:rsidR="7A83D74D" w:rsidRPr="00E5087D">
        <w:rPr>
          <w:b/>
          <w:bCs/>
        </w:rPr>
        <w:t>3</w:t>
      </w:r>
      <w:r w:rsidR="289D8384">
        <w:rPr>
          <w:b/>
          <w:bCs/>
        </w:rPr>
        <w:t>.</w:t>
      </w:r>
      <w:r w:rsidR="40AB154A" w:rsidRPr="00E5087D">
        <w:rPr>
          <w:b/>
          <w:bCs/>
        </w:rPr>
        <w:t>1</w:t>
      </w:r>
      <w:r w:rsidR="00EE5E52">
        <w:rPr>
          <w:b/>
          <w:bCs/>
        </w:rPr>
        <w:t>4</w:t>
      </w:r>
      <w:r w:rsidR="40AB154A" w:rsidRPr="00E5087D">
        <w:rPr>
          <w:b/>
          <w:bCs/>
        </w:rPr>
        <w:t>.</w:t>
      </w:r>
      <w:r w:rsidRPr="00E5087D">
        <w:rPr>
          <w:b/>
          <w:bCs/>
        </w:rPr>
        <w:t xml:space="preserve"> Average </w:t>
      </w:r>
      <w:r w:rsidR="443B3B9B" w:rsidRPr="00E5087D">
        <w:rPr>
          <w:b/>
          <w:bCs/>
        </w:rPr>
        <w:t>a</w:t>
      </w:r>
      <w:r w:rsidRPr="5EC96F63">
        <w:rPr>
          <w:b/>
          <w:bCs/>
          <w14:numForm w14:val="lining"/>
          <w14:numSpacing w14:val="proportional"/>
        </w:rPr>
        <w:t>nnual</w:t>
      </w:r>
      <w:r w:rsidRPr="00E5087D">
        <w:rPr>
          <w:b/>
          <w:bCs/>
        </w:rPr>
        <w:t xml:space="preserve"> </w:t>
      </w:r>
      <w:r w:rsidR="5D254D88" w:rsidRPr="00E5087D">
        <w:rPr>
          <w:b/>
          <w:bCs/>
        </w:rPr>
        <w:t xml:space="preserve">personal </w:t>
      </w:r>
      <w:r w:rsidR="002870AF">
        <w:rPr>
          <w:b/>
          <w:bCs/>
        </w:rPr>
        <w:t>i</w:t>
      </w:r>
      <w:r w:rsidRPr="00E5087D">
        <w:rPr>
          <w:b/>
          <w:bCs/>
        </w:rPr>
        <w:t xml:space="preserve">ncome for critical occupations by </w:t>
      </w:r>
      <w:r w:rsidR="1D1B3D4A">
        <w:rPr>
          <w:b/>
          <w:bCs/>
        </w:rPr>
        <w:t>s</w:t>
      </w:r>
      <w:r w:rsidRPr="00E5087D">
        <w:rPr>
          <w:b/>
          <w:bCs/>
        </w:rPr>
        <w:t>egment</w:t>
      </w:r>
      <w:r w:rsidR="006451BD" w:rsidRPr="00BB2E09">
        <w:rPr>
          <w:noProof/>
        </w:rPr>
        <w:drawing>
          <wp:inline distT="0" distB="0" distL="0" distR="0" wp14:anchorId="7D03AE95" wp14:editId="506CAAD0">
            <wp:extent cx="5466844" cy="7858664"/>
            <wp:effectExtent l="0" t="0" r="635" b="9525"/>
            <wp:docPr id="446236805" name="Picture 446236805" descr="This figure represents the average income of workers in critical occupations by segment. Engineering Managers earn the highest average annual salary of workers in clean energy segments at approximately $125,000. The lowest paid workers in clean energy segments are Motor Mechanics at an average annual salary of just over $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36805" name="Picture 446236805" descr="This figure represents the average income of workers in critical occupations by segment. Engineering Managers earn the highest average annual salary of workers in clean energy segments at approximately $125,000. The lowest paid workers in clean energy segments are Motor Mechanics at an average annual salary of just over $70,000"/>
                    <pic:cNvPicPr/>
                  </pic:nvPicPr>
                  <pic:blipFill>
                    <a:blip r:embed="rId91" cstate="screen">
                      <a:extLst>
                        <a:ext uri="{28A0092B-C50C-407E-A947-70E740481C1C}">
                          <a14:useLocalDpi xmlns:a14="http://schemas.microsoft.com/office/drawing/2010/main"/>
                        </a:ext>
                      </a:extLst>
                    </a:blip>
                    <a:stretch>
                      <a:fillRect/>
                    </a:stretch>
                  </pic:blipFill>
                  <pic:spPr>
                    <a:xfrm>
                      <a:off x="0" y="0"/>
                      <a:ext cx="5469543" cy="7862543"/>
                    </a:xfrm>
                    <a:prstGeom prst="rect">
                      <a:avLst/>
                    </a:prstGeom>
                  </pic:spPr>
                </pic:pic>
              </a:graphicData>
            </a:graphic>
          </wp:inline>
        </w:drawing>
      </w:r>
    </w:p>
    <w:p w14:paraId="06F5C3E9" w14:textId="5CFC4962" w:rsidR="00632953" w:rsidRPr="00E5087D" w:rsidRDefault="005C2EED" w:rsidP="00632953">
      <w:pPr>
        <w:keepNext/>
        <w:spacing w:after="120"/>
        <w:jc w:val="both"/>
      </w:pPr>
      <w:r w:rsidRPr="008D34E8">
        <w:rPr>
          <w:sz w:val="18"/>
          <w:szCs w:val="18"/>
        </w:rPr>
        <w:t>Source: ABS Census of Population and Housing 2021</w:t>
      </w:r>
      <w:r w:rsidR="00632953" w:rsidRPr="00E5087D">
        <w:t xml:space="preserve">  </w:t>
      </w:r>
    </w:p>
    <w:p w14:paraId="0C0A25E8" w14:textId="77777777" w:rsidR="007564A9" w:rsidRDefault="007564A9">
      <w:r>
        <w:br w:type="page"/>
      </w:r>
    </w:p>
    <w:p w14:paraId="3D1C7A4B" w14:textId="6920026E" w:rsidR="00CE2647" w:rsidRPr="001343B8" w:rsidRDefault="001343B8" w:rsidP="00F23B59">
      <w:pPr>
        <w:spacing w:before="240"/>
      </w:pPr>
      <w:r w:rsidRPr="001343B8">
        <w:lastRenderedPageBreak/>
        <w:t>As in the broader economy, incomes in clean energy vary between males and females</w:t>
      </w:r>
      <w:r>
        <w:t xml:space="preserve"> (</w:t>
      </w:r>
      <w:r w:rsidR="0056740A">
        <w:t>Figure 3.</w:t>
      </w:r>
      <w:r>
        <w:t>1</w:t>
      </w:r>
      <w:r w:rsidR="00EE5E52">
        <w:t>5</w:t>
      </w:r>
      <w:r>
        <w:t>)</w:t>
      </w:r>
      <w:r w:rsidRPr="001343B8">
        <w:t>.</w:t>
      </w:r>
      <w:r w:rsidR="00EF5021">
        <w:t xml:space="preserve"> </w:t>
      </w:r>
      <w:r w:rsidR="00417049">
        <w:t>In 2021</w:t>
      </w:r>
      <w:r w:rsidR="00647B22">
        <w:t>,</w:t>
      </w:r>
      <w:r w:rsidR="00417049">
        <w:t xml:space="preserve"> f</w:t>
      </w:r>
      <w:r w:rsidR="006609D7">
        <w:t xml:space="preserve">emales earned substantially less </w:t>
      </w:r>
      <w:r w:rsidR="00417049">
        <w:t xml:space="preserve">than their male counterparts across critical occupations like </w:t>
      </w:r>
      <w:r w:rsidR="00E741AA">
        <w:t>Electricians</w:t>
      </w:r>
      <w:r w:rsidR="00D03DC3">
        <w:t xml:space="preserve"> and Electrical Engineers, with the largest gap being for Electrical Distribution Trades Workers. </w:t>
      </w:r>
      <w:r w:rsidR="00C6538C">
        <w:t xml:space="preserve">Because these are annual incomes, some of this gap may be driven by differences in full-time and part-time </w:t>
      </w:r>
      <w:r w:rsidR="00957917">
        <w:t>arrangements</w:t>
      </w:r>
      <w:r w:rsidR="00F16E88">
        <w:t>, which are more common among females in this workforce.</w:t>
      </w:r>
      <w:r w:rsidR="0082433A">
        <w:t xml:space="preserve"> A similar income gap is observed for First Nations </w:t>
      </w:r>
      <w:r w:rsidR="00AB7909">
        <w:t>people</w:t>
      </w:r>
      <w:r w:rsidR="0082433A">
        <w:t xml:space="preserve"> (</w:t>
      </w:r>
      <w:r w:rsidR="00AA7EE5">
        <w:t>Figure 3.1</w:t>
      </w:r>
      <w:r w:rsidR="00DC7453">
        <w:t>6</w:t>
      </w:r>
      <w:r w:rsidR="00AA7EE5">
        <w:t>).</w:t>
      </w:r>
    </w:p>
    <w:p w14:paraId="581F512C" w14:textId="716CC5C0" w:rsidR="0056740A" w:rsidRDefault="0056740A" w:rsidP="00F23B59">
      <w:pPr>
        <w:spacing w:before="240"/>
        <w:rPr>
          <w:b/>
        </w:rPr>
      </w:pPr>
      <w:r>
        <w:rPr>
          <w:b/>
          <w:bCs/>
        </w:rPr>
        <w:t>Figure 3.</w:t>
      </w:r>
      <w:r w:rsidR="00D5418D">
        <w:rPr>
          <w:b/>
          <w:bCs/>
        </w:rPr>
        <w:t>1</w:t>
      </w:r>
      <w:r w:rsidR="00DC7453">
        <w:rPr>
          <w:b/>
          <w:bCs/>
        </w:rPr>
        <w:t>5</w:t>
      </w:r>
      <w:r w:rsidR="006E5C5E">
        <w:rPr>
          <w:b/>
          <w:bCs/>
        </w:rPr>
        <w:t>.</w:t>
      </w:r>
      <w:r>
        <w:rPr>
          <w:b/>
          <w:bCs/>
        </w:rPr>
        <w:t xml:space="preserve"> </w:t>
      </w:r>
      <w:r w:rsidRPr="00945AF0">
        <w:rPr>
          <w:b/>
        </w:rPr>
        <w:t xml:space="preserve">Female Average Income gap for </w:t>
      </w:r>
      <w:r w:rsidR="00DC7453">
        <w:rPr>
          <w:b/>
        </w:rPr>
        <w:t>select</w:t>
      </w:r>
      <w:r w:rsidR="009E1309">
        <w:rPr>
          <w:b/>
        </w:rPr>
        <w:t xml:space="preserve">ed </w:t>
      </w:r>
      <w:r w:rsidRPr="00945AF0">
        <w:rPr>
          <w:b/>
        </w:rPr>
        <w:t>Critical Occupations in the Clean Energy Workforce </w:t>
      </w:r>
    </w:p>
    <w:p w14:paraId="30C1D35F" w14:textId="6C0F90D4" w:rsidR="00F53338" w:rsidRPr="007564A9" w:rsidRDefault="00F53338" w:rsidP="00F53338">
      <w:pPr>
        <w:keepNext/>
        <w:spacing w:after="120"/>
        <w:jc w:val="both"/>
        <w:rPr>
          <w:sz w:val="18"/>
          <w:szCs w:val="18"/>
        </w:rPr>
      </w:pPr>
      <w:r>
        <w:rPr>
          <w:b/>
          <w:bCs/>
          <w:noProof/>
        </w:rPr>
        <w:drawing>
          <wp:inline distT="0" distB="0" distL="0" distR="0" wp14:anchorId="7F07A180" wp14:editId="6FB01042">
            <wp:extent cx="5731510" cy="2865755"/>
            <wp:effectExtent l="0" t="0" r="2540" b="0"/>
            <wp:docPr id="1237753035" name="Picture 1237753035" descr="This figure represents the average annual income gap for women working in selected critical occupations within the clean energy workforce. The largest gap is almost $29,000 for female Electrical Distribution Trades Workers. The lowest gap is for female Chemical, Gas, Petroleum and Power Generation Plant Operators who earn just over $12,000 less than their male counterpar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53035" name="Picture 1237753035" descr="This figure represents the average annual income gap for women working in selected critical occupations within the clean energy workforce. The largest gap is almost $29,000 for female Electrical Distribution Trades Workers. The lowest gap is for female Chemical, Gas, Petroleum and Power Generation Plant Operators who earn just over $12,000 less than their male counterparts.&#10;"/>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731510" cy="2865755"/>
                    </a:xfrm>
                    <a:prstGeom prst="rect">
                      <a:avLst/>
                    </a:prstGeom>
                    <a:noFill/>
                    <a:ln>
                      <a:noFill/>
                    </a:ln>
                  </pic:spPr>
                </pic:pic>
              </a:graphicData>
            </a:graphic>
          </wp:inline>
        </w:drawing>
      </w:r>
      <w:r w:rsidRPr="008D34E8">
        <w:rPr>
          <w:sz w:val="18"/>
          <w:szCs w:val="18"/>
        </w:rPr>
        <w:t>Source: ABS Census of Population and Housing 2021</w:t>
      </w:r>
    </w:p>
    <w:p w14:paraId="6A98ADDD" w14:textId="12D29F3D" w:rsidR="00F53338" w:rsidRDefault="00F53338" w:rsidP="00F53338">
      <w:pPr>
        <w:spacing w:before="240"/>
        <w:rPr>
          <w:b/>
          <w:bCs/>
        </w:rPr>
      </w:pPr>
      <w:r>
        <w:rPr>
          <w:b/>
          <w:bCs/>
        </w:rPr>
        <w:t>Figure 3.</w:t>
      </w:r>
      <w:r w:rsidR="006E5C5E">
        <w:rPr>
          <w:b/>
          <w:bCs/>
        </w:rPr>
        <w:t>1</w:t>
      </w:r>
      <w:r w:rsidR="00DC7453">
        <w:rPr>
          <w:b/>
          <w:bCs/>
        </w:rPr>
        <w:t>6</w:t>
      </w:r>
      <w:r w:rsidR="006E5C5E">
        <w:rPr>
          <w:b/>
          <w:bCs/>
        </w:rPr>
        <w:t>.</w:t>
      </w:r>
      <w:r>
        <w:rPr>
          <w:b/>
          <w:bCs/>
        </w:rPr>
        <w:t xml:space="preserve"> </w:t>
      </w:r>
      <w:r w:rsidRPr="00FD597F">
        <w:rPr>
          <w:b/>
          <w:bCs/>
        </w:rPr>
        <w:t>F</w:t>
      </w:r>
      <w:r>
        <w:rPr>
          <w:b/>
          <w:bCs/>
        </w:rPr>
        <w:t>irst Nations</w:t>
      </w:r>
      <w:r w:rsidRPr="00FD597F">
        <w:rPr>
          <w:b/>
          <w:bCs/>
        </w:rPr>
        <w:t xml:space="preserve"> Average Income gap for </w:t>
      </w:r>
      <w:r w:rsidR="009E1309">
        <w:rPr>
          <w:b/>
          <w:bCs/>
        </w:rPr>
        <w:t xml:space="preserve">selected </w:t>
      </w:r>
      <w:r w:rsidRPr="00FD597F">
        <w:rPr>
          <w:b/>
          <w:bCs/>
        </w:rPr>
        <w:t>Critical Occupations in the Clean Energy Workforce </w:t>
      </w:r>
    </w:p>
    <w:p w14:paraId="39E8BA12" w14:textId="2C34008A" w:rsidR="00F53338" w:rsidRPr="00945AF0" w:rsidRDefault="00F53338" w:rsidP="00F23B59">
      <w:pPr>
        <w:spacing w:before="240"/>
        <w:rPr>
          <w:b/>
        </w:rPr>
      </w:pPr>
      <w:r>
        <w:rPr>
          <w:b/>
          <w:bCs/>
          <w:noProof/>
        </w:rPr>
        <w:drawing>
          <wp:inline distT="0" distB="0" distL="0" distR="0" wp14:anchorId="403F9D80" wp14:editId="0C7B426D">
            <wp:extent cx="5731510" cy="2865755"/>
            <wp:effectExtent l="0" t="0" r="2540" b="0"/>
            <wp:docPr id="1237753036" name="Picture 1237753036" descr="This figure represents the average annual income gap for First Nations people working in selected critical occupations within the clean energy workforce. The largest gap is for Chemical, Gas, Petroleum and Power Generation Plant Operators who earn almost $22,000 less on avergage per year than non-indigenous workers in the same occupation. The lowest gap is just over $5,000 for Electrical Engin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53036" name="Picture 1237753036" descr="This figure represents the average annual income gap for First Nations people working in selected critical occupations within the clean energy workforce. The largest gap is for Chemical, Gas, Petroleum and Power Generation Plant Operators who earn almost $22,000 less on avergage per year than non-indigenous workers in the same occupation. The lowest gap is just over $5,000 for Electrical Engineers."/>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731510" cy="2865755"/>
                    </a:xfrm>
                    <a:prstGeom prst="rect">
                      <a:avLst/>
                    </a:prstGeom>
                    <a:noFill/>
                    <a:ln>
                      <a:noFill/>
                    </a:ln>
                  </pic:spPr>
                </pic:pic>
              </a:graphicData>
            </a:graphic>
          </wp:inline>
        </w:drawing>
      </w:r>
      <w:r w:rsidRPr="008D34E8">
        <w:rPr>
          <w:sz w:val="18"/>
          <w:szCs w:val="18"/>
        </w:rPr>
        <w:t>Source: ABS Census of Population and Housing 2021</w:t>
      </w:r>
    </w:p>
    <w:p w14:paraId="4C04DEDB" w14:textId="77777777" w:rsidR="00F53338" w:rsidRDefault="00F53338">
      <w:pPr>
        <w:rPr>
          <w:color w:val="0C6DAD" w:themeColor="accent3" w:themeShade="BF"/>
        </w:rPr>
      </w:pPr>
      <w:r>
        <w:rPr>
          <w:color w:val="0C6DAD" w:themeColor="accent3" w:themeShade="BF"/>
        </w:rPr>
        <w:br w:type="page"/>
      </w:r>
    </w:p>
    <w:p w14:paraId="1575998C" w14:textId="48BE9CD6" w:rsidR="00AB0C03" w:rsidRPr="00A65D0E" w:rsidRDefault="00A65D0E" w:rsidP="00AB0C03">
      <w:pPr>
        <w:spacing w:after="120" w:line="240" w:lineRule="auto"/>
        <w:ind w:right="57"/>
        <w:rPr>
          <w:rFonts w:eastAsia="Arial" w:cs="Arial"/>
          <w:b/>
        </w:rPr>
      </w:pPr>
      <w:r>
        <w:rPr>
          <w:noProof/>
          <w:color w:val="0C6DAD" w:themeColor="accent3" w:themeShade="BF"/>
        </w:rPr>
        <w:lastRenderedPageBreak/>
        <mc:AlternateContent>
          <mc:Choice Requires="wpg">
            <w:drawing>
              <wp:anchor distT="0" distB="0" distL="114300" distR="114300" simplePos="0" relativeHeight="251658268" behindDoc="1" locked="0" layoutInCell="1" allowOverlap="1" wp14:anchorId="4C886CA4" wp14:editId="006CFF46">
                <wp:simplePos x="0" y="0"/>
                <wp:positionH relativeFrom="margin">
                  <wp:posOffset>-222191</wp:posOffset>
                </wp:positionH>
                <wp:positionV relativeFrom="page">
                  <wp:posOffset>828942</wp:posOffset>
                </wp:positionV>
                <wp:extent cx="6024785" cy="9041451"/>
                <wp:effectExtent l="0" t="0" r="0" b="7620"/>
                <wp:wrapNone/>
                <wp:docPr id="1341085327" name="Group 1341085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4785" cy="9041451"/>
                          <a:chOff x="-225919" y="856"/>
                          <a:chExt cx="5680230" cy="3293745"/>
                        </a:xfrm>
                      </wpg:grpSpPr>
                      <wps:wsp>
                        <wps:cNvPr id="1341085321" name="Rectangle 1341085321"/>
                        <wps:cNvSpPr/>
                        <wps:spPr>
                          <a:xfrm>
                            <a:off x="-97750" y="856"/>
                            <a:ext cx="5552061" cy="3293745"/>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2AB5B146" w14:textId="79DFB026" w:rsidR="00FB2E3D" w:rsidRPr="00380315" w:rsidRDefault="00FB2E3D" w:rsidP="00035C3E">
                              <w:pPr>
                                <w:spacing w:after="120" w:line="276" w:lineRule="auto"/>
                                <w:ind w:right="57"/>
                                <w:rPr>
                                  <w:sz w:val="16"/>
                                  <w:szCs w:val="16"/>
                                  <w:lang w:val="en-US"/>
                                  <w14:numForm w14:val="lining"/>
                                  <w14:numSpacing w14:val="proportional"/>
                                </w:rPr>
                              </w:pPr>
                            </w:p>
                          </w:txbxContent>
                        </wps:txbx>
                        <wps:bodyPr spcFirstLastPara="0" wrap="square" lIns="108000" tIns="36000" rIns="108000" bIns="36000" anchor="t">
                          <a:noAutofit/>
                        </wps:bodyPr>
                      </wps:wsp>
                      <wps:wsp>
                        <wps:cNvPr id="1341085322" name="Rectangle 1341085322"/>
                        <wps:cNvSpPr/>
                        <wps:spPr>
                          <a:xfrm>
                            <a:off x="-225919" y="856"/>
                            <a:ext cx="139700" cy="3293745"/>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86CA4" id="Group 1341085327" o:spid="_x0000_s1051" alt="&quot;&quot;" style="position:absolute;margin-left:-17.5pt;margin-top:65.25pt;width:474.4pt;height:711.95pt;z-index:-251658212;mso-position-horizontal-relative:margin;mso-position-vertical-relative:page;mso-width-relative:margin;mso-height-relative:margin" coordorigin="-2259,8" coordsize="56802,3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">
                <v:rect id="Rectangle 1341085321" o:spid="_x0000_s1052" style="position:absolute;left:-977;top:8;width:55520;height:3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" fillcolor="#f2f2f2 [3052]" stroked="f" strokeweight="1pt">
                  <v:textbox inset="3mm,1mm,3mm,1mm">
                    <w:txbxContent>
                      <w:p w14:paraId="2AB5B146" w14:textId="79DFB026" w:rsidR="00FB2E3D" w:rsidRPr="00380315" w:rsidRDefault="00FB2E3D" w:rsidP="00035C3E">
                        <w:pPr>
                          <w:spacing w:after="120" w:line="276" w:lineRule="auto"/>
                          <w:ind w:right="57"/>
                          <w:rPr>
                            <w:sz w:val="16"/>
                            <w:szCs w:val="16"/>
                            <w:lang w:val="en-US"/>
                            <w14:numForm w14:val="lining"/>
                            <w14:numSpacing w14:val="proportional"/>
                          </w:rPr>
                        </w:pPr>
                      </w:p>
                    </w:txbxContent>
                  </v:textbox>
                </v:rect>
                <v:rect id="Rectangle 1341085322" o:spid="_x0000_s1053" style="position:absolute;left:-2259;top:8;width:1397;height:3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" fillcolor="#6dbef4 [1942]" stroked="f" strokeweight="1pt"/>
                <w10:wrap anchorx="margin" anchory="page"/>
              </v:group>
            </w:pict>
          </mc:Fallback>
        </mc:AlternateContent>
      </w:r>
      <w:r w:rsidR="00AB0C03" w:rsidRPr="00A65D0E">
        <w:rPr>
          <w:rFonts w:eastAsia="Arial" w:cs="Arial"/>
          <w:b/>
        </w:rPr>
        <w:t xml:space="preserve">Box 3. Wages of electrical apprentices </w:t>
      </w:r>
    </w:p>
    <w:p w14:paraId="5B903E17" w14:textId="173E9C64" w:rsidR="00AB0C03" w:rsidRPr="00380315" w:rsidRDefault="00AB0C03" w:rsidP="00AB0C03">
      <w:pPr>
        <w:spacing w:line="240" w:lineRule="auto"/>
        <w:ind w:right="57"/>
        <w:rPr>
          <w:sz w:val="20"/>
          <w:szCs w:val="20"/>
          <w:lang w:val="en-US"/>
          <w14:numForm w14:val="lining"/>
          <w14:numSpacing w14:val="proportional"/>
        </w:rPr>
      </w:pPr>
      <w:r w:rsidRPr="00380315">
        <w:rPr>
          <w:sz w:val="20"/>
          <w:szCs w:val="20"/>
          <w:lang w:val="en-US"/>
          <w14:numForm w14:val="lining"/>
          <w14:numSpacing w14:val="proportional"/>
        </w:rPr>
        <w:t xml:space="preserve">Most Electricians, including apprentices, have their wages set through individual agreements with their employer (Figure </w:t>
      </w:r>
      <w:r>
        <w:rPr>
          <w:sz w:val="20"/>
          <w:szCs w:val="20"/>
          <w:lang w:val="en-US"/>
          <w14:numForm w14:val="lining"/>
          <w14:numSpacing w14:val="proportional"/>
        </w:rPr>
        <w:t>3.17</w:t>
      </w:r>
      <w:r w:rsidRPr="00380315">
        <w:rPr>
          <w:sz w:val="20"/>
          <w:szCs w:val="20"/>
          <w:lang w:val="en-US"/>
          <w14:numForm w14:val="lining"/>
          <w14:numSpacing w14:val="proportional"/>
        </w:rPr>
        <w:t>). However, around a third of electrical apprentices are paid according to their modern award, which sets the minimum wages and conditions for the trade.</w:t>
      </w:r>
    </w:p>
    <w:p w14:paraId="47AAD4F7" w14:textId="58D6525A" w:rsidR="00AB0C03" w:rsidRPr="00380315" w:rsidRDefault="00AB0C03" w:rsidP="00AB0C03">
      <w:pPr>
        <w:spacing w:after="0" w:line="240" w:lineRule="auto"/>
        <w:ind w:right="57"/>
        <w:rPr>
          <w:lang w:val="en-US"/>
          <w14:numForm w14:val="lining"/>
          <w14:numSpacing w14:val="proportional"/>
        </w:rPr>
      </w:pPr>
      <w:r w:rsidRPr="00380315">
        <w:rPr>
          <w:b/>
          <w:bCs/>
          <w:sz w:val="18"/>
          <w:szCs w:val="18"/>
          <w:lang w:val="en-US"/>
          <w14:numForm w14:val="lining"/>
          <w14:numSpacing w14:val="proportional"/>
        </w:rPr>
        <w:t xml:space="preserve">Figure </w:t>
      </w:r>
      <w:r>
        <w:rPr>
          <w:b/>
          <w:bCs/>
          <w:sz w:val="18"/>
          <w:szCs w:val="18"/>
          <w:lang w:val="en-US"/>
          <w14:numForm w14:val="lining"/>
          <w14:numSpacing w14:val="proportional"/>
        </w:rPr>
        <w:t>3.17</w:t>
      </w:r>
      <w:r w:rsidRPr="00380315">
        <w:rPr>
          <w:b/>
          <w:bCs/>
          <w:sz w:val="18"/>
          <w:szCs w:val="18"/>
          <w:lang w:val="en-US"/>
          <w14:numForm w14:val="lining"/>
          <w14:numSpacing w14:val="proportional"/>
        </w:rPr>
        <w:t>. Method of pay setting, Electricians 2021</w:t>
      </w:r>
      <w:r w:rsidRPr="00380315">
        <w:rPr>
          <w:sz w:val="20"/>
          <w:szCs w:val="20"/>
          <w:lang w:val="en-US"/>
          <w14:numForm w14:val="lining"/>
          <w14:numSpacing w14:val="proportional"/>
        </w:rPr>
        <w:t xml:space="preserve"> </w:t>
      </w:r>
      <w:r w:rsidRPr="00380315">
        <w:rPr>
          <w:noProof/>
          <w14:numForm w14:val="lining"/>
          <w14:numSpacing w14:val="proportional"/>
        </w:rPr>
        <w:drawing>
          <wp:inline distT="0" distB="0" distL="0" distR="0" wp14:anchorId="564EF7F8" wp14:editId="7996A635">
            <wp:extent cx="5153114" cy="1973334"/>
            <wp:effectExtent l="0" t="0" r="0" b="0"/>
            <wp:docPr id="117265978" name="Graphic 117265978" descr="This figure represents the method of pay setting for Electricians in 2021. The majority of Electricians are paid through an individual agreement with their employer however, over 30% of apprentices have their wage set by the award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5978" name="Graphic 117265978" descr="This figure represents the method of pay setting for Electricians in 2021. The majority of Electricians are paid through an individual agreement with their employer however, over 30% of apprentices have their wage set by the award rate. "/>
                    <pic:cNvPicPr/>
                  </pic:nvPicPr>
                  <pic:blipFill>
                    <a:blip r:embed="rId94">
                      <a:extLst>
                        <a:ext uri="{96DAC541-7B7A-43D3-8B79-37D633B846F1}">
                          <asvg:svgBlip xmlns:asvg="http://schemas.microsoft.com/office/drawing/2016/SVG/main" r:embed="rId95"/>
                        </a:ext>
                      </a:extLst>
                    </a:blip>
                    <a:stretch>
                      <a:fillRect/>
                    </a:stretch>
                  </pic:blipFill>
                  <pic:spPr>
                    <a:xfrm>
                      <a:off x="0" y="0"/>
                      <a:ext cx="5157821" cy="1975136"/>
                    </a:xfrm>
                    <a:prstGeom prst="rect">
                      <a:avLst/>
                    </a:prstGeom>
                  </pic:spPr>
                </pic:pic>
              </a:graphicData>
            </a:graphic>
          </wp:inline>
        </w:drawing>
      </w:r>
    </w:p>
    <w:p w14:paraId="7FB8F50C" w14:textId="77777777" w:rsidR="00AB0C03" w:rsidRPr="00380315" w:rsidRDefault="00AB0C03" w:rsidP="00AB0C03">
      <w:pPr>
        <w:spacing w:after="120" w:line="240" w:lineRule="auto"/>
        <w:ind w:right="57"/>
        <w:rPr>
          <w:sz w:val="16"/>
          <w:szCs w:val="16"/>
          <w:lang w:val="en-US"/>
          <w14:numForm w14:val="lining"/>
          <w14:numSpacing w14:val="proportional"/>
        </w:rPr>
      </w:pPr>
      <w:r w:rsidRPr="00380315">
        <w:rPr>
          <w:sz w:val="16"/>
          <w:szCs w:val="16"/>
          <w:lang w:val="en-US"/>
          <w14:numForm w14:val="lining"/>
          <w14:numSpacing w14:val="proportional"/>
        </w:rPr>
        <w:t>Source: ABS Employee Earnings and Hours</w:t>
      </w:r>
      <w:r>
        <w:rPr>
          <w:sz w:val="16"/>
          <w:szCs w:val="16"/>
          <w:lang w:val="en-US"/>
          <w14:numForm w14:val="lining"/>
          <w14:numSpacing w14:val="proportional"/>
        </w:rPr>
        <w:t xml:space="preserve"> 2021</w:t>
      </w:r>
    </w:p>
    <w:p w14:paraId="759DCE15" w14:textId="77777777" w:rsidR="00AB0C03" w:rsidRPr="00380315" w:rsidRDefault="00AB0C03" w:rsidP="00AB0C03">
      <w:pPr>
        <w:spacing w:after="120" w:line="240" w:lineRule="auto"/>
        <w:ind w:right="57"/>
        <w:rPr>
          <w:sz w:val="20"/>
          <w:szCs w:val="20"/>
          <w:lang w:val="en-US"/>
          <w14:numForm w14:val="lining"/>
          <w14:numSpacing w14:val="proportional"/>
        </w:rPr>
      </w:pPr>
      <w:r w:rsidRPr="00380315">
        <w:rPr>
          <w:sz w:val="20"/>
          <w:szCs w:val="20"/>
          <w:lang w:val="en-US"/>
          <w14:numForm w14:val="lining"/>
          <w14:numSpacing w14:val="proportional"/>
        </w:rPr>
        <w:t xml:space="preserve">Minimum pay rates in the Electrical Award varies for apprentices who have not completed year 12, those who have, and adult apprentices aged 21 years and over (Figure </w:t>
      </w:r>
      <w:r>
        <w:rPr>
          <w:sz w:val="20"/>
          <w:szCs w:val="20"/>
          <w:lang w:val="en-US"/>
          <w14:numForm w14:val="lining"/>
          <w14:numSpacing w14:val="proportional"/>
        </w:rPr>
        <w:t>3.18</w:t>
      </w:r>
      <w:r w:rsidRPr="00380315">
        <w:rPr>
          <w:sz w:val="20"/>
          <w:szCs w:val="20"/>
          <w:lang w:val="en-US"/>
          <w14:numForm w14:val="lining"/>
          <w14:numSpacing w14:val="proportional"/>
        </w:rPr>
        <w:t>). Pay rates also increase in each year of the apprenticeship, except for adult apprentices who have the same minimum in 2</w:t>
      </w:r>
      <w:r w:rsidRPr="00380315">
        <w:rPr>
          <w:sz w:val="20"/>
          <w:szCs w:val="20"/>
          <w:vertAlign w:val="superscript"/>
          <w:lang w:val="en-US"/>
          <w14:numForm w14:val="lining"/>
          <w14:numSpacing w14:val="proportional"/>
        </w:rPr>
        <w:t>nd</w:t>
      </w:r>
      <w:r w:rsidRPr="00380315">
        <w:rPr>
          <w:sz w:val="20"/>
          <w:szCs w:val="20"/>
          <w:lang w:val="en-US"/>
          <w14:numForm w14:val="lining"/>
          <w14:numSpacing w14:val="proportional"/>
        </w:rPr>
        <w:t>, 3</w:t>
      </w:r>
      <w:r w:rsidRPr="00380315">
        <w:rPr>
          <w:sz w:val="20"/>
          <w:szCs w:val="20"/>
          <w:vertAlign w:val="superscript"/>
          <w:lang w:val="en-US"/>
          <w14:numForm w14:val="lining"/>
          <w14:numSpacing w14:val="proportional"/>
        </w:rPr>
        <w:t>rd</w:t>
      </w:r>
      <w:r w:rsidRPr="00380315">
        <w:rPr>
          <w:sz w:val="20"/>
          <w:szCs w:val="20"/>
          <w:lang w:val="en-US"/>
          <w14:numForm w14:val="lining"/>
          <w14:numSpacing w14:val="proportional"/>
        </w:rPr>
        <w:t xml:space="preserve"> and 4</w:t>
      </w:r>
      <w:r w:rsidRPr="00380315">
        <w:rPr>
          <w:sz w:val="20"/>
          <w:szCs w:val="20"/>
          <w:vertAlign w:val="superscript"/>
          <w:lang w:val="en-US"/>
          <w14:numForm w14:val="lining"/>
          <w14:numSpacing w14:val="proportional"/>
        </w:rPr>
        <w:t>th</w:t>
      </w:r>
      <w:r w:rsidRPr="00380315">
        <w:rPr>
          <w:sz w:val="20"/>
          <w:szCs w:val="20"/>
          <w:lang w:val="en-US"/>
          <w14:numForm w14:val="lining"/>
          <w14:numSpacing w14:val="proportional"/>
        </w:rPr>
        <w:t xml:space="preserve"> years.</w:t>
      </w:r>
    </w:p>
    <w:p w14:paraId="41F7FE3B" w14:textId="77777777" w:rsidR="00AB0C03" w:rsidRPr="00380315" w:rsidRDefault="00AB0C03" w:rsidP="00AB0C03">
      <w:pPr>
        <w:spacing w:after="0" w:line="240" w:lineRule="auto"/>
        <w:ind w:right="57"/>
        <w:rPr>
          <w:b/>
          <w:bCs/>
          <w:sz w:val="18"/>
          <w:szCs w:val="18"/>
          <w:lang w:val="en-US"/>
          <w14:numForm w14:val="lining"/>
          <w14:numSpacing w14:val="proportional"/>
        </w:rPr>
      </w:pPr>
      <w:r w:rsidRPr="00380315">
        <w:rPr>
          <w:b/>
          <w:bCs/>
          <w:sz w:val="18"/>
          <w:szCs w:val="18"/>
          <w:lang w:val="en-US"/>
          <w14:numForm w14:val="lining"/>
          <w14:numSpacing w14:val="proportional"/>
        </w:rPr>
        <w:t xml:space="preserve">Figure </w:t>
      </w:r>
      <w:r>
        <w:rPr>
          <w:b/>
          <w:bCs/>
          <w:sz w:val="18"/>
          <w:szCs w:val="18"/>
          <w:lang w:val="en-US"/>
          <w14:numForm w14:val="lining"/>
          <w14:numSpacing w14:val="proportional"/>
        </w:rPr>
        <w:t>3.18</w:t>
      </w:r>
      <w:r w:rsidRPr="00380315">
        <w:rPr>
          <w:b/>
          <w:bCs/>
          <w:sz w:val="18"/>
          <w:szCs w:val="18"/>
          <w:lang w:val="en-US"/>
          <w14:numForm w14:val="lining"/>
          <w14:numSpacing w14:val="proportional"/>
        </w:rPr>
        <w:t>. Minimum weekly wage rates for electrical apprentices</w:t>
      </w:r>
    </w:p>
    <w:p w14:paraId="61E0E7FC" w14:textId="1DA8BEE3" w:rsidR="00AB0C03" w:rsidRPr="00380315" w:rsidRDefault="00AB0C03" w:rsidP="00AB0C03">
      <w:pPr>
        <w:spacing w:after="120" w:line="240" w:lineRule="auto"/>
        <w:ind w:right="57"/>
        <w:rPr>
          <w:sz w:val="16"/>
          <w:szCs w:val="16"/>
          <w:lang w:val="en-US"/>
          <w14:numForm w14:val="lining"/>
          <w14:numSpacing w14:val="proportional"/>
        </w:rPr>
      </w:pPr>
      <w:r w:rsidRPr="00380315">
        <w:rPr>
          <w:noProof/>
          <w14:numForm w14:val="lining"/>
          <w14:numSpacing w14:val="proportional"/>
        </w:rPr>
        <w:drawing>
          <wp:inline distT="0" distB="0" distL="0" distR="0" wp14:anchorId="447BADBA" wp14:editId="1004BF6D">
            <wp:extent cx="4777099" cy="1986952"/>
            <wp:effectExtent l="0" t="0" r="0" b="0"/>
            <wp:docPr id="1250974799" name="Graphic 1250974799" descr="This figure represents the minimum weekly wage rates for electrical apprentices. The figure demonstrates that junior apprentices receive a payrise upon completion of each year until the final year of their training. While mature age apprentices (aged over 21 years) start on a higher salary in their first year than their junior counterparts, their salary does not change from their 2nd year on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74799" name="Graphic 1250974799" descr="This figure represents the minimum weekly wage rates for electrical apprentices. The figure demonstrates that junior apprentices receive a payrise upon completion of each year until the final year of their training. While mature age apprentices (aged over 21 years) start on a higher salary in their first year than their junior counterparts, their salary does not change from their 2nd year onwards."/>
                    <pic:cNvPicPr/>
                  </pic:nvPicPr>
                  <pic:blipFill rotWithShape="1">
                    <a:blip r:embed="rId96" cstate="screen">
                      <a:extLst>
                        <a:ext uri="{28A0092B-C50C-407E-A947-70E740481C1C}">
                          <a14:useLocalDpi xmlns:a14="http://schemas.microsoft.com/office/drawing/2010/main"/>
                        </a:ext>
                        <a:ext uri="{96DAC541-7B7A-43D3-8B79-37D633B846F1}">
                          <asvg:svgBlip xmlns:asvg="http://schemas.microsoft.com/office/drawing/2016/SVG/main" r:embed="rId97"/>
                        </a:ext>
                      </a:extLst>
                    </a:blip>
                    <a:srcRect b="2769"/>
                    <a:stretch/>
                  </pic:blipFill>
                  <pic:spPr bwMode="auto">
                    <a:xfrm>
                      <a:off x="0" y="0"/>
                      <a:ext cx="4798493" cy="1995850"/>
                    </a:xfrm>
                    <a:prstGeom prst="rect">
                      <a:avLst/>
                    </a:prstGeom>
                    <a:ln>
                      <a:noFill/>
                    </a:ln>
                    <a:extLst>
                      <a:ext uri="{53640926-AAD7-44D8-BBD7-CCE9431645EC}">
                        <a14:shadowObscured xmlns:a14="http://schemas.microsoft.com/office/drawing/2010/main"/>
                      </a:ext>
                    </a:extLst>
                  </pic:spPr>
                </pic:pic>
              </a:graphicData>
            </a:graphic>
          </wp:inline>
        </w:drawing>
      </w:r>
      <w:r w:rsidRPr="00380315">
        <w:rPr>
          <w:b/>
          <w:bCs/>
          <w:lang w:val="en-US"/>
          <w14:numForm w14:val="lining"/>
          <w14:numSpacing w14:val="proportional"/>
        </w:rPr>
        <w:br/>
      </w:r>
      <w:r w:rsidRPr="00380315">
        <w:rPr>
          <w:sz w:val="16"/>
          <w:szCs w:val="16"/>
          <w:lang w:val="en-US"/>
          <w14:numForm w14:val="lining"/>
          <w14:numSpacing w14:val="proportional"/>
        </w:rPr>
        <w:t>Source: Fair Work Ombudsman</w:t>
      </w:r>
    </w:p>
    <w:p w14:paraId="0C30A47D" w14:textId="77777777" w:rsidR="00AB0C03" w:rsidRPr="00380315" w:rsidRDefault="00AB0C03" w:rsidP="00AB0C03">
      <w:pPr>
        <w:spacing w:after="120" w:line="240" w:lineRule="auto"/>
        <w:ind w:right="57"/>
        <w:rPr>
          <w:sz w:val="20"/>
          <w:szCs w:val="20"/>
          <w:lang w:val="en-US"/>
          <w14:numForm w14:val="lining"/>
          <w14:numSpacing w14:val="proportional"/>
        </w:rPr>
      </w:pPr>
      <w:r w:rsidRPr="00380315">
        <w:rPr>
          <w:sz w:val="20"/>
          <w:szCs w:val="20"/>
          <w:lang w:val="en-US"/>
          <w14:numForm w14:val="lining"/>
          <w14:numSpacing w14:val="proportional"/>
        </w:rPr>
        <w:t>Electrical apprentices earn around 48% of what their fully qualified counterparts do per year, and around 72% of the average Australian worker</w:t>
      </w:r>
      <w:r>
        <w:rPr>
          <w:sz w:val="20"/>
          <w:szCs w:val="20"/>
          <w:lang w:val="en-US"/>
          <w14:numForm w14:val="lining"/>
          <w14:numSpacing w14:val="proportional"/>
        </w:rPr>
        <w:t xml:space="preserve"> (Figure 3.19)</w:t>
      </w:r>
      <w:r w:rsidRPr="00380315">
        <w:rPr>
          <w:sz w:val="20"/>
          <w:szCs w:val="20"/>
          <w:lang w:val="en-US"/>
          <w14:numForm w14:val="lining"/>
          <w14:numSpacing w14:val="proportional"/>
        </w:rPr>
        <w:t>. These proportions have seen little change in the past decade, which suggests that the comparative earnings of electrical apprentices have not changed.</w:t>
      </w:r>
    </w:p>
    <w:p w14:paraId="4122FF24" w14:textId="6DA2A8D2" w:rsidR="00AB0C03" w:rsidRPr="00380315" w:rsidRDefault="00AB0C03" w:rsidP="00AB0C03">
      <w:pPr>
        <w:spacing w:after="0" w:line="276" w:lineRule="auto"/>
        <w:ind w:right="57"/>
        <w:rPr>
          <w:b/>
          <w:bCs/>
          <w:sz w:val="18"/>
          <w:szCs w:val="18"/>
          <w:lang w:val="en-US"/>
          <w14:numForm w14:val="lining"/>
          <w14:numSpacing w14:val="proportional"/>
        </w:rPr>
      </w:pPr>
      <w:r w:rsidRPr="00380315">
        <w:rPr>
          <w:b/>
          <w:bCs/>
          <w:sz w:val="18"/>
          <w:szCs w:val="18"/>
          <w:lang w:val="en-US"/>
          <w14:numForm w14:val="lining"/>
          <w14:numSpacing w14:val="proportional"/>
        </w:rPr>
        <w:t>Figure 3.</w:t>
      </w:r>
      <w:r>
        <w:rPr>
          <w:b/>
          <w:bCs/>
          <w:sz w:val="18"/>
          <w:szCs w:val="18"/>
          <w:lang w:val="en-US"/>
          <w14:numForm w14:val="lining"/>
          <w14:numSpacing w14:val="proportional"/>
        </w:rPr>
        <w:t>19.</w:t>
      </w:r>
      <w:r w:rsidRPr="00380315">
        <w:rPr>
          <w:b/>
          <w:bCs/>
          <w:sz w:val="18"/>
          <w:szCs w:val="18"/>
          <w:lang w:val="en-US"/>
          <w14:numForm w14:val="lining"/>
          <w14:numSpacing w14:val="proportional"/>
        </w:rPr>
        <w:t xml:space="preserve"> Electrical apprentices’ annual salary comparison.</w:t>
      </w:r>
    </w:p>
    <w:p w14:paraId="76A2D69A" w14:textId="34FB2E37" w:rsidR="00AB0C03" w:rsidRPr="00380315" w:rsidRDefault="00AB0C03" w:rsidP="00AB0C03">
      <w:pPr>
        <w:spacing w:after="0" w:line="276" w:lineRule="auto"/>
        <w:ind w:right="57"/>
        <w:rPr>
          <w:sz w:val="16"/>
          <w:szCs w:val="16"/>
          <w:lang w:val="en-US"/>
          <w14:numForm w14:val="lining"/>
          <w14:numSpacing w14:val="proportional"/>
        </w:rPr>
      </w:pPr>
      <w:r w:rsidRPr="00380315">
        <w:rPr>
          <w:noProof/>
          <w:sz w:val="16"/>
          <w:szCs w:val="16"/>
          <w14:numForm w14:val="lining"/>
          <w14:numSpacing w14:val="proportional"/>
        </w:rPr>
        <w:drawing>
          <wp:inline distT="0" distB="0" distL="0" distR="0" wp14:anchorId="29C4883E" wp14:editId="2016A257">
            <wp:extent cx="4905286" cy="1866458"/>
            <wp:effectExtent l="0" t="0" r="0" b="635"/>
            <wp:docPr id="901471180" name="Graphic 901471180" descr="This figure represents the salary of electrical apprentices as a percentage comparison of the average Australian salary and the average qualified Electrician salary from 2011 to 2020. An electrical apprentice earns approximately 48% of their qualified counterparts and 72% of the average Australian worker. The graph shows that these proportions have hardly changed sinc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71180" name="Graphic 901471180" descr="This figure represents the salary of electrical apprentices as a percentage comparison of the average Australian salary and the average qualified Electrician salary from 2011 to 2020. An electrical apprentice earns approximately 48% of their qualified counterparts and 72% of the average Australian worker. The graph shows that these proportions have hardly changed since 2011."/>
                    <pic:cNvPicPr/>
                  </pic:nvPicPr>
                  <pic:blipFill rotWithShape="1">
                    <a:blip r:embed="rId98" cstate="screen">
                      <a:extLst>
                        <a:ext uri="{28A0092B-C50C-407E-A947-70E740481C1C}">
                          <a14:useLocalDpi xmlns:a14="http://schemas.microsoft.com/office/drawing/2010/main"/>
                        </a:ext>
                        <a:ext uri="{96DAC541-7B7A-43D3-8B79-37D633B846F1}">
                          <asvg:svgBlip xmlns:asvg="http://schemas.microsoft.com/office/drawing/2016/SVG/main" r:embed="rId99"/>
                        </a:ext>
                      </a:extLst>
                    </a:blip>
                    <a:srcRect t="2414" b="3786"/>
                    <a:stretch/>
                  </pic:blipFill>
                  <pic:spPr bwMode="auto">
                    <a:xfrm>
                      <a:off x="0" y="0"/>
                      <a:ext cx="4923462" cy="1873374"/>
                    </a:xfrm>
                    <a:prstGeom prst="rect">
                      <a:avLst/>
                    </a:prstGeom>
                    <a:ln>
                      <a:noFill/>
                    </a:ln>
                    <a:extLst>
                      <a:ext uri="{53640926-AAD7-44D8-BBD7-CCE9431645EC}">
                        <a14:shadowObscured xmlns:a14="http://schemas.microsoft.com/office/drawing/2010/main"/>
                      </a:ext>
                    </a:extLst>
                  </pic:spPr>
                </pic:pic>
              </a:graphicData>
            </a:graphic>
          </wp:inline>
        </w:drawing>
      </w:r>
    </w:p>
    <w:p w14:paraId="600FB992" w14:textId="77777777" w:rsidR="00AB0C03" w:rsidRPr="00380315" w:rsidRDefault="00AB0C03" w:rsidP="00AB0C03">
      <w:pPr>
        <w:spacing w:after="0" w:line="276" w:lineRule="auto"/>
        <w:ind w:right="57"/>
        <w:rPr>
          <w:sz w:val="16"/>
          <w:szCs w:val="16"/>
          <w:lang w:val="en-US"/>
          <w14:numForm w14:val="lining"/>
          <w14:numSpacing w14:val="proportional"/>
        </w:rPr>
      </w:pPr>
      <w:r w:rsidRPr="00380315">
        <w:rPr>
          <w:sz w:val="16"/>
          <w:szCs w:val="16"/>
          <w:lang w:val="en-US"/>
          <w14:numForm w14:val="lining"/>
          <w14:numSpacing w14:val="proportional"/>
        </w:rPr>
        <w:t>Source: Australian Taxation Office, Taxation Statistics: individuals</w:t>
      </w:r>
    </w:p>
    <w:p w14:paraId="49AABF33" w14:textId="5B800BA6" w:rsidR="001E5BAA" w:rsidRDefault="001E5BAA" w:rsidP="00243C53">
      <w:pPr>
        <w:pStyle w:val="Heading4"/>
        <w:spacing w:after="240"/>
        <w:rPr>
          <w:color w:val="0C6DAD" w:themeColor="accent3" w:themeShade="BF"/>
        </w:rPr>
      </w:pPr>
      <w:r w:rsidRPr="00E5087D">
        <w:rPr>
          <w:color w:val="0C6DAD" w:themeColor="accent3" w:themeShade="BF"/>
        </w:rPr>
        <w:lastRenderedPageBreak/>
        <w:t>Work travel patterns</w:t>
      </w:r>
    </w:p>
    <w:p w14:paraId="4EA386F3" w14:textId="62371638" w:rsidR="004F690B" w:rsidRPr="004F690B" w:rsidRDefault="004F690B" w:rsidP="004F690B">
      <w:r>
        <w:t xml:space="preserve">Workers in transitioning industries are more likely to travel longer distances </w:t>
      </w:r>
      <w:r w:rsidR="00E61551">
        <w:t>than those in clean energy industries or the broader labour market (Figure 3</w:t>
      </w:r>
      <w:r w:rsidR="00DD1508">
        <w:t>.2</w:t>
      </w:r>
      <w:r w:rsidR="00B44A7B">
        <w:t>0</w:t>
      </w:r>
      <w:r w:rsidR="00E61551">
        <w:t xml:space="preserve">). This reflects the </w:t>
      </w:r>
      <w:r w:rsidR="00017F97">
        <w:t>higher occurrence</w:t>
      </w:r>
      <w:r w:rsidR="00E61551">
        <w:t xml:space="preserve"> of fly-in-fly-out work in transitioning industries and the remote locations of many worksites.</w:t>
      </w:r>
    </w:p>
    <w:p w14:paraId="3675D408" w14:textId="513F9D7C" w:rsidR="001E5BAA" w:rsidRPr="00E5087D" w:rsidRDefault="001E5BAA" w:rsidP="00380315">
      <w:pPr>
        <w:pBdr>
          <w:top w:val="single" w:sz="4" w:space="6" w:color="BFBFBF" w:themeColor="background1" w:themeShade="BF"/>
        </w:pBdr>
        <w:spacing w:after="120"/>
        <w:rPr>
          <w:b/>
          <w:bCs/>
        </w:rPr>
      </w:pPr>
      <w:r w:rsidRPr="00E5087D">
        <w:rPr>
          <w:b/>
          <w:bCs/>
        </w:rPr>
        <w:t>Figure 3</w:t>
      </w:r>
      <w:r w:rsidR="00DD1508">
        <w:rPr>
          <w:b/>
          <w:bCs/>
        </w:rPr>
        <w:t>.</w:t>
      </w:r>
      <w:r w:rsidR="009E6F85" w:rsidRPr="00E5087D">
        <w:rPr>
          <w:b/>
          <w:bCs/>
        </w:rPr>
        <w:t>2</w:t>
      </w:r>
      <w:r w:rsidR="00852728">
        <w:rPr>
          <w:b/>
          <w:bCs/>
        </w:rPr>
        <w:t>0</w:t>
      </w:r>
      <w:r w:rsidR="009E6F85" w:rsidRPr="00E5087D">
        <w:rPr>
          <w:b/>
          <w:bCs/>
        </w:rPr>
        <w:t>.</w:t>
      </w:r>
      <w:r w:rsidRPr="00E5087D">
        <w:rPr>
          <w:b/>
          <w:bCs/>
        </w:rPr>
        <w:t xml:space="preserve"> Distance to Work by Clean Energy Sub-Segment</w:t>
      </w:r>
    </w:p>
    <w:p w14:paraId="6153FBD7" w14:textId="5C467B6A" w:rsidR="001E5BAA" w:rsidRDefault="6B95C297" w:rsidP="00B006FE">
      <w:pPr>
        <w:pStyle w:val="Bodycopy"/>
        <w:spacing w:after="120" w:line="276" w:lineRule="auto"/>
      </w:pPr>
      <w:r>
        <w:rPr>
          <w:noProof/>
        </w:rPr>
        <w:drawing>
          <wp:inline distT="0" distB="0" distL="0" distR="0" wp14:anchorId="7F32B38E" wp14:editId="78450FC7">
            <wp:extent cx="5886450" cy="3924300"/>
            <wp:effectExtent l="0" t="0" r="0" b="0"/>
            <wp:docPr id="844527344" name="Picture 844527344" descr="This figure represents the average distance travelled to work by clean energy segment in comparison to non-clean energy segments. Over 40% of workers in the clean energy supply segment travel between 10-30km to get to work and over 25% travel between 2.5-10km. In comparison, there is a greater proportion of workers in transitioning segments that travel over 250km to get to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27344" name="Picture 844527344" descr="This figure represents the average distance travelled to work by clean energy segment in comparison to non-clean energy segments. Over 40% of workers in the clean energy supply segment travel between 10-30km to get to work and over 25% travel between 2.5-10km. In comparison, there is a greater proportion of workers in transitioning segments that travel over 250km to get to work."/>
                    <pic:cNvPicPr/>
                  </pic:nvPicPr>
                  <pic:blipFill>
                    <a:blip r:embed="rId100" cstate="screen">
                      <a:extLst>
                        <a:ext uri="{28A0092B-C50C-407E-A947-70E740481C1C}">
                          <a14:useLocalDpi xmlns:a14="http://schemas.microsoft.com/office/drawing/2010/main"/>
                        </a:ext>
                      </a:extLst>
                    </a:blip>
                    <a:stretch>
                      <a:fillRect/>
                    </a:stretch>
                  </pic:blipFill>
                  <pic:spPr>
                    <a:xfrm>
                      <a:off x="0" y="0"/>
                      <a:ext cx="5886450" cy="3924300"/>
                    </a:xfrm>
                    <a:prstGeom prst="rect">
                      <a:avLst/>
                    </a:prstGeom>
                  </pic:spPr>
                </pic:pic>
              </a:graphicData>
            </a:graphic>
          </wp:inline>
        </w:drawing>
      </w:r>
    </w:p>
    <w:p w14:paraId="7373E52B" w14:textId="395951C5" w:rsidR="00F53634" w:rsidRPr="00E5087D" w:rsidRDefault="00F53634" w:rsidP="00F53634">
      <w:pPr>
        <w:keepNext/>
        <w:spacing w:after="120"/>
        <w:jc w:val="both"/>
      </w:pPr>
      <w:r w:rsidRPr="008D34E8">
        <w:rPr>
          <w:sz w:val="18"/>
          <w:szCs w:val="18"/>
        </w:rPr>
        <w:t>Source: ABS Census of Population and Housing 2021</w:t>
      </w:r>
    </w:p>
    <w:p w14:paraId="5BF64E58" w14:textId="77777777" w:rsidR="001E5BAA" w:rsidRPr="00E5087D" w:rsidRDefault="001E5BAA" w:rsidP="002431B4">
      <w:pPr>
        <w:pStyle w:val="Heading4"/>
        <w:spacing w:before="840" w:after="120"/>
        <w:rPr>
          <w:color w:val="0C6DAD" w:themeColor="accent3" w:themeShade="BF"/>
        </w:rPr>
      </w:pPr>
      <w:r w:rsidRPr="00E5087D">
        <w:rPr>
          <w:color w:val="0C6DAD" w:themeColor="accent3" w:themeShade="BF"/>
        </w:rPr>
        <w:t>Forms of employment</w:t>
      </w:r>
    </w:p>
    <w:p w14:paraId="13285EE9" w14:textId="0AAA83B6" w:rsidR="00E61551" w:rsidRDefault="237B3DC2" w:rsidP="00E61551">
      <w:pPr>
        <w:spacing w:after="0"/>
      </w:pPr>
      <w:r w:rsidRPr="00F53634">
        <w:rPr>
          <w14:numForm w14:val="lining"/>
          <w14:numSpacing w14:val="proportional"/>
        </w:rPr>
        <w:t xml:space="preserve">Data on forms of employment are not as widely available as the characteristics already discussed, so it is not possible to be as precise. The best available source is through the </w:t>
      </w:r>
      <w:r w:rsidR="00270546">
        <w:rPr>
          <w14:numForm w14:val="lining"/>
          <w14:numSpacing w14:val="proportional"/>
        </w:rPr>
        <w:t>ABS</w:t>
      </w:r>
      <w:r w:rsidRPr="00F53634">
        <w:rPr>
          <w14:numForm w14:val="lining"/>
          <w14:numSpacing w14:val="proportional"/>
        </w:rPr>
        <w:t xml:space="preserve"> </w:t>
      </w:r>
      <w:r w:rsidRPr="388C0A0B">
        <w:rPr>
          <w:i/>
          <w:iCs/>
          <w14:numForm w14:val="lining"/>
          <w14:numSpacing w14:val="proportional"/>
        </w:rPr>
        <w:t>Characteristics of Employment</w:t>
      </w:r>
      <w:r w:rsidRPr="00F53634">
        <w:rPr>
          <w14:numForm w14:val="lining"/>
          <w14:numSpacing w14:val="proportional"/>
        </w:rPr>
        <w:t xml:space="preserve"> survey. This restricts us to ANZSIC 2-digit </w:t>
      </w:r>
      <w:r w:rsidR="6231B4F9" w:rsidRPr="00F53634">
        <w:rPr>
          <w14:numForm w14:val="lining"/>
          <w14:numSpacing w14:val="proportional"/>
        </w:rPr>
        <w:t xml:space="preserve">(sub-division) </w:t>
      </w:r>
      <w:r w:rsidRPr="00F53634">
        <w:rPr>
          <w14:numForm w14:val="lining"/>
          <w14:numSpacing w14:val="proportional"/>
        </w:rPr>
        <w:t xml:space="preserve">and ANZSCO 3-digit </w:t>
      </w:r>
      <w:r w:rsidR="59C02AAD" w:rsidRPr="00F53634">
        <w:rPr>
          <w14:numForm w14:val="lining"/>
          <w14:numSpacing w14:val="proportional"/>
        </w:rPr>
        <w:t xml:space="preserve">(minor group) </w:t>
      </w:r>
      <w:r w:rsidRPr="00F53634">
        <w:rPr>
          <w14:numForm w14:val="lining"/>
          <w14:numSpacing w14:val="proportional"/>
        </w:rPr>
        <w:t>results, so we will focus on a subset of industries and occupations as most relevant to clean energy generation and the procurement, construction and engineering enabling segment. The Characteristics of Employment survey lets us examine the proportion of workers who are permanent</w:t>
      </w:r>
      <w:r w:rsidR="511B259C" w:rsidRPr="00F53634">
        <w:rPr>
          <w14:numForm w14:val="lining"/>
          <w14:numSpacing w14:val="proportional"/>
        </w:rPr>
        <w:t xml:space="preserve"> or</w:t>
      </w:r>
      <w:r w:rsidRPr="00F53634">
        <w:rPr>
          <w14:numForm w14:val="lining"/>
          <w14:numSpacing w14:val="proportional"/>
        </w:rPr>
        <w:t xml:space="preserve"> cas</w:t>
      </w:r>
      <w:r w:rsidR="057010AE">
        <w:rPr>
          <w14:numForm w14:val="lining"/>
          <w14:numSpacing w14:val="proportional"/>
        </w:rPr>
        <w:t>u</w:t>
      </w:r>
      <w:r w:rsidRPr="00F53634">
        <w:rPr>
          <w14:numForm w14:val="lining"/>
          <w14:numSpacing w14:val="proportional"/>
        </w:rPr>
        <w:t xml:space="preserve">al (defined by the ABS for this survey as without paid leave entitlements), and those who are not </w:t>
      </w:r>
      <w:r w:rsidR="2550B2C7" w:rsidRPr="00F53634">
        <w:rPr>
          <w14:numForm w14:val="lining"/>
          <w14:numSpacing w14:val="proportional"/>
        </w:rPr>
        <w:t xml:space="preserve">defined as </w:t>
      </w:r>
      <w:r w:rsidRPr="00F53634">
        <w:rPr>
          <w14:numForm w14:val="lining"/>
          <w14:numSpacing w14:val="proportional"/>
        </w:rPr>
        <w:t xml:space="preserve">employees – this includes owner managers (whether they have employees or not) and contributing family workers. </w:t>
      </w:r>
    </w:p>
    <w:p w14:paraId="3672E6B1" w14:textId="77777777" w:rsidR="002431B4" w:rsidRDefault="002431B4">
      <w:pPr>
        <w:rPr>
          <w14:numForm w14:val="lining"/>
          <w14:numSpacing w14:val="proportional"/>
        </w:rPr>
      </w:pPr>
      <w:r>
        <w:rPr>
          <w14:numForm w14:val="lining"/>
          <w14:numSpacing w14:val="proportional"/>
        </w:rPr>
        <w:br w:type="page"/>
      </w:r>
    </w:p>
    <w:p w14:paraId="4F592E16" w14:textId="5947E6ED" w:rsidR="44DACB97" w:rsidRDefault="237B3DC2" w:rsidP="00E61551">
      <w:pPr>
        <w:spacing w:before="120" w:after="240"/>
      </w:pPr>
      <w:r w:rsidRPr="00F53634">
        <w:rPr>
          <w14:numForm w14:val="lining"/>
          <w14:numSpacing w14:val="proportional"/>
        </w:rPr>
        <w:lastRenderedPageBreak/>
        <w:t>In general, we observe higher levels of permanent employment and lower levels of casual employment in the selected clean energy industries and occupations than for the overall Australian workforce. The electricity supply industry (which covers generation</w:t>
      </w:r>
      <w:r w:rsidR="00CA643F">
        <w:rPr>
          <w14:numForm w14:val="lining"/>
          <w14:numSpacing w14:val="proportional"/>
        </w:rPr>
        <w:t xml:space="preserve"> and </w:t>
      </w:r>
      <w:r w:rsidRPr="00F53634">
        <w:rPr>
          <w14:numForm w14:val="lining"/>
          <w14:numSpacing w14:val="proportional"/>
        </w:rPr>
        <w:t>distribution</w:t>
      </w:r>
      <w:r w:rsidR="00CA643F">
        <w:rPr>
          <w14:numForm w14:val="lining"/>
          <w14:numSpacing w14:val="proportional"/>
        </w:rPr>
        <w:t>)</w:t>
      </w:r>
      <w:r w:rsidRPr="00F53634">
        <w:rPr>
          <w14:numForm w14:val="lining"/>
          <w14:numSpacing w14:val="proportional"/>
        </w:rPr>
        <w:t xml:space="preserve"> has a very a low level of self-employment</w:t>
      </w:r>
      <w:r w:rsidR="00CA643F">
        <w:rPr>
          <w14:numForm w14:val="lining"/>
          <w14:numSpacing w14:val="proportional"/>
        </w:rPr>
        <w:t xml:space="preserve"> (4% and 1% respectively). </w:t>
      </w:r>
      <w:r w:rsidRPr="00F53634">
        <w:rPr>
          <w14:numForm w14:val="lining"/>
          <w14:numSpacing w14:val="proportional"/>
        </w:rPr>
        <w:t xml:space="preserve">This pattern also holds for the selected occupations, except electricians, where there is a higher level of </w:t>
      </w:r>
      <w:r w:rsidR="40AB154A" w:rsidRPr="00F53634">
        <w:rPr>
          <w14:numForm w14:val="lining"/>
          <w14:numSpacing w14:val="proportional"/>
        </w:rPr>
        <w:t>self-employment</w:t>
      </w:r>
      <w:r w:rsidRPr="00F53634">
        <w:rPr>
          <w14:numForm w14:val="lining"/>
          <w14:numSpacing w14:val="proportional"/>
        </w:rPr>
        <w:t>.</w:t>
      </w:r>
      <w:r w:rsidR="0070771E">
        <w:rPr>
          <w14:numForm w14:val="lining"/>
          <w14:numSpacing w14:val="proportional"/>
        </w:rPr>
        <w:t xml:space="preserve"> Rates of casual employment are also very low among selected industries and occupations (Table 3.1).</w:t>
      </w:r>
    </w:p>
    <w:p w14:paraId="0A67A2B8" w14:textId="1FDD1945" w:rsidR="001E5BAA" w:rsidRPr="00E5087D" w:rsidRDefault="001E5BAA" w:rsidP="00243C53">
      <w:pPr>
        <w:pBdr>
          <w:top w:val="single" w:sz="4" w:space="6" w:color="BFBFBF" w:themeColor="background1" w:themeShade="BF"/>
        </w:pBdr>
        <w:spacing w:after="120"/>
        <w:rPr>
          <w:b/>
          <w:bCs/>
        </w:rPr>
      </w:pPr>
      <w:r w:rsidRPr="00E5087D">
        <w:rPr>
          <w:b/>
          <w:bCs/>
        </w:rPr>
        <w:t xml:space="preserve">Table </w:t>
      </w:r>
      <w:r w:rsidR="00DD1508">
        <w:rPr>
          <w:b/>
          <w:bCs/>
        </w:rPr>
        <w:t>3.</w:t>
      </w:r>
      <w:r w:rsidR="00323AA8">
        <w:rPr>
          <w:b/>
          <w:bCs/>
        </w:rPr>
        <w:t>1.</w:t>
      </w:r>
      <w:r w:rsidRPr="00E5087D">
        <w:rPr>
          <w:b/>
          <w:bCs/>
        </w:rPr>
        <w:t xml:space="preserve"> Forms of employment for selected clean energy industries and occupations</w:t>
      </w:r>
    </w:p>
    <w:tbl>
      <w:tblPr>
        <w:tblStyle w:val="TableGrid"/>
        <w:tblW w:w="4987" w:type="pct"/>
        <w:tblLook w:val="04A0" w:firstRow="1" w:lastRow="0" w:firstColumn="1" w:lastColumn="0" w:noHBand="0" w:noVBand="1"/>
      </w:tblPr>
      <w:tblGrid>
        <w:gridCol w:w="4675"/>
        <w:gridCol w:w="1559"/>
        <w:gridCol w:w="1417"/>
        <w:gridCol w:w="1342"/>
      </w:tblGrid>
      <w:tr w:rsidR="001E5BAA" w:rsidRPr="00E5087D" w14:paraId="6B9A8F0C" w14:textId="77777777" w:rsidTr="005C7C2C">
        <w:trPr>
          <w:trHeight w:val="420"/>
        </w:trPr>
        <w:tc>
          <w:tcPr>
            <w:tcW w:w="2599" w:type="pct"/>
            <w:shd w:val="clear" w:color="auto" w:fill="9DD3F8" w:themeFill="accent3" w:themeFillTint="66"/>
            <w:vAlign w:val="center"/>
          </w:tcPr>
          <w:p w14:paraId="44DA1036" w14:textId="3C611246" w:rsidR="001E5BAA" w:rsidRPr="00E5087D" w:rsidRDefault="00A836A7" w:rsidP="007F1153">
            <w:pPr>
              <w:rPr>
                <w:b/>
                <w:bCs/>
              </w:rPr>
            </w:pPr>
            <w:r>
              <w:rPr>
                <w:b/>
                <w:bCs/>
              </w:rPr>
              <w:t xml:space="preserve">Selected Clean Energy Industries </w:t>
            </w:r>
          </w:p>
        </w:tc>
        <w:tc>
          <w:tcPr>
            <w:tcW w:w="867" w:type="pct"/>
            <w:shd w:val="clear" w:color="auto" w:fill="9DD3F8" w:themeFill="accent3" w:themeFillTint="66"/>
            <w:vAlign w:val="center"/>
          </w:tcPr>
          <w:p w14:paraId="7CACB743" w14:textId="77777777" w:rsidR="001E5BAA" w:rsidRPr="00E5087D" w:rsidRDefault="001E5BAA" w:rsidP="001E5BAA">
            <w:pPr>
              <w:jc w:val="center"/>
              <w:rPr>
                <w:b/>
                <w:bCs/>
              </w:rPr>
            </w:pPr>
            <w:r w:rsidRPr="00E5087D">
              <w:rPr>
                <w:b/>
                <w:bCs/>
              </w:rPr>
              <w:t>Permanent (%)</w:t>
            </w:r>
          </w:p>
        </w:tc>
        <w:tc>
          <w:tcPr>
            <w:tcW w:w="788" w:type="pct"/>
            <w:shd w:val="clear" w:color="auto" w:fill="9DD3F8" w:themeFill="accent3" w:themeFillTint="66"/>
            <w:vAlign w:val="center"/>
          </w:tcPr>
          <w:p w14:paraId="08FF88C5" w14:textId="77777777" w:rsidR="001E5BAA" w:rsidRPr="00E5087D" w:rsidRDefault="001E5BAA" w:rsidP="001E5BAA">
            <w:pPr>
              <w:jc w:val="center"/>
              <w:rPr>
                <w:b/>
                <w:bCs/>
              </w:rPr>
            </w:pPr>
            <w:r w:rsidRPr="00E5087D">
              <w:rPr>
                <w:b/>
                <w:bCs/>
              </w:rPr>
              <w:t>Casual (%)</w:t>
            </w:r>
          </w:p>
        </w:tc>
        <w:tc>
          <w:tcPr>
            <w:tcW w:w="746" w:type="pct"/>
            <w:shd w:val="clear" w:color="auto" w:fill="9DD3F8" w:themeFill="accent3" w:themeFillTint="66"/>
            <w:vAlign w:val="center"/>
          </w:tcPr>
          <w:p w14:paraId="4E2E91C2" w14:textId="12E74A32" w:rsidR="001E5BAA" w:rsidRPr="00E5087D" w:rsidRDefault="001E5BAA" w:rsidP="001E5BAA">
            <w:pPr>
              <w:jc w:val="center"/>
              <w:rPr>
                <w:b/>
                <w:bCs/>
              </w:rPr>
            </w:pPr>
            <w:r w:rsidRPr="00E5087D">
              <w:rPr>
                <w:b/>
                <w:bCs/>
              </w:rPr>
              <w:t>Not an employee (%)</w:t>
            </w:r>
          </w:p>
        </w:tc>
      </w:tr>
      <w:tr w:rsidR="001E5BAA" w:rsidRPr="00E5087D" w14:paraId="58D002C1" w14:textId="77777777" w:rsidTr="005C7C2C">
        <w:trPr>
          <w:trHeight w:val="405"/>
        </w:trPr>
        <w:tc>
          <w:tcPr>
            <w:tcW w:w="2599" w:type="pct"/>
          </w:tcPr>
          <w:p w14:paraId="2618D384" w14:textId="77777777" w:rsidR="001E5BAA" w:rsidRPr="00E5087D" w:rsidRDefault="001E5BAA">
            <w:r w:rsidRPr="00E5087D">
              <w:t xml:space="preserve">   Electricity supply</w:t>
            </w:r>
          </w:p>
        </w:tc>
        <w:tc>
          <w:tcPr>
            <w:tcW w:w="867" w:type="pct"/>
          </w:tcPr>
          <w:p w14:paraId="2177383C" w14:textId="77777777" w:rsidR="001E5BAA" w:rsidRPr="00E5087D" w:rsidRDefault="001E5BAA">
            <w:pPr>
              <w:tabs>
                <w:tab w:val="decimal" w:pos="680"/>
              </w:tabs>
            </w:pPr>
            <w:r w:rsidRPr="00E5087D">
              <w:t>91.6</w:t>
            </w:r>
          </w:p>
        </w:tc>
        <w:tc>
          <w:tcPr>
            <w:tcW w:w="788" w:type="pct"/>
          </w:tcPr>
          <w:p w14:paraId="75B521FF" w14:textId="77777777" w:rsidR="001E5BAA" w:rsidRPr="00E5087D" w:rsidRDefault="001E5BAA">
            <w:pPr>
              <w:tabs>
                <w:tab w:val="decimal" w:pos="680"/>
              </w:tabs>
            </w:pPr>
            <w:r w:rsidRPr="00E5087D">
              <w:t>**</w:t>
            </w:r>
          </w:p>
        </w:tc>
        <w:tc>
          <w:tcPr>
            <w:tcW w:w="746" w:type="pct"/>
          </w:tcPr>
          <w:p w14:paraId="40E6296D" w14:textId="77777777" w:rsidR="001E5BAA" w:rsidRPr="00E5087D" w:rsidRDefault="001E5BAA">
            <w:pPr>
              <w:tabs>
                <w:tab w:val="decimal" w:pos="680"/>
              </w:tabs>
            </w:pPr>
            <w:r w:rsidRPr="00E5087D">
              <w:t>**</w:t>
            </w:r>
          </w:p>
        </w:tc>
      </w:tr>
      <w:tr w:rsidR="001E5BAA" w:rsidRPr="00E5087D" w14:paraId="7ADB72C5" w14:textId="77777777" w:rsidTr="005C7C2C">
        <w:trPr>
          <w:trHeight w:val="405"/>
        </w:trPr>
        <w:tc>
          <w:tcPr>
            <w:tcW w:w="2599" w:type="pct"/>
          </w:tcPr>
          <w:p w14:paraId="3F067CE1" w14:textId="77777777" w:rsidR="001E5BAA" w:rsidRPr="00E5087D" w:rsidRDefault="001E5BAA">
            <w:r w:rsidRPr="00E5087D">
              <w:t xml:space="preserve">   Heavy and Civil Engineering Construction</w:t>
            </w:r>
          </w:p>
        </w:tc>
        <w:tc>
          <w:tcPr>
            <w:tcW w:w="867" w:type="pct"/>
          </w:tcPr>
          <w:p w14:paraId="76F1AA9D" w14:textId="77777777" w:rsidR="001E5BAA" w:rsidRPr="00E5087D" w:rsidRDefault="001E5BAA">
            <w:pPr>
              <w:tabs>
                <w:tab w:val="decimal" w:pos="680"/>
              </w:tabs>
            </w:pPr>
            <w:r w:rsidRPr="00E5087D">
              <w:t>72.2</w:t>
            </w:r>
          </w:p>
        </w:tc>
        <w:tc>
          <w:tcPr>
            <w:tcW w:w="788" w:type="pct"/>
          </w:tcPr>
          <w:p w14:paraId="302B31F0" w14:textId="77777777" w:rsidR="001E5BAA" w:rsidRPr="00E5087D" w:rsidRDefault="001E5BAA">
            <w:pPr>
              <w:tabs>
                <w:tab w:val="decimal" w:pos="680"/>
              </w:tabs>
            </w:pPr>
            <w:r w:rsidRPr="00E5087D">
              <w:t>11.7</w:t>
            </w:r>
          </w:p>
        </w:tc>
        <w:tc>
          <w:tcPr>
            <w:tcW w:w="746" w:type="pct"/>
          </w:tcPr>
          <w:p w14:paraId="0427830E" w14:textId="77777777" w:rsidR="001E5BAA" w:rsidRPr="00E5087D" w:rsidRDefault="001E5BAA">
            <w:pPr>
              <w:tabs>
                <w:tab w:val="decimal" w:pos="680"/>
              </w:tabs>
            </w:pPr>
            <w:r w:rsidRPr="00E5087D">
              <w:t>16.1</w:t>
            </w:r>
          </w:p>
        </w:tc>
      </w:tr>
      <w:tr w:rsidR="005C7C2C" w:rsidRPr="00E5087D" w14:paraId="30CD3739" w14:textId="77777777" w:rsidTr="005C7C2C">
        <w:trPr>
          <w:trHeight w:val="420"/>
        </w:trPr>
        <w:tc>
          <w:tcPr>
            <w:tcW w:w="2599" w:type="pct"/>
            <w:shd w:val="clear" w:color="auto" w:fill="9DD3F8" w:themeFill="accent3" w:themeFillTint="66"/>
            <w:vAlign w:val="center"/>
          </w:tcPr>
          <w:p w14:paraId="3A83B23E" w14:textId="0E0EAE97" w:rsidR="005C7C2C" w:rsidRPr="00E5087D" w:rsidRDefault="005C7C2C" w:rsidP="007F1153">
            <w:pPr>
              <w:rPr>
                <w:b/>
                <w:bCs/>
              </w:rPr>
            </w:pPr>
            <w:r>
              <w:rPr>
                <w:b/>
                <w:bCs/>
              </w:rPr>
              <w:t xml:space="preserve">Selected Clean Energy Occupations </w:t>
            </w:r>
          </w:p>
        </w:tc>
        <w:tc>
          <w:tcPr>
            <w:tcW w:w="867" w:type="pct"/>
            <w:shd w:val="clear" w:color="auto" w:fill="9DD3F8" w:themeFill="accent3" w:themeFillTint="66"/>
            <w:vAlign w:val="center"/>
          </w:tcPr>
          <w:p w14:paraId="6959C838" w14:textId="73CB335E" w:rsidR="005C7C2C" w:rsidRPr="00E5087D" w:rsidRDefault="005C7C2C">
            <w:pPr>
              <w:jc w:val="center"/>
              <w:rPr>
                <w:b/>
                <w:bCs/>
              </w:rPr>
            </w:pPr>
          </w:p>
        </w:tc>
        <w:tc>
          <w:tcPr>
            <w:tcW w:w="788" w:type="pct"/>
            <w:shd w:val="clear" w:color="auto" w:fill="9DD3F8" w:themeFill="accent3" w:themeFillTint="66"/>
            <w:vAlign w:val="center"/>
          </w:tcPr>
          <w:p w14:paraId="3462F911" w14:textId="20979F69" w:rsidR="005C7C2C" w:rsidRPr="00E5087D" w:rsidRDefault="005C7C2C">
            <w:pPr>
              <w:jc w:val="center"/>
              <w:rPr>
                <w:b/>
                <w:bCs/>
              </w:rPr>
            </w:pPr>
          </w:p>
        </w:tc>
        <w:tc>
          <w:tcPr>
            <w:tcW w:w="746" w:type="pct"/>
            <w:shd w:val="clear" w:color="auto" w:fill="9DD3F8" w:themeFill="accent3" w:themeFillTint="66"/>
            <w:vAlign w:val="center"/>
          </w:tcPr>
          <w:p w14:paraId="53F9CA28" w14:textId="77234EEC" w:rsidR="005C7C2C" w:rsidRPr="00E5087D" w:rsidRDefault="005C7C2C">
            <w:pPr>
              <w:jc w:val="center"/>
              <w:rPr>
                <w:b/>
                <w:bCs/>
              </w:rPr>
            </w:pPr>
          </w:p>
        </w:tc>
      </w:tr>
      <w:tr w:rsidR="001E5BAA" w:rsidRPr="00E5087D" w14:paraId="3BB54AF2" w14:textId="77777777" w:rsidTr="005C7C2C">
        <w:trPr>
          <w:trHeight w:val="405"/>
        </w:trPr>
        <w:tc>
          <w:tcPr>
            <w:tcW w:w="2599" w:type="pct"/>
          </w:tcPr>
          <w:p w14:paraId="0609F809" w14:textId="77777777" w:rsidR="001E5BAA" w:rsidRPr="00E5087D" w:rsidRDefault="001E5BAA">
            <w:r w:rsidRPr="00E5087D">
              <w:t xml:space="preserve">   Electricians</w:t>
            </w:r>
          </w:p>
        </w:tc>
        <w:tc>
          <w:tcPr>
            <w:tcW w:w="867" w:type="pct"/>
          </w:tcPr>
          <w:p w14:paraId="477D2A84" w14:textId="77777777" w:rsidR="001E5BAA" w:rsidRPr="00E5087D" w:rsidRDefault="001E5BAA">
            <w:pPr>
              <w:tabs>
                <w:tab w:val="decimal" w:pos="680"/>
              </w:tabs>
            </w:pPr>
            <w:r w:rsidRPr="00E5087D">
              <w:t>75.6</w:t>
            </w:r>
          </w:p>
        </w:tc>
        <w:tc>
          <w:tcPr>
            <w:tcW w:w="788" w:type="pct"/>
          </w:tcPr>
          <w:p w14:paraId="27D4DB1A" w14:textId="77777777" w:rsidR="001E5BAA" w:rsidRPr="00E5087D" w:rsidRDefault="001E5BAA">
            <w:pPr>
              <w:tabs>
                <w:tab w:val="decimal" w:pos="680"/>
              </w:tabs>
            </w:pPr>
            <w:r w:rsidRPr="00E5087D">
              <w:t>2.9*</w:t>
            </w:r>
          </w:p>
        </w:tc>
        <w:tc>
          <w:tcPr>
            <w:tcW w:w="746" w:type="pct"/>
          </w:tcPr>
          <w:p w14:paraId="2BE6436C" w14:textId="77777777" w:rsidR="001E5BAA" w:rsidRPr="00E5087D" w:rsidRDefault="001E5BAA">
            <w:pPr>
              <w:tabs>
                <w:tab w:val="decimal" w:pos="680"/>
              </w:tabs>
            </w:pPr>
            <w:r w:rsidRPr="00E5087D">
              <w:t>21.5</w:t>
            </w:r>
          </w:p>
        </w:tc>
      </w:tr>
      <w:tr w:rsidR="001E5BAA" w:rsidRPr="00E5087D" w14:paraId="361826FB" w14:textId="77777777" w:rsidTr="005C7C2C">
        <w:trPr>
          <w:trHeight w:val="405"/>
        </w:trPr>
        <w:tc>
          <w:tcPr>
            <w:tcW w:w="2599" w:type="pct"/>
          </w:tcPr>
          <w:p w14:paraId="3508EF0C" w14:textId="77777777" w:rsidR="001E5BAA" w:rsidRPr="00E5087D" w:rsidRDefault="001E5BAA">
            <w:r w:rsidRPr="00E5087D">
              <w:t xml:space="preserve">   Mechanical Engineering Trades Workers</w:t>
            </w:r>
          </w:p>
        </w:tc>
        <w:tc>
          <w:tcPr>
            <w:tcW w:w="867" w:type="pct"/>
          </w:tcPr>
          <w:p w14:paraId="32C75DA0" w14:textId="77777777" w:rsidR="001E5BAA" w:rsidRPr="00E5087D" w:rsidRDefault="001E5BAA">
            <w:pPr>
              <w:tabs>
                <w:tab w:val="decimal" w:pos="680"/>
              </w:tabs>
            </w:pPr>
            <w:r w:rsidRPr="00E5087D">
              <w:t>83.1</w:t>
            </w:r>
          </w:p>
        </w:tc>
        <w:tc>
          <w:tcPr>
            <w:tcW w:w="788" w:type="pct"/>
          </w:tcPr>
          <w:p w14:paraId="255F9ACB" w14:textId="77777777" w:rsidR="001E5BAA" w:rsidRPr="00E5087D" w:rsidRDefault="001E5BAA">
            <w:pPr>
              <w:tabs>
                <w:tab w:val="decimal" w:pos="680"/>
              </w:tabs>
            </w:pPr>
            <w:r w:rsidRPr="00E5087D">
              <w:t>8.5</w:t>
            </w:r>
          </w:p>
        </w:tc>
        <w:tc>
          <w:tcPr>
            <w:tcW w:w="746" w:type="pct"/>
          </w:tcPr>
          <w:p w14:paraId="5FC22527" w14:textId="77777777" w:rsidR="001E5BAA" w:rsidRPr="00E5087D" w:rsidRDefault="001E5BAA">
            <w:pPr>
              <w:tabs>
                <w:tab w:val="decimal" w:pos="680"/>
              </w:tabs>
            </w:pPr>
            <w:r w:rsidRPr="00E5087D">
              <w:t>8.4</w:t>
            </w:r>
          </w:p>
        </w:tc>
      </w:tr>
      <w:tr w:rsidR="001E5BAA" w:rsidRPr="00E5087D" w14:paraId="75F1AFE5" w14:textId="77777777" w:rsidTr="005C7C2C">
        <w:trPr>
          <w:trHeight w:val="405"/>
        </w:trPr>
        <w:tc>
          <w:tcPr>
            <w:tcW w:w="2599" w:type="pct"/>
          </w:tcPr>
          <w:p w14:paraId="579C2E8B" w14:textId="77777777" w:rsidR="001E5BAA" w:rsidRPr="00E5087D" w:rsidRDefault="001E5BAA">
            <w:r w:rsidRPr="00E5087D">
              <w:t xml:space="preserve">   Engineering Professionals</w:t>
            </w:r>
          </w:p>
        </w:tc>
        <w:tc>
          <w:tcPr>
            <w:tcW w:w="867" w:type="pct"/>
          </w:tcPr>
          <w:p w14:paraId="1DB26FA7" w14:textId="77777777" w:rsidR="001E5BAA" w:rsidRPr="00E5087D" w:rsidRDefault="001E5BAA">
            <w:pPr>
              <w:tabs>
                <w:tab w:val="decimal" w:pos="680"/>
              </w:tabs>
            </w:pPr>
            <w:r w:rsidRPr="00E5087D">
              <w:t>87.8</w:t>
            </w:r>
          </w:p>
        </w:tc>
        <w:tc>
          <w:tcPr>
            <w:tcW w:w="788" w:type="pct"/>
          </w:tcPr>
          <w:p w14:paraId="61721562" w14:textId="77777777" w:rsidR="001E5BAA" w:rsidRPr="00E5087D" w:rsidRDefault="001E5BAA">
            <w:pPr>
              <w:tabs>
                <w:tab w:val="decimal" w:pos="680"/>
              </w:tabs>
            </w:pPr>
            <w:r w:rsidRPr="00E5087D">
              <w:t>5.1*</w:t>
            </w:r>
          </w:p>
        </w:tc>
        <w:tc>
          <w:tcPr>
            <w:tcW w:w="746" w:type="pct"/>
          </w:tcPr>
          <w:p w14:paraId="70AB47E2" w14:textId="77777777" w:rsidR="001E5BAA" w:rsidRPr="00E5087D" w:rsidRDefault="001E5BAA">
            <w:pPr>
              <w:tabs>
                <w:tab w:val="decimal" w:pos="680"/>
              </w:tabs>
            </w:pPr>
            <w:r w:rsidRPr="00E5087D">
              <w:t>7.1</w:t>
            </w:r>
          </w:p>
        </w:tc>
      </w:tr>
      <w:tr w:rsidR="001E5BAA" w:rsidRPr="00E5087D" w14:paraId="5483218E" w14:textId="77777777" w:rsidTr="005C7C2C">
        <w:trPr>
          <w:trHeight w:val="405"/>
        </w:trPr>
        <w:tc>
          <w:tcPr>
            <w:tcW w:w="2599" w:type="pct"/>
          </w:tcPr>
          <w:p w14:paraId="53F5DBB3" w14:textId="77777777" w:rsidR="001E5BAA" w:rsidRPr="00E5087D" w:rsidRDefault="001E5BAA">
            <w:r w:rsidRPr="00E5087D">
              <w:t xml:space="preserve">All Australian workforce </w:t>
            </w:r>
          </w:p>
        </w:tc>
        <w:tc>
          <w:tcPr>
            <w:tcW w:w="867" w:type="pct"/>
          </w:tcPr>
          <w:p w14:paraId="19FA5771" w14:textId="77777777" w:rsidR="001E5BAA" w:rsidRPr="00E5087D" w:rsidRDefault="001E5BAA">
            <w:pPr>
              <w:tabs>
                <w:tab w:val="decimal" w:pos="680"/>
              </w:tabs>
            </w:pPr>
            <w:r w:rsidRPr="00E5087D">
              <w:t>64.4</w:t>
            </w:r>
          </w:p>
        </w:tc>
        <w:tc>
          <w:tcPr>
            <w:tcW w:w="788" w:type="pct"/>
          </w:tcPr>
          <w:p w14:paraId="33F955BB" w14:textId="77777777" w:rsidR="001E5BAA" w:rsidRPr="00E5087D" w:rsidRDefault="001E5BAA">
            <w:pPr>
              <w:tabs>
                <w:tab w:val="decimal" w:pos="680"/>
              </w:tabs>
            </w:pPr>
            <w:r w:rsidRPr="00E5087D">
              <w:t>19.6</w:t>
            </w:r>
          </w:p>
        </w:tc>
        <w:tc>
          <w:tcPr>
            <w:tcW w:w="746" w:type="pct"/>
          </w:tcPr>
          <w:p w14:paraId="7F5AABF0" w14:textId="77777777" w:rsidR="001E5BAA" w:rsidRPr="00E5087D" w:rsidRDefault="001E5BAA">
            <w:pPr>
              <w:tabs>
                <w:tab w:val="decimal" w:pos="680"/>
              </w:tabs>
            </w:pPr>
            <w:r w:rsidRPr="00E5087D">
              <w:t>16.0</w:t>
            </w:r>
          </w:p>
        </w:tc>
      </w:tr>
    </w:tbl>
    <w:p w14:paraId="45AB18BB" w14:textId="77777777" w:rsidR="001E5BAA" w:rsidRPr="00E5087D" w:rsidRDefault="001E5BAA" w:rsidP="001E5BAA">
      <w:pPr>
        <w:spacing w:after="60"/>
        <w:rPr>
          <w:sz w:val="18"/>
          <w:szCs w:val="18"/>
        </w:rPr>
      </w:pPr>
      <w:r w:rsidRPr="00E5087D">
        <w:rPr>
          <w:sz w:val="18"/>
          <w:szCs w:val="18"/>
        </w:rPr>
        <w:t>Source: Characteristics of employment, August 2022</w:t>
      </w:r>
    </w:p>
    <w:p w14:paraId="4FE09719" w14:textId="77777777" w:rsidR="001E5BAA" w:rsidRPr="00E5087D" w:rsidRDefault="001E5BAA" w:rsidP="001E5BAA">
      <w:pPr>
        <w:spacing w:after="60"/>
        <w:rPr>
          <w:sz w:val="18"/>
          <w:szCs w:val="18"/>
        </w:rPr>
      </w:pPr>
      <w:r w:rsidRPr="00E5087D">
        <w:rPr>
          <w:sz w:val="18"/>
          <w:szCs w:val="18"/>
        </w:rPr>
        <w:t xml:space="preserve">Note: industry and occupation based on main job. </w:t>
      </w:r>
    </w:p>
    <w:p w14:paraId="761179C3" w14:textId="333D1DCE" w:rsidR="001E5BAA" w:rsidRPr="00E5087D" w:rsidRDefault="001E5BAA" w:rsidP="001E5BAA">
      <w:pPr>
        <w:spacing w:after="60"/>
        <w:rPr>
          <w:sz w:val="18"/>
          <w:szCs w:val="18"/>
        </w:rPr>
      </w:pPr>
      <w:r w:rsidRPr="00E5087D">
        <w:rPr>
          <w:sz w:val="18"/>
          <w:szCs w:val="18"/>
        </w:rPr>
        <w:t xml:space="preserve"># includes owner managers of incorporated enterprises, owner managers of unincorporated enterprises, contributing family workers. The ABS classes some independent contractors as employees. For further detail see </w:t>
      </w:r>
      <w:hyperlink r:id="rId101" w:history="1">
        <w:r w:rsidRPr="00E5087D">
          <w:rPr>
            <w:sz w:val="18"/>
            <w:szCs w:val="18"/>
          </w:rPr>
          <w:t>Employment arrangements | A</w:t>
        </w:r>
        <w:r w:rsidR="00C703C6">
          <w:rPr>
            <w:sz w:val="18"/>
            <w:szCs w:val="18"/>
          </w:rPr>
          <w:t>BS</w:t>
        </w:r>
        <w:r w:rsidRPr="00E5087D">
          <w:rPr>
            <w:sz w:val="18"/>
            <w:szCs w:val="18"/>
          </w:rPr>
          <w:t xml:space="preserve"> (abs.gov.au)</w:t>
        </w:r>
      </w:hyperlink>
    </w:p>
    <w:p w14:paraId="17792C52" w14:textId="77777777" w:rsidR="001E5BAA" w:rsidRPr="00E5087D" w:rsidRDefault="001E5BAA" w:rsidP="001E5BAA">
      <w:pPr>
        <w:spacing w:after="60"/>
        <w:rPr>
          <w:sz w:val="18"/>
          <w:szCs w:val="18"/>
        </w:rPr>
      </w:pPr>
      <w:r w:rsidRPr="00E5087D">
        <w:rPr>
          <w:sz w:val="18"/>
          <w:szCs w:val="18"/>
        </w:rPr>
        <w:t>*</w:t>
      </w:r>
      <w:r w:rsidRPr="00E5087D">
        <w:rPr>
          <w:sz w:val="18"/>
          <w:szCs w:val="18"/>
        </w:rPr>
        <w:tab/>
        <w:t>Estimate has a relative standard error of 25% to 50% and should be used with caution</w:t>
      </w:r>
    </w:p>
    <w:p w14:paraId="1EA610A5" w14:textId="77777777" w:rsidR="001E5BAA" w:rsidRPr="00E5087D" w:rsidRDefault="001E5BAA" w:rsidP="001E5BAA">
      <w:pPr>
        <w:spacing w:after="60"/>
        <w:rPr>
          <w:sz w:val="18"/>
          <w:szCs w:val="18"/>
        </w:rPr>
      </w:pPr>
      <w:r w:rsidRPr="00E5087D">
        <w:rPr>
          <w:sz w:val="18"/>
          <w:szCs w:val="18"/>
        </w:rPr>
        <w:t>**</w:t>
      </w:r>
      <w:r w:rsidRPr="00E5087D">
        <w:rPr>
          <w:sz w:val="18"/>
          <w:szCs w:val="18"/>
        </w:rPr>
        <w:tab/>
        <w:t>Estimate has a relative standard error greater than 50% and is considered too unreliable for general use</w:t>
      </w:r>
    </w:p>
    <w:p w14:paraId="22B98527" w14:textId="77777777" w:rsidR="001E5BAA" w:rsidRPr="00E5087D" w:rsidRDefault="001E5BAA" w:rsidP="007564A9">
      <w:pPr>
        <w:pStyle w:val="Heading4"/>
        <w:spacing w:before="360" w:after="120"/>
        <w:rPr>
          <w:color w:val="0C6DAD" w:themeColor="accent3" w:themeShade="BF"/>
        </w:rPr>
      </w:pPr>
      <w:r w:rsidRPr="00E5087D">
        <w:rPr>
          <w:color w:val="0C6DAD" w:themeColor="accent3" w:themeShade="BF"/>
        </w:rPr>
        <w:t>Union membership and method of pay setting</w:t>
      </w:r>
    </w:p>
    <w:p w14:paraId="4235F931" w14:textId="4C6BBF19" w:rsidR="001E5BAA" w:rsidRPr="002431B4" w:rsidRDefault="001E5BAA" w:rsidP="00243C53">
      <w:pPr>
        <w:spacing w:after="120" w:line="276" w:lineRule="auto"/>
        <w:rPr>
          <w:iCs/>
          <w14:numForm w14:val="lining"/>
          <w14:numSpacing w14:val="proportional"/>
        </w:rPr>
      </w:pPr>
      <w:r w:rsidRPr="002431B4">
        <w:rPr>
          <w:iCs/>
          <w14:numForm w14:val="lining"/>
          <w14:numSpacing w14:val="proportional"/>
        </w:rPr>
        <w:t xml:space="preserve">As for forms of employment, </w:t>
      </w:r>
      <w:r w:rsidR="006B5919" w:rsidRPr="002431B4">
        <w:rPr>
          <w:iCs/>
          <w14:numForm w14:val="lining"/>
          <w14:numSpacing w14:val="proportional"/>
        </w:rPr>
        <w:t>JSA is</w:t>
      </w:r>
      <w:r w:rsidRPr="002431B4">
        <w:rPr>
          <w:iCs/>
          <w14:numForm w14:val="lining"/>
          <w14:numSpacing w14:val="proportional"/>
        </w:rPr>
        <w:t xml:space="preserve"> reliant on survey data to examine levels of union membership and methods of pay setting. For consistency, we have used the same industry and occupational categories as above, again relying on data from the ABS Characteristics of Employment survey. </w:t>
      </w:r>
    </w:p>
    <w:p w14:paraId="2BA5A657" w14:textId="0A356CE2" w:rsidR="001E5BAA" w:rsidRPr="002431B4" w:rsidRDefault="237B3DC2" w:rsidP="00243C53">
      <w:pPr>
        <w:spacing w:after="120" w:line="276" w:lineRule="auto"/>
        <w:rPr>
          <w14:numForm w14:val="lining"/>
          <w14:numSpacing w14:val="proportional"/>
        </w:rPr>
      </w:pPr>
      <w:r w:rsidRPr="002431B4">
        <w:rPr>
          <w14:numForm w14:val="lining"/>
          <w14:numSpacing w14:val="proportional"/>
        </w:rPr>
        <w:t>The electricity supply industry has a higher level of trade union membership than the overall Australian workforce, as well as a much higher level</w:t>
      </w:r>
      <w:r w:rsidR="12CB25D6" w:rsidRPr="002431B4">
        <w:rPr>
          <w14:numForm w14:val="lining"/>
          <w14:numSpacing w14:val="proportional"/>
        </w:rPr>
        <w:t>s</w:t>
      </w:r>
      <w:r w:rsidRPr="002431B4">
        <w:rPr>
          <w14:numForm w14:val="lining"/>
          <w14:numSpacing w14:val="proportional"/>
        </w:rPr>
        <w:t xml:space="preserve"> of collective agreement coverage</w:t>
      </w:r>
      <w:r w:rsidR="0085607A" w:rsidRPr="002431B4">
        <w:rPr>
          <w14:numForm w14:val="lining"/>
          <w14:numSpacing w14:val="proportional"/>
        </w:rPr>
        <w:t xml:space="preserve"> (Table 3.2)</w:t>
      </w:r>
      <w:r w:rsidRPr="002431B4">
        <w:rPr>
          <w14:numForm w14:val="lining"/>
          <w14:numSpacing w14:val="proportional"/>
        </w:rPr>
        <w:t xml:space="preserve">. The level of trade union membership in heavy and civil engineering construction is </w:t>
      </w:r>
      <w:r w:rsidR="0CE8C194" w:rsidRPr="002431B4">
        <w:rPr>
          <w14:numForm w14:val="lining"/>
          <w14:numSpacing w14:val="proportional"/>
        </w:rPr>
        <w:t xml:space="preserve">also </w:t>
      </w:r>
      <w:r w:rsidRPr="002431B4">
        <w:rPr>
          <w14:numForm w14:val="lining"/>
          <w14:numSpacing w14:val="proportional"/>
        </w:rPr>
        <w:t>higher than the Australian average, but the industry sector has a lower level of collective bargaining coverage. When examined by occupation, electricians have a substantially higher level of union membership than the Australian workforce overall, as do mechanical engineering trades workers. Levels of collective bargaining coverage for both trade occupation groups reflect the Australian average, with the slightly lower figure for electricians influenced by the higher level of self-employment (see above). Engineering professionals have a lower level of union membership and collective bargaining coverage</w:t>
      </w:r>
      <w:r w:rsidR="151C03A0" w:rsidRPr="002431B4">
        <w:rPr>
          <w14:numForm w14:val="lining"/>
          <w14:numSpacing w14:val="proportional"/>
        </w:rPr>
        <w:t xml:space="preserve"> but may be more likely to be members of a professional association.</w:t>
      </w:r>
    </w:p>
    <w:p w14:paraId="0CEB33C5" w14:textId="0C4747C8" w:rsidR="001E5BAA" w:rsidRPr="002431B4" w:rsidRDefault="001E5BAA" w:rsidP="00243C53">
      <w:pPr>
        <w:spacing w:after="120" w:line="276" w:lineRule="auto"/>
        <w:rPr>
          <w14:numForm w14:val="lining"/>
          <w14:numSpacing w14:val="proportional"/>
        </w:rPr>
      </w:pPr>
      <w:r w:rsidRPr="002431B4">
        <w:rPr>
          <w14:numForm w14:val="lining"/>
          <w14:numSpacing w14:val="proportional"/>
        </w:rPr>
        <w:lastRenderedPageBreak/>
        <w:t xml:space="preserve">There are several trade unions representing workers in the clean energy workforce, with coverage variously defined by occupation and industry. The Electrical Trades Union </w:t>
      </w:r>
      <w:r w:rsidR="003A7202" w:rsidRPr="002431B4">
        <w:rPr>
          <w14:numForm w14:val="lining"/>
          <w14:numSpacing w14:val="proportional"/>
        </w:rPr>
        <w:t>of Australia</w:t>
      </w:r>
      <w:r w:rsidRPr="002431B4">
        <w:rPr>
          <w14:numForm w14:val="lining"/>
          <w14:numSpacing w14:val="proportional"/>
        </w:rPr>
        <w:t xml:space="preserve"> </w:t>
      </w:r>
      <w:r w:rsidR="006D317D" w:rsidRPr="002431B4">
        <w:rPr>
          <w14:numForm w14:val="lining"/>
          <w14:numSpacing w14:val="proportional"/>
        </w:rPr>
        <w:t>(ETU)</w:t>
      </w:r>
      <w:r w:rsidRPr="002431B4">
        <w:rPr>
          <w14:numForm w14:val="lining"/>
          <w14:numSpacing w14:val="proportional"/>
        </w:rPr>
        <w:t xml:space="preserve"> represents more than 60,000 </w:t>
      </w:r>
      <w:r w:rsidR="6A75D2AF" w:rsidRPr="002431B4">
        <w:rPr>
          <w14:numForm w14:val="lining"/>
          <w14:numSpacing w14:val="proportional"/>
        </w:rPr>
        <w:t>E</w:t>
      </w:r>
      <w:r w:rsidRPr="002431B4">
        <w:rPr>
          <w14:numForm w14:val="lining"/>
          <w14:numSpacing w14:val="proportional"/>
        </w:rPr>
        <w:t xml:space="preserve">lectricians, apprentices and electrical workers around Australia. The Australian Manufacturing Workers Union </w:t>
      </w:r>
      <w:r w:rsidR="02D96B8C" w:rsidRPr="002431B4">
        <w:rPr>
          <w14:numForm w14:val="lining"/>
          <w14:numSpacing w14:val="proportional"/>
        </w:rPr>
        <w:t xml:space="preserve">(AMWU) </w:t>
      </w:r>
      <w:r w:rsidRPr="002431B4">
        <w:rPr>
          <w14:numForm w14:val="lining"/>
          <w14:numSpacing w14:val="proportional"/>
        </w:rPr>
        <w:t>would typically represent mechanical engineering trades workers in most workplaces, including in Electricity Supply and Heavy and Civil Engineering Construction. Depending upon their role, Electrical Engineers may be eligible for members</w:t>
      </w:r>
      <w:r w:rsidR="0094523E" w:rsidRPr="002431B4">
        <w:rPr>
          <w14:numForm w14:val="lining"/>
          <w14:numSpacing w14:val="proportional"/>
        </w:rPr>
        <w:t>hip</w:t>
      </w:r>
      <w:r w:rsidRPr="002431B4">
        <w:rPr>
          <w14:numForm w14:val="lining"/>
          <w14:numSpacing w14:val="proportional"/>
        </w:rPr>
        <w:t xml:space="preserve"> with </w:t>
      </w:r>
      <w:r w:rsidR="00646870" w:rsidRPr="002431B4">
        <w:rPr>
          <w14:numForm w14:val="lining"/>
          <w14:numSpacing w14:val="proportional"/>
        </w:rPr>
        <w:t>t</w:t>
      </w:r>
      <w:r w:rsidRPr="002431B4">
        <w:rPr>
          <w14:numForm w14:val="lining"/>
          <w14:numSpacing w14:val="proportional"/>
        </w:rPr>
        <w:t>he Association of Professional Engineers Australia (APEA</w:t>
      </w:r>
      <w:r w:rsidR="325A0DB3" w:rsidRPr="002431B4">
        <w:rPr>
          <w14:numForm w14:val="lining"/>
          <w14:numSpacing w14:val="proportional"/>
        </w:rPr>
        <w:t>)</w:t>
      </w:r>
      <w:r w:rsidR="55FE7B39" w:rsidRPr="002431B4">
        <w:rPr>
          <w14:numForm w14:val="lining"/>
          <w14:numSpacing w14:val="proportional"/>
        </w:rPr>
        <w:t>,</w:t>
      </w:r>
      <w:r w:rsidR="0094523E" w:rsidRPr="002431B4">
        <w:rPr>
          <w14:numForm w14:val="lining"/>
          <w14:numSpacing w14:val="proportional"/>
        </w:rPr>
        <w:t xml:space="preserve"> Engineers Australia, </w:t>
      </w:r>
      <w:r w:rsidRPr="002431B4">
        <w:rPr>
          <w14:numForm w14:val="lining"/>
          <w14:numSpacing w14:val="proportional"/>
        </w:rPr>
        <w:t xml:space="preserve">or the </w:t>
      </w:r>
      <w:r w:rsidR="006D317D" w:rsidRPr="002431B4">
        <w:rPr>
          <w14:numForm w14:val="lining"/>
          <w14:numSpacing w14:val="proportional"/>
        </w:rPr>
        <w:t>ETU</w:t>
      </w:r>
      <w:r w:rsidRPr="002431B4">
        <w:rPr>
          <w14:numForm w14:val="lining"/>
          <w14:numSpacing w14:val="proportional"/>
        </w:rPr>
        <w:t>, which represents their members in the clean energy generation electrician’s workforce.</w:t>
      </w:r>
    </w:p>
    <w:p w14:paraId="10F330D8" w14:textId="60ED579F" w:rsidR="6C316DF4" w:rsidRPr="002431B4" w:rsidRDefault="001E5BAA" w:rsidP="00E61551">
      <w:pPr>
        <w:spacing w:after="360" w:line="276" w:lineRule="auto"/>
        <w:rPr>
          <w14:numForm w14:val="lining"/>
          <w14:numSpacing w14:val="proportional"/>
        </w:rPr>
      </w:pPr>
      <w:r w:rsidRPr="002431B4">
        <w:rPr>
          <w14:numForm w14:val="lining"/>
          <w14:numSpacing w14:val="proportional"/>
        </w:rPr>
        <w:t xml:space="preserve">Regarding other occupational categories in the clean energy workforce, electrical distribution trade workers can work across </w:t>
      </w:r>
      <w:r w:rsidR="765F5AF2" w:rsidRPr="002431B4">
        <w:rPr>
          <w14:numForm w14:val="lining"/>
          <w14:numSpacing w14:val="proportional"/>
        </w:rPr>
        <w:t>several</w:t>
      </w:r>
      <w:r w:rsidRPr="002431B4">
        <w:rPr>
          <w14:numForm w14:val="lining"/>
          <w14:numSpacing w14:val="proportional"/>
        </w:rPr>
        <w:t xml:space="preserve"> industries including electricity, gas and trades services, construction, public administration and safety.  They may be eligible to join unions including the Australian Workers Union (AWU), the Construction Forestry Maritime Mining Energy Union (CFMEU) and the </w:t>
      </w:r>
      <w:r w:rsidR="003A7202" w:rsidRPr="002431B4">
        <w:rPr>
          <w14:numForm w14:val="lining"/>
          <w14:numSpacing w14:val="proportional"/>
        </w:rPr>
        <w:t>ETU</w:t>
      </w:r>
      <w:r w:rsidRPr="002431B4">
        <w:rPr>
          <w14:numForm w14:val="lining"/>
          <w14:numSpacing w14:val="proportional"/>
        </w:rPr>
        <w:t xml:space="preserve">. There is no one union </w:t>
      </w:r>
      <w:r w:rsidR="0090090C" w:rsidRPr="002431B4">
        <w:rPr>
          <w14:numForm w14:val="lining"/>
          <w14:numSpacing w14:val="proportional"/>
        </w:rPr>
        <w:t>for</w:t>
      </w:r>
      <w:r w:rsidRPr="002431B4">
        <w:rPr>
          <w14:numForm w14:val="lining"/>
          <w14:numSpacing w14:val="proportional"/>
        </w:rPr>
        <w:t xml:space="preserve"> Chemical, Gas, Petroleum and Power Generation Plant Operators. Workers from this industry may be eligible to join unions including the AWU, the Australian Services Union (ASU)​ or the United Workers Union</w:t>
      </w:r>
      <w:r w:rsidR="06FBD862" w:rsidRPr="002431B4">
        <w:rPr>
          <w14:numForm w14:val="lining"/>
          <w14:numSpacing w14:val="proportional"/>
        </w:rPr>
        <w:t xml:space="preserve"> (UWU)</w:t>
      </w:r>
      <w:r w:rsidRPr="002431B4">
        <w:rPr>
          <w14:numForm w14:val="lining"/>
          <w14:numSpacing w14:val="proportional"/>
        </w:rPr>
        <w:t>.</w:t>
      </w:r>
    </w:p>
    <w:p w14:paraId="16945BFF" w14:textId="088E0700" w:rsidR="001E5BAA" w:rsidRPr="00E5087D" w:rsidRDefault="237B3DC2" w:rsidP="388C0A0B">
      <w:pPr>
        <w:pBdr>
          <w:top w:val="single" w:sz="4" w:space="6" w:color="BFBFBF" w:themeColor="background1" w:themeShade="BF"/>
        </w:pBdr>
        <w:spacing w:after="120" w:line="240" w:lineRule="auto"/>
        <w:rPr>
          <w:b/>
          <w:bCs/>
        </w:rPr>
      </w:pPr>
      <w:r w:rsidRPr="388C0A0B">
        <w:rPr>
          <w:b/>
          <w:bCs/>
        </w:rPr>
        <w:t xml:space="preserve">Table </w:t>
      </w:r>
      <w:r w:rsidR="507D103B" w:rsidRPr="388C0A0B">
        <w:rPr>
          <w:b/>
          <w:bCs/>
        </w:rPr>
        <w:t>3.</w:t>
      </w:r>
      <w:r w:rsidR="4D34BBD7" w:rsidRPr="388C0A0B">
        <w:rPr>
          <w:b/>
          <w:bCs/>
        </w:rPr>
        <w:t>2.</w:t>
      </w:r>
      <w:r w:rsidRPr="388C0A0B">
        <w:rPr>
          <w:b/>
          <w:bCs/>
        </w:rPr>
        <w:t xml:space="preserve"> Proportion of workers belonging to a trade union and covered by a collective agreement, selected clean energy industries and occupations</w:t>
      </w:r>
    </w:p>
    <w:tbl>
      <w:tblPr>
        <w:tblStyle w:val="TableGrid"/>
        <w:tblW w:w="4950" w:type="pct"/>
        <w:tblLook w:val="04A0" w:firstRow="1" w:lastRow="0" w:firstColumn="1" w:lastColumn="0" w:noHBand="0" w:noVBand="1"/>
      </w:tblPr>
      <w:tblGrid>
        <w:gridCol w:w="5156"/>
        <w:gridCol w:w="1644"/>
        <w:gridCol w:w="2126"/>
      </w:tblGrid>
      <w:tr w:rsidR="001E5BAA" w:rsidRPr="00E5087D" w14:paraId="76B4C12A" w14:textId="77777777" w:rsidTr="00345CA0">
        <w:trPr>
          <w:trHeight w:val="420"/>
        </w:trPr>
        <w:tc>
          <w:tcPr>
            <w:tcW w:w="2888" w:type="pct"/>
            <w:shd w:val="clear" w:color="auto" w:fill="9DD3F8" w:themeFill="accent3" w:themeFillTint="66"/>
          </w:tcPr>
          <w:p w14:paraId="13DD6F0A" w14:textId="77777777" w:rsidR="00345CA0" w:rsidRDefault="00345CA0">
            <w:pPr>
              <w:rPr>
                <w:b/>
                <w:bCs/>
              </w:rPr>
            </w:pPr>
          </w:p>
          <w:p w14:paraId="5499F91D" w14:textId="3F7F5B46" w:rsidR="001E5BAA" w:rsidRPr="00E5087D" w:rsidRDefault="00345CA0">
            <w:pPr>
              <w:rPr>
                <w:b/>
                <w:bCs/>
              </w:rPr>
            </w:pPr>
            <w:r>
              <w:rPr>
                <w:b/>
                <w:bCs/>
              </w:rPr>
              <w:t>Selected Clean Energy Industries</w:t>
            </w:r>
          </w:p>
        </w:tc>
        <w:tc>
          <w:tcPr>
            <w:tcW w:w="921" w:type="pct"/>
            <w:shd w:val="clear" w:color="auto" w:fill="9DD3F8" w:themeFill="accent3" w:themeFillTint="66"/>
            <w:vAlign w:val="center"/>
          </w:tcPr>
          <w:p w14:paraId="31F69F35" w14:textId="77777777" w:rsidR="001E5BAA" w:rsidRPr="00E5087D" w:rsidRDefault="001E5BAA" w:rsidP="001E5BAA">
            <w:pPr>
              <w:jc w:val="center"/>
              <w:rPr>
                <w:b/>
                <w:bCs/>
              </w:rPr>
            </w:pPr>
            <w:r w:rsidRPr="00E5087D">
              <w:rPr>
                <w:b/>
                <w:bCs/>
              </w:rPr>
              <w:t>Trade union member (%)</w:t>
            </w:r>
          </w:p>
        </w:tc>
        <w:tc>
          <w:tcPr>
            <w:tcW w:w="1191" w:type="pct"/>
            <w:shd w:val="clear" w:color="auto" w:fill="9DD3F8" w:themeFill="accent3" w:themeFillTint="66"/>
            <w:vAlign w:val="center"/>
          </w:tcPr>
          <w:p w14:paraId="5D468DA4" w14:textId="77777777" w:rsidR="001E5BAA" w:rsidRPr="00E5087D" w:rsidRDefault="001E5BAA" w:rsidP="001E5BAA">
            <w:pPr>
              <w:jc w:val="center"/>
              <w:rPr>
                <w:b/>
                <w:bCs/>
              </w:rPr>
            </w:pPr>
            <w:r w:rsidRPr="00E5087D">
              <w:rPr>
                <w:b/>
                <w:bCs/>
              </w:rPr>
              <w:t>Collective agreement coverage (%)</w:t>
            </w:r>
          </w:p>
        </w:tc>
      </w:tr>
      <w:tr w:rsidR="001E5BAA" w:rsidRPr="00E5087D" w14:paraId="30B46E38" w14:textId="77777777" w:rsidTr="00345CA0">
        <w:trPr>
          <w:trHeight w:val="405"/>
        </w:trPr>
        <w:tc>
          <w:tcPr>
            <w:tcW w:w="2888" w:type="pct"/>
          </w:tcPr>
          <w:p w14:paraId="2E77F79C" w14:textId="77777777" w:rsidR="001E5BAA" w:rsidRPr="00E5087D" w:rsidRDefault="001E5BAA">
            <w:r w:rsidRPr="00E5087D">
              <w:t xml:space="preserve">   Electricity supply</w:t>
            </w:r>
          </w:p>
        </w:tc>
        <w:tc>
          <w:tcPr>
            <w:tcW w:w="921" w:type="pct"/>
          </w:tcPr>
          <w:p w14:paraId="4B62DB23" w14:textId="305EF6A3" w:rsidR="001E5BAA" w:rsidRPr="00E5087D" w:rsidRDefault="00217E86" w:rsidP="001B4EB7">
            <w:pPr>
              <w:tabs>
                <w:tab w:val="decimal" w:pos="680"/>
              </w:tabs>
              <w:jc w:val="right"/>
            </w:pPr>
            <w:r>
              <w:t xml:space="preserve"> </w:t>
            </w:r>
            <w:r w:rsidR="001E5BAA" w:rsidRPr="00E5087D">
              <w:t>27.5</w:t>
            </w:r>
          </w:p>
        </w:tc>
        <w:tc>
          <w:tcPr>
            <w:tcW w:w="1191" w:type="pct"/>
          </w:tcPr>
          <w:p w14:paraId="2A7DA1C9" w14:textId="5187148F" w:rsidR="001E5BAA" w:rsidRPr="00E5087D" w:rsidRDefault="00217E86" w:rsidP="001B4EB7">
            <w:pPr>
              <w:tabs>
                <w:tab w:val="decimal" w:pos="680"/>
              </w:tabs>
              <w:jc w:val="right"/>
            </w:pPr>
            <w:r>
              <w:t xml:space="preserve">            </w:t>
            </w:r>
            <w:r w:rsidR="001E5BAA" w:rsidRPr="00E5087D">
              <w:t>77.0</w:t>
            </w:r>
          </w:p>
        </w:tc>
      </w:tr>
      <w:tr w:rsidR="001E5BAA" w:rsidRPr="00E5087D" w14:paraId="247E3BAC" w14:textId="77777777" w:rsidTr="00345CA0">
        <w:trPr>
          <w:trHeight w:val="405"/>
        </w:trPr>
        <w:tc>
          <w:tcPr>
            <w:tcW w:w="2888" w:type="pct"/>
          </w:tcPr>
          <w:p w14:paraId="14F517CA" w14:textId="77777777" w:rsidR="001E5BAA" w:rsidRPr="00E5087D" w:rsidRDefault="001E5BAA">
            <w:r w:rsidRPr="00E5087D">
              <w:t xml:space="preserve">   Heavy and Civil Engineering Construction</w:t>
            </w:r>
          </w:p>
        </w:tc>
        <w:tc>
          <w:tcPr>
            <w:tcW w:w="921" w:type="pct"/>
          </w:tcPr>
          <w:p w14:paraId="199E51C3" w14:textId="4BB761A4" w:rsidR="001E5BAA" w:rsidRPr="00E5087D" w:rsidRDefault="001E5BAA" w:rsidP="001B4EB7">
            <w:pPr>
              <w:tabs>
                <w:tab w:val="decimal" w:pos="680"/>
              </w:tabs>
              <w:jc w:val="right"/>
            </w:pPr>
            <w:r w:rsidRPr="00E5087D">
              <w:t>15.0</w:t>
            </w:r>
          </w:p>
        </w:tc>
        <w:tc>
          <w:tcPr>
            <w:tcW w:w="1191" w:type="pct"/>
          </w:tcPr>
          <w:p w14:paraId="69B37436" w14:textId="7A43072C" w:rsidR="001E5BAA" w:rsidRPr="00E5087D" w:rsidRDefault="00217E86" w:rsidP="001B4EB7">
            <w:pPr>
              <w:tabs>
                <w:tab w:val="decimal" w:pos="680"/>
              </w:tabs>
              <w:jc w:val="right"/>
            </w:pPr>
            <w:r>
              <w:t xml:space="preserve">            </w:t>
            </w:r>
            <w:r w:rsidR="001E5BAA" w:rsidRPr="00E5087D">
              <w:t>28.4</w:t>
            </w:r>
          </w:p>
        </w:tc>
      </w:tr>
      <w:tr w:rsidR="00345CA0" w:rsidRPr="00E5087D" w14:paraId="53655AAF" w14:textId="77777777">
        <w:trPr>
          <w:trHeight w:val="420"/>
        </w:trPr>
        <w:tc>
          <w:tcPr>
            <w:tcW w:w="2888" w:type="pct"/>
            <w:shd w:val="clear" w:color="auto" w:fill="9DD3F8" w:themeFill="accent3" w:themeFillTint="66"/>
          </w:tcPr>
          <w:p w14:paraId="53C1592B" w14:textId="0540A05D" w:rsidR="00345CA0" w:rsidRPr="00E5087D" w:rsidRDefault="00345CA0">
            <w:pPr>
              <w:rPr>
                <w:b/>
                <w:bCs/>
              </w:rPr>
            </w:pPr>
            <w:r>
              <w:rPr>
                <w:b/>
                <w:bCs/>
              </w:rPr>
              <w:t>Selected Clean Energy Occupations</w:t>
            </w:r>
          </w:p>
        </w:tc>
        <w:tc>
          <w:tcPr>
            <w:tcW w:w="921" w:type="pct"/>
            <w:shd w:val="clear" w:color="auto" w:fill="9DD3F8" w:themeFill="accent3" w:themeFillTint="66"/>
            <w:vAlign w:val="center"/>
          </w:tcPr>
          <w:p w14:paraId="3B86AC00" w14:textId="28D70CCC" w:rsidR="00345CA0" w:rsidRPr="00E5087D" w:rsidRDefault="00345CA0" w:rsidP="00217E86">
            <w:pPr>
              <w:jc w:val="center"/>
              <w:rPr>
                <w:b/>
                <w:bCs/>
              </w:rPr>
            </w:pPr>
          </w:p>
        </w:tc>
        <w:tc>
          <w:tcPr>
            <w:tcW w:w="1191" w:type="pct"/>
            <w:shd w:val="clear" w:color="auto" w:fill="9DD3F8" w:themeFill="accent3" w:themeFillTint="66"/>
            <w:vAlign w:val="center"/>
          </w:tcPr>
          <w:p w14:paraId="38814CA0" w14:textId="54666312" w:rsidR="00345CA0" w:rsidRPr="00E5087D" w:rsidRDefault="00345CA0" w:rsidP="00217E86">
            <w:pPr>
              <w:rPr>
                <w:b/>
                <w:bCs/>
              </w:rPr>
            </w:pPr>
          </w:p>
        </w:tc>
      </w:tr>
      <w:tr w:rsidR="001E5BAA" w:rsidRPr="00E5087D" w14:paraId="6D2FC7E6" w14:textId="77777777" w:rsidTr="00345CA0">
        <w:trPr>
          <w:trHeight w:val="405"/>
        </w:trPr>
        <w:tc>
          <w:tcPr>
            <w:tcW w:w="2888" w:type="pct"/>
          </w:tcPr>
          <w:p w14:paraId="4417089B" w14:textId="77777777" w:rsidR="001E5BAA" w:rsidRPr="00E5087D" w:rsidRDefault="001E5BAA">
            <w:r w:rsidRPr="00E5087D">
              <w:t xml:space="preserve">   Electricians</w:t>
            </w:r>
          </w:p>
        </w:tc>
        <w:tc>
          <w:tcPr>
            <w:tcW w:w="921" w:type="pct"/>
          </w:tcPr>
          <w:p w14:paraId="42B1FF72" w14:textId="77777777" w:rsidR="001E5BAA" w:rsidRPr="00E5087D" w:rsidRDefault="001E5BAA" w:rsidP="001B4EB7">
            <w:pPr>
              <w:tabs>
                <w:tab w:val="decimal" w:pos="680"/>
              </w:tabs>
              <w:jc w:val="right"/>
            </w:pPr>
            <w:r w:rsidRPr="00E5087D">
              <w:t>24.5</w:t>
            </w:r>
          </w:p>
        </w:tc>
        <w:tc>
          <w:tcPr>
            <w:tcW w:w="1191" w:type="pct"/>
          </w:tcPr>
          <w:p w14:paraId="41A189C9" w14:textId="69B4EB23" w:rsidR="001E5BAA" w:rsidRPr="00E5087D" w:rsidRDefault="00217E86" w:rsidP="001B4EB7">
            <w:pPr>
              <w:tabs>
                <w:tab w:val="decimal" w:pos="680"/>
              </w:tabs>
              <w:jc w:val="right"/>
            </w:pPr>
            <w:r>
              <w:t xml:space="preserve">            </w:t>
            </w:r>
            <w:r w:rsidR="001E5BAA" w:rsidRPr="00E5087D">
              <w:t>29.9</w:t>
            </w:r>
          </w:p>
        </w:tc>
      </w:tr>
      <w:tr w:rsidR="001E5BAA" w:rsidRPr="00E5087D" w14:paraId="3B628EE7" w14:textId="77777777" w:rsidTr="00345CA0">
        <w:trPr>
          <w:trHeight w:val="405"/>
        </w:trPr>
        <w:tc>
          <w:tcPr>
            <w:tcW w:w="2888" w:type="pct"/>
          </w:tcPr>
          <w:p w14:paraId="5D14A143" w14:textId="77777777" w:rsidR="001E5BAA" w:rsidRPr="00E5087D" w:rsidRDefault="001E5BAA">
            <w:r w:rsidRPr="00E5087D">
              <w:t xml:space="preserve">   Mechanical Engineering Trades Workers</w:t>
            </w:r>
          </w:p>
        </w:tc>
        <w:tc>
          <w:tcPr>
            <w:tcW w:w="921" w:type="pct"/>
          </w:tcPr>
          <w:p w14:paraId="7B7B77F4" w14:textId="77777777" w:rsidR="001E5BAA" w:rsidRPr="00E5087D" w:rsidRDefault="001E5BAA" w:rsidP="001B4EB7">
            <w:pPr>
              <w:tabs>
                <w:tab w:val="decimal" w:pos="680"/>
              </w:tabs>
              <w:jc w:val="right"/>
            </w:pPr>
            <w:r w:rsidRPr="00E5087D">
              <w:t>21.1</w:t>
            </w:r>
          </w:p>
        </w:tc>
        <w:tc>
          <w:tcPr>
            <w:tcW w:w="1191" w:type="pct"/>
          </w:tcPr>
          <w:p w14:paraId="4AB5CC11" w14:textId="6900A598" w:rsidR="001E5BAA" w:rsidRPr="00E5087D" w:rsidRDefault="00217E86" w:rsidP="001B4EB7">
            <w:pPr>
              <w:tabs>
                <w:tab w:val="decimal" w:pos="680"/>
              </w:tabs>
              <w:jc w:val="right"/>
            </w:pPr>
            <w:r>
              <w:t xml:space="preserve">            </w:t>
            </w:r>
            <w:r w:rsidR="001E5BAA" w:rsidRPr="00E5087D">
              <w:t>36.9</w:t>
            </w:r>
          </w:p>
        </w:tc>
      </w:tr>
      <w:tr w:rsidR="001E5BAA" w:rsidRPr="00E5087D" w14:paraId="54A0C36E" w14:textId="77777777" w:rsidTr="00345CA0">
        <w:trPr>
          <w:trHeight w:val="405"/>
        </w:trPr>
        <w:tc>
          <w:tcPr>
            <w:tcW w:w="2888" w:type="pct"/>
          </w:tcPr>
          <w:p w14:paraId="4F110EE1" w14:textId="77777777" w:rsidR="001E5BAA" w:rsidRPr="00E5087D" w:rsidRDefault="001E5BAA">
            <w:r w:rsidRPr="00E5087D">
              <w:t xml:space="preserve">   Engineering Professionals</w:t>
            </w:r>
          </w:p>
        </w:tc>
        <w:tc>
          <w:tcPr>
            <w:tcW w:w="921" w:type="pct"/>
          </w:tcPr>
          <w:p w14:paraId="5C74BB35" w14:textId="7538F0F1" w:rsidR="001E5BAA" w:rsidRPr="00E5087D" w:rsidRDefault="001E5BAA" w:rsidP="001B4EB7">
            <w:pPr>
              <w:tabs>
                <w:tab w:val="decimal" w:pos="680"/>
              </w:tabs>
              <w:jc w:val="right"/>
            </w:pPr>
            <w:r w:rsidRPr="00E5087D">
              <w:t>4.0</w:t>
            </w:r>
          </w:p>
        </w:tc>
        <w:tc>
          <w:tcPr>
            <w:tcW w:w="1191" w:type="pct"/>
          </w:tcPr>
          <w:p w14:paraId="053EC88F" w14:textId="253F64D4" w:rsidR="001E5BAA" w:rsidRPr="00E5087D" w:rsidRDefault="00217E86" w:rsidP="001B4EB7">
            <w:pPr>
              <w:tabs>
                <w:tab w:val="decimal" w:pos="680"/>
              </w:tabs>
              <w:jc w:val="right"/>
            </w:pPr>
            <w:r>
              <w:t xml:space="preserve">            </w:t>
            </w:r>
            <w:r w:rsidR="001E5BAA" w:rsidRPr="00E5087D">
              <w:t>20.8</w:t>
            </w:r>
          </w:p>
        </w:tc>
      </w:tr>
      <w:tr w:rsidR="001E5BAA" w:rsidRPr="00E5087D" w14:paraId="72804E2A" w14:textId="77777777" w:rsidTr="00345CA0">
        <w:trPr>
          <w:trHeight w:val="405"/>
        </w:trPr>
        <w:tc>
          <w:tcPr>
            <w:tcW w:w="2888" w:type="pct"/>
          </w:tcPr>
          <w:p w14:paraId="3676369E" w14:textId="17A1EB45" w:rsidR="001E5BAA" w:rsidRPr="00E5087D" w:rsidRDefault="00217E86">
            <w:r>
              <w:t xml:space="preserve">   </w:t>
            </w:r>
            <w:r w:rsidR="001E5BAA" w:rsidRPr="00E5087D">
              <w:t xml:space="preserve">All Australian workforce </w:t>
            </w:r>
          </w:p>
        </w:tc>
        <w:tc>
          <w:tcPr>
            <w:tcW w:w="921" w:type="pct"/>
          </w:tcPr>
          <w:p w14:paraId="701A1533" w14:textId="77777777" w:rsidR="001E5BAA" w:rsidRPr="00E5087D" w:rsidRDefault="001E5BAA" w:rsidP="001B4EB7">
            <w:pPr>
              <w:tabs>
                <w:tab w:val="decimal" w:pos="680"/>
              </w:tabs>
              <w:jc w:val="right"/>
            </w:pPr>
            <w:r w:rsidRPr="00E5087D">
              <w:t>11.7</w:t>
            </w:r>
          </w:p>
        </w:tc>
        <w:tc>
          <w:tcPr>
            <w:tcW w:w="1191" w:type="pct"/>
          </w:tcPr>
          <w:p w14:paraId="33AC4282" w14:textId="2C1208A3" w:rsidR="001E5BAA" w:rsidRPr="00E5087D" w:rsidRDefault="00217E86" w:rsidP="001B4EB7">
            <w:pPr>
              <w:tabs>
                <w:tab w:val="decimal" w:pos="680"/>
              </w:tabs>
              <w:jc w:val="right"/>
            </w:pPr>
            <w:r>
              <w:t xml:space="preserve">            </w:t>
            </w:r>
            <w:r w:rsidR="001E5BAA" w:rsidRPr="00E5087D">
              <w:t>35.1</w:t>
            </w:r>
          </w:p>
        </w:tc>
      </w:tr>
    </w:tbl>
    <w:p w14:paraId="15B13476" w14:textId="26599454" w:rsidR="001E5BAA" w:rsidRPr="00C826AD" w:rsidRDefault="001E5BAA">
      <w:pPr>
        <w:rPr>
          <w:sz w:val="18"/>
          <w:szCs w:val="18"/>
        </w:rPr>
      </w:pPr>
      <w:r w:rsidRPr="00E5087D">
        <w:rPr>
          <w:sz w:val="18"/>
          <w:szCs w:val="18"/>
        </w:rPr>
        <w:t>Source: Characteristics of employment, August 2022</w:t>
      </w:r>
      <w:r w:rsidRPr="00E5087D">
        <w:rPr>
          <w:color w:val="FF0000"/>
        </w:rPr>
        <w:br w:type="page"/>
      </w:r>
    </w:p>
    <w:p w14:paraId="03E48D42" w14:textId="77777777" w:rsidR="005F6D5E" w:rsidRPr="00E5087D" w:rsidRDefault="005F6D5E" w:rsidP="005F6D5E">
      <w:pPr>
        <w:pStyle w:val="Heading2"/>
      </w:pPr>
      <w:bookmarkStart w:id="38" w:name="_Toc146892672"/>
      <w:r w:rsidRPr="00D05592">
        <w:rPr>
          <w:rFonts w:asciiTheme="minorHAnsi" w:hAnsiTheme="minorHAnsi" w:cstheme="minorHAnsi"/>
        </w:rPr>
        <w:lastRenderedPageBreak/>
        <w:t>3</w:t>
      </w:r>
      <w:r w:rsidRPr="00D05592">
        <w:rPr>
          <w:rFonts w:asciiTheme="minorHAnsi" w:hAnsiTheme="minorHAnsi" w:cstheme="minorHAnsi"/>
          <w:smallCaps/>
        </w:rPr>
        <w:t>b</w:t>
      </w:r>
      <w:r w:rsidRPr="00D05592">
        <w:rPr>
          <w:rFonts w:asciiTheme="minorHAnsi" w:hAnsiTheme="minorHAnsi" w:cstheme="minorHAnsi"/>
        </w:rPr>
        <w:t>.</w:t>
      </w:r>
      <w:r w:rsidRPr="00E5087D">
        <w:t xml:space="preserve"> </w:t>
      </w:r>
      <w:r w:rsidRPr="00E5087D">
        <w:rPr>
          <w:b w:val="0"/>
          <w:bCs/>
        </w:rPr>
        <w:t>Firm characteristics</w:t>
      </w:r>
      <w:bookmarkEnd w:id="38"/>
    </w:p>
    <w:p w14:paraId="720BCF8D" w14:textId="6F5BFBEE" w:rsidR="005F6D5E" w:rsidRPr="00E5087D" w:rsidRDefault="005F6D5E" w:rsidP="005F6D5E">
      <w:pPr>
        <w:pStyle w:val="Heading3"/>
      </w:pPr>
      <w:r w:rsidRPr="00E5087D">
        <w:t>Clean energy supply</w:t>
      </w:r>
    </w:p>
    <w:p w14:paraId="4A26455D" w14:textId="77777777" w:rsidR="005F6D5E" w:rsidRPr="00E5087D" w:rsidRDefault="005F6D5E" w:rsidP="005F6D5E">
      <w:pPr>
        <w:pStyle w:val="Heading4"/>
        <w:rPr>
          <w:color w:val="1192E8" w:themeColor="accent3"/>
        </w:rPr>
      </w:pPr>
      <w:r w:rsidRPr="00E5087D">
        <w:rPr>
          <w:color w:val="1192E8" w:themeColor="accent3"/>
        </w:rPr>
        <w:t>Renewable electricity generation</w:t>
      </w:r>
    </w:p>
    <w:p w14:paraId="393FE56A" w14:textId="43319848" w:rsidR="005F6D5E" w:rsidRPr="00E5087D" w:rsidRDefault="005F6D5E" w:rsidP="005F6D5E">
      <w:r w:rsidRPr="00E5087D">
        <w:t>Firms within the renewable energy market build and maintain the renewable infrastructure, provide utility-scale energy generation and distribution</w:t>
      </w:r>
      <w:r w:rsidR="00DD1508" w:rsidRPr="00E5087D">
        <w:t>,</w:t>
      </w:r>
      <w:r w:rsidRPr="00E5087D">
        <w:t xml:space="preserve"> and install small-scale renewable energy (for example household solar). Renewable electricity generation is best understood by energy source and scale (utility solar, rooftop solar, onshore wind, offshore wind, hydroelectric</w:t>
      </w:r>
      <w:r w:rsidR="003B6AB5">
        <w:t>ity</w:t>
      </w:r>
      <w:r w:rsidRPr="00E5087D">
        <w:t>).</w:t>
      </w:r>
    </w:p>
    <w:p w14:paraId="6350EB2C" w14:textId="77777777" w:rsidR="005F6D5E" w:rsidRPr="00E5087D" w:rsidRDefault="005F6D5E" w:rsidP="005F6D5E">
      <w:pPr>
        <w:pStyle w:val="Heading5"/>
        <w:spacing w:before="240" w:after="120"/>
      </w:pPr>
      <w:r w:rsidRPr="00E5087D">
        <w:t>Solar</w:t>
      </w:r>
    </w:p>
    <w:p w14:paraId="325AE4C1" w14:textId="262891A0" w:rsidR="005F6D5E" w:rsidRPr="00E5087D" w:rsidRDefault="005F6D5E" w:rsidP="005C7B96">
      <w:pPr>
        <w:spacing w:line="276" w:lineRule="auto"/>
        <w:rPr>
          <w14:numForm w14:val="lining"/>
          <w14:numSpacing w14:val="proportional"/>
        </w:rPr>
      </w:pPr>
      <w:r w:rsidRPr="00E5087D">
        <w:rPr>
          <w14:numForm w14:val="lining"/>
          <w14:numSpacing w14:val="proportional"/>
        </w:rPr>
        <w:t xml:space="preserve">The </w:t>
      </w:r>
      <w:r w:rsidR="00712085" w:rsidRPr="00712085">
        <w:rPr>
          <w14:numForm w14:val="lining"/>
          <w14:numSpacing w14:val="proportional"/>
        </w:rPr>
        <w:t>CEC</w:t>
      </w:r>
      <w:r w:rsidRPr="00E5087D">
        <w:rPr>
          <w14:numForm w14:val="lining"/>
          <w14:numSpacing w14:val="proportional"/>
        </w:rPr>
        <w:t>’s Empowering Everyone survey found nearly 50</w:t>
      </w:r>
      <w:r w:rsidR="00B17A48">
        <w:rPr>
          <w14:numForm w14:val="lining"/>
          <w14:numSpacing w14:val="proportional"/>
        </w:rPr>
        <w:t>%</w:t>
      </w:r>
      <w:r w:rsidRPr="00E5087D">
        <w:rPr>
          <w14:numForm w14:val="lining"/>
          <w14:numSpacing w14:val="proportional"/>
        </w:rPr>
        <w:t xml:space="preserve"> of utility-scale renewable energy businesses had 200 employees or more compared to 31</w:t>
      </w:r>
      <w:r w:rsidR="00B17A48">
        <w:rPr>
          <w14:numForm w14:val="lining"/>
          <w14:numSpacing w14:val="proportional"/>
        </w:rPr>
        <w:t>%</w:t>
      </w:r>
      <w:r w:rsidRPr="00E5087D">
        <w:rPr>
          <w14:numForm w14:val="lining"/>
          <w14:numSpacing w14:val="proportional"/>
        </w:rPr>
        <w:t xml:space="preserve"> of smaller scale renewable organisations. Analysis of the membership available on the </w:t>
      </w:r>
      <w:r w:rsidR="00C759B7">
        <w:rPr>
          <w:rFonts w:cs="Arial"/>
          <w14:numForm w14:val="lining"/>
          <w14:numSpacing w14:val="proportional"/>
        </w:rPr>
        <w:t>CEC</w:t>
      </w:r>
      <w:r w:rsidRPr="00E5087D">
        <w:rPr>
          <w14:numForm w14:val="lining"/>
          <w14:numSpacing w14:val="proportional"/>
        </w:rPr>
        <w:t xml:space="preserve"> shows </w:t>
      </w:r>
      <w:r w:rsidR="7559CEDE" w:rsidRPr="00E5087D">
        <w:rPr>
          <w14:numForm w14:val="lining"/>
          <w14:numSpacing w14:val="proportional"/>
        </w:rPr>
        <w:t>several</w:t>
      </w:r>
      <w:r w:rsidRPr="00E5087D">
        <w:rPr>
          <w14:numForm w14:val="lining"/>
          <w14:numSpacing w14:val="proportional"/>
        </w:rPr>
        <w:t xml:space="preserve"> small-scale solar rooftop installers. Small-scale renewable energy generation now accounts for a quarter of renewable energy generat</w:t>
      </w:r>
      <w:r w:rsidR="00EF5E5B">
        <w:rPr>
          <w14:numForm w14:val="lining"/>
          <w14:numSpacing w14:val="proportional"/>
        </w:rPr>
        <w:t>ion</w:t>
      </w:r>
      <w:r w:rsidRPr="00E5087D">
        <w:rPr>
          <w14:numForm w14:val="lining"/>
          <w14:numSpacing w14:val="proportional"/>
        </w:rPr>
        <w:t xml:space="preserve"> with storage expected to increase as the costs of batteries reduce. The small-scale renewable energy market provides significant employment to businesses, including small business and sole traders, providing roof top solar installation, solar </w:t>
      </w:r>
      <w:r w:rsidR="47ADD94B" w:rsidRPr="00E5087D">
        <w:rPr>
          <w14:numForm w14:val="lining"/>
          <w14:numSpacing w14:val="proportional"/>
        </w:rPr>
        <w:t xml:space="preserve">panel </w:t>
      </w:r>
      <w:r w:rsidRPr="00E5087D">
        <w:rPr>
          <w14:numForm w14:val="lining"/>
          <w14:numSpacing w14:val="proportional"/>
        </w:rPr>
        <w:t xml:space="preserve">cleaning, battery systems installation and energy management advisory services. The </w:t>
      </w:r>
      <w:r w:rsidR="00C759B7">
        <w:rPr>
          <w:rFonts w:cs="Arial"/>
          <w14:numForm w14:val="lining"/>
          <w14:numSpacing w14:val="proportional"/>
        </w:rPr>
        <w:t>CEC</w:t>
      </w:r>
      <w:r w:rsidRPr="00E5087D">
        <w:rPr>
          <w14:numForm w14:val="lining"/>
          <w14:numSpacing w14:val="proportional"/>
        </w:rPr>
        <w:t xml:space="preserve"> has accredited nearly 9</w:t>
      </w:r>
      <w:r w:rsidR="003D4AE7">
        <w:t>,</w:t>
      </w:r>
      <w:r w:rsidRPr="00E5087D">
        <w:rPr>
          <w14:numForm w14:val="lining"/>
          <w14:numSpacing w14:val="proportional"/>
        </w:rPr>
        <w:t xml:space="preserve">000 installers and designers. Many of these businesses provide additional electrical services, and as noted in </w:t>
      </w:r>
      <w:r w:rsidRPr="00EE68FD">
        <w:rPr>
          <w:b/>
          <w:bCs/>
          <w14:numForm w14:val="lining"/>
          <w14:numSpacing w14:val="proportional"/>
        </w:rPr>
        <w:t>Chapter 2</w:t>
      </w:r>
      <w:r w:rsidRPr="00E5087D">
        <w:rPr>
          <w14:numForm w14:val="lining"/>
          <w14:numSpacing w14:val="proportional"/>
        </w:rPr>
        <w:t xml:space="preserve"> are counted in the Electrical Services ANZSIC group. </w:t>
      </w:r>
    </w:p>
    <w:p w14:paraId="64069DEC" w14:textId="246E0841" w:rsidR="005F6D5E" w:rsidRPr="00E5087D" w:rsidRDefault="00296879" w:rsidP="005C7B96">
      <w:pPr>
        <w:spacing w:line="276" w:lineRule="auto"/>
        <w:rPr>
          <w14:numForm w14:val="lining"/>
          <w14:numSpacing w14:val="proportional"/>
        </w:rPr>
      </w:pPr>
      <w:r w:rsidRPr="00C05043">
        <w:rPr>
          <w:rFonts w:cstheme="minorHAnsi"/>
        </w:rPr>
        <w:t xml:space="preserve">The commercial solar market is mature and relatively well diversified. </w:t>
      </w:r>
      <w:r w:rsidR="005F6D5E" w:rsidRPr="00E5087D">
        <w:rPr>
          <w14:numForm w14:val="lining"/>
          <w14:numSpacing w14:val="proportional"/>
        </w:rPr>
        <w:t>At present</w:t>
      </w:r>
      <w:r w:rsidR="003D4AE7">
        <w:rPr>
          <w14:numForm w14:val="lining"/>
          <w14:numSpacing w14:val="proportional"/>
        </w:rPr>
        <w:t>,</w:t>
      </w:r>
      <w:r w:rsidR="005F6D5E" w:rsidRPr="00E5087D">
        <w:rPr>
          <w14:numForm w14:val="lining"/>
          <w14:numSpacing w14:val="proportional"/>
        </w:rPr>
        <w:t xml:space="preserve"> the largest utility-scale solar electricity generators are Neoen Australia, FRV Australia, Wirsol Energy, AGL and Enel Green Power</w:t>
      </w:r>
      <w:r w:rsidR="006508D1">
        <w:rPr>
          <w14:numForm w14:val="lining"/>
          <w14:numSpacing w14:val="proportional"/>
        </w:rPr>
        <w:t xml:space="preserve"> (</w:t>
      </w:r>
      <w:r w:rsidR="003E38C5">
        <w:rPr>
          <w14:numForm w14:val="lining"/>
          <w14:numSpacing w14:val="proportional"/>
        </w:rPr>
        <w:t>Figure</w:t>
      </w:r>
      <w:r w:rsidR="006508D1">
        <w:rPr>
          <w14:numForm w14:val="lining"/>
          <w14:numSpacing w14:val="proportional"/>
        </w:rPr>
        <w:t xml:space="preserve"> 3.2</w:t>
      </w:r>
      <w:r w:rsidR="00C50663">
        <w:rPr>
          <w14:numForm w14:val="lining"/>
          <w14:numSpacing w14:val="proportional"/>
        </w:rPr>
        <w:t>1</w:t>
      </w:r>
      <w:r w:rsidR="006508D1">
        <w:rPr>
          <w14:numForm w14:val="lining"/>
          <w14:numSpacing w14:val="proportional"/>
        </w:rPr>
        <w:t>)</w:t>
      </w:r>
      <w:r w:rsidR="005F6D5E" w:rsidRPr="00E5087D">
        <w:rPr>
          <w14:numForm w14:val="lining"/>
          <w14:numSpacing w14:val="proportional"/>
        </w:rPr>
        <w:t>.</w:t>
      </w:r>
    </w:p>
    <w:p w14:paraId="6CE55075" w14:textId="77777777" w:rsidR="005F6D5E" w:rsidRPr="00E5087D" w:rsidRDefault="005F6D5E" w:rsidP="005F6D5E">
      <w:pPr>
        <w:rPr>
          <w:b/>
          <w:bCs/>
        </w:rPr>
      </w:pPr>
      <w:r w:rsidRPr="00E5087D">
        <w:rPr>
          <w:b/>
          <w:bCs/>
        </w:rPr>
        <w:br w:type="page"/>
      </w:r>
    </w:p>
    <w:p w14:paraId="344C7DA8" w14:textId="3BA31D19" w:rsidR="005F6D5E" w:rsidRPr="00E5087D" w:rsidRDefault="005F6D5E" w:rsidP="00342F5A">
      <w:pPr>
        <w:pBdr>
          <w:top w:val="single" w:sz="4" w:space="6" w:color="BFBFBF" w:themeColor="background1" w:themeShade="BF"/>
        </w:pBdr>
        <w:spacing w:after="120" w:line="240" w:lineRule="auto"/>
        <w:rPr>
          <w:b/>
          <w:bCs/>
        </w:rPr>
      </w:pPr>
      <w:r w:rsidRPr="00E5087D">
        <w:rPr>
          <w:b/>
          <w:bCs/>
        </w:rPr>
        <w:lastRenderedPageBreak/>
        <w:t>Figure 3</w:t>
      </w:r>
      <w:r w:rsidR="00DD1508">
        <w:rPr>
          <w:b/>
          <w:bCs/>
        </w:rPr>
        <w:t>.2</w:t>
      </w:r>
      <w:r w:rsidR="00C50663">
        <w:rPr>
          <w:b/>
          <w:bCs/>
        </w:rPr>
        <w:t>1</w:t>
      </w:r>
      <w:r w:rsidR="009E6F85" w:rsidRPr="00E5087D">
        <w:rPr>
          <w:b/>
          <w:bCs/>
        </w:rPr>
        <w:t>.</w:t>
      </w:r>
      <w:r w:rsidRPr="00E5087D">
        <w:rPr>
          <w:b/>
          <w:bCs/>
        </w:rPr>
        <w:t xml:space="preserve"> Major firms in solar generation</w:t>
      </w:r>
    </w:p>
    <w:tbl>
      <w:tblPr>
        <w:tblStyle w:val="TableGrid"/>
        <w:tblW w:w="0" w:type="auto"/>
        <w:tblBorders>
          <w:top w:val="single" w:sz="4" w:space="0" w:color="78821A" w:themeColor="background2" w:themeShade="80"/>
          <w:left w:val="single" w:sz="4" w:space="0" w:color="78821A" w:themeColor="background2" w:themeShade="80"/>
          <w:bottom w:val="single" w:sz="4" w:space="0" w:color="78821A" w:themeColor="background2" w:themeShade="80"/>
          <w:right w:val="single" w:sz="4" w:space="0" w:color="78821A" w:themeColor="background2" w:themeShade="80"/>
          <w:insideH w:val="single" w:sz="4" w:space="0" w:color="78821A" w:themeColor="background2" w:themeShade="80"/>
          <w:insideV w:val="single" w:sz="4" w:space="0" w:color="78821A" w:themeColor="background2" w:themeShade="80"/>
        </w:tblBorders>
        <w:tblCellMar>
          <w:top w:w="85" w:type="dxa"/>
          <w:bottom w:w="85" w:type="dxa"/>
        </w:tblCellMar>
        <w:tblLook w:val="04A0" w:firstRow="1" w:lastRow="0" w:firstColumn="1" w:lastColumn="0" w:noHBand="0" w:noVBand="1"/>
      </w:tblPr>
      <w:tblGrid>
        <w:gridCol w:w="4508"/>
        <w:gridCol w:w="4508"/>
      </w:tblGrid>
      <w:tr w:rsidR="005F6D5E" w:rsidRPr="00E5087D" w14:paraId="275D4EAC" w14:textId="77777777">
        <w:tc>
          <w:tcPr>
            <w:tcW w:w="4508" w:type="dxa"/>
            <w:shd w:val="clear" w:color="auto" w:fill="E3EB9B" w:themeFill="background2" w:themeFillTint="99"/>
          </w:tcPr>
          <w:p w14:paraId="757D7842" w14:textId="77777777" w:rsidR="005F6D5E" w:rsidRPr="00E5087D" w:rsidRDefault="005F6D5E">
            <w:pPr>
              <w:spacing w:before="120" w:after="120"/>
              <w:contextualSpacing/>
              <w:rPr>
                <w:b/>
                <w:sz w:val="24"/>
                <w:szCs w:val="24"/>
              </w:rPr>
            </w:pPr>
            <w:r w:rsidRPr="00E5087D">
              <w:rPr>
                <w:b/>
                <w:sz w:val="24"/>
                <w:szCs w:val="24"/>
              </w:rPr>
              <w:t>Neoen Australia</w:t>
            </w:r>
          </w:p>
          <w:p w14:paraId="697B8132"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12%</w:t>
            </w:r>
          </w:p>
          <w:p w14:paraId="421859DE"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3B3C7968"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Colembally (NSW, 150 MW)</w:t>
            </w:r>
          </w:p>
          <w:p w14:paraId="1A0A69D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Western Downs (Qld, 460 MW</w:t>
            </w:r>
            <w:r w:rsidRPr="00E5087D">
              <w:rPr>
                <w:sz w:val="20"/>
                <w:szCs w:val="20"/>
                <w:vertAlign w:val="subscript"/>
              </w:rPr>
              <w:t>p</w:t>
            </w:r>
            <w:r w:rsidRPr="00E5087D">
              <w:rPr>
                <w:sz w:val="20"/>
                <w:szCs w:val="20"/>
              </w:rPr>
              <w:t>)</w:t>
            </w:r>
          </w:p>
          <w:p w14:paraId="1C8C3062"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Numurkah (Vic, 128 MW)</w:t>
            </w:r>
          </w:p>
          <w:p w14:paraId="4928E50F"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Griffith (NSW, 36 MW)</w:t>
            </w:r>
          </w:p>
          <w:p w14:paraId="40E858E6" w14:textId="77777777" w:rsidR="005F6D5E" w:rsidRPr="00E5087D" w:rsidRDefault="005F6D5E">
            <w:pPr>
              <w:spacing w:before="120" w:after="120"/>
              <w:contextualSpacing/>
              <w:rPr>
                <w:sz w:val="20"/>
                <w:szCs w:val="20"/>
              </w:rPr>
            </w:pPr>
            <w:r w:rsidRPr="00E5087D">
              <w:rPr>
                <w:b/>
                <w:color w:val="7F7F7F" w:themeColor="text1" w:themeTint="80"/>
                <w:sz w:val="20"/>
                <w:szCs w:val="20"/>
              </w:rPr>
              <w:t>History:</w:t>
            </w:r>
            <w:r w:rsidRPr="00E5087D">
              <w:rPr>
                <w:sz w:val="20"/>
                <w:szCs w:val="20"/>
              </w:rPr>
              <w:t xml:space="preserve"> established in Australia 2012</w:t>
            </w:r>
          </w:p>
          <w:p w14:paraId="2CA75156" w14:textId="77777777" w:rsidR="005F6D5E" w:rsidRPr="00E5087D" w:rsidRDefault="005F6D5E">
            <w:pPr>
              <w:spacing w:before="120" w:after="120"/>
              <w:contextualSpacing/>
              <w:rPr>
                <w:b/>
                <w:sz w:val="20"/>
                <w:szCs w:val="20"/>
              </w:rPr>
            </w:pPr>
            <w:r w:rsidRPr="00E5087D">
              <w:rPr>
                <w:b/>
                <w:color w:val="7F7F7F" w:themeColor="text1" w:themeTint="80"/>
                <w:sz w:val="20"/>
                <w:szCs w:val="20"/>
              </w:rPr>
              <w:t>Ownership structure:</w:t>
            </w:r>
            <w:r w:rsidRPr="00E5087D">
              <w:rPr>
                <w:b/>
                <w:sz w:val="20"/>
                <w:szCs w:val="20"/>
              </w:rPr>
              <w:t xml:space="preserve"> </w:t>
            </w:r>
          </w:p>
          <w:p w14:paraId="29E82BA8" w14:textId="77777777" w:rsidR="005F6D5E" w:rsidRPr="00E5087D" w:rsidRDefault="005F6D5E">
            <w:pPr>
              <w:spacing w:before="120" w:after="120"/>
              <w:contextualSpacing/>
              <w:rPr>
                <w:sz w:val="20"/>
                <w:szCs w:val="20"/>
              </w:rPr>
            </w:pPr>
            <w:r w:rsidRPr="00E5087D">
              <w:rPr>
                <w:sz w:val="20"/>
                <w:szCs w:val="20"/>
              </w:rPr>
              <w:t>Neoen is the leading French independent producer of renewable energy.</w:t>
            </w:r>
          </w:p>
          <w:p w14:paraId="4ADF9696" w14:textId="77777777" w:rsidR="005F6D5E" w:rsidRPr="00E5087D" w:rsidRDefault="005F6D5E">
            <w:pPr>
              <w:spacing w:before="120" w:after="120"/>
              <w:contextualSpacing/>
              <w:rPr>
                <w:b/>
                <w:sz w:val="20"/>
                <w:szCs w:val="20"/>
              </w:rPr>
            </w:pPr>
            <w:r w:rsidRPr="00E5087D">
              <w:rPr>
                <w:b/>
                <w:color w:val="7F7F7F" w:themeColor="text1" w:themeTint="80"/>
                <w:sz w:val="20"/>
                <w:szCs w:val="20"/>
              </w:rPr>
              <w:t>Other activities:</w:t>
            </w:r>
            <w:r w:rsidRPr="00E5087D">
              <w:rPr>
                <w:b/>
                <w:sz w:val="20"/>
                <w:szCs w:val="20"/>
              </w:rPr>
              <w:t xml:space="preserve"> </w:t>
            </w:r>
          </w:p>
          <w:p w14:paraId="7EA0C810" w14:textId="178F7785" w:rsidR="005F6D5E" w:rsidRPr="00E5087D" w:rsidRDefault="005F6D5E">
            <w:pPr>
              <w:spacing w:before="120" w:after="120"/>
              <w:contextualSpacing/>
              <w:rPr>
                <w:sz w:val="20"/>
                <w:szCs w:val="20"/>
              </w:rPr>
            </w:pPr>
            <w:r w:rsidRPr="00E5087D">
              <w:rPr>
                <w:sz w:val="20"/>
                <w:szCs w:val="20"/>
              </w:rPr>
              <w:t xml:space="preserve">Neoen also has wind projects in Australia and built or is contracted to build a number of big batteries, Blyth (SA), Hornsdale (SA), Geelong (Vic), ACT and Western Downs (Qld) </w:t>
            </w:r>
          </w:p>
          <w:p w14:paraId="79280A44" w14:textId="77777777" w:rsidR="005F6D5E" w:rsidRPr="00E5087D" w:rsidRDefault="005F6D5E">
            <w:pPr>
              <w:spacing w:before="120" w:after="120"/>
              <w:contextualSpacing/>
              <w:rPr>
                <w:b/>
              </w:rPr>
            </w:pPr>
            <w:r w:rsidRPr="00E5087D">
              <w:rPr>
                <w:sz w:val="20"/>
                <w:szCs w:val="20"/>
              </w:rPr>
              <w:t>Neoen operates in 17 countries.</w:t>
            </w:r>
            <w:r w:rsidRPr="00E5087D">
              <w:rPr>
                <w:b/>
              </w:rPr>
              <w:t xml:space="preserve"> </w:t>
            </w:r>
          </w:p>
        </w:tc>
        <w:tc>
          <w:tcPr>
            <w:tcW w:w="4508" w:type="dxa"/>
            <w:shd w:val="clear" w:color="auto" w:fill="E3EB9B" w:themeFill="background2" w:themeFillTint="99"/>
          </w:tcPr>
          <w:p w14:paraId="101EC7AB" w14:textId="77777777" w:rsidR="005F6D5E" w:rsidRPr="00E5087D" w:rsidRDefault="005F6D5E">
            <w:pPr>
              <w:spacing w:before="120" w:after="120"/>
              <w:contextualSpacing/>
              <w:rPr>
                <w:b/>
                <w:sz w:val="24"/>
                <w:szCs w:val="24"/>
              </w:rPr>
            </w:pPr>
            <w:r w:rsidRPr="00E5087D">
              <w:rPr>
                <w:b/>
                <w:sz w:val="24"/>
                <w:szCs w:val="24"/>
              </w:rPr>
              <w:t>FRV Australia</w:t>
            </w:r>
          </w:p>
          <w:p w14:paraId="07DEB36E"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12%</w:t>
            </w:r>
          </w:p>
          <w:p w14:paraId="0596414E"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7054059B"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Royalla (ACT, 20 MW</w:t>
            </w:r>
            <w:r w:rsidRPr="00E5087D">
              <w:rPr>
                <w:sz w:val="20"/>
                <w:szCs w:val="20"/>
                <w:vertAlign w:val="subscript"/>
              </w:rPr>
              <w:t>ac</w:t>
            </w:r>
            <w:r w:rsidRPr="00E5087D">
              <w:rPr>
                <w:sz w:val="20"/>
                <w:szCs w:val="20"/>
              </w:rPr>
              <w:t>)</w:t>
            </w:r>
          </w:p>
          <w:p w14:paraId="6267F4F5"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Clare (Qld, 100 MW</w:t>
            </w:r>
            <w:r w:rsidRPr="00E5087D">
              <w:rPr>
                <w:sz w:val="20"/>
                <w:szCs w:val="20"/>
                <w:vertAlign w:val="subscript"/>
              </w:rPr>
              <w:t>ac</w:t>
            </w:r>
            <w:r w:rsidRPr="00E5087D">
              <w:rPr>
                <w:sz w:val="20"/>
                <w:szCs w:val="20"/>
              </w:rPr>
              <w:t>)</w:t>
            </w:r>
          </w:p>
          <w:p w14:paraId="492D3957"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Lilyvale (Qld, 100 MW</w:t>
            </w:r>
            <w:r w:rsidRPr="00E5087D">
              <w:rPr>
                <w:sz w:val="20"/>
                <w:szCs w:val="20"/>
                <w:vertAlign w:val="subscript"/>
              </w:rPr>
              <w:t>ac</w:t>
            </w:r>
            <w:r w:rsidRPr="00E5087D">
              <w:rPr>
                <w:sz w:val="20"/>
                <w:szCs w:val="20"/>
              </w:rPr>
              <w:t>)</w:t>
            </w:r>
          </w:p>
          <w:p w14:paraId="66FD8C61"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Moree (NSW, 56 MW</w:t>
            </w:r>
            <w:r w:rsidRPr="00E5087D">
              <w:rPr>
                <w:sz w:val="20"/>
                <w:szCs w:val="20"/>
                <w:vertAlign w:val="subscript"/>
              </w:rPr>
              <w:t>ac</w:t>
            </w:r>
            <w:r w:rsidRPr="00E5087D">
              <w:rPr>
                <w:sz w:val="20"/>
                <w:szCs w:val="20"/>
              </w:rPr>
              <w:t>)</w:t>
            </w:r>
          </w:p>
          <w:p w14:paraId="27FF53E9"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Goonumbla (NSW, 68.7 MW</w:t>
            </w:r>
            <w:r w:rsidRPr="00E5087D">
              <w:rPr>
                <w:sz w:val="20"/>
                <w:szCs w:val="20"/>
                <w:vertAlign w:val="subscript"/>
              </w:rPr>
              <w:t>ac</w:t>
            </w:r>
            <w:r w:rsidRPr="00E5087D">
              <w:rPr>
                <w:sz w:val="20"/>
                <w:szCs w:val="20"/>
              </w:rPr>
              <w:t>)</w:t>
            </w:r>
          </w:p>
          <w:p w14:paraId="0942CFFD"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Sebastapol (NSW, 90 MW</w:t>
            </w:r>
            <w:r w:rsidRPr="00E5087D">
              <w:rPr>
                <w:sz w:val="20"/>
                <w:szCs w:val="20"/>
                <w:vertAlign w:val="subscript"/>
              </w:rPr>
              <w:t>ac</w:t>
            </w:r>
            <w:r w:rsidRPr="00E5087D">
              <w:rPr>
                <w:sz w:val="20"/>
                <w:szCs w:val="20"/>
              </w:rPr>
              <w:t>)</w:t>
            </w:r>
          </w:p>
          <w:p w14:paraId="6331D52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Winton (Vic, 85 MW</w:t>
            </w:r>
            <w:r w:rsidRPr="00E5087D">
              <w:rPr>
                <w:sz w:val="20"/>
                <w:szCs w:val="20"/>
                <w:vertAlign w:val="subscript"/>
              </w:rPr>
              <w:t>ac</w:t>
            </w:r>
            <w:r w:rsidRPr="00E5087D">
              <w:rPr>
                <w:sz w:val="20"/>
                <w:szCs w:val="20"/>
              </w:rPr>
              <w:t>)</w:t>
            </w:r>
          </w:p>
          <w:p w14:paraId="09CC2F5D" w14:textId="77777777" w:rsidR="005F6D5E" w:rsidRPr="00E5087D" w:rsidRDefault="005F6D5E">
            <w:pPr>
              <w:spacing w:before="120" w:after="120"/>
              <w:contextualSpacing/>
              <w:rPr>
                <w:b/>
                <w:sz w:val="20"/>
                <w:szCs w:val="20"/>
              </w:rPr>
            </w:pPr>
            <w:r w:rsidRPr="00E5087D">
              <w:rPr>
                <w:b/>
                <w:color w:val="7F7F7F" w:themeColor="text1" w:themeTint="80"/>
                <w:sz w:val="20"/>
                <w:szCs w:val="20"/>
              </w:rPr>
              <w:t>Ownership structure:</w:t>
            </w:r>
            <w:r w:rsidRPr="00E5087D">
              <w:rPr>
                <w:b/>
                <w:sz w:val="20"/>
                <w:szCs w:val="20"/>
              </w:rPr>
              <w:t xml:space="preserve"> </w:t>
            </w:r>
          </w:p>
          <w:p w14:paraId="7941BA9B" w14:textId="56E5A67C" w:rsidR="005F6D5E" w:rsidRPr="00E5087D" w:rsidRDefault="005F6D5E">
            <w:pPr>
              <w:spacing w:before="120" w:after="120"/>
              <w:contextualSpacing/>
              <w:rPr>
                <w:sz w:val="20"/>
                <w:szCs w:val="20"/>
              </w:rPr>
            </w:pPr>
            <w:r w:rsidRPr="00E5087D">
              <w:rPr>
                <w:sz w:val="20"/>
                <w:szCs w:val="20"/>
              </w:rPr>
              <w:t>Owned by Dubai and Saudi Arabia-based Abdul Latif Jameel Energy</w:t>
            </w:r>
            <w:r w:rsidR="006B12C2">
              <w:rPr>
                <w:sz w:val="20"/>
                <w:szCs w:val="20"/>
              </w:rPr>
              <w:t>.</w:t>
            </w:r>
          </w:p>
          <w:p w14:paraId="69A0B282" w14:textId="77777777" w:rsidR="005F6D5E" w:rsidRPr="00E5087D" w:rsidRDefault="005F6D5E">
            <w:pPr>
              <w:spacing w:before="120" w:after="120"/>
              <w:contextualSpacing/>
              <w:rPr>
                <w:b/>
                <w:color w:val="7F7F7F" w:themeColor="text1" w:themeTint="80"/>
                <w:sz w:val="20"/>
                <w:szCs w:val="20"/>
              </w:rPr>
            </w:pPr>
            <w:r w:rsidRPr="00E5087D">
              <w:rPr>
                <w:b/>
                <w:color w:val="7F7F7F" w:themeColor="text1" w:themeTint="80"/>
                <w:sz w:val="20"/>
                <w:szCs w:val="20"/>
              </w:rPr>
              <w:t>Other activities:</w:t>
            </w:r>
          </w:p>
          <w:p w14:paraId="54ED1C23" w14:textId="78F21803" w:rsidR="005F6D5E" w:rsidRPr="00E5087D" w:rsidRDefault="005F6D5E">
            <w:pPr>
              <w:spacing w:before="120" w:after="120"/>
              <w:contextualSpacing/>
            </w:pPr>
            <w:r w:rsidRPr="00E5087D">
              <w:rPr>
                <w:sz w:val="20"/>
                <w:szCs w:val="20"/>
              </w:rPr>
              <w:t>Fotowatio Renewable Ventures (FRV) specialises in renewable activities and is present in Australia, Asis, the Middle East, Africa, Europe and Latin America</w:t>
            </w:r>
            <w:r w:rsidR="003848A7">
              <w:rPr>
                <w:sz w:val="20"/>
                <w:szCs w:val="20"/>
              </w:rPr>
              <w:t>.</w:t>
            </w:r>
          </w:p>
        </w:tc>
      </w:tr>
      <w:tr w:rsidR="005F6D5E" w:rsidRPr="00E5087D" w14:paraId="27EE4916" w14:textId="77777777">
        <w:tc>
          <w:tcPr>
            <w:tcW w:w="4508" w:type="dxa"/>
            <w:shd w:val="clear" w:color="auto" w:fill="E3EB9B" w:themeFill="background2" w:themeFillTint="99"/>
          </w:tcPr>
          <w:p w14:paraId="419FDBCD" w14:textId="77777777" w:rsidR="005F6D5E" w:rsidRPr="00E5087D" w:rsidRDefault="005F6D5E">
            <w:pPr>
              <w:spacing w:before="120" w:after="120"/>
              <w:contextualSpacing/>
              <w:rPr>
                <w:b/>
                <w:sz w:val="24"/>
                <w:szCs w:val="24"/>
              </w:rPr>
            </w:pPr>
            <w:r w:rsidRPr="00E5087D">
              <w:rPr>
                <w:b/>
                <w:sz w:val="24"/>
                <w:szCs w:val="24"/>
              </w:rPr>
              <w:t>Wirsol Australia</w:t>
            </w:r>
          </w:p>
          <w:p w14:paraId="2CC00D9B"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6%</w:t>
            </w:r>
          </w:p>
          <w:p w14:paraId="5ED6CDBF"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719FFB70"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Whitsunday (Qld, 69 MW</w:t>
            </w:r>
            <w:r w:rsidRPr="00E5087D">
              <w:rPr>
                <w:sz w:val="20"/>
                <w:szCs w:val="20"/>
                <w:vertAlign w:val="subscript"/>
              </w:rPr>
              <w:t>p</w:t>
            </w:r>
            <w:r w:rsidRPr="00E5087D">
              <w:rPr>
                <w:sz w:val="20"/>
                <w:szCs w:val="20"/>
              </w:rPr>
              <w:t>)</w:t>
            </w:r>
          </w:p>
          <w:p w14:paraId="217DFCD6"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Hamilton (Qld, 69 MW</w:t>
            </w:r>
            <w:r w:rsidRPr="00E5087D">
              <w:rPr>
                <w:sz w:val="20"/>
                <w:szCs w:val="20"/>
                <w:vertAlign w:val="subscript"/>
              </w:rPr>
              <w:t>p</w:t>
            </w:r>
            <w:r w:rsidRPr="00E5087D">
              <w:rPr>
                <w:sz w:val="20"/>
                <w:szCs w:val="20"/>
              </w:rPr>
              <w:t>)</w:t>
            </w:r>
          </w:p>
          <w:p w14:paraId="79596F09"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Clermont (Qld, 89 MW)</w:t>
            </w:r>
          </w:p>
          <w:p w14:paraId="7705AF8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Gannawarra (Vic, 60 MW</w:t>
            </w:r>
            <w:r w:rsidRPr="00E5087D">
              <w:rPr>
                <w:sz w:val="20"/>
                <w:szCs w:val="20"/>
                <w:vertAlign w:val="subscript"/>
              </w:rPr>
              <w:t>p</w:t>
            </w:r>
            <w:r w:rsidRPr="00E5087D">
              <w:rPr>
                <w:sz w:val="20"/>
                <w:szCs w:val="20"/>
              </w:rPr>
              <w:t>)</w:t>
            </w:r>
          </w:p>
          <w:p w14:paraId="302C4A54"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Wemen (Vic, 110 MW</w:t>
            </w:r>
            <w:r w:rsidRPr="00E5087D">
              <w:rPr>
                <w:sz w:val="20"/>
                <w:szCs w:val="20"/>
                <w:vertAlign w:val="subscript"/>
              </w:rPr>
              <w:t>p</w:t>
            </w:r>
            <w:r w:rsidRPr="00E5087D">
              <w:rPr>
                <w:sz w:val="20"/>
                <w:szCs w:val="20"/>
              </w:rPr>
              <w:t>)</w:t>
            </w:r>
          </w:p>
          <w:p w14:paraId="2E2C4279"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Glenrowan (Vic, 149 MW</w:t>
            </w:r>
            <w:r w:rsidRPr="00E5087D">
              <w:rPr>
                <w:sz w:val="20"/>
                <w:szCs w:val="20"/>
                <w:vertAlign w:val="subscript"/>
              </w:rPr>
              <w:t>p</w:t>
            </w:r>
            <w:r w:rsidRPr="00E5087D">
              <w:rPr>
                <w:sz w:val="20"/>
                <w:szCs w:val="20"/>
              </w:rPr>
              <w:t>)</w:t>
            </w:r>
          </w:p>
          <w:p w14:paraId="72FEDA25" w14:textId="315033EE" w:rsidR="005F6D5E" w:rsidRPr="00E5087D" w:rsidRDefault="005F6D5E">
            <w:pPr>
              <w:spacing w:before="120" w:after="120"/>
              <w:contextualSpacing/>
              <w:rPr>
                <w:sz w:val="20"/>
                <w:szCs w:val="20"/>
              </w:rPr>
            </w:pPr>
            <w:r w:rsidRPr="00E5087D">
              <w:rPr>
                <w:b/>
                <w:color w:val="7F7F7F" w:themeColor="text1" w:themeTint="80"/>
                <w:sz w:val="20"/>
                <w:szCs w:val="20"/>
              </w:rPr>
              <w:t>History:</w:t>
            </w:r>
            <w:r w:rsidRPr="00E5087D">
              <w:rPr>
                <w:sz w:val="20"/>
                <w:szCs w:val="20"/>
              </w:rPr>
              <w:t xml:space="preserve"> established in 2017</w:t>
            </w:r>
            <w:r w:rsidR="003848A7">
              <w:rPr>
                <w:sz w:val="20"/>
                <w:szCs w:val="20"/>
              </w:rPr>
              <w:t>.</w:t>
            </w:r>
          </w:p>
          <w:p w14:paraId="3603B481" w14:textId="77777777" w:rsidR="005F6D5E" w:rsidRPr="00E5087D" w:rsidRDefault="005F6D5E">
            <w:pPr>
              <w:spacing w:before="120" w:after="120"/>
              <w:contextualSpacing/>
              <w:rPr>
                <w:sz w:val="20"/>
                <w:szCs w:val="20"/>
              </w:rPr>
            </w:pPr>
            <w:r w:rsidRPr="00E5087D">
              <w:rPr>
                <w:b/>
                <w:color w:val="7F7F7F" w:themeColor="text1" w:themeTint="80"/>
                <w:sz w:val="20"/>
                <w:szCs w:val="20"/>
              </w:rPr>
              <w:t>Ownership structure:</w:t>
            </w:r>
            <w:r w:rsidRPr="00E5087D">
              <w:rPr>
                <w:b/>
                <w:sz w:val="20"/>
                <w:szCs w:val="20"/>
              </w:rPr>
              <w:t xml:space="preserve"> </w:t>
            </w:r>
            <w:r w:rsidRPr="00E5087D">
              <w:rPr>
                <w:sz w:val="20"/>
                <w:szCs w:val="20"/>
              </w:rPr>
              <w:t>Owned by Malaysian clean energy company Gentari</w:t>
            </w:r>
          </w:p>
          <w:p w14:paraId="47308477" w14:textId="77777777" w:rsidR="005F6D5E" w:rsidRPr="00E5087D" w:rsidRDefault="005F6D5E">
            <w:pPr>
              <w:spacing w:before="120" w:after="120"/>
              <w:contextualSpacing/>
            </w:pPr>
            <w:r w:rsidRPr="00E5087D">
              <w:rPr>
                <w:b/>
                <w:color w:val="7F7F7F" w:themeColor="text1" w:themeTint="80"/>
                <w:sz w:val="20"/>
                <w:szCs w:val="20"/>
              </w:rPr>
              <w:t>Other activities:</w:t>
            </w:r>
          </w:p>
        </w:tc>
        <w:tc>
          <w:tcPr>
            <w:tcW w:w="4508" w:type="dxa"/>
            <w:tcBorders>
              <w:bottom w:val="single" w:sz="4" w:space="0" w:color="78821A" w:themeColor="background2" w:themeShade="80"/>
            </w:tcBorders>
            <w:shd w:val="clear" w:color="auto" w:fill="E3EB9B" w:themeFill="background2" w:themeFillTint="99"/>
          </w:tcPr>
          <w:p w14:paraId="2B56ADA3" w14:textId="77777777" w:rsidR="005F6D5E" w:rsidRPr="00E5087D" w:rsidRDefault="005F6D5E">
            <w:pPr>
              <w:spacing w:before="120" w:after="120"/>
              <w:contextualSpacing/>
              <w:rPr>
                <w:b/>
                <w:sz w:val="24"/>
                <w:szCs w:val="24"/>
              </w:rPr>
            </w:pPr>
            <w:r w:rsidRPr="00E5087D">
              <w:rPr>
                <w:b/>
                <w:sz w:val="24"/>
                <w:szCs w:val="24"/>
              </w:rPr>
              <w:t>AGL</w:t>
            </w:r>
          </w:p>
          <w:p w14:paraId="375008FA"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5.3%</w:t>
            </w:r>
          </w:p>
          <w:p w14:paraId="14753298"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6F22A78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Broken Hill (NSW, 53 MW)</w:t>
            </w:r>
          </w:p>
          <w:p w14:paraId="1F824D6C"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Nyngan (NSW, 102 MW)</w:t>
            </w:r>
          </w:p>
          <w:p w14:paraId="64E0FE7A" w14:textId="77777777" w:rsidR="005F6D5E" w:rsidRPr="00E5087D" w:rsidRDefault="005F6D5E">
            <w:pPr>
              <w:spacing w:before="120" w:after="120"/>
              <w:contextualSpacing/>
              <w:rPr>
                <w:sz w:val="20"/>
                <w:szCs w:val="20"/>
              </w:rPr>
            </w:pPr>
          </w:p>
          <w:p w14:paraId="268F6AC9" w14:textId="2A616967" w:rsidR="005F6D5E" w:rsidRPr="00E5087D" w:rsidRDefault="005F6D5E">
            <w:pPr>
              <w:spacing w:before="120" w:after="120"/>
              <w:contextualSpacing/>
              <w:rPr>
                <w:sz w:val="20"/>
                <w:szCs w:val="20"/>
              </w:rPr>
            </w:pPr>
            <w:r w:rsidRPr="00E5087D">
              <w:rPr>
                <w:b/>
                <w:color w:val="7F7F7F" w:themeColor="text1" w:themeTint="80"/>
                <w:sz w:val="20"/>
                <w:szCs w:val="20"/>
              </w:rPr>
              <w:t>History:</w:t>
            </w:r>
            <w:r w:rsidRPr="00E5087D">
              <w:rPr>
                <w:sz w:val="20"/>
                <w:szCs w:val="20"/>
              </w:rPr>
              <w:t xml:space="preserve"> founded as Australian Gas Light Company in 1837</w:t>
            </w:r>
            <w:r w:rsidR="003848A7">
              <w:rPr>
                <w:sz w:val="20"/>
                <w:szCs w:val="20"/>
              </w:rPr>
              <w:t>.</w:t>
            </w:r>
          </w:p>
          <w:p w14:paraId="67005A0A" w14:textId="77777777" w:rsidR="005F6D5E" w:rsidRPr="00E5087D" w:rsidRDefault="005F6D5E">
            <w:pPr>
              <w:spacing w:before="120" w:after="120"/>
              <w:contextualSpacing/>
              <w:rPr>
                <w:sz w:val="20"/>
                <w:szCs w:val="20"/>
              </w:rPr>
            </w:pPr>
            <w:r w:rsidRPr="00E5087D">
              <w:rPr>
                <w:b/>
                <w:color w:val="7F7F7F" w:themeColor="text1" w:themeTint="80"/>
                <w:sz w:val="20"/>
                <w:szCs w:val="20"/>
              </w:rPr>
              <w:t>Ownership structure:</w:t>
            </w:r>
            <w:r w:rsidRPr="00E5087D">
              <w:rPr>
                <w:b/>
                <w:sz w:val="20"/>
                <w:szCs w:val="20"/>
              </w:rPr>
              <w:t xml:space="preserve"> </w:t>
            </w:r>
            <w:r w:rsidRPr="00E5087D">
              <w:rPr>
                <w:sz w:val="20"/>
                <w:szCs w:val="20"/>
              </w:rPr>
              <w:t>Private company listed on ASX.</w:t>
            </w:r>
          </w:p>
          <w:p w14:paraId="138B143E" w14:textId="77777777" w:rsidR="005F6D5E" w:rsidRPr="00E5087D" w:rsidRDefault="005F6D5E">
            <w:pPr>
              <w:spacing w:before="120" w:after="120"/>
              <w:contextualSpacing/>
              <w:rPr>
                <w:b/>
                <w:color w:val="7F7F7F" w:themeColor="text1" w:themeTint="80"/>
                <w:sz w:val="20"/>
                <w:szCs w:val="20"/>
              </w:rPr>
            </w:pPr>
            <w:r w:rsidRPr="00E5087D">
              <w:rPr>
                <w:b/>
                <w:color w:val="7F7F7F" w:themeColor="text1" w:themeTint="80"/>
                <w:sz w:val="20"/>
                <w:szCs w:val="20"/>
              </w:rPr>
              <w:t xml:space="preserve">Other activities: </w:t>
            </w:r>
          </w:p>
          <w:p w14:paraId="5994437F" w14:textId="77777777" w:rsidR="005F6D5E" w:rsidRPr="00E5087D" w:rsidRDefault="005F6D5E">
            <w:pPr>
              <w:spacing w:before="120" w:after="120"/>
              <w:contextualSpacing/>
            </w:pPr>
            <w:r w:rsidRPr="00E5087D">
              <w:rPr>
                <w:sz w:val="20"/>
                <w:szCs w:val="20"/>
              </w:rPr>
              <w:t>AGL is Australia’s largest electricity generator. AGL has activities across natural gas and electricity generation from a range of sources as well as substantial electricity and gas retailing.</w:t>
            </w:r>
            <w:r w:rsidRPr="00E5087D">
              <w:rPr>
                <w:b/>
                <w:color w:val="7F7F7F" w:themeColor="text1" w:themeTint="80"/>
              </w:rPr>
              <w:t xml:space="preserve"> </w:t>
            </w:r>
          </w:p>
        </w:tc>
      </w:tr>
      <w:tr w:rsidR="005F6D5E" w:rsidRPr="00E5087D" w14:paraId="22C3771F" w14:textId="77777777">
        <w:tc>
          <w:tcPr>
            <w:tcW w:w="4508" w:type="dxa"/>
            <w:shd w:val="clear" w:color="auto" w:fill="E3EB9B" w:themeFill="background2" w:themeFillTint="99"/>
          </w:tcPr>
          <w:p w14:paraId="7B76A4AF" w14:textId="77777777" w:rsidR="005F6D5E" w:rsidRPr="00E5087D" w:rsidRDefault="005F6D5E">
            <w:pPr>
              <w:spacing w:before="120" w:after="120"/>
              <w:contextualSpacing/>
              <w:rPr>
                <w:b/>
                <w:sz w:val="24"/>
                <w:szCs w:val="24"/>
              </w:rPr>
            </w:pPr>
            <w:r w:rsidRPr="00E5087D">
              <w:rPr>
                <w:b/>
                <w:sz w:val="24"/>
                <w:szCs w:val="24"/>
              </w:rPr>
              <w:t>Enel Green Power</w:t>
            </w:r>
          </w:p>
          <w:p w14:paraId="1198C9A9" w14:textId="77777777" w:rsidR="005F6D5E" w:rsidRPr="00E5087D" w:rsidRDefault="005F6D5E">
            <w:pPr>
              <w:spacing w:before="120" w:after="120"/>
              <w:contextualSpacing/>
              <w:rPr>
                <w:sz w:val="20"/>
                <w:szCs w:val="20"/>
              </w:rPr>
            </w:pPr>
            <w:r w:rsidRPr="00E5087D">
              <w:rPr>
                <w:b/>
                <w:color w:val="7F7F7F" w:themeColor="text1" w:themeTint="80"/>
                <w:sz w:val="20"/>
                <w:szCs w:val="20"/>
              </w:rPr>
              <w:t>Estimated market share:</w:t>
            </w:r>
            <w:r w:rsidRPr="00E5087D">
              <w:rPr>
                <w:sz w:val="20"/>
                <w:szCs w:val="20"/>
              </w:rPr>
              <w:t xml:space="preserve"> 5.1%</w:t>
            </w:r>
          </w:p>
          <w:p w14:paraId="2D7D0414" w14:textId="77777777" w:rsidR="005F6D5E" w:rsidRPr="00E5087D" w:rsidRDefault="005F6D5E">
            <w:pPr>
              <w:spacing w:before="120" w:after="120"/>
              <w:contextualSpacing/>
              <w:rPr>
                <w:sz w:val="20"/>
                <w:szCs w:val="20"/>
              </w:rPr>
            </w:pPr>
            <w:r w:rsidRPr="00E5087D">
              <w:rPr>
                <w:b/>
                <w:color w:val="7F7F7F" w:themeColor="text1" w:themeTint="80"/>
                <w:sz w:val="20"/>
                <w:szCs w:val="20"/>
              </w:rPr>
              <w:t>Primary generation sites:</w:t>
            </w:r>
            <w:r w:rsidRPr="00E5087D">
              <w:rPr>
                <w:sz w:val="20"/>
                <w:szCs w:val="20"/>
              </w:rPr>
              <w:t xml:space="preserve"> </w:t>
            </w:r>
          </w:p>
          <w:p w14:paraId="30124922"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Cohuna (Vic, 34 MW)</w:t>
            </w:r>
          </w:p>
          <w:p w14:paraId="488C7D56"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Bungala 1 &amp; 2 (SA, 220 MW</w:t>
            </w:r>
            <w:r w:rsidRPr="00E5087D">
              <w:rPr>
                <w:sz w:val="20"/>
                <w:szCs w:val="20"/>
                <w:vertAlign w:val="subscript"/>
              </w:rPr>
              <w:t>p</w:t>
            </w:r>
            <w:r w:rsidRPr="00E5087D">
              <w:rPr>
                <w:sz w:val="20"/>
                <w:szCs w:val="20"/>
              </w:rPr>
              <w:t>)</w:t>
            </w:r>
          </w:p>
          <w:p w14:paraId="50B119D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Girgarre (Vic, 88 MW)</w:t>
            </w:r>
          </w:p>
          <w:p w14:paraId="353A3A62" w14:textId="77777777" w:rsidR="005F6D5E" w:rsidRPr="00E5087D" w:rsidRDefault="005F6D5E">
            <w:pPr>
              <w:spacing w:before="120" w:after="120"/>
              <w:contextualSpacing/>
              <w:rPr>
                <w:sz w:val="20"/>
                <w:szCs w:val="20"/>
              </w:rPr>
            </w:pPr>
          </w:p>
          <w:p w14:paraId="15DE8830" w14:textId="1B0C65CC" w:rsidR="005F6D5E" w:rsidRPr="00E5087D" w:rsidRDefault="005F6D5E">
            <w:pPr>
              <w:spacing w:before="120" w:after="120"/>
              <w:contextualSpacing/>
              <w:rPr>
                <w:sz w:val="20"/>
                <w:szCs w:val="20"/>
              </w:rPr>
            </w:pPr>
            <w:r w:rsidRPr="00E5087D">
              <w:rPr>
                <w:b/>
                <w:color w:val="7F7F7F" w:themeColor="text1" w:themeTint="80"/>
                <w:sz w:val="20"/>
                <w:szCs w:val="20"/>
              </w:rPr>
              <w:t>Ownership structure:</w:t>
            </w:r>
            <w:r w:rsidRPr="00E5087D">
              <w:rPr>
                <w:b/>
                <w:sz w:val="20"/>
                <w:szCs w:val="20"/>
              </w:rPr>
              <w:t xml:space="preserve"> </w:t>
            </w:r>
            <w:r w:rsidRPr="00E5087D">
              <w:rPr>
                <w:sz w:val="20"/>
                <w:szCs w:val="20"/>
              </w:rPr>
              <w:t>Joint venture between Italian energy concern Enel, formerly publicly owned, and Japanese company INPEX</w:t>
            </w:r>
            <w:r w:rsidR="003848A7">
              <w:rPr>
                <w:sz w:val="20"/>
                <w:szCs w:val="20"/>
              </w:rPr>
              <w:t>.</w:t>
            </w:r>
          </w:p>
          <w:p w14:paraId="151B50F6" w14:textId="77777777" w:rsidR="005F6D5E" w:rsidRPr="00E5087D" w:rsidRDefault="005F6D5E">
            <w:pPr>
              <w:spacing w:before="120" w:after="120"/>
              <w:contextualSpacing/>
              <w:rPr>
                <w:b/>
                <w:color w:val="7F7F7F" w:themeColor="text1" w:themeTint="80"/>
                <w:sz w:val="20"/>
                <w:szCs w:val="20"/>
              </w:rPr>
            </w:pPr>
            <w:r w:rsidRPr="00E5087D">
              <w:rPr>
                <w:b/>
                <w:color w:val="7F7F7F" w:themeColor="text1" w:themeTint="80"/>
                <w:sz w:val="20"/>
                <w:szCs w:val="20"/>
              </w:rPr>
              <w:t>Other activities:</w:t>
            </w:r>
          </w:p>
          <w:p w14:paraId="53FDB7B2" w14:textId="2F5FCD3B" w:rsidR="005F6D5E" w:rsidRPr="00E5087D" w:rsidRDefault="005F6D5E">
            <w:pPr>
              <w:spacing w:before="120" w:after="120"/>
              <w:contextualSpacing/>
            </w:pPr>
            <w:r w:rsidRPr="00E5087D">
              <w:rPr>
                <w:sz w:val="20"/>
                <w:szCs w:val="20"/>
              </w:rPr>
              <w:t>Enel is developing wind projects (Flat Rocks, WA, 75.6 WM)</w:t>
            </w:r>
            <w:r w:rsidR="003848A7">
              <w:rPr>
                <w:sz w:val="20"/>
                <w:szCs w:val="20"/>
              </w:rPr>
              <w:t>.</w:t>
            </w:r>
          </w:p>
        </w:tc>
        <w:tc>
          <w:tcPr>
            <w:tcW w:w="4508" w:type="dxa"/>
            <w:tcBorders>
              <w:bottom w:val="nil"/>
              <w:right w:val="nil"/>
            </w:tcBorders>
            <w:shd w:val="clear" w:color="auto" w:fill="auto"/>
          </w:tcPr>
          <w:p w14:paraId="477D08B2" w14:textId="77777777" w:rsidR="005F6D5E" w:rsidRPr="00E5087D" w:rsidRDefault="005F6D5E">
            <w:pPr>
              <w:spacing w:before="120" w:after="120"/>
              <w:contextualSpacing/>
            </w:pPr>
          </w:p>
        </w:tc>
      </w:tr>
    </w:tbl>
    <w:p w14:paraId="3FBDADAA" w14:textId="582D933F" w:rsidR="005F6D5E" w:rsidRPr="00E5087D" w:rsidRDefault="005F6D5E" w:rsidP="005F6D5E">
      <w:pPr>
        <w:rPr>
          <w:sz w:val="18"/>
          <w:szCs w:val="18"/>
        </w:rPr>
      </w:pPr>
      <w:r w:rsidRPr="00E5087D">
        <w:rPr>
          <w:sz w:val="18"/>
          <w:szCs w:val="18"/>
        </w:rPr>
        <w:t>Sources: see endnotes</w:t>
      </w:r>
      <w:r w:rsidR="002431B4">
        <w:rPr>
          <w:sz w:val="18"/>
          <w:szCs w:val="18"/>
        </w:rPr>
        <w:t>.</w:t>
      </w:r>
      <w:r w:rsidRPr="00E5087D">
        <w:rPr>
          <w:rStyle w:val="EndnoteReference"/>
          <w:sz w:val="18"/>
          <w:szCs w:val="18"/>
        </w:rPr>
        <w:endnoteReference w:id="35"/>
      </w:r>
    </w:p>
    <w:p w14:paraId="4DEE3370" w14:textId="77777777" w:rsidR="005F6D5E" w:rsidRPr="00E5087D" w:rsidRDefault="005F6D5E" w:rsidP="005F6D5E">
      <w:pPr>
        <w:rPr>
          <w:rFonts w:cs="Arial"/>
          <w:b/>
          <w:color w:val="005D5D" w:themeColor="accent2"/>
        </w:rPr>
      </w:pPr>
      <w:r w:rsidRPr="00E5087D">
        <w:br w:type="page"/>
      </w:r>
    </w:p>
    <w:p w14:paraId="46382C73" w14:textId="77777777" w:rsidR="005F6D5E" w:rsidRPr="00E5087D" w:rsidRDefault="005F6D5E" w:rsidP="005F6D5E">
      <w:pPr>
        <w:pStyle w:val="Heading5"/>
        <w:spacing w:before="240" w:after="120"/>
      </w:pPr>
      <w:r w:rsidRPr="00E5087D">
        <w:lastRenderedPageBreak/>
        <w:t>Wind</w:t>
      </w:r>
    </w:p>
    <w:p w14:paraId="740E0CAB" w14:textId="68BBD6B0" w:rsidR="005F6D5E" w:rsidRPr="00E5087D" w:rsidRDefault="005F6D5E" w:rsidP="00CE66FC">
      <w:pPr>
        <w:spacing w:after="120" w:line="276" w:lineRule="auto"/>
        <w:rPr>
          <w14:numForm w14:val="lining"/>
          <w14:numSpacing w14:val="proportional"/>
        </w:rPr>
      </w:pPr>
      <w:r w:rsidRPr="00E5087D">
        <w:rPr>
          <w14:numForm w14:val="lining"/>
          <w14:numSpacing w14:val="proportional"/>
        </w:rPr>
        <w:t xml:space="preserve">Electricity generation from wind energy in Australia is currently quite dispersed, </w:t>
      </w:r>
      <w:r w:rsidR="00726FD9">
        <w:rPr>
          <w14:numForm w14:val="lining"/>
          <w14:numSpacing w14:val="proportional"/>
        </w:rPr>
        <w:t>despite</w:t>
      </w:r>
      <w:r w:rsidRPr="00E5087D">
        <w:rPr>
          <w14:numForm w14:val="lining"/>
          <w14:numSpacing w14:val="proportional"/>
        </w:rPr>
        <w:t xml:space="preserve"> lacking the small-scale generation options that rooftop solar provides. The three largest generators only account for approximately a third of current output</w:t>
      </w:r>
      <w:r w:rsidR="00033C68">
        <w:rPr>
          <w14:numForm w14:val="lining"/>
          <w14:numSpacing w14:val="proportional"/>
        </w:rPr>
        <w:t xml:space="preserve"> (</w:t>
      </w:r>
      <w:r w:rsidR="003E38C5">
        <w:rPr>
          <w14:numForm w14:val="lining"/>
          <w14:numSpacing w14:val="proportional"/>
        </w:rPr>
        <w:t>Figure</w:t>
      </w:r>
      <w:r w:rsidR="00033C68">
        <w:rPr>
          <w14:numForm w14:val="lining"/>
          <w14:numSpacing w14:val="proportional"/>
        </w:rPr>
        <w:t xml:space="preserve"> 3.2</w:t>
      </w:r>
      <w:r w:rsidR="00F97626">
        <w:rPr>
          <w14:numForm w14:val="lining"/>
          <w14:numSpacing w14:val="proportional"/>
        </w:rPr>
        <w:t>2</w:t>
      </w:r>
      <w:r w:rsidR="00033C68">
        <w:rPr>
          <w14:numForm w14:val="lining"/>
          <w14:numSpacing w14:val="proportional"/>
        </w:rPr>
        <w:t>)</w:t>
      </w:r>
      <w:r w:rsidRPr="00E5087D">
        <w:rPr>
          <w14:numForm w14:val="lining"/>
          <w14:numSpacing w14:val="proportional"/>
        </w:rPr>
        <w:t xml:space="preserve">. However, further concentration is likely into the future, as planned offshore wind projects have significantly greater generating capacity. </w:t>
      </w:r>
      <w:r w:rsidR="00726FD9">
        <w:rPr>
          <w14:numForm w14:val="lining"/>
          <w14:numSpacing w14:val="proportional"/>
        </w:rPr>
        <w:t xml:space="preserve">As of now, the onshore wind market in Australia is more established than the offshore market which </w:t>
      </w:r>
      <w:r w:rsidR="00EB4524">
        <w:rPr>
          <w14:numForm w14:val="lining"/>
          <w14:numSpacing w14:val="proportional"/>
        </w:rPr>
        <w:t>is only starting to emerge.</w:t>
      </w:r>
    </w:p>
    <w:p w14:paraId="249CBB26" w14:textId="5297FB32" w:rsidR="005F6D5E" w:rsidRPr="00E5087D" w:rsidRDefault="005F6D5E" w:rsidP="00CE66FC">
      <w:pPr>
        <w:spacing w:after="120" w:line="276" w:lineRule="auto"/>
        <w:rPr>
          <w14:numForm w14:val="lining"/>
          <w14:numSpacing w14:val="proportional"/>
        </w:rPr>
      </w:pPr>
      <w:r w:rsidRPr="00E5087D">
        <w:rPr>
          <w:color w:val="auto"/>
          <w14:numForm w14:val="lining"/>
          <w14:numSpacing w14:val="proportional"/>
        </w:rPr>
        <w:t>Wind electricity generators are more concentrated in Victoria, New South Wales and South Australia. Further wind power investment in Victoria is planned with Westwind Energy constructing a $3 billion Golden Plains Windfarm, located near Geelong. Once online, Iberdrola’s Mount James windfarm in North Queensland will be Australia’s biggest onshore windfarm.</w:t>
      </w:r>
      <w:r w:rsidR="002431B4">
        <w:rPr>
          <w:color w:val="auto"/>
          <w14:numForm w14:val="lining"/>
          <w14:numSpacing w14:val="proportional"/>
        </w:rPr>
        <w:t xml:space="preserve"> </w:t>
      </w:r>
      <w:r w:rsidRPr="00E5087D">
        <w:rPr>
          <w:color w:val="auto"/>
          <w14:numForm w14:val="lining"/>
          <w14:numSpacing w14:val="proportional"/>
        </w:rPr>
        <w:t>While they have fewer wind assets in absolute terms, on a population basis, Tasmania and Western Australia have more establishments per capita than New South Wales.</w:t>
      </w:r>
    </w:p>
    <w:p w14:paraId="2BC4564E" w14:textId="7EC58227"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DD1508">
        <w:rPr>
          <w:b/>
          <w:bCs/>
        </w:rPr>
        <w:t>.2</w:t>
      </w:r>
      <w:r w:rsidR="00F97626">
        <w:rPr>
          <w:b/>
          <w:bCs/>
        </w:rPr>
        <w:t>2</w:t>
      </w:r>
      <w:r w:rsidR="009E6F85" w:rsidRPr="00E5087D">
        <w:rPr>
          <w:b/>
          <w:bCs/>
        </w:rPr>
        <w:t>.</w:t>
      </w:r>
      <w:r w:rsidRPr="00E5087D">
        <w:rPr>
          <w:b/>
          <w:bCs/>
        </w:rPr>
        <w:t xml:space="preserve"> Major firms in wind generation</w:t>
      </w:r>
    </w:p>
    <w:tbl>
      <w:tblPr>
        <w:tblStyle w:val="TableGrid"/>
        <w:tblW w:w="0" w:type="auto"/>
        <w:tblBorders>
          <w:top w:val="single" w:sz="4" w:space="0" w:color="78821A" w:themeColor="background2" w:themeShade="80"/>
          <w:left w:val="single" w:sz="4" w:space="0" w:color="78821A" w:themeColor="background2" w:themeShade="80"/>
          <w:bottom w:val="single" w:sz="4" w:space="0" w:color="78821A" w:themeColor="background2" w:themeShade="80"/>
          <w:right w:val="single" w:sz="4" w:space="0" w:color="78821A" w:themeColor="background2" w:themeShade="80"/>
          <w:insideH w:val="single" w:sz="4" w:space="0" w:color="78821A" w:themeColor="background2" w:themeShade="80"/>
          <w:insideV w:val="single" w:sz="4" w:space="0" w:color="78821A" w:themeColor="background2" w:themeShade="80"/>
        </w:tblBorders>
        <w:tblCellMar>
          <w:top w:w="85" w:type="dxa"/>
          <w:bottom w:w="85" w:type="dxa"/>
        </w:tblCellMar>
        <w:tblLook w:val="04A0" w:firstRow="1" w:lastRow="0" w:firstColumn="1" w:lastColumn="0" w:noHBand="0" w:noVBand="1"/>
      </w:tblPr>
      <w:tblGrid>
        <w:gridCol w:w="4508"/>
        <w:gridCol w:w="4508"/>
      </w:tblGrid>
      <w:tr w:rsidR="002431B4" w:rsidRPr="002431B4" w14:paraId="00D1B425" w14:textId="77777777">
        <w:tc>
          <w:tcPr>
            <w:tcW w:w="4508" w:type="dxa"/>
            <w:shd w:val="clear" w:color="auto" w:fill="E3EB9B" w:themeFill="background2" w:themeFillTint="99"/>
          </w:tcPr>
          <w:p w14:paraId="262FBC57" w14:textId="77777777" w:rsidR="005F6D5E" w:rsidRPr="002431B4" w:rsidRDefault="005F6D5E">
            <w:pPr>
              <w:spacing w:before="120" w:after="120"/>
              <w:contextualSpacing/>
              <w:rPr>
                <w:b/>
                <w:sz w:val="24"/>
                <w:szCs w:val="24"/>
              </w:rPr>
            </w:pPr>
            <w:r w:rsidRPr="002431B4">
              <w:rPr>
                <w:b/>
                <w:sz w:val="24"/>
                <w:szCs w:val="24"/>
              </w:rPr>
              <w:t>AGL</w:t>
            </w:r>
          </w:p>
          <w:p w14:paraId="10590C75" w14:textId="71CE2E01" w:rsidR="005F6D5E" w:rsidRPr="002431B4" w:rsidRDefault="005F6D5E">
            <w:pPr>
              <w:spacing w:before="120" w:after="120"/>
              <w:contextualSpacing/>
              <w:rPr>
                <w:sz w:val="20"/>
                <w:szCs w:val="20"/>
              </w:rPr>
            </w:pPr>
            <w:r w:rsidRPr="002431B4">
              <w:rPr>
                <w:b/>
                <w:color w:val="005D5D" w:themeColor="accent2"/>
                <w:sz w:val="20"/>
                <w:szCs w:val="20"/>
              </w:rPr>
              <w:t>Estimated market share:</w:t>
            </w:r>
            <w:r w:rsidRPr="002431B4">
              <w:rPr>
                <w:color w:val="005D5D" w:themeColor="accent2"/>
                <w:sz w:val="20"/>
                <w:szCs w:val="20"/>
              </w:rPr>
              <w:t xml:space="preserve"> </w:t>
            </w:r>
            <w:r w:rsidRPr="002431B4">
              <w:rPr>
                <w:sz w:val="20"/>
                <w:szCs w:val="20"/>
              </w:rPr>
              <w:t>15%</w:t>
            </w:r>
          </w:p>
          <w:p w14:paraId="433F967B" w14:textId="77777777" w:rsidR="005F6D5E" w:rsidRPr="002431B4" w:rsidRDefault="005F6D5E" w:rsidP="002431B4">
            <w:pPr>
              <w:spacing w:before="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797CCC70" w14:textId="77777777" w:rsidR="005F6D5E" w:rsidRPr="002431B4" w:rsidRDefault="005F6D5E" w:rsidP="00F25595">
            <w:pPr>
              <w:pStyle w:val="ListParagraph"/>
              <w:numPr>
                <w:ilvl w:val="0"/>
                <w:numId w:val="19"/>
              </w:numPr>
              <w:spacing w:after="120"/>
              <w:rPr>
                <w:sz w:val="20"/>
                <w:szCs w:val="20"/>
              </w:rPr>
            </w:pPr>
            <w:r w:rsidRPr="002431B4">
              <w:rPr>
                <w:sz w:val="20"/>
                <w:szCs w:val="20"/>
              </w:rPr>
              <w:t>Macarthur (Vic, 420 MW)</w:t>
            </w:r>
          </w:p>
          <w:p w14:paraId="43BBEA23"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Wattle Point (Qld, 69 MW</w:t>
            </w:r>
            <w:r w:rsidRPr="002431B4">
              <w:rPr>
                <w:sz w:val="20"/>
                <w:szCs w:val="20"/>
                <w:vertAlign w:val="subscript"/>
              </w:rPr>
              <w:t>p</w:t>
            </w:r>
            <w:r w:rsidRPr="002431B4">
              <w:rPr>
                <w:sz w:val="20"/>
                <w:szCs w:val="20"/>
              </w:rPr>
              <w:t>)</w:t>
            </w:r>
          </w:p>
          <w:p w14:paraId="1B120786"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Coopers Gap (Qld, 89 MW)</w:t>
            </w:r>
          </w:p>
          <w:p w14:paraId="1DB76C1C"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Hallet (SA, 351 MW)</w:t>
            </w:r>
          </w:p>
          <w:p w14:paraId="20BB2C24"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Oaklands Hill (Vic)</w:t>
            </w:r>
          </w:p>
          <w:p w14:paraId="47991CDF"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Coopers Gap (Qld, 149 MW</w:t>
            </w:r>
            <w:r w:rsidRPr="002431B4">
              <w:rPr>
                <w:sz w:val="20"/>
                <w:szCs w:val="20"/>
                <w:vertAlign w:val="subscript"/>
              </w:rPr>
              <w:t>p</w:t>
            </w:r>
            <w:r w:rsidRPr="002431B4">
              <w:rPr>
                <w:sz w:val="20"/>
                <w:szCs w:val="20"/>
              </w:rPr>
              <w:t>)</w:t>
            </w:r>
          </w:p>
          <w:p w14:paraId="57F56EE7"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Silverton (NSW)</w:t>
            </w:r>
          </w:p>
          <w:p w14:paraId="7DAC703A" w14:textId="0B16DB1D" w:rsidR="005F6D5E" w:rsidRPr="002431B4" w:rsidRDefault="005F6D5E">
            <w:pPr>
              <w:spacing w:before="120" w:after="120"/>
              <w:contextualSpacing/>
              <w:rPr>
                <w:sz w:val="20"/>
                <w:szCs w:val="20"/>
              </w:rPr>
            </w:pPr>
            <w:r w:rsidRPr="002431B4">
              <w:rPr>
                <w:b/>
                <w:color w:val="005D5D" w:themeColor="accent2"/>
                <w:sz w:val="20"/>
                <w:szCs w:val="20"/>
              </w:rPr>
              <w:t>History</w:t>
            </w:r>
            <w:r w:rsidRPr="002431B4">
              <w:rPr>
                <w:b/>
                <w:sz w:val="20"/>
                <w:szCs w:val="20"/>
              </w:rPr>
              <w:t>:</w:t>
            </w:r>
            <w:r w:rsidRPr="002431B4">
              <w:rPr>
                <w:sz w:val="20"/>
                <w:szCs w:val="20"/>
              </w:rPr>
              <w:t xml:space="preserve"> founded as Australian Gas Light Company in 1837</w:t>
            </w:r>
            <w:r w:rsidR="003848A7">
              <w:rPr>
                <w:sz w:val="20"/>
                <w:szCs w:val="20"/>
              </w:rPr>
              <w:t>.</w:t>
            </w:r>
          </w:p>
          <w:p w14:paraId="5B5A58E1" w14:textId="77777777" w:rsidR="005F6D5E" w:rsidRPr="002431B4" w:rsidRDefault="005F6D5E">
            <w:pPr>
              <w:spacing w:before="120" w:after="120"/>
              <w:contextualSpacing/>
              <w:rPr>
                <w:sz w:val="20"/>
                <w:szCs w:val="20"/>
              </w:rPr>
            </w:pPr>
            <w:r w:rsidRPr="002431B4">
              <w:rPr>
                <w:b/>
                <w:color w:val="005D5D" w:themeColor="accent2"/>
                <w:sz w:val="20"/>
                <w:szCs w:val="20"/>
              </w:rPr>
              <w:t>Ownership structure</w:t>
            </w:r>
            <w:r w:rsidRPr="002431B4">
              <w:rPr>
                <w:b/>
                <w:sz w:val="20"/>
                <w:szCs w:val="20"/>
              </w:rPr>
              <w:t xml:space="preserve">: </w:t>
            </w:r>
            <w:r w:rsidRPr="002431B4">
              <w:rPr>
                <w:sz w:val="20"/>
                <w:szCs w:val="20"/>
              </w:rPr>
              <w:t>Private company listed on ASX.</w:t>
            </w:r>
          </w:p>
          <w:p w14:paraId="34109AA9" w14:textId="77777777" w:rsidR="005F6D5E" w:rsidRPr="002431B4" w:rsidRDefault="005F6D5E">
            <w:pPr>
              <w:spacing w:before="120" w:after="120"/>
              <w:contextualSpacing/>
              <w:rPr>
                <w:b/>
                <w:sz w:val="20"/>
                <w:szCs w:val="20"/>
              </w:rPr>
            </w:pPr>
            <w:r w:rsidRPr="002431B4">
              <w:rPr>
                <w:b/>
                <w:color w:val="005D5D" w:themeColor="accent2"/>
                <w:sz w:val="20"/>
                <w:szCs w:val="20"/>
              </w:rPr>
              <w:t>Other activities</w:t>
            </w:r>
            <w:r w:rsidRPr="002431B4">
              <w:rPr>
                <w:b/>
                <w:sz w:val="20"/>
                <w:szCs w:val="20"/>
              </w:rPr>
              <w:t xml:space="preserve">: </w:t>
            </w:r>
          </w:p>
          <w:p w14:paraId="7C0A26F3" w14:textId="1B600608" w:rsidR="005F6D5E" w:rsidRPr="002431B4" w:rsidRDefault="005F6D5E">
            <w:pPr>
              <w:spacing w:before="120" w:after="120"/>
              <w:contextualSpacing/>
              <w:rPr>
                <w:b/>
              </w:rPr>
            </w:pPr>
            <w:r w:rsidRPr="002431B4">
              <w:rPr>
                <w:sz w:val="20"/>
                <w:szCs w:val="20"/>
              </w:rPr>
              <w:t>AGL is Australia’s largest electricity generator. AGL has activities across natural gas and electricity generation from a range of sources as well as substantial electricity and gas retailing</w:t>
            </w:r>
            <w:r w:rsidR="003848A7">
              <w:rPr>
                <w:sz w:val="20"/>
                <w:szCs w:val="20"/>
              </w:rPr>
              <w:t>.</w:t>
            </w:r>
          </w:p>
        </w:tc>
        <w:tc>
          <w:tcPr>
            <w:tcW w:w="4508" w:type="dxa"/>
            <w:tcBorders>
              <w:bottom w:val="single" w:sz="4" w:space="0" w:color="78821A" w:themeColor="background2" w:themeShade="80"/>
            </w:tcBorders>
            <w:shd w:val="clear" w:color="auto" w:fill="E3EB9B" w:themeFill="background2" w:themeFillTint="99"/>
          </w:tcPr>
          <w:p w14:paraId="2C852526" w14:textId="77777777" w:rsidR="005F6D5E" w:rsidRPr="002431B4" w:rsidRDefault="005F6D5E">
            <w:pPr>
              <w:spacing w:before="120" w:after="120"/>
              <w:contextualSpacing/>
              <w:rPr>
                <w:b/>
                <w:sz w:val="24"/>
                <w:szCs w:val="24"/>
              </w:rPr>
            </w:pPr>
            <w:r w:rsidRPr="002431B4">
              <w:rPr>
                <w:b/>
                <w:sz w:val="24"/>
                <w:szCs w:val="24"/>
              </w:rPr>
              <w:t>Iberdola Australia Trust</w:t>
            </w:r>
          </w:p>
          <w:p w14:paraId="0AEEF9CD" w14:textId="77777777" w:rsidR="005F6D5E" w:rsidRPr="002431B4" w:rsidRDefault="005F6D5E">
            <w:pPr>
              <w:spacing w:before="120" w:after="120"/>
              <w:contextualSpacing/>
              <w:rPr>
                <w:sz w:val="20"/>
                <w:szCs w:val="20"/>
              </w:rPr>
            </w:pPr>
            <w:r w:rsidRPr="002431B4">
              <w:rPr>
                <w:b/>
                <w:color w:val="005D5D" w:themeColor="accent2"/>
                <w:sz w:val="20"/>
                <w:szCs w:val="20"/>
              </w:rPr>
              <w:t>Estimated market share</w:t>
            </w:r>
            <w:r w:rsidRPr="002431B4">
              <w:rPr>
                <w:b/>
                <w:sz w:val="20"/>
                <w:szCs w:val="20"/>
              </w:rPr>
              <w:t>:</w:t>
            </w:r>
            <w:r w:rsidRPr="002431B4">
              <w:rPr>
                <w:sz w:val="20"/>
                <w:szCs w:val="20"/>
              </w:rPr>
              <w:t xml:space="preserve"> 12%</w:t>
            </w:r>
          </w:p>
          <w:p w14:paraId="0CF1DC88" w14:textId="77777777" w:rsidR="005F6D5E" w:rsidRPr="002431B4" w:rsidRDefault="005F6D5E">
            <w:pPr>
              <w:spacing w:before="120" w:after="120"/>
              <w:contextualSpacing/>
              <w:rPr>
                <w:sz w:val="20"/>
                <w:szCs w:val="20"/>
              </w:rPr>
            </w:pPr>
            <w:r w:rsidRPr="002431B4">
              <w:rPr>
                <w:b/>
                <w:color w:val="005D5D" w:themeColor="accent2"/>
                <w:sz w:val="20"/>
                <w:szCs w:val="20"/>
              </w:rPr>
              <w:t>Primary generation sites</w:t>
            </w:r>
            <w:r w:rsidRPr="002431B4">
              <w:rPr>
                <w:b/>
                <w:sz w:val="20"/>
                <w:szCs w:val="20"/>
              </w:rPr>
              <w:t>:</w:t>
            </w:r>
            <w:r w:rsidRPr="002431B4">
              <w:rPr>
                <w:sz w:val="20"/>
                <w:szCs w:val="20"/>
              </w:rPr>
              <w:t xml:space="preserve"> </w:t>
            </w:r>
          </w:p>
          <w:p w14:paraId="35A60395"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Bodangora (NSW, 113.2 MW)</w:t>
            </w:r>
          </w:p>
          <w:p w14:paraId="3CE42B1E"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Capital (NSW, 140.7 MW)</w:t>
            </w:r>
          </w:p>
          <w:p w14:paraId="1856FC63"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Lake Bonney 2 (Qld, 159 MW)</w:t>
            </w:r>
          </w:p>
          <w:p w14:paraId="5C1D1750"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Port Augusta (SA, 217 MW)</w:t>
            </w:r>
          </w:p>
          <w:p w14:paraId="63143E7D"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Walkway (WA 89.1 MW)</w:t>
            </w:r>
          </w:p>
          <w:p w14:paraId="2615C3E1" w14:textId="77777777" w:rsidR="005F6D5E" w:rsidRDefault="005F6D5E">
            <w:pPr>
              <w:spacing w:before="120" w:after="120"/>
              <w:contextualSpacing/>
            </w:pPr>
            <w:r w:rsidRPr="002431B4">
              <w:rPr>
                <w:b/>
                <w:color w:val="005D5D" w:themeColor="accent2"/>
                <w:sz w:val="20"/>
                <w:szCs w:val="20"/>
              </w:rPr>
              <w:t>Ownership structure</w:t>
            </w:r>
            <w:r w:rsidRPr="002431B4">
              <w:rPr>
                <w:b/>
                <w:sz w:val="20"/>
                <w:szCs w:val="20"/>
              </w:rPr>
              <w:t xml:space="preserve">: </w:t>
            </w:r>
            <w:r w:rsidRPr="002431B4">
              <w:rPr>
                <w:sz w:val="20"/>
                <w:szCs w:val="20"/>
              </w:rPr>
              <w:t>Part of the international Iberdrola group, a Spanish group with history extending back to 1901. It has projects throughout Europe, the US and Australia.</w:t>
            </w:r>
            <w:r w:rsidRPr="002431B4">
              <w:t xml:space="preserve"> </w:t>
            </w:r>
          </w:p>
          <w:p w14:paraId="2C084F2E" w14:textId="77777777" w:rsidR="005F6D5E" w:rsidRPr="002431B4" w:rsidRDefault="005F6D5E" w:rsidP="007564A9">
            <w:pPr>
              <w:spacing w:before="120" w:after="120"/>
              <w:contextualSpacing/>
              <w:rPr>
                <w:b/>
                <w:sz w:val="20"/>
                <w:szCs w:val="20"/>
              </w:rPr>
            </w:pPr>
            <w:r w:rsidRPr="002431B4">
              <w:rPr>
                <w:b/>
                <w:color w:val="005D5D" w:themeColor="accent2"/>
                <w:sz w:val="20"/>
                <w:szCs w:val="20"/>
              </w:rPr>
              <w:t>Other activities</w:t>
            </w:r>
            <w:r w:rsidRPr="002431B4">
              <w:rPr>
                <w:b/>
                <w:sz w:val="20"/>
                <w:szCs w:val="20"/>
              </w:rPr>
              <w:t>:</w:t>
            </w:r>
          </w:p>
          <w:p w14:paraId="55D25347" w14:textId="77777777" w:rsidR="005F6D5E" w:rsidRPr="002431B4" w:rsidRDefault="005F6D5E">
            <w:pPr>
              <w:spacing w:before="120" w:after="120"/>
              <w:contextualSpacing/>
            </w:pPr>
            <w:r w:rsidRPr="002431B4">
              <w:rPr>
                <w:sz w:val="20"/>
                <w:szCs w:val="20"/>
              </w:rPr>
              <w:t>Port August Renewable Energy Park also includes 110 MW of solar.</w:t>
            </w:r>
            <w:r w:rsidRPr="002431B4">
              <w:t xml:space="preserve"> </w:t>
            </w:r>
          </w:p>
        </w:tc>
      </w:tr>
      <w:tr w:rsidR="002431B4" w:rsidRPr="002431B4" w14:paraId="62052BF7" w14:textId="77777777">
        <w:tc>
          <w:tcPr>
            <w:tcW w:w="4508" w:type="dxa"/>
            <w:shd w:val="clear" w:color="auto" w:fill="E3EB9B" w:themeFill="background2" w:themeFillTint="99"/>
          </w:tcPr>
          <w:p w14:paraId="07F8B1C2" w14:textId="77777777" w:rsidR="005F6D5E" w:rsidRPr="002431B4" w:rsidRDefault="005F6D5E">
            <w:pPr>
              <w:spacing w:before="120" w:after="120"/>
              <w:contextualSpacing/>
              <w:rPr>
                <w:b/>
                <w:sz w:val="24"/>
                <w:szCs w:val="24"/>
              </w:rPr>
            </w:pPr>
            <w:r w:rsidRPr="002431B4">
              <w:rPr>
                <w:b/>
                <w:sz w:val="24"/>
                <w:szCs w:val="24"/>
              </w:rPr>
              <w:t>Pacific Blue</w:t>
            </w:r>
          </w:p>
          <w:p w14:paraId="6AC8096F" w14:textId="77777777" w:rsidR="005F6D5E" w:rsidRPr="002431B4" w:rsidRDefault="005F6D5E">
            <w:pPr>
              <w:spacing w:before="120" w:after="120"/>
              <w:contextualSpacing/>
              <w:rPr>
                <w:sz w:val="20"/>
                <w:szCs w:val="20"/>
              </w:rPr>
            </w:pPr>
            <w:r w:rsidRPr="002431B4">
              <w:rPr>
                <w:b/>
                <w:color w:val="005D5D" w:themeColor="accent2"/>
                <w:sz w:val="20"/>
                <w:szCs w:val="20"/>
              </w:rPr>
              <w:t>Estimated market share</w:t>
            </w:r>
            <w:r w:rsidRPr="002431B4">
              <w:rPr>
                <w:b/>
                <w:sz w:val="20"/>
                <w:szCs w:val="20"/>
              </w:rPr>
              <w:t>:</w:t>
            </w:r>
            <w:r w:rsidRPr="002431B4">
              <w:rPr>
                <w:sz w:val="20"/>
                <w:szCs w:val="20"/>
              </w:rPr>
              <w:t xml:space="preserve"> 7%</w:t>
            </w:r>
          </w:p>
          <w:p w14:paraId="171EE83E" w14:textId="77777777" w:rsidR="005F6D5E" w:rsidRPr="002431B4" w:rsidRDefault="005F6D5E" w:rsidP="002431B4">
            <w:pPr>
              <w:spacing w:before="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17C0469A" w14:textId="77777777" w:rsidR="005F6D5E" w:rsidRPr="002431B4" w:rsidRDefault="005F6D5E" w:rsidP="00F25595">
            <w:pPr>
              <w:pStyle w:val="ListParagraph"/>
              <w:numPr>
                <w:ilvl w:val="0"/>
                <w:numId w:val="19"/>
              </w:numPr>
              <w:spacing w:after="120"/>
              <w:rPr>
                <w:sz w:val="20"/>
                <w:szCs w:val="20"/>
              </w:rPr>
            </w:pPr>
            <w:r w:rsidRPr="002431B4">
              <w:fldChar w:fldCharType="begin"/>
            </w:r>
            <w:r w:rsidRPr="002431B4">
              <w:instrText>HYPERLINK "https://www.iberdrola.com.au/our-assets/asset-map/"</w:instrText>
            </w:r>
            <w:r w:rsidRPr="002431B4">
              <w:fldChar w:fldCharType="separate"/>
            </w:r>
            <w:r w:rsidRPr="002431B4">
              <w:rPr>
                <w:sz w:val="20"/>
                <w:szCs w:val="20"/>
              </w:rPr>
              <w:t>Codrington (Vic, 18.2 MW)</w:t>
            </w:r>
          </w:p>
          <w:p w14:paraId="46613EA3"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Challicum Hills (Vic, 52.5 MW)</w:t>
            </w:r>
          </w:p>
          <w:p w14:paraId="1BACD200"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Clements Gap (SA, 57 MW)</w:t>
            </w:r>
          </w:p>
          <w:p w14:paraId="50011B39"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Portland (Vic 179 MW)</w:t>
            </w:r>
          </w:p>
          <w:p w14:paraId="557E2FA6"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Taralga (NSW, 106.8 GW)</w:t>
            </w:r>
          </w:p>
          <w:p w14:paraId="64F6DA41" w14:textId="77777777" w:rsidR="005F6D5E" w:rsidRPr="002431B4" w:rsidRDefault="005F6D5E">
            <w:pPr>
              <w:spacing w:before="120" w:after="120"/>
              <w:contextualSpacing/>
              <w:rPr>
                <w:sz w:val="20"/>
                <w:szCs w:val="20"/>
              </w:rPr>
            </w:pPr>
            <w:r w:rsidRPr="002431B4">
              <w:fldChar w:fldCharType="end"/>
            </w:r>
            <w:r w:rsidRPr="002431B4">
              <w:rPr>
                <w:b/>
                <w:color w:val="005D5D" w:themeColor="accent2"/>
                <w:sz w:val="20"/>
                <w:szCs w:val="20"/>
              </w:rPr>
              <w:t>History</w:t>
            </w:r>
            <w:r w:rsidRPr="002431B4">
              <w:rPr>
                <w:b/>
                <w:sz w:val="20"/>
                <w:szCs w:val="20"/>
              </w:rPr>
              <w:t>:</w:t>
            </w:r>
            <w:r w:rsidRPr="002431B4">
              <w:rPr>
                <w:sz w:val="20"/>
                <w:szCs w:val="20"/>
              </w:rPr>
              <w:t xml:space="preserve"> founded 1992</w:t>
            </w:r>
          </w:p>
          <w:p w14:paraId="6D1FDF7B" w14:textId="61D7A26C" w:rsidR="005F6D5E" w:rsidRPr="002431B4" w:rsidRDefault="005F6D5E">
            <w:pPr>
              <w:spacing w:before="120" w:after="120"/>
              <w:contextualSpacing/>
              <w:rPr>
                <w:sz w:val="20"/>
                <w:szCs w:val="20"/>
              </w:rPr>
            </w:pPr>
            <w:r w:rsidRPr="002431B4">
              <w:rPr>
                <w:b/>
                <w:color w:val="005D5D" w:themeColor="accent2"/>
                <w:sz w:val="20"/>
                <w:szCs w:val="20"/>
              </w:rPr>
              <w:t>Ownership structure</w:t>
            </w:r>
            <w:r w:rsidRPr="002431B4">
              <w:rPr>
                <w:b/>
                <w:sz w:val="20"/>
                <w:szCs w:val="20"/>
              </w:rPr>
              <w:t xml:space="preserve">: </w:t>
            </w:r>
            <w:r w:rsidRPr="002431B4">
              <w:rPr>
                <w:sz w:val="20"/>
                <w:szCs w:val="20"/>
              </w:rPr>
              <w:t>Owned by State Power Investment Corporation (China)</w:t>
            </w:r>
            <w:r w:rsidR="003848A7">
              <w:rPr>
                <w:sz w:val="20"/>
                <w:szCs w:val="20"/>
              </w:rPr>
              <w:t>.</w:t>
            </w:r>
          </w:p>
          <w:p w14:paraId="7ACD52CA" w14:textId="77777777" w:rsidR="005F6D5E" w:rsidRPr="002431B4" w:rsidRDefault="005F6D5E">
            <w:pPr>
              <w:spacing w:before="120" w:after="120"/>
              <w:contextualSpacing/>
              <w:rPr>
                <w:b/>
                <w:sz w:val="20"/>
                <w:szCs w:val="20"/>
              </w:rPr>
            </w:pPr>
            <w:r w:rsidRPr="002431B4">
              <w:rPr>
                <w:b/>
                <w:color w:val="005D5D" w:themeColor="accent2"/>
                <w:sz w:val="20"/>
                <w:szCs w:val="20"/>
              </w:rPr>
              <w:t>Other activities</w:t>
            </w:r>
            <w:r w:rsidRPr="002431B4">
              <w:rPr>
                <w:b/>
                <w:sz w:val="20"/>
                <w:szCs w:val="20"/>
              </w:rPr>
              <w:t>:</w:t>
            </w:r>
          </w:p>
          <w:p w14:paraId="31EDF8CF" w14:textId="77777777" w:rsidR="005F6D5E" w:rsidRPr="002431B4" w:rsidRDefault="005F6D5E">
            <w:pPr>
              <w:spacing w:before="120" w:after="120"/>
              <w:contextualSpacing/>
            </w:pPr>
            <w:r w:rsidRPr="002431B4">
              <w:rPr>
                <w:sz w:val="20"/>
                <w:szCs w:val="20"/>
              </w:rPr>
              <w:t>Pacific Blue also operates hydroelectric projects at Eildon Pondage, Lake Glenmaggie, Ord River, The Drop and William Hovell.</w:t>
            </w:r>
            <w:r w:rsidRPr="002431B4">
              <w:t xml:space="preserve"> </w:t>
            </w:r>
          </w:p>
        </w:tc>
        <w:tc>
          <w:tcPr>
            <w:tcW w:w="4508" w:type="dxa"/>
            <w:tcBorders>
              <w:bottom w:val="single" w:sz="4" w:space="0" w:color="78821A" w:themeColor="background2" w:themeShade="80"/>
              <w:right w:val="single" w:sz="4" w:space="0" w:color="78821A" w:themeColor="background2" w:themeShade="80"/>
            </w:tcBorders>
            <w:shd w:val="clear" w:color="auto" w:fill="E3EB9B" w:themeFill="background2" w:themeFillTint="99"/>
          </w:tcPr>
          <w:p w14:paraId="116EE68F" w14:textId="77777777" w:rsidR="005F6D5E" w:rsidRPr="002431B4" w:rsidRDefault="005F6D5E">
            <w:pPr>
              <w:spacing w:before="120" w:after="120"/>
              <w:contextualSpacing/>
              <w:rPr>
                <w:b/>
                <w:sz w:val="24"/>
                <w:szCs w:val="24"/>
              </w:rPr>
            </w:pPr>
            <w:r w:rsidRPr="002431B4">
              <w:rPr>
                <w:b/>
                <w:sz w:val="24"/>
                <w:szCs w:val="24"/>
              </w:rPr>
              <w:t>Squadron energy</w:t>
            </w:r>
          </w:p>
          <w:p w14:paraId="668FA8C1" w14:textId="77777777" w:rsidR="005F6D5E" w:rsidRPr="002431B4" w:rsidRDefault="005F6D5E" w:rsidP="002431B4">
            <w:pPr>
              <w:spacing w:before="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3049E5C8" w14:textId="77777777" w:rsidR="005F6D5E" w:rsidRPr="002431B4" w:rsidRDefault="005F6D5E" w:rsidP="00F25595">
            <w:pPr>
              <w:pStyle w:val="ListParagraph"/>
              <w:numPr>
                <w:ilvl w:val="0"/>
                <w:numId w:val="19"/>
              </w:numPr>
              <w:spacing w:after="120"/>
              <w:rPr>
                <w:sz w:val="20"/>
                <w:szCs w:val="20"/>
              </w:rPr>
            </w:pPr>
            <w:r w:rsidRPr="002431B4">
              <w:rPr>
                <w:sz w:val="20"/>
                <w:szCs w:val="20"/>
              </w:rPr>
              <w:t>Bango (NSW, 244 MW)</w:t>
            </w:r>
          </w:p>
          <w:p w14:paraId="1E00F230"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Crudine Ridge (NSW, 134 MW)</w:t>
            </w:r>
          </w:p>
          <w:p w14:paraId="2557EEAF"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Murra Warra I and II (Vic, 435 MW)</w:t>
            </w:r>
          </w:p>
          <w:p w14:paraId="396C81D9" w14:textId="77777777" w:rsidR="005F6D5E" w:rsidRPr="002431B4" w:rsidRDefault="005F6D5E" w:rsidP="00F25595">
            <w:pPr>
              <w:pStyle w:val="ListParagraph"/>
              <w:numPr>
                <w:ilvl w:val="0"/>
                <w:numId w:val="19"/>
              </w:numPr>
              <w:spacing w:before="120" w:after="120"/>
              <w:rPr>
                <w:sz w:val="20"/>
                <w:szCs w:val="20"/>
              </w:rPr>
            </w:pPr>
            <w:r w:rsidRPr="002431B4">
              <w:rPr>
                <w:sz w:val="20"/>
                <w:szCs w:val="20"/>
              </w:rPr>
              <w:t>Sapphire Wind (NSW, 270)</w:t>
            </w:r>
          </w:p>
          <w:p w14:paraId="12BE263F" w14:textId="1F8A9B53" w:rsidR="005F6D5E" w:rsidRPr="002431B4" w:rsidRDefault="005F6D5E">
            <w:pPr>
              <w:spacing w:before="120" w:after="120"/>
              <w:contextualSpacing/>
              <w:rPr>
                <w:sz w:val="20"/>
                <w:szCs w:val="20"/>
              </w:rPr>
            </w:pPr>
            <w:r w:rsidRPr="002431B4">
              <w:rPr>
                <w:b/>
                <w:color w:val="005D5D" w:themeColor="accent2"/>
                <w:sz w:val="20"/>
                <w:szCs w:val="20"/>
              </w:rPr>
              <w:t xml:space="preserve">Ownership structure: </w:t>
            </w:r>
            <w:r w:rsidRPr="002431B4">
              <w:rPr>
                <w:sz w:val="20"/>
                <w:szCs w:val="20"/>
              </w:rPr>
              <w:t>Some projects previously CWP Renewables.</w:t>
            </w:r>
            <w:r w:rsidRPr="002431B4">
              <w:rPr>
                <w:b/>
                <w:sz w:val="20"/>
                <w:szCs w:val="20"/>
              </w:rPr>
              <w:t xml:space="preserve"> </w:t>
            </w:r>
            <w:r w:rsidRPr="002431B4">
              <w:rPr>
                <w:sz w:val="20"/>
                <w:szCs w:val="20"/>
              </w:rPr>
              <w:t>Owned by Fortescue Future Industries (FFI)</w:t>
            </w:r>
            <w:r w:rsidR="00A959AA">
              <w:rPr>
                <w:sz w:val="20"/>
                <w:szCs w:val="20"/>
              </w:rPr>
              <w:t>.</w:t>
            </w:r>
          </w:p>
          <w:p w14:paraId="23CDEC25" w14:textId="77777777" w:rsidR="005F6D5E" w:rsidRPr="002431B4" w:rsidRDefault="005F6D5E">
            <w:pPr>
              <w:spacing w:before="120" w:after="120"/>
              <w:contextualSpacing/>
              <w:rPr>
                <w:b/>
                <w:color w:val="005D5D" w:themeColor="accent2"/>
                <w:sz w:val="20"/>
                <w:szCs w:val="20"/>
              </w:rPr>
            </w:pPr>
            <w:r w:rsidRPr="002431B4">
              <w:rPr>
                <w:b/>
                <w:color w:val="005D5D" w:themeColor="accent2"/>
                <w:sz w:val="20"/>
                <w:szCs w:val="20"/>
              </w:rPr>
              <w:t>Other activities:</w:t>
            </w:r>
          </w:p>
          <w:p w14:paraId="2DE91631" w14:textId="77777777" w:rsidR="005F6D5E" w:rsidRPr="002431B4" w:rsidRDefault="005F6D5E">
            <w:pPr>
              <w:spacing w:before="120" w:after="120"/>
              <w:contextualSpacing/>
            </w:pPr>
            <w:r w:rsidRPr="002431B4">
              <w:rPr>
                <w:sz w:val="20"/>
                <w:szCs w:val="20"/>
              </w:rPr>
              <w:t>Squardon has approval to develop the Sapphire Solar Farm (NSW, 180 MW</w:t>
            </w:r>
            <w:r w:rsidRPr="002431B4">
              <w:rPr>
                <w:sz w:val="20"/>
                <w:szCs w:val="20"/>
                <w:vertAlign w:val="subscript"/>
              </w:rPr>
              <w:t>ac</w:t>
            </w:r>
            <w:r w:rsidRPr="002431B4">
              <w:rPr>
                <w:sz w:val="20"/>
                <w:szCs w:val="20"/>
              </w:rPr>
              <w:t>) as well as a number of other wind projects. FFI is investing in a number of hydrogen projects.</w:t>
            </w:r>
          </w:p>
        </w:tc>
      </w:tr>
    </w:tbl>
    <w:p w14:paraId="7B749E95" w14:textId="77777777" w:rsidR="005F6D5E" w:rsidRPr="002431B4" w:rsidRDefault="005F6D5E" w:rsidP="005F6D5E">
      <w:pPr>
        <w:rPr>
          <w:rFonts w:cs="Arial"/>
          <w:b/>
        </w:rPr>
      </w:pPr>
      <w:r w:rsidRPr="002431B4">
        <w:rPr>
          <w:sz w:val="18"/>
          <w:szCs w:val="18"/>
        </w:rPr>
        <w:t>Sources: see endnotes</w:t>
      </w:r>
      <w:r w:rsidRPr="002431B4">
        <w:rPr>
          <w:rStyle w:val="EndnoteReference"/>
          <w:sz w:val="18"/>
          <w:szCs w:val="18"/>
        </w:rPr>
        <w:endnoteReference w:id="36"/>
      </w:r>
      <w:r w:rsidRPr="002431B4">
        <w:br w:type="page"/>
      </w:r>
    </w:p>
    <w:p w14:paraId="43F4C3FF" w14:textId="445F4005" w:rsidR="005F6D5E" w:rsidRPr="00E5087D" w:rsidRDefault="23CD0001" w:rsidP="005F6D5E">
      <w:pPr>
        <w:pStyle w:val="Heading5"/>
        <w:spacing w:before="240" w:after="120"/>
      </w:pPr>
      <w:r>
        <w:lastRenderedPageBreak/>
        <w:t>Hydro</w:t>
      </w:r>
      <w:r w:rsidR="00E44E05">
        <w:t>electricity</w:t>
      </w:r>
    </w:p>
    <w:p w14:paraId="200FEFDF" w14:textId="77777777" w:rsidR="005F6D5E" w:rsidRPr="00E5087D" w:rsidRDefault="005F6D5E" w:rsidP="002431B4">
      <w:pPr>
        <w:spacing w:after="120"/>
      </w:pPr>
      <w:r w:rsidRPr="00E5087D">
        <w:t>This section includes hydroelectric power and pumped hydro storage, as the infrastructure and ownership structures overlap, even though they play very different roles in the system.</w:t>
      </w:r>
    </w:p>
    <w:p w14:paraId="1E71F683" w14:textId="0F82E45A" w:rsidR="005F6D5E" w:rsidRPr="00E5087D" w:rsidRDefault="005F6D5E" w:rsidP="005F6D5E">
      <w:pPr>
        <w:rPr>
          <w:color w:val="auto"/>
        </w:rPr>
      </w:pPr>
      <w:r w:rsidRPr="00E5087D">
        <w:rPr>
          <w:color w:val="auto"/>
        </w:rPr>
        <w:t>Most of Tasmania’s electricity generation comes from hydro</w:t>
      </w:r>
      <w:r w:rsidR="00AC1807">
        <w:rPr>
          <w:color w:val="auto"/>
        </w:rPr>
        <w:t>el</w:t>
      </w:r>
      <w:r w:rsidR="00113404">
        <w:rPr>
          <w:color w:val="auto"/>
        </w:rPr>
        <w:t>ectricity</w:t>
      </w:r>
      <w:r w:rsidRPr="00E5087D">
        <w:rPr>
          <w:color w:val="auto"/>
        </w:rPr>
        <w:t xml:space="preserve">. The hydroelectricity generation industry is highly concentrated because </w:t>
      </w:r>
      <w:r w:rsidR="11A7741D" w:rsidRPr="317E0E4B">
        <w:rPr>
          <w:color w:val="auto"/>
        </w:rPr>
        <w:t>of</w:t>
      </w:r>
      <w:r w:rsidRPr="317E0E4B">
        <w:rPr>
          <w:color w:val="auto"/>
        </w:rPr>
        <w:t xml:space="preserve"> </w:t>
      </w:r>
      <w:r w:rsidRPr="00E5087D">
        <w:rPr>
          <w:color w:val="auto"/>
        </w:rPr>
        <w:t xml:space="preserve">high set-up and ongoing maintenance </w:t>
      </w:r>
      <w:r w:rsidR="07640117" w:rsidRPr="317E0E4B">
        <w:rPr>
          <w:color w:val="auto"/>
        </w:rPr>
        <w:t>costs</w:t>
      </w:r>
      <w:r w:rsidR="69F57CC9" w:rsidRPr="020E0AA3">
        <w:rPr>
          <w:color w:val="auto"/>
        </w:rPr>
        <w:t>,</w:t>
      </w:r>
      <w:r w:rsidR="07640117" w:rsidRPr="317E0E4B">
        <w:rPr>
          <w:color w:val="auto"/>
        </w:rPr>
        <w:t xml:space="preserve"> </w:t>
      </w:r>
      <w:r w:rsidRPr="00E5087D">
        <w:rPr>
          <w:color w:val="auto"/>
        </w:rPr>
        <w:t xml:space="preserve">and the requirements for an abundance of water. New South Wales is expanding the Snowy Mountains Hydroelectric scheme which will increase the renewable power as coal-fired plants </w:t>
      </w:r>
      <w:r w:rsidRPr="317E0E4B">
        <w:rPr>
          <w:color w:val="auto"/>
        </w:rPr>
        <w:t>close.</w:t>
      </w:r>
      <w:r w:rsidRPr="00E5087D">
        <w:rPr>
          <w:color w:val="auto"/>
        </w:rPr>
        <w:t xml:space="preserve"> New South Wales, Queensland and Western Australia have smaller scale hydro</w:t>
      </w:r>
      <w:r w:rsidR="00353A4B">
        <w:rPr>
          <w:color w:val="auto"/>
        </w:rPr>
        <w:t>electric</w:t>
      </w:r>
      <w:r w:rsidRPr="00E5087D">
        <w:rPr>
          <w:color w:val="auto"/>
        </w:rPr>
        <w:t xml:space="preserve"> facilities</w:t>
      </w:r>
      <w:r w:rsidR="000205DB">
        <w:rPr>
          <w:color w:val="auto"/>
        </w:rPr>
        <w:t xml:space="preserve"> (</w:t>
      </w:r>
      <w:r w:rsidR="003E38C5">
        <w:rPr>
          <w:color w:val="auto"/>
        </w:rPr>
        <w:t>Figure</w:t>
      </w:r>
      <w:r w:rsidR="000205DB">
        <w:rPr>
          <w:color w:val="auto"/>
        </w:rPr>
        <w:t xml:space="preserve"> 3.2</w:t>
      </w:r>
      <w:r w:rsidR="00F711CF">
        <w:rPr>
          <w:color w:val="auto"/>
        </w:rPr>
        <w:t>3</w:t>
      </w:r>
      <w:r w:rsidR="000205DB">
        <w:rPr>
          <w:color w:val="auto"/>
        </w:rPr>
        <w:t>)</w:t>
      </w:r>
      <w:r w:rsidRPr="00E5087D">
        <w:rPr>
          <w:color w:val="auto"/>
        </w:rPr>
        <w:t>.</w:t>
      </w:r>
    </w:p>
    <w:p w14:paraId="150AB16C" w14:textId="5DF2FA1B"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.2</w:t>
      </w:r>
      <w:r w:rsidR="00F97626">
        <w:rPr>
          <w:b/>
          <w:bCs/>
        </w:rPr>
        <w:t>3</w:t>
      </w:r>
      <w:r w:rsidR="009E6F85" w:rsidRPr="00E5087D">
        <w:rPr>
          <w:b/>
          <w:bCs/>
        </w:rPr>
        <w:t>.</w:t>
      </w:r>
      <w:r w:rsidRPr="00E5087D">
        <w:rPr>
          <w:b/>
          <w:bCs/>
        </w:rPr>
        <w:t xml:space="preserve"> Major firms in hydroelectric generation and pumped hydro storage</w:t>
      </w:r>
    </w:p>
    <w:tbl>
      <w:tblPr>
        <w:tblStyle w:val="TableGrid"/>
        <w:tblW w:w="0" w:type="auto"/>
        <w:tblBorders>
          <w:top w:val="single" w:sz="4" w:space="0" w:color="78821A" w:themeColor="background2" w:themeShade="80"/>
          <w:left w:val="single" w:sz="4" w:space="0" w:color="78821A" w:themeColor="background2" w:themeShade="80"/>
          <w:bottom w:val="single" w:sz="4" w:space="0" w:color="78821A" w:themeColor="background2" w:themeShade="80"/>
          <w:right w:val="single" w:sz="4" w:space="0" w:color="78821A" w:themeColor="background2" w:themeShade="80"/>
          <w:insideH w:val="single" w:sz="4" w:space="0" w:color="78821A" w:themeColor="background2" w:themeShade="80"/>
          <w:insideV w:val="single" w:sz="4" w:space="0" w:color="78821A" w:themeColor="background2" w:themeShade="80"/>
        </w:tblBorders>
        <w:tblCellMar>
          <w:top w:w="85" w:type="dxa"/>
          <w:bottom w:w="85" w:type="dxa"/>
        </w:tblCellMar>
        <w:tblLook w:val="04A0" w:firstRow="1" w:lastRow="0" w:firstColumn="1" w:lastColumn="0" w:noHBand="0" w:noVBand="1"/>
      </w:tblPr>
      <w:tblGrid>
        <w:gridCol w:w="4508"/>
        <w:gridCol w:w="4508"/>
      </w:tblGrid>
      <w:tr w:rsidR="005F6D5E" w:rsidRPr="00E5087D" w14:paraId="2B1E7F50" w14:textId="77777777">
        <w:tc>
          <w:tcPr>
            <w:tcW w:w="4508" w:type="dxa"/>
            <w:shd w:val="clear" w:color="auto" w:fill="E3EB9B" w:themeFill="background2" w:themeFillTint="99"/>
          </w:tcPr>
          <w:p w14:paraId="564527B1" w14:textId="77777777" w:rsidR="005F6D5E" w:rsidRPr="00E5087D" w:rsidRDefault="005F6D5E">
            <w:pPr>
              <w:spacing w:before="120" w:after="120"/>
              <w:contextualSpacing/>
              <w:rPr>
                <w:b/>
                <w:sz w:val="24"/>
                <w:szCs w:val="24"/>
              </w:rPr>
            </w:pPr>
            <w:r w:rsidRPr="00E5087D">
              <w:rPr>
                <w:b/>
                <w:sz w:val="24"/>
                <w:szCs w:val="24"/>
              </w:rPr>
              <w:t>Hydro Tasmania</w:t>
            </w:r>
          </w:p>
          <w:p w14:paraId="361098A1" w14:textId="77777777" w:rsidR="005F6D5E" w:rsidRPr="00E5087D" w:rsidRDefault="005F6D5E">
            <w:pPr>
              <w:spacing w:before="120" w:after="120"/>
              <w:contextualSpacing/>
              <w:rPr>
                <w:sz w:val="20"/>
                <w:szCs w:val="20"/>
              </w:rPr>
            </w:pPr>
            <w:r w:rsidRPr="002431B4">
              <w:rPr>
                <w:b/>
                <w:color w:val="005D5D" w:themeColor="accent2"/>
                <w:sz w:val="20"/>
                <w:szCs w:val="20"/>
              </w:rPr>
              <w:t>Estimated market share:</w:t>
            </w:r>
            <w:r w:rsidRPr="00E5087D">
              <w:rPr>
                <w:sz w:val="20"/>
                <w:szCs w:val="20"/>
              </w:rPr>
              <w:t xml:space="preserve"> 48%</w:t>
            </w:r>
          </w:p>
          <w:p w14:paraId="35BC1E79" w14:textId="77777777" w:rsidR="005F6D5E" w:rsidRPr="002431B4" w:rsidRDefault="005F6D5E">
            <w:pPr>
              <w:spacing w:before="120" w:after="120"/>
              <w:contextualSpacing/>
              <w:rPr>
                <w:color w:val="005D5D" w:themeColor="accent2"/>
                <w:sz w:val="20"/>
                <w:szCs w:val="20"/>
              </w:rPr>
            </w:pPr>
            <w:r w:rsidRPr="002431B4">
              <w:rPr>
                <w:b/>
                <w:color w:val="005D5D" w:themeColor="accent2"/>
                <w:sz w:val="20"/>
                <w:szCs w:val="20"/>
              </w:rPr>
              <w:t>Primary generation sites:</w:t>
            </w:r>
            <w:r w:rsidRPr="002431B4">
              <w:rPr>
                <w:color w:val="005D5D" w:themeColor="accent2"/>
                <w:sz w:val="20"/>
                <w:szCs w:val="20"/>
              </w:rPr>
              <w:t xml:space="preserve"> </w:t>
            </w:r>
          </w:p>
          <w:p w14:paraId="0CE9D476"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Gordon (Tas, 432 MW)</w:t>
            </w:r>
          </w:p>
          <w:p w14:paraId="018877CE"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Poatina (Tas, 300 MW</w:t>
            </w:r>
            <w:r w:rsidRPr="00E5087D">
              <w:rPr>
                <w:sz w:val="20"/>
                <w:szCs w:val="20"/>
                <w:vertAlign w:val="subscript"/>
              </w:rPr>
              <w:t>p</w:t>
            </w:r>
            <w:r w:rsidRPr="00E5087D">
              <w:rPr>
                <w:sz w:val="20"/>
                <w:szCs w:val="20"/>
              </w:rPr>
              <w:t>)</w:t>
            </w:r>
          </w:p>
          <w:p w14:paraId="6B68D181"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Reece (Tas, 231.2 MW)</w:t>
            </w:r>
          </w:p>
          <w:p w14:paraId="2F3A407F"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John Butters (Tas, 144 MW)</w:t>
            </w:r>
          </w:p>
          <w:p w14:paraId="68C9061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Tungatinah (Tas, 125 MW)</w:t>
            </w:r>
          </w:p>
          <w:p w14:paraId="02FBF59B" w14:textId="77777777" w:rsidR="005F6D5E" w:rsidRPr="00E5087D" w:rsidRDefault="005F6D5E">
            <w:pPr>
              <w:pStyle w:val="ListParagraph"/>
              <w:spacing w:before="120" w:after="120"/>
              <w:rPr>
                <w:sz w:val="20"/>
                <w:szCs w:val="20"/>
              </w:rPr>
            </w:pPr>
            <w:r w:rsidRPr="00E5087D">
              <w:rPr>
                <w:sz w:val="20"/>
                <w:szCs w:val="20"/>
              </w:rPr>
              <w:t>&amp; other smaller power stations</w:t>
            </w:r>
          </w:p>
          <w:p w14:paraId="72CFAA0E" w14:textId="2375800B" w:rsidR="005F6D5E" w:rsidRPr="00E5087D" w:rsidRDefault="005F6D5E">
            <w:pPr>
              <w:spacing w:before="120" w:after="120"/>
              <w:contextualSpacing/>
              <w:rPr>
                <w:sz w:val="20"/>
                <w:szCs w:val="20"/>
              </w:rPr>
            </w:pPr>
            <w:r w:rsidRPr="002431B4">
              <w:rPr>
                <w:b/>
                <w:color w:val="005D5D" w:themeColor="accent2"/>
                <w:sz w:val="20"/>
                <w:szCs w:val="20"/>
              </w:rPr>
              <w:t xml:space="preserve">Ownership structure: </w:t>
            </w:r>
            <w:r w:rsidRPr="00E5087D">
              <w:rPr>
                <w:sz w:val="20"/>
                <w:szCs w:val="20"/>
              </w:rPr>
              <w:t>Publicly owned by Government of Tasmania</w:t>
            </w:r>
            <w:r w:rsidR="00A959AA">
              <w:rPr>
                <w:sz w:val="20"/>
                <w:szCs w:val="20"/>
              </w:rPr>
              <w:t>.</w:t>
            </w:r>
          </w:p>
          <w:p w14:paraId="23BBC38A" w14:textId="77777777" w:rsidR="005F6D5E" w:rsidRPr="002431B4" w:rsidRDefault="005F6D5E">
            <w:pPr>
              <w:spacing w:before="120" w:after="120"/>
              <w:contextualSpacing/>
              <w:rPr>
                <w:b/>
                <w:color w:val="005D5D" w:themeColor="accent2"/>
                <w:sz w:val="20"/>
                <w:szCs w:val="20"/>
              </w:rPr>
            </w:pPr>
            <w:r w:rsidRPr="002431B4">
              <w:rPr>
                <w:b/>
                <w:color w:val="005D5D" w:themeColor="accent2"/>
                <w:sz w:val="20"/>
                <w:szCs w:val="20"/>
              </w:rPr>
              <w:t xml:space="preserve">Other activities: </w:t>
            </w:r>
          </w:p>
          <w:p w14:paraId="754940B3" w14:textId="77777777" w:rsidR="005F6D5E" w:rsidRPr="00E5087D" w:rsidRDefault="005F6D5E">
            <w:pPr>
              <w:spacing w:before="120" w:after="120"/>
              <w:contextualSpacing/>
              <w:rPr>
                <w:b/>
              </w:rPr>
            </w:pPr>
            <w:r w:rsidRPr="00E5087D">
              <w:rPr>
                <w:sz w:val="20"/>
                <w:szCs w:val="20"/>
              </w:rPr>
              <w:t>Hydro Tasmania operates a gas turbine power station in the Tamar Valley and wind farms at Huxley Hill, Musselroe and Woolnorth.</w:t>
            </w:r>
          </w:p>
        </w:tc>
        <w:tc>
          <w:tcPr>
            <w:tcW w:w="4508" w:type="dxa"/>
            <w:shd w:val="clear" w:color="auto" w:fill="E3EB9B" w:themeFill="background2" w:themeFillTint="99"/>
          </w:tcPr>
          <w:p w14:paraId="1643FC61" w14:textId="77777777" w:rsidR="005F6D5E" w:rsidRPr="00E5087D" w:rsidRDefault="005F6D5E">
            <w:pPr>
              <w:spacing w:before="120" w:after="120"/>
              <w:contextualSpacing/>
              <w:rPr>
                <w:b/>
                <w:sz w:val="24"/>
                <w:szCs w:val="24"/>
              </w:rPr>
            </w:pPr>
            <w:r w:rsidRPr="00E5087D">
              <w:rPr>
                <w:b/>
                <w:sz w:val="24"/>
                <w:szCs w:val="24"/>
              </w:rPr>
              <w:t>Snowy Hydro</w:t>
            </w:r>
          </w:p>
          <w:p w14:paraId="4935D7B3" w14:textId="77777777" w:rsidR="005F6D5E" w:rsidRPr="00E5087D" w:rsidRDefault="005F6D5E">
            <w:pPr>
              <w:spacing w:before="120" w:after="120"/>
              <w:contextualSpacing/>
              <w:rPr>
                <w:sz w:val="20"/>
                <w:szCs w:val="20"/>
              </w:rPr>
            </w:pPr>
            <w:r w:rsidRPr="000C61DA">
              <w:rPr>
                <w:b/>
                <w:color w:val="005D5D" w:themeColor="accent2"/>
                <w:sz w:val="20"/>
                <w:szCs w:val="20"/>
              </w:rPr>
              <w:t>Estimated market share:</w:t>
            </w:r>
            <w:r w:rsidRPr="000C61DA">
              <w:rPr>
                <w:color w:val="005D5D" w:themeColor="accent2"/>
                <w:sz w:val="20"/>
                <w:szCs w:val="20"/>
              </w:rPr>
              <w:t xml:space="preserve"> </w:t>
            </w:r>
            <w:r w:rsidRPr="00E5087D">
              <w:rPr>
                <w:sz w:val="20"/>
                <w:szCs w:val="20"/>
              </w:rPr>
              <w:t>12%</w:t>
            </w:r>
          </w:p>
          <w:p w14:paraId="31A0CC4A" w14:textId="77777777" w:rsidR="005F6D5E" w:rsidRPr="000C61DA" w:rsidRDefault="005F6D5E">
            <w:pPr>
              <w:spacing w:before="120" w:after="120"/>
              <w:contextualSpacing/>
              <w:rPr>
                <w:color w:val="005D5D" w:themeColor="accent2"/>
                <w:sz w:val="20"/>
                <w:szCs w:val="20"/>
              </w:rPr>
            </w:pPr>
            <w:r w:rsidRPr="000C61DA">
              <w:rPr>
                <w:b/>
                <w:color w:val="005D5D" w:themeColor="accent2"/>
                <w:sz w:val="20"/>
                <w:szCs w:val="20"/>
              </w:rPr>
              <w:t>Primary generation sites:</w:t>
            </w:r>
            <w:r w:rsidRPr="000C61DA">
              <w:rPr>
                <w:color w:val="005D5D" w:themeColor="accent2"/>
                <w:sz w:val="20"/>
                <w:szCs w:val="20"/>
              </w:rPr>
              <w:t xml:space="preserve"> </w:t>
            </w:r>
          </w:p>
          <w:p w14:paraId="00C9F9B2"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Tumut 1, 2 and 3 (NSW, 2116 MW)</w:t>
            </w:r>
          </w:p>
          <w:p w14:paraId="5F7CC7BA"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Murray 1 and 2 (NSW, 1500 MW</w:t>
            </w:r>
            <w:r w:rsidRPr="00E5087D">
              <w:rPr>
                <w:sz w:val="20"/>
                <w:szCs w:val="20"/>
                <w:vertAlign w:val="subscript"/>
              </w:rPr>
              <w:t>p</w:t>
            </w:r>
            <w:r w:rsidRPr="00E5087D">
              <w:rPr>
                <w:sz w:val="20"/>
                <w:szCs w:val="20"/>
              </w:rPr>
              <w:t>)</w:t>
            </w:r>
          </w:p>
          <w:p w14:paraId="51070EE6"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Blowering (NSW, 80 MW)</w:t>
            </w:r>
          </w:p>
          <w:p w14:paraId="16D37B2D" w14:textId="6DBDE502" w:rsidR="005F6D5E" w:rsidRDefault="005F6D5E">
            <w:pPr>
              <w:spacing w:before="120" w:after="120"/>
              <w:contextualSpacing/>
              <w:rPr>
                <w:sz w:val="20"/>
                <w:szCs w:val="20"/>
              </w:rPr>
            </w:pPr>
            <w:r w:rsidRPr="000C61DA">
              <w:rPr>
                <w:b/>
                <w:color w:val="005D5D" w:themeColor="accent2"/>
                <w:sz w:val="20"/>
                <w:szCs w:val="20"/>
              </w:rPr>
              <w:t xml:space="preserve">Ownership structure: </w:t>
            </w:r>
            <w:r w:rsidRPr="00E5087D">
              <w:rPr>
                <w:sz w:val="20"/>
                <w:szCs w:val="20"/>
              </w:rPr>
              <w:t>owned by Government of Australia</w:t>
            </w:r>
            <w:r w:rsidR="00A959AA">
              <w:rPr>
                <w:sz w:val="20"/>
                <w:szCs w:val="20"/>
              </w:rPr>
              <w:t>.</w:t>
            </w:r>
          </w:p>
          <w:p w14:paraId="4A293D39" w14:textId="77777777" w:rsidR="005F6D5E" w:rsidRPr="00E5087D" w:rsidRDefault="005F6D5E">
            <w:pPr>
              <w:spacing w:before="120" w:after="120"/>
              <w:contextualSpacing/>
            </w:pPr>
            <w:r w:rsidRPr="000C61DA">
              <w:rPr>
                <w:b/>
                <w:bCs/>
                <w:color w:val="005D5D" w:themeColor="accent2"/>
                <w:sz w:val="20"/>
                <w:szCs w:val="20"/>
              </w:rPr>
              <w:t>Other activities:</w:t>
            </w:r>
            <w:r w:rsidRPr="000C61DA">
              <w:rPr>
                <w:color w:val="005D5D" w:themeColor="accent2"/>
                <w:sz w:val="20"/>
                <w:szCs w:val="20"/>
              </w:rPr>
              <w:t xml:space="preserve"> </w:t>
            </w:r>
            <w:r w:rsidRPr="00E5087D">
              <w:rPr>
                <w:sz w:val="20"/>
                <w:szCs w:val="20"/>
              </w:rPr>
              <w:t>The Snowy Pumped Hydro project is underway. Snowy Hydro also operates gas fired and diesel power stations in Victoria, NSW and South Australia and owns two electricity retailing business.</w:t>
            </w:r>
            <w:r w:rsidRPr="00E5087D">
              <w:rPr>
                <w:b/>
                <w:color w:val="7F7F7F" w:themeColor="text1" w:themeTint="80"/>
                <w:sz w:val="20"/>
                <w:szCs w:val="20"/>
              </w:rPr>
              <w:t xml:space="preserve"> </w:t>
            </w:r>
          </w:p>
        </w:tc>
      </w:tr>
      <w:tr w:rsidR="005F6D5E" w:rsidRPr="00E5087D" w14:paraId="6E6F8316" w14:textId="77777777" w:rsidTr="003270B7">
        <w:trPr>
          <w:trHeight w:val="3893"/>
        </w:trPr>
        <w:tc>
          <w:tcPr>
            <w:tcW w:w="4508" w:type="dxa"/>
            <w:shd w:val="clear" w:color="auto" w:fill="E3EB9B" w:themeFill="background2" w:themeFillTint="99"/>
          </w:tcPr>
          <w:p w14:paraId="4C06DE1A" w14:textId="77777777" w:rsidR="005F6D5E" w:rsidRPr="00E5087D" w:rsidRDefault="005F6D5E">
            <w:pPr>
              <w:spacing w:before="120" w:after="120"/>
              <w:contextualSpacing/>
              <w:rPr>
                <w:b/>
                <w:sz w:val="24"/>
                <w:szCs w:val="24"/>
              </w:rPr>
            </w:pPr>
            <w:r w:rsidRPr="00E5087D">
              <w:rPr>
                <w:b/>
                <w:sz w:val="24"/>
                <w:szCs w:val="24"/>
              </w:rPr>
              <w:t>AGL</w:t>
            </w:r>
          </w:p>
          <w:p w14:paraId="3E837492" w14:textId="77777777" w:rsidR="005F6D5E" w:rsidRPr="00E5087D" w:rsidRDefault="005F6D5E">
            <w:pPr>
              <w:spacing w:before="120" w:after="120"/>
              <w:contextualSpacing/>
              <w:rPr>
                <w:sz w:val="20"/>
                <w:szCs w:val="20"/>
              </w:rPr>
            </w:pPr>
            <w:r w:rsidRPr="000C61DA">
              <w:rPr>
                <w:b/>
                <w:color w:val="005D5D" w:themeColor="accent2"/>
                <w:sz w:val="20"/>
                <w:szCs w:val="20"/>
              </w:rPr>
              <w:t>Estimated market share:</w:t>
            </w:r>
            <w:r w:rsidRPr="000C61DA">
              <w:rPr>
                <w:color w:val="005D5D" w:themeColor="accent2"/>
                <w:sz w:val="20"/>
                <w:szCs w:val="20"/>
              </w:rPr>
              <w:t xml:space="preserve"> </w:t>
            </w:r>
            <w:r w:rsidRPr="00E5087D">
              <w:rPr>
                <w:sz w:val="20"/>
                <w:szCs w:val="20"/>
              </w:rPr>
              <w:t>5.6%</w:t>
            </w:r>
          </w:p>
          <w:p w14:paraId="541BD8CF" w14:textId="77777777" w:rsidR="005F6D5E" w:rsidRPr="000C61DA" w:rsidRDefault="005F6D5E">
            <w:pPr>
              <w:spacing w:before="120" w:after="120"/>
              <w:contextualSpacing/>
              <w:rPr>
                <w:color w:val="005D5D" w:themeColor="accent2"/>
                <w:sz w:val="20"/>
                <w:szCs w:val="20"/>
              </w:rPr>
            </w:pPr>
            <w:r w:rsidRPr="000C61DA">
              <w:rPr>
                <w:b/>
                <w:color w:val="005D5D" w:themeColor="accent2"/>
                <w:sz w:val="20"/>
                <w:szCs w:val="20"/>
              </w:rPr>
              <w:t>Primary generation sites:</w:t>
            </w:r>
            <w:r w:rsidRPr="000C61DA">
              <w:rPr>
                <w:color w:val="005D5D" w:themeColor="accent2"/>
                <w:sz w:val="20"/>
                <w:szCs w:val="20"/>
              </w:rPr>
              <w:t xml:space="preserve"> </w:t>
            </w:r>
          </w:p>
          <w:p w14:paraId="4B5959E3"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Kiewa Scheme (Vic, 395 MW)</w:t>
            </w:r>
          </w:p>
          <w:p w14:paraId="3DDA2764"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Dartmouth (Vic, 185 MW</w:t>
            </w:r>
            <w:r w:rsidRPr="00E5087D">
              <w:rPr>
                <w:sz w:val="20"/>
                <w:szCs w:val="20"/>
                <w:vertAlign w:val="subscript"/>
              </w:rPr>
              <w:t>p</w:t>
            </w:r>
            <w:r w:rsidRPr="00E5087D">
              <w:rPr>
                <w:sz w:val="20"/>
                <w:szCs w:val="20"/>
              </w:rPr>
              <w:t>)</w:t>
            </w:r>
          </w:p>
          <w:p w14:paraId="7525FD91"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Eildon (Vic, 120 MW)</w:t>
            </w:r>
          </w:p>
          <w:p w14:paraId="4D7DA680" w14:textId="358D6191" w:rsidR="005F6D5E" w:rsidRPr="00E5087D" w:rsidRDefault="005F6D5E">
            <w:pPr>
              <w:spacing w:before="120" w:after="120"/>
              <w:contextualSpacing/>
              <w:rPr>
                <w:sz w:val="20"/>
                <w:szCs w:val="20"/>
              </w:rPr>
            </w:pPr>
            <w:r w:rsidRPr="000C61DA">
              <w:rPr>
                <w:b/>
                <w:color w:val="005D5D" w:themeColor="accent2"/>
                <w:sz w:val="20"/>
                <w:szCs w:val="20"/>
              </w:rPr>
              <w:t>History:</w:t>
            </w:r>
            <w:r w:rsidRPr="000C61DA">
              <w:rPr>
                <w:color w:val="005D5D" w:themeColor="accent2"/>
                <w:sz w:val="20"/>
                <w:szCs w:val="20"/>
              </w:rPr>
              <w:t xml:space="preserve"> </w:t>
            </w:r>
            <w:r w:rsidRPr="00E5087D">
              <w:rPr>
                <w:sz w:val="20"/>
                <w:szCs w:val="20"/>
              </w:rPr>
              <w:t>founded as Australian Gas Light Company in 1837</w:t>
            </w:r>
            <w:r w:rsidR="00A959AA">
              <w:rPr>
                <w:sz w:val="20"/>
                <w:szCs w:val="20"/>
              </w:rPr>
              <w:t>.</w:t>
            </w:r>
          </w:p>
          <w:p w14:paraId="68695C08" w14:textId="77777777" w:rsidR="005F6D5E" w:rsidRPr="00E5087D" w:rsidRDefault="005F6D5E">
            <w:pPr>
              <w:spacing w:before="120" w:after="120"/>
              <w:contextualSpacing/>
              <w:rPr>
                <w:sz w:val="20"/>
                <w:szCs w:val="20"/>
              </w:rPr>
            </w:pPr>
            <w:r w:rsidRPr="000C61DA">
              <w:rPr>
                <w:b/>
                <w:color w:val="005D5D" w:themeColor="accent2"/>
                <w:sz w:val="20"/>
                <w:szCs w:val="20"/>
              </w:rPr>
              <w:t xml:space="preserve">Ownership structure: </w:t>
            </w:r>
            <w:r w:rsidRPr="00E5087D">
              <w:rPr>
                <w:sz w:val="20"/>
                <w:szCs w:val="20"/>
              </w:rPr>
              <w:t>Private company listed on ASX.</w:t>
            </w:r>
          </w:p>
          <w:p w14:paraId="2CFC8F73" w14:textId="77777777" w:rsidR="005F6D5E" w:rsidRPr="000C61DA" w:rsidRDefault="005F6D5E">
            <w:pPr>
              <w:spacing w:before="120" w:after="120"/>
              <w:contextualSpacing/>
              <w:rPr>
                <w:b/>
                <w:color w:val="005D5D" w:themeColor="accent2"/>
                <w:sz w:val="20"/>
                <w:szCs w:val="20"/>
              </w:rPr>
            </w:pPr>
            <w:r w:rsidRPr="000C61DA">
              <w:rPr>
                <w:b/>
                <w:color w:val="005D5D" w:themeColor="accent2"/>
                <w:sz w:val="20"/>
                <w:szCs w:val="20"/>
              </w:rPr>
              <w:t xml:space="preserve">Other activities: </w:t>
            </w:r>
          </w:p>
          <w:p w14:paraId="701801DF" w14:textId="4F22660C" w:rsidR="005F6D5E" w:rsidRPr="00E5087D" w:rsidRDefault="005F6D5E">
            <w:pPr>
              <w:spacing w:before="120" w:after="120"/>
              <w:contextualSpacing/>
            </w:pPr>
            <w:r w:rsidRPr="00E5087D">
              <w:rPr>
                <w:sz w:val="20"/>
                <w:szCs w:val="20"/>
              </w:rPr>
              <w:t>AGL is Australia’s largest electricity generator. AGL has activities across natural gas and electricity generation from a range of sources as well as substantial electricity and gas retailing</w:t>
            </w:r>
            <w:r w:rsidR="00A959AA">
              <w:rPr>
                <w:sz w:val="20"/>
                <w:szCs w:val="20"/>
              </w:rPr>
              <w:t>.</w:t>
            </w:r>
          </w:p>
        </w:tc>
        <w:tc>
          <w:tcPr>
            <w:tcW w:w="4508" w:type="dxa"/>
            <w:shd w:val="clear" w:color="auto" w:fill="E3EB9B" w:themeFill="background2" w:themeFillTint="99"/>
          </w:tcPr>
          <w:p w14:paraId="640CB2B5" w14:textId="77777777" w:rsidR="005F6D5E" w:rsidRPr="00E5087D" w:rsidRDefault="005F6D5E">
            <w:pPr>
              <w:spacing w:before="120" w:after="120"/>
              <w:contextualSpacing/>
              <w:rPr>
                <w:b/>
                <w:sz w:val="24"/>
                <w:szCs w:val="24"/>
              </w:rPr>
            </w:pPr>
            <w:r w:rsidRPr="00E5087D">
              <w:rPr>
                <w:b/>
                <w:sz w:val="24"/>
                <w:szCs w:val="24"/>
              </w:rPr>
              <w:t>Queensland Hydro</w:t>
            </w:r>
          </w:p>
          <w:p w14:paraId="5630BCC5" w14:textId="709BD278" w:rsidR="005F6D5E" w:rsidRPr="00E5087D" w:rsidRDefault="005F6D5E">
            <w:pPr>
              <w:spacing w:before="120" w:after="120"/>
              <w:contextualSpacing/>
              <w:rPr>
                <w:sz w:val="20"/>
                <w:szCs w:val="20"/>
              </w:rPr>
            </w:pPr>
            <w:r w:rsidRPr="000C61DA">
              <w:rPr>
                <w:b/>
                <w:color w:val="005D5D" w:themeColor="accent2"/>
                <w:sz w:val="20"/>
                <w:szCs w:val="20"/>
              </w:rPr>
              <w:t>Estimated market share:</w:t>
            </w:r>
            <w:r w:rsidRPr="000C61DA">
              <w:rPr>
                <w:color w:val="005D5D" w:themeColor="accent2"/>
                <w:sz w:val="20"/>
                <w:szCs w:val="20"/>
              </w:rPr>
              <w:t xml:space="preserve"> </w:t>
            </w:r>
            <w:r w:rsidRPr="00E5087D">
              <w:rPr>
                <w:sz w:val="20"/>
                <w:szCs w:val="20"/>
              </w:rPr>
              <w:t>N</w:t>
            </w:r>
            <w:r w:rsidR="000C61DA">
              <w:rPr>
                <w:sz w:val="20"/>
                <w:szCs w:val="20"/>
              </w:rPr>
              <w:t>/</w:t>
            </w:r>
            <w:r w:rsidRPr="00E5087D">
              <w:rPr>
                <w:sz w:val="20"/>
                <w:szCs w:val="20"/>
              </w:rPr>
              <w:t>A</w:t>
            </w:r>
          </w:p>
          <w:p w14:paraId="26C6A470" w14:textId="77777777" w:rsidR="005F6D5E" w:rsidRPr="000C61DA" w:rsidRDefault="005F6D5E">
            <w:pPr>
              <w:spacing w:before="120" w:after="120"/>
              <w:contextualSpacing/>
              <w:rPr>
                <w:color w:val="005D5D" w:themeColor="accent2"/>
                <w:sz w:val="20"/>
                <w:szCs w:val="20"/>
              </w:rPr>
            </w:pPr>
            <w:r w:rsidRPr="000C61DA">
              <w:rPr>
                <w:b/>
                <w:color w:val="005D5D" w:themeColor="accent2"/>
                <w:sz w:val="20"/>
                <w:szCs w:val="20"/>
              </w:rPr>
              <w:t>Primary storage sites (planned):</w:t>
            </w:r>
            <w:r w:rsidRPr="000C61DA">
              <w:rPr>
                <w:color w:val="005D5D" w:themeColor="accent2"/>
                <w:sz w:val="20"/>
                <w:szCs w:val="20"/>
              </w:rPr>
              <w:t xml:space="preserve"> </w:t>
            </w:r>
          </w:p>
          <w:p w14:paraId="2D9F327B"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Pioneer-Burdekin (Qld)</w:t>
            </w:r>
          </w:p>
          <w:p w14:paraId="4F6071B3" w14:textId="77777777" w:rsidR="005F6D5E" w:rsidRPr="00E5087D" w:rsidRDefault="005F6D5E" w:rsidP="00F25595">
            <w:pPr>
              <w:pStyle w:val="ListParagraph"/>
              <w:numPr>
                <w:ilvl w:val="0"/>
                <w:numId w:val="19"/>
              </w:numPr>
              <w:spacing w:before="120" w:after="120"/>
              <w:rPr>
                <w:sz w:val="20"/>
                <w:szCs w:val="20"/>
              </w:rPr>
            </w:pPr>
            <w:r w:rsidRPr="00E5087D">
              <w:rPr>
                <w:sz w:val="20"/>
                <w:szCs w:val="20"/>
              </w:rPr>
              <w:t>Borumba (Qld)</w:t>
            </w:r>
          </w:p>
          <w:p w14:paraId="300ED94A" w14:textId="25E5A400" w:rsidR="005F6D5E" w:rsidRPr="00E5087D" w:rsidRDefault="005F6D5E">
            <w:pPr>
              <w:spacing w:before="120" w:after="120"/>
              <w:contextualSpacing/>
              <w:rPr>
                <w:sz w:val="20"/>
                <w:szCs w:val="20"/>
              </w:rPr>
            </w:pPr>
            <w:r w:rsidRPr="000C61DA">
              <w:rPr>
                <w:b/>
                <w:color w:val="005D5D" w:themeColor="accent2"/>
                <w:sz w:val="20"/>
                <w:szCs w:val="20"/>
              </w:rPr>
              <w:t xml:space="preserve">Ownership structure: </w:t>
            </w:r>
            <w:r w:rsidRPr="00E5087D">
              <w:rPr>
                <w:sz w:val="20"/>
                <w:szCs w:val="20"/>
              </w:rPr>
              <w:t>Publicly owned by Government of Queensland</w:t>
            </w:r>
            <w:r w:rsidR="00A959AA">
              <w:rPr>
                <w:sz w:val="20"/>
                <w:szCs w:val="20"/>
              </w:rPr>
              <w:t>.</w:t>
            </w:r>
          </w:p>
          <w:p w14:paraId="16FC770A" w14:textId="034F7691" w:rsidR="005F6D5E" w:rsidRPr="00E5087D" w:rsidRDefault="005F6D5E" w:rsidP="000C61DA">
            <w:pPr>
              <w:spacing w:before="120" w:after="120"/>
              <w:contextualSpacing/>
            </w:pPr>
            <w:r w:rsidRPr="000C61DA">
              <w:rPr>
                <w:b/>
                <w:color w:val="005D5D" w:themeColor="accent2"/>
                <w:sz w:val="20"/>
                <w:szCs w:val="20"/>
              </w:rPr>
              <w:t xml:space="preserve">Other activities: </w:t>
            </w:r>
            <w:r w:rsidRPr="00E5087D">
              <w:rPr>
                <w:sz w:val="20"/>
                <w:szCs w:val="20"/>
              </w:rPr>
              <w:t>N</w:t>
            </w:r>
            <w:r w:rsidR="000C61DA">
              <w:rPr>
                <w:sz w:val="20"/>
                <w:szCs w:val="20"/>
              </w:rPr>
              <w:t>/</w:t>
            </w:r>
            <w:r w:rsidRPr="00E5087D">
              <w:rPr>
                <w:sz w:val="20"/>
                <w:szCs w:val="20"/>
              </w:rPr>
              <w:t>A</w:t>
            </w:r>
          </w:p>
        </w:tc>
      </w:tr>
    </w:tbl>
    <w:p w14:paraId="38F1BAAA" w14:textId="7A6AB6C6" w:rsidR="005F6D5E" w:rsidRPr="00E5087D" w:rsidRDefault="005F6D5E" w:rsidP="00CE66FC">
      <w:pPr>
        <w:spacing w:line="276" w:lineRule="auto"/>
        <w:rPr>
          <w:rFonts w:eastAsiaTheme="majorEastAsia" w:cstheme="majorBidi"/>
          <w:b/>
          <w:color w:val="441170" w:themeColor="text2"/>
          <w:sz w:val="26"/>
          <w:szCs w:val="24"/>
          <w14:numForm w14:val="lining"/>
          <w14:numSpacing w14:val="proportional"/>
        </w:rPr>
      </w:pPr>
      <w:r w:rsidRPr="00E5087D">
        <w:rPr>
          <w14:numForm w14:val="lining"/>
          <w14:numSpacing w14:val="proportional"/>
        </w:rPr>
        <w:br w:type="page"/>
      </w:r>
    </w:p>
    <w:p w14:paraId="2C92DAA9" w14:textId="77777777" w:rsidR="005F6D5E" w:rsidRPr="00E5087D" w:rsidRDefault="005F6D5E" w:rsidP="005F6D5E">
      <w:pPr>
        <w:pStyle w:val="Heading4"/>
        <w:rPr>
          <w:color w:val="1192E8" w:themeColor="accent3"/>
        </w:rPr>
      </w:pPr>
      <w:r w:rsidRPr="00E5087D">
        <w:rPr>
          <w:color w:val="1192E8" w:themeColor="accent3"/>
        </w:rPr>
        <w:lastRenderedPageBreak/>
        <w:t>Electricity transmission and distribution</w:t>
      </w:r>
    </w:p>
    <w:p w14:paraId="18DB4323" w14:textId="31F0B4A5" w:rsidR="005F6D5E" w:rsidRPr="00E5087D" w:rsidRDefault="005F6D5E" w:rsidP="005F6D5E">
      <w:r w:rsidRPr="00E5087D">
        <w:t>Historically, electricity transmission and distribution infrastructure across Australia was publicly owned and this remains the case in a number of states and territories. Figure</w:t>
      </w:r>
      <w:r w:rsidR="003226A2">
        <w:t>s</w:t>
      </w:r>
      <w:r w:rsidRPr="00E5087D">
        <w:t xml:space="preserve"> 3</w:t>
      </w:r>
      <w:r w:rsidR="0061765F">
        <w:t>.2</w:t>
      </w:r>
      <w:r w:rsidR="00F711CF">
        <w:t>4</w:t>
      </w:r>
      <w:r w:rsidRPr="00E5087D">
        <w:t xml:space="preserve">and </w:t>
      </w:r>
      <w:r w:rsidR="003226A2">
        <w:t>3</w:t>
      </w:r>
      <w:r w:rsidR="0061765F">
        <w:t>.</w:t>
      </w:r>
      <w:r w:rsidR="003D4AE7">
        <w:t>2</w:t>
      </w:r>
      <w:r w:rsidR="00F711CF">
        <w:t>5</w:t>
      </w:r>
      <w:r w:rsidRPr="00E5087D">
        <w:t xml:space="preserve"> summarise the current transmission and distribution firms respectively.</w:t>
      </w:r>
    </w:p>
    <w:p w14:paraId="000081FD" w14:textId="53AF3F2C"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.2</w:t>
      </w:r>
      <w:r w:rsidR="00F711CF">
        <w:rPr>
          <w:b/>
          <w:bCs/>
        </w:rPr>
        <w:t>4</w:t>
      </w:r>
      <w:r w:rsidR="009E6F85" w:rsidRPr="00E5087D">
        <w:rPr>
          <w:b/>
          <w:bCs/>
        </w:rPr>
        <w:t>.</w:t>
      </w:r>
      <w:r w:rsidRPr="00E5087D">
        <w:rPr>
          <w:b/>
          <w:bCs/>
        </w:rPr>
        <w:t xml:space="preserve"> Major firms in electricity transmission</w:t>
      </w:r>
    </w:p>
    <w:tbl>
      <w:tblPr>
        <w:tblStyle w:val="ListTable2-Accent6"/>
        <w:tblW w:w="0" w:type="auto"/>
        <w:tblLook w:val="04A0" w:firstRow="1" w:lastRow="0" w:firstColumn="1" w:lastColumn="0" w:noHBand="0" w:noVBand="1"/>
      </w:tblPr>
      <w:tblGrid>
        <w:gridCol w:w="2835"/>
        <w:gridCol w:w="1843"/>
        <w:gridCol w:w="4253"/>
      </w:tblGrid>
      <w:tr w:rsidR="005F6D5E" w:rsidRPr="00E5087D" w14:paraId="5777836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E877BBC" w14:textId="77777777" w:rsidR="005F6D5E" w:rsidRPr="00E5087D" w:rsidRDefault="005F6D5E">
            <w:pPr>
              <w:rPr>
                <w:sz w:val="20"/>
                <w:szCs w:val="20"/>
              </w:rPr>
            </w:pPr>
          </w:p>
        </w:tc>
        <w:tc>
          <w:tcPr>
            <w:tcW w:w="1843" w:type="dxa"/>
          </w:tcPr>
          <w:p w14:paraId="1EA2B750"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States &amp; Territories</w:t>
            </w:r>
          </w:p>
        </w:tc>
        <w:tc>
          <w:tcPr>
            <w:tcW w:w="4253" w:type="dxa"/>
          </w:tcPr>
          <w:p w14:paraId="635F3B6C"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Ownership structure</w:t>
            </w:r>
          </w:p>
        </w:tc>
      </w:tr>
      <w:tr w:rsidR="005F6D5E" w:rsidRPr="00E5087D" w14:paraId="56EC03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EF84F0C" w14:textId="77777777" w:rsidR="005F6D5E" w:rsidRPr="00E5087D" w:rsidRDefault="005F6D5E">
            <w:pPr>
              <w:rPr>
                <w:sz w:val="20"/>
                <w:szCs w:val="20"/>
              </w:rPr>
            </w:pPr>
            <w:r w:rsidRPr="00E5087D">
              <w:rPr>
                <w:sz w:val="20"/>
                <w:szCs w:val="20"/>
              </w:rPr>
              <w:t>Transgrid</w:t>
            </w:r>
          </w:p>
        </w:tc>
        <w:tc>
          <w:tcPr>
            <w:tcW w:w="1843" w:type="dxa"/>
          </w:tcPr>
          <w:p w14:paraId="36FD504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NSW &amp; ACT</w:t>
            </w:r>
          </w:p>
        </w:tc>
        <w:tc>
          <w:tcPr>
            <w:tcW w:w="4253" w:type="dxa"/>
          </w:tcPr>
          <w:p w14:paraId="2EFDBA97"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UTA Power Networks Trust</w:t>
            </w:r>
          </w:p>
        </w:tc>
      </w:tr>
      <w:tr w:rsidR="005F6D5E" w:rsidRPr="00E5087D" w14:paraId="27E3DBD9" w14:textId="77777777">
        <w:tc>
          <w:tcPr>
            <w:cnfStyle w:val="001000000000" w:firstRow="0" w:lastRow="0" w:firstColumn="1" w:lastColumn="0" w:oddVBand="0" w:evenVBand="0" w:oddHBand="0" w:evenHBand="0" w:firstRowFirstColumn="0" w:firstRowLastColumn="0" w:lastRowFirstColumn="0" w:lastRowLastColumn="0"/>
            <w:tcW w:w="2835" w:type="dxa"/>
          </w:tcPr>
          <w:p w14:paraId="375F8978" w14:textId="77777777" w:rsidR="005F6D5E" w:rsidRPr="00E5087D" w:rsidRDefault="005F6D5E">
            <w:pPr>
              <w:rPr>
                <w:sz w:val="20"/>
                <w:szCs w:val="20"/>
              </w:rPr>
            </w:pPr>
            <w:r w:rsidRPr="00E5087D">
              <w:rPr>
                <w:sz w:val="20"/>
                <w:szCs w:val="20"/>
              </w:rPr>
              <w:t>Powerlink Queensland</w:t>
            </w:r>
          </w:p>
        </w:tc>
        <w:tc>
          <w:tcPr>
            <w:tcW w:w="1843" w:type="dxa"/>
          </w:tcPr>
          <w:p w14:paraId="6729896C"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Qld</w:t>
            </w:r>
          </w:p>
        </w:tc>
        <w:tc>
          <w:tcPr>
            <w:tcW w:w="4253" w:type="dxa"/>
          </w:tcPr>
          <w:p w14:paraId="3F89E35A"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Queensland Government</w:t>
            </w:r>
          </w:p>
        </w:tc>
      </w:tr>
      <w:tr w:rsidR="005F6D5E" w:rsidRPr="00E5087D" w14:paraId="18A1EA0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B75D9BD" w14:textId="77777777" w:rsidR="005F6D5E" w:rsidRPr="00E5087D" w:rsidRDefault="005F6D5E">
            <w:pPr>
              <w:rPr>
                <w:sz w:val="20"/>
                <w:szCs w:val="20"/>
              </w:rPr>
            </w:pPr>
            <w:r w:rsidRPr="00E5087D">
              <w:rPr>
                <w:sz w:val="20"/>
                <w:szCs w:val="20"/>
              </w:rPr>
              <w:t>ElectraNet</w:t>
            </w:r>
          </w:p>
        </w:tc>
        <w:tc>
          <w:tcPr>
            <w:tcW w:w="1843" w:type="dxa"/>
          </w:tcPr>
          <w:p w14:paraId="232F138F"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SA</w:t>
            </w:r>
          </w:p>
        </w:tc>
        <w:tc>
          <w:tcPr>
            <w:tcW w:w="4253" w:type="dxa"/>
          </w:tcPr>
          <w:p w14:paraId="600E1E01"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Aus Utilities, State Grid Corp of China</w:t>
            </w:r>
          </w:p>
        </w:tc>
      </w:tr>
      <w:tr w:rsidR="005F6D5E" w:rsidRPr="00E5087D" w14:paraId="72AB130B" w14:textId="77777777">
        <w:tc>
          <w:tcPr>
            <w:cnfStyle w:val="001000000000" w:firstRow="0" w:lastRow="0" w:firstColumn="1" w:lastColumn="0" w:oddVBand="0" w:evenVBand="0" w:oddHBand="0" w:evenHBand="0" w:firstRowFirstColumn="0" w:firstRowLastColumn="0" w:lastRowFirstColumn="0" w:lastRowLastColumn="0"/>
            <w:tcW w:w="2835" w:type="dxa"/>
          </w:tcPr>
          <w:p w14:paraId="169BC3F8" w14:textId="77777777" w:rsidR="005F6D5E" w:rsidRPr="00E5087D" w:rsidRDefault="005F6D5E">
            <w:pPr>
              <w:rPr>
                <w:sz w:val="20"/>
                <w:szCs w:val="20"/>
              </w:rPr>
            </w:pPr>
            <w:r w:rsidRPr="00E5087D">
              <w:rPr>
                <w:sz w:val="20"/>
                <w:szCs w:val="20"/>
              </w:rPr>
              <w:t>AusNet Services</w:t>
            </w:r>
          </w:p>
        </w:tc>
        <w:tc>
          <w:tcPr>
            <w:tcW w:w="1843" w:type="dxa"/>
          </w:tcPr>
          <w:p w14:paraId="70B9C820"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Victoria</w:t>
            </w:r>
          </w:p>
        </w:tc>
        <w:tc>
          <w:tcPr>
            <w:tcW w:w="4253" w:type="dxa"/>
          </w:tcPr>
          <w:p w14:paraId="223F54F6"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Brookfield Corporation</w:t>
            </w:r>
          </w:p>
        </w:tc>
      </w:tr>
      <w:tr w:rsidR="005F6D5E" w:rsidRPr="00E5087D" w14:paraId="31EA7E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FA7736E" w14:textId="3027A17F" w:rsidR="005F6D5E" w:rsidRPr="00E5087D" w:rsidRDefault="005F6D5E">
            <w:pPr>
              <w:rPr>
                <w:sz w:val="20"/>
                <w:szCs w:val="20"/>
              </w:rPr>
            </w:pPr>
            <w:r w:rsidRPr="00E5087D">
              <w:rPr>
                <w:sz w:val="20"/>
                <w:szCs w:val="20"/>
              </w:rPr>
              <w:t>Western Power</w:t>
            </w:r>
            <w:r w:rsidR="008910BB">
              <w:rPr>
                <w:sz w:val="20"/>
                <w:szCs w:val="20"/>
              </w:rPr>
              <w:t xml:space="preserve"> and </w:t>
            </w:r>
            <w:r w:rsidR="008910BB" w:rsidRPr="00E5087D">
              <w:rPr>
                <w:sz w:val="20"/>
                <w:szCs w:val="20"/>
              </w:rPr>
              <w:t>Horizon Power</w:t>
            </w:r>
          </w:p>
        </w:tc>
        <w:tc>
          <w:tcPr>
            <w:tcW w:w="1843" w:type="dxa"/>
          </w:tcPr>
          <w:p w14:paraId="56044B8E"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WA</w:t>
            </w:r>
          </w:p>
        </w:tc>
        <w:tc>
          <w:tcPr>
            <w:tcW w:w="4253" w:type="dxa"/>
          </w:tcPr>
          <w:p w14:paraId="7DD36584"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Government of Western Australia</w:t>
            </w:r>
          </w:p>
        </w:tc>
      </w:tr>
      <w:tr w:rsidR="005F6D5E" w:rsidRPr="00E5087D" w14:paraId="0DB4ABF6" w14:textId="77777777">
        <w:tc>
          <w:tcPr>
            <w:cnfStyle w:val="001000000000" w:firstRow="0" w:lastRow="0" w:firstColumn="1" w:lastColumn="0" w:oddVBand="0" w:evenVBand="0" w:oddHBand="0" w:evenHBand="0" w:firstRowFirstColumn="0" w:firstRowLastColumn="0" w:lastRowFirstColumn="0" w:lastRowLastColumn="0"/>
            <w:tcW w:w="2835" w:type="dxa"/>
          </w:tcPr>
          <w:p w14:paraId="0C02DC2D" w14:textId="77777777" w:rsidR="005F6D5E" w:rsidRPr="00E5087D" w:rsidRDefault="005F6D5E">
            <w:pPr>
              <w:rPr>
                <w:sz w:val="20"/>
                <w:szCs w:val="20"/>
              </w:rPr>
            </w:pPr>
            <w:r w:rsidRPr="00E5087D">
              <w:rPr>
                <w:sz w:val="20"/>
                <w:szCs w:val="20"/>
              </w:rPr>
              <w:t>Power and Water Corp</w:t>
            </w:r>
          </w:p>
        </w:tc>
        <w:tc>
          <w:tcPr>
            <w:tcW w:w="1843" w:type="dxa"/>
          </w:tcPr>
          <w:p w14:paraId="64C55342"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NT</w:t>
            </w:r>
          </w:p>
        </w:tc>
        <w:tc>
          <w:tcPr>
            <w:tcW w:w="4253" w:type="dxa"/>
          </w:tcPr>
          <w:p w14:paraId="0117EB90"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Northern Territory Government</w:t>
            </w:r>
          </w:p>
        </w:tc>
      </w:tr>
      <w:tr w:rsidR="005F6D5E" w:rsidRPr="00E5087D" w14:paraId="16BCDA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6735BC21" w14:textId="2AB9EE8D" w:rsidR="005F6D5E" w:rsidRPr="00E5087D" w:rsidRDefault="002E46C0">
            <w:pPr>
              <w:rPr>
                <w:sz w:val="20"/>
                <w:szCs w:val="20"/>
              </w:rPr>
            </w:pPr>
            <w:r>
              <w:rPr>
                <w:sz w:val="20"/>
                <w:szCs w:val="20"/>
              </w:rPr>
              <w:t>TasNetwork</w:t>
            </w:r>
            <w:r w:rsidR="00C84010">
              <w:rPr>
                <w:sz w:val="20"/>
                <w:szCs w:val="20"/>
              </w:rPr>
              <w:t>s</w:t>
            </w:r>
          </w:p>
        </w:tc>
        <w:tc>
          <w:tcPr>
            <w:tcW w:w="1843" w:type="dxa"/>
          </w:tcPr>
          <w:p w14:paraId="137F3970"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Tas</w:t>
            </w:r>
          </w:p>
        </w:tc>
        <w:tc>
          <w:tcPr>
            <w:tcW w:w="4253" w:type="dxa"/>
          </w:tcPr>
          <w:p w14:paraId="12CB27A7" w14:textId="176CA5E7" w:rsidR="005F6D5E" w:rsidRPr="00E5087D" w:rsidRDefault="002E46C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Tasmanian Government</w:t>
            </w:r>
          </w:p>
        </w:tc>
      </w:tr>
    </w:tbl>
    <w:p w14:paraId="6611A0BC" w14:textId="77777777" w:rsidR="005F6D5E" w:rsidRPr="00E5087D" w:rsidRDefault="005F6D5E" w:rsidP="00444165">
      <w:pPr>
        <w:spacing w:after="360"/>
      </w:pPr>
    </w:p>
    <w:p w14:paraId="4D5037AB" w14:textId="6E23E9CF"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w:t>
      </w:r>
      <w:r w:rsidR="005128A3">
        <w:rPr>
          <w:b/>
          <w:bCs/>
        </w:rPr>
        <w:t>2</w:t>
      </w:r>
      <w:r w:rsidR="00F711CF">
        <w:rPr>
          <w:b/>
          <w:bCs/>
        </w:rPr>
        <w:t>5</w:t>
      </w:r>
      <w:r w:rsidR="009E6F85" w:rsidRPr="00E5087D">
        <w:rPr>
          <w:b/>
          <w:bCs/>
        </w:rPr>
        <w:t>.</w:t>
      </w:r>
      <w:r w:rsidRPr="00E5087D">
        <w:rPr>
          <w:b/>
          <w:bCs/>
        </w:rPr>
        <w:t xml:space="preserve"> Major firms in electricity distribution</w:t>
      </w:r>
    </w:p>
    <w:tbl>
      <w:tblPr>
        <w:tblStyle w:val="ListTable1Light-Accent3"/>
        <w:tblW w:w="0" w:type="auto"/>
        <w:tblLook w:val="04A0" w:firstRow="1" w:lastRow="0" w:firstColumn="1" w:lastColumn="0" w:noHBand="0" w:noVBand="1"/>
      </w:tblPr>
      <w:tblGrid>
        <w:gridCol w:w="2410"/>
        <w:gridCol w:w="3260"/>
        <w:gridCol w:w="3261"/>
      </w:tblGrid>
      <w:tr w:rsidR="005F6D5E" w:rsidRPr="00E5087D" w14:paraId="2B00629E" w14:textId="77777777" w:rsidTr="005F6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1192E8" w:themeColor="accent3"/>
            </w:tcBorders>
          </w:tcPr>
          <w:p w14:paraId="19748021" w14:textId="77777777" w:rsidR="005F6D5E" w:rsidRPr="00E5087D" w:rsidRDefault="005F6D5E">
            <w:pPr>
              <w:rPr>
                <w:sz w:val="20"/>
                <w:szCs w:val="20"/>
              </w:rPr>
            </w:pPr>
          </w:p>
        </w:tc>
        <w:tc>
          <w:tcPr>
            <w:tcW w:w="3260" w:type="dxa"/>
            <w:tcBorders>
              <w:top w:val="single" w:sz="4" w:space="0" w:color="1192E8" w:themeColor="accent3"/>
            </w:tcBorders>
          </w:tcPr>
          <w:p w14:paraId="25641FC5"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Region</w:t>
            </w:r>
          </w:p>
        </w:tc>
        <w:tc>
          <w:tcPr>
            <w:tcW w:w="3261" w:type="dxa"/>
            <w:tcBorders>
              <w:top w:val="single" w:sz="4" w:space="0" w:color="1192E8" w:themeColor="accent3"/>
            </w:tcBorders>
          </w:tcPr>
          <w:p w14:paraId="0D23A1BC"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sz w:val="20"/>
                <w:szCs w:val="20"/>
              </w:rPr>
            </w:pPr>
            <w:r w:rsidRPr="00E5087D">
              <w:rPr>
                <w:sz w:val="20"/>
                <w:szCs w:val="20"/>
              </w:rPr>
              <w:t>Ownership structure</w:t>
            </w:r>
          </w:p>
        </w:tc>
      </w:tr>
      <w:tr w:rsidR="005F6D5E" w:rsidRPr="00E5087D" w14:paraId="71B555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8D41F84" w14:textId="77777777" w:rsidR="005F6D5E" w:rsidRPr="00E5087D" w:rsidRDefault="005F6D5E">
            <w:pPr>
              <w:rPr>
                <w:sz w:val="20"/>
                <w:szCs w:val="20"/>
              </w:rPr>
            </w:pPr>
            <w:r w:rsidRPr="00E5087D">
              <w:rPr>
                <w:sz w:val="20"/>
                <w:szCs w:val="20"/>
              </w:rPr>
              <w:t>AusNet Services</w:t>
            </w:r>
          </w:p>
        </w:tc>
        <w:tc>
          <w:tcPr>
            <w:tcW w:w="3260" w:type="dxa"/>
          </w:tcPr>
          <w:p w14:paraId="0CC9D5CF"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Victoria</w:t>
            </w:r>
          </w:p>
        </w:tc>
        <w:tc>
          <w:tcPr>
            <w:tcW w:w="3261" w:type="dxa"/>
          </w:tcPr>
          <w:p w14:paraId="361C2B49"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Brookfield Corporation</w:t>
            </w:r>
          </w:p>
        </w:tc>
      </w:tr>
      <w:tr w:rsidR="005F6D5E" w:rsidRPr="00E5087D" w14:paraId="6EB0312D" w14:textId="77777777">
        <w:tc>
          <w:tcPr>
            <w:cnfStyle w:val="001000000000" w:firstRow="0" w:lastRow="0" w:firstColumn="1" w:lastColumn="0" w:oddVBand="0" w:evenVBand="0" w:oddHBand="0" w:evenHBand="0" w:firstRowFirstColumn="0" w:firstRowLastColumn="0" w:lastRowFirstColumn="0" w:lastRowLastColumn="0"/>
            <w:tcW w:w="2410" w:type="dxa"/>
          </w:tcPr>
          <w:p w14:paraId="548FA303" w14:textId="77777777" w:rsidR="005F6D5E" w:rsidRPr="00E5087D" w:rsidRDefault="005F6D5E">
            <w:pPr>
              <w:rPr>
                <w:sz w:val="20"/>
                <w:szCs w:val="20"/>
              </w:rPr>
            </w:pPr>
            <w:r w:rsidRPr="00E5087D">
              <w:rPr>
                <w:sz w:val="20"/>
                <w:szCs w:val="20"/>
              </w:rPr>
              <w:t>Essential Energy</w:t>
            </w:r>
          </w:p>
        </w:tc>
        <w:tc>
          <w:tcPr>
            <w:tcW w:w="3260" w:type="dxa"/>
          </w:tcPr>
          <w:p w14:paraId="256D83A2"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NSW</w:t>
            </w:r>
          </w:p>
        </w:tc>
        <w:tc>
          <w:tcPr>
            <w:tcW w:w="3261" w:type="dxa"/>
          </w:tcPr>
          <w:p w14:paraId="755F93A6"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NSW Government</w:t>
            </w:r>
          </w:p>
        </w:tc>
      </w:tr>
      <w:tr w:rsidR="005F6D5E" w:rsidRPr="00E5087D" w14:paraId="069EE3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785B7E82" w14:textId="77777777" w:rsidR="005F6D5E" w:rsidRPr="00E5087D" w:rsidRDefault="005F6D5E">
            <w:pPr>
              <w:rPr>
                <w:sz w:val="20"/>
                <w:szCs w:val="20"/>
              </w:rPr>
            </w:pPr>
            <w:r w:rsidRPr="00E5087D">
              <w:rPr>
                <w:sz w:val="20"/>
                <w:szCs w:val="20"/>
              </w:rPr>
              <w:t>Endeavour Energy</w:t>
            </w:r>
          </w:p>
        </w:tc>
        <w:tc>
          <w:tcPr>
            <w:tcW w:w="3260" w:type="dxa"/>
          </w:tcPr>
          <w:p w14:paraId="6911487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NSW</w:t>
            </w:r>
          </w:p>
        </w:tc>
        <w:tc>
          <w:tcPr>
            <w:tcW w:w="3261" w:type="dxa"/>
          </w:tcPr>
          <w:p w14:paraId="57161E8D"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Consort led by Macquarie (50.4%), NSW Gov</w:t>
            </w:r>
          </w:p>
        </w:tc>
      </w:tr>
      <w:tr w:rsidR="005F6D5E" w:rsidRPr="00E5087D" w14:paraId="13D69D7E" w14:textId="77777777">
        <w:tc>
          <w:tcPr>
            <w:cnfStyle w:val="001000000000" w:firstRow="0" w:lastRow="0" w:firstColumn="1" w:lastColumn="0" w:oddVBand="0" w:evenVBand="0" w:oddHBand="0" w:evenHBand="0" w:firstRowFirstColumn="0" w:firstRowLastColumn="0" w:lastRowFirstColumn="0" w:lastRowLastColumn="0"/>
            <w:tcW w:w="2410" w:type="dxa"/>
          </w:tcPr>
          <w:p w14:paraId="18974FB4" w14:textId="77777777" w:rsidR="005F6D5E" w:rsidRPr="00E5087D" w:rsidRDefault="005F6D5E">
            <w:pPr>
              <w:rPr>
                <w:sz w:val="20"/>
                <w:szCs w:val="20"/>
              </w:rPr>
            </w:pPr>
            <w:r w:rsidRPr="00E5087D">
              <w:rPr>
                <w:sz w:val="20"/>
                <w:szCs w:val="20"/>
              </w:rPr>
              <w:t>Energex</w:t>
            </w:r>
          </w:p>
        </w:tc>
        <w:tc>
          <w:tcPr>
            <w:tcW w:w="3260" w:type="dxa"/>
          </w:tcPr>
          <w:p w14:paraId="7FD9606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SE Qld</w:t>
            </w:r>
          </w:p>
        </w:tc>
        <w:tc>
          <w:tcPr>
            <w:tcW w:w="3261" w:type="dxa"/>
          </w:tcPr>
          <w:p w14:paraId="5153B86A"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Queensland Government</w:t>
            </w:r>
          </w:p>
        </w:tc>
      </w:tr>
      <w:tr w:rsidR="005F6D5E" w:rsidRPr="00E5087D" w14:paraId="6079DD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B649C3A" w14:textId="77777777" w:rsidR="005F6D5E" w:rsidRPr="00E5087D" w:rsidRDefault="005F6D5E">
            <w:pPr>
              <w:rPr>
                <w:sz w:val="20"/>
                <w:szCs w:val="20"/>
              </w:rPr>
            </w:pPr>
            <w:r w:rsidRPr="00E5087D">
              <w:rPr>
                <w:sz w:val="20"/>
                <w:szCs w:val="20"/>
              </w:rPr>
              <w:t>Ergon Energy</w:t>
            </w:r>
          </w:p>
        </w:tc>
        <w:tc>
          <w:tcPr>
            <w:tcW w:w="3260" w:type="dxa"/>
          </w:tcPr>
          <w:p w14:paraId="4DCA326A"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Regional Qld</w:t>
            </w:r>
          </w:p>
        </w:tc>
        <w:tc>
          <w:tcPr>
            <w:tcW w:w="3261" w:type="dxa"/>
          </w:tcPr>
          <w:p w14:paraId="60FCE213"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Queensland Government</w:t>
            </w:r>
          </w:p>
        </w:tc>
      </w:tr>
      <w:tr w:rsidR="005F6D5E" w:rsidRPr="00E5087D" w14:paraId="6B5FABBB" w14:textId="77777777">
        <w:tc>
          <w:tcPr>
            <w:cnfStyle w:val="001000000000" w:firstRow="0" w:lastRow="0" w:firstColumn="1" w:lastColumn="0" w:oddVBand="0" w:evenVBand="0" w:oddHBand="0" w:evenHBand="0" w:firstRowFirstColumn="0" w:firstRowLastColumn="0" w:lastRowFirstColumn="0" w:lastRowLastColumn="0"/>
            <w:tcW w:w="2410" w:type="dxa"/>
          </w:tcPr>
          <w:p w14:paraId="3E2E89FC" w14:textId="77777777" w:rsidR="005F6D5E" w:rsidRPr="00E5087D" w:rsidRDefault="005F6D5E">
            <w:pPr>
              <w:rPr>
                <w:sz w:val="20"/>
                <w:szCs w:val="20"/>
              </w:rPr>
            </w:pPr>
            <w:r w:rsidRPr="00E5087D">
              <w:rPr>
                <w:sz w:val="20"/>
                <w:szCs w:val="20"/>
              </w:rPr>
              <w:t>Powercor Australia</w:t>
            </w:r>
          </w:p>
        </w:tc>
        <w:tc>
          <w:tcPr>
            <w:tcW w:w="3260" w:type="dxa"/>
          </w:tcPr>
          <w:p w14:paraId="1A7067C9"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Central &amp; Western Vic</w:t>
            </w:r>
          </w:p>
        </w:tc>
        <w:tc>
          <w:tcPr>
            <w:tcW w:w="3261" w:type="dxa"/>
          </w:tcPr>
          <w:p w14:paraId="654A385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Spark Infrastructure, Cheung Kong Infrastructure Holdings, Victoria Power Networks (Finance) Pty Ltd</w:t>
            </w:r>
          </w:p>
        </w:tc>
      </w:tr>
      <w:tr w:rsidR="005F6D5E" w:rsidRPr="00E5087D" w14:paraId="30021F0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504C0E22" w14:textId="77777777" w:rsidR="005F6D5E" w:rsidRPr="00E5087D" w:rsidRDefault="005F6D5E">
            <w:pPr>
              <w:rPr>
                <w:sz w:val="20"/>
                <w:szCs w:val="20"/>
              </w:rPr>
            </w:pPr>
            <w:r w:rsidRPr="00E5087D">
              <w:rPr>
                <w:sz w:val="20"/>
                <w:szCs w:val="20"/>
              </w:rPr>
              <w:t>United Energy</w:t>
            </w:r>
          </w:p>
        </w:tc>
        <w:tc>
          <w:tcPr>
            <w:tcW w:w="3260" w:type="dxa"/>
          </w:tcPr>
          <w:p w14:paraId="10C7091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SE Melb &amp; Mornington Peninsula</w:t>
            </w:r>
          </w:p>
        </w:tc>
        <w:tc>
          <w:tcPr>
            <w:tcW w:w="3261" w:type="dxa"/>
          </w:tcPr>
          <w:p w14:paraId="3EB48FEC"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Consortium led by CK Infrastructure</w:t>
            </w:r>
          </w:p>
        </w:tc>
      </w:tr>
      <w:tr w:rsidR="005F6D5E" w:rsidRPr="00E5087D" w14:paraId="1858A709" w14:textId="77777777">
        <w:tc>
          <w:tcPr>
            <w:cnfStyle w:val="001000000000" w:firstRow="0" w:lastRow="0" w:firstColumn="1" w:lastColumn="0" w:oddVBand="0" w:evenVBand="0" w:oddHBand="0" w:evenHBand="0" w:firstRowFirstColumn="0" w:firstRowLastColumn="0" w:lastRowFirstColumn="0" w:lastRowLastColumn="0"/>
            <w:tcW w:w="2410" w:type="dxa"/>
          </w:tcPr>
          <w:p w14:paraId="5C6D6EFD" w14:textId="77777777" w:rsidR="005F6D5E" w:rsidRPr="00E5087D" w:rsidRDefault="005F6D5E">
            <w:pPr>
              <w:rPr>
                <w:sz w:val="20"/>
                <w:szCs w:val="20"/>
              </w:rPr>
            </w:pPr>
            <w:r w:rsidRPr="00E5087D">
              <w:rPr>
                <w:sz w:val="20"/>
                <w:szCs w:val="20"/>
              </w:rPr>
              <w:t>CitiPower</w:t>
            </w:r>
          </w:p>
        </w:tc>
        <w:tc>
          <w:tcPr>
            <w:tcW w:w="3260" w:type="dxa"/>
          </w:tcPr>
          <w:p w14:paraId="6D47CE21"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Inner Melbourne</w:t>
            </w:r>
          </w:p>
        </w:tc>
        <w:tc>
          <w:tcPr>
            <w:tcW w:w="3261" w:type="dxa"/>
          </w:tcPr>
          <w:p w14:paraId="76BBA93E"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Spark Infrastructure, Cheung Kong Infrastructure Holdings, Victoria Power Networks (Finance) Pty Ltd</w:t>
            </w:r>
          </w:p>
        </w:tc>
      </w:tr>
      <w:tr w:rsidR="005F6D5E" w:rsidRPr="00E5087D" w14:paraId="761A54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C0CD352" w14:textId="77777777" w:rsidR="005F6D5E" w:rsidRPr="00E5087D" w:rsidRDefault="005F6D5E">
            <w:pPr>
              <w:rPr>
                <w:sz w:val="20"/>
                <w:szCs w:val="20"/>
              </w:rPr>
            </w:pPr>
            <w:r w:rsidRPr="00E5087D">
              <w:rPr>
                <w:sz w:val="20"/>
                <w:szCs w:val="20"/>
              </w:rPr>
              <w:t>SA Power Networks</w:t>
            </w:r>
          </w:p>
        </w:tc>
        <w:tc>
          <w:tcPr>
            <w:tcW w:w="3260" w:type="dxa"/>
          </w:tcPr>
          <w:p w14:paraId="3313BC78"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SA</w:t>
            </w:r>
          </w:p>
        </w:tc>
        <w:tc>
          <w:tcPr>
            <w:tcW w:w="3261" w:type="dxa"/>
          </w:tcPr>
          <w:p w14:paraId="17320C9B"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Cheung Kong Infrastructure Holdings, Spark Infrastructure</w:t>
            </w:r>
          </w:p>
        </w:tc>
      </w:tr>
      <w:tr w:rsidR="005F6D5E" w:rsidRPr="00E5087D" w14:paraId="5F010E89" w14:textId="77777777">
        <w:tc>
          <w:tcPr>
            <w:cnfStyle w:val="001000000000" w:firstRow="0" w:lastRow="0" w:firstColumn="1" w:lastColumn="0" w:oddVBand="0" w:evenVBand="0" w:oddHBand="0" w:evenHBand="0" w:firstRowFirstColumn="0" w:firstRowLastColumn="0" w:lastRowFirstColumn="0" w:lastRowLastColumn="0"/>
            <w:tcW w:w="2410" w:type="dxa"/>
          </w:tcPr>
          <w:p w14:paraId="6B39C26B" w14:textId="078BA295" w:rsidR="005F6D5E" w:rsidRPr="00E5087D" w:rsidRDefault="008910BB">
            <w:pPr>
              <w:rPr>
                <w:sz w:val="20"/>
                <w:szCs w:val="20"/>
              </w:rPr>
            </w:pPr>
            <w:r>
              <w:rPr>
                <w:sz w:val="20"/>
                <w:szCs w:val="20"/>
              </w:rPr>
              <w:t xml:space="preserve">Western Power and </w:t>
            </w:r>
            <w:r w:rsidR="005F6D5E" w:rsidRPr="00E5087D">
              <w:rPr>
                <w:sz w:val="20"/>
                <w:szCs w:val="20"/>
              </w:rPr>
              <w:t>Horizon Power</w:t>
            </w:r>
          </w:p>
        </w:tc>
        <w:tc>
          <w:tcPr>
            <w:tcW w:w="3260" w:type="dxa"/>
          </w:tcPr>
          <w:p w14:paraId="21E4827A"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Regional and remote WA</w:t>
            </w:r>
          </w:p>
        </w:tc>
        <w:tc>
          <w:tcPr>
            <w:tcW w:w="3261" w:type="dxa"/>
          </w:tcPr>
          <w:p w14:paraId="566E42AF"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Government of WA</w:t>
            </w:r>
          </w:p>
        </w:tc>
      </w:tr>
      <w:tr w:rsidR="005F6D5E" w:rsidRPr="00E5087D" w14:paraId="524286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6978B3D" w14:textId="46A775A3" w:rsidR="005F6D5E" w:rsidRPr="00E5087D" w:rsidRDefault="00840DB7">
            <w:pPr>
              <w:rPr>
                <w:sz w:val="20"/>
                <w:szCs w:val="20"/>
              </w:rPr>
            </w:pPr>
            <w:r>
              <w:rPr>
                <w:sz w:val="20"/>
                <w:szCs w:val="20"/>
              </w:rPr>
              <w:t>Evoenergy</w:t>
            </w:r>
          </w:p>
        </w:tc>
        <w:tc>
          <w:tcPr>
            <w:tcW w:w="3260" w:type="dxa"/>
          </w:tcPr>
          <w:p w14:paraId="3EC58B76" w14:textId="3A3A3E06" w:rsidR="005F6D5E" w:rsidRPr="00E5087D" w:rsidRDefault="00840DB7">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ACT</w:t>
            </w:r>
          </w:p>
        </w:tc>
        <w:tc>
          <w:tcPr>
            <w:tcW w:w="3261" w:type="dxa"/>
          </w:tcPr>
          <w:p w14:paraId="3B8401B6" w14:textId="64F462CA" w:rsidR="005F6D5E" w:rsidRPr="00E5087D" w:rsidRDefault="00115F10">
            <w:pPr>
              <w:cnfStyle w:val="000000100000" w:firstRow="0" w:lastRow="0" w:firstColumn="0" w:lastColumn="0" w:oddVBand="0" w:evenVBand="0" w:oddHBand="1" w:evenHBand="0" w:firstRowFirstColumn="0" w:firstRowLastColumn="0" w:lastRowFirstColumn="0" w:lastRowLastColumn="0"/>
              <w:rPr>
                <w:sz w:val="20"/>
                <w:szCs w:val="20"/>
              </w:rPr>
            </w:pPr>
            <w:r w:rsidRPr="00115F10">
              <w:rPr>
                <w:sz w:val="20"/>
                <w:szCs w:val="20"/>
              </w:rPr>
              <w:t xml:space="preserve">ActewAGL Distribution </w:t>
            </w:r>
          </w:p>
        </w:tc>
      </w:tr>
      <w:tr w:rsidR="005F6D5E" w:rsidRPr="00E5087D" w14:paraId="7E511B21" w14:textId="77777777">
        <w:tc>
          <w:tcPr>
            <w:cnfStyle w:val="001000000000" w:firstRow="0" w:lastRow="0" w:firstColumn="1" w:lastColumn="0" w:oddVBand="0" w:evenVBand="0" w:oddHBand="0" w:evenHBand="0" w:firstRowFirstColumn="0" w:firstRowLastColumn="0" w:lastRowFirstColumn="0" w:lastRowLastColumn="0"/>
            <w:tcW w:w="2410" w:type="dxa"/>
          </w:tcPr>
          <w:p w14:paraId="5D3923BC" w14:textId="77777777" w:rsidR="005F6D5E" w:rsidRPr="00E5087D" w:rsidRDefault="005F6D5E">
            <w:pPr>
              <w:rPr>
                <w:sz w:val="20"/>
                <w:szCs w:val="20"/>
              </w:rPr>
            </w:pPr>
            <w:r w:rsidRPr="00E5087D">
              <w:rPr>
                <w:sz w:val="20"/>
                <w:szCs w:val="20"/>
              </w:rPr>
              <w:t>Power and Water Corp</w:t>
            </w:r>
          </w:p>
        </w:tc>
        <w:tc>
          <w:tcPr>
            <w:tcW w:w="3260" w:type="dxa"/>
          </w:tcPr>
          <w:p w14:paraId="741CB9E9"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NT</w:t>
            </w:r>
          </w:p>
        </w:tc>
        <w:tc>
          <w:tcPr>
            <w:tcW w:w="3261" w:type="dxa"/>
          </w:tcPr>
          <w:p w14:paraId="0D151EF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Northern Territory Government</w:t>
            </w:r>
          </w:p>
        </w:tc>
      </w:tr>
      <w:tr w:rsidR="005F6D5E" w:rsidRPr="00E5087D" w14:paraId="3A2E552C" w14:textId="77777777" w:rsidTr="00756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88AAC70" w14:textId="3A015018" w:rsidR="005F6D5E" w:rsidRPr="00E5087D" w:rsidRDefault="002E46C0">
            <w:pPr>
              <w:rPr>
                <w:sz w:val="20"/>
                <w:szCs w:val="20"/>
              </w:rPr>
            </w:pPr>
            <w:r>
              <w:rPr>
                <w:sz w:val="20"/>
                <w:szCs w:val="20"/>
              </w:rPr>
              <w:t>TasNetwork</w:t>
            </w:r>
            <w:r w:rsidR="00C84010">
              <w:rPr>
                <w:sz w:val="20"/>
                <w:szCs w:val="20"/>
              </w:rPr>
              <w:t>s</w:t>
            </w:r>
          </w:p>
        </w:tc>
        <w:tc>
          <w:tcPr>
            <w:tcW w:w="3260" w:type="dxa"/>
          </w:tcPr>
          <w:p w14:paraId="4B060A72"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Tas</w:t>
            </w:r>
          </w:p>
        </w:tc>
        <w:tc>
          <w:tcPr>
            <w:tcW w:w="3261" w:type="dxa"/>
          </w:tcPr>
          <w:p w14:paraId="41CB9560" w14:textId="691E75E7" w:rsidR="005F6D5E" w:rsidRPr="00E5087D" w:rsidRDefault="002E46C0">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Tasmanian Government</w:t>
            </w:r>
          </w:p>
        </w:tc>
      </w:tr>
      <w:tr w:rsidR="00213BC8" w:rsidRPr="00E5087D" w14:paraId="2312FB2C" w14:textId="77777777" w:rsidTr="007564A9">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BFBFBF" w:themeColor="background1" w:themeShade="BF"/>
            </w:tcBorders>
          </w:tcPr>
          <w:p w14:paraId="660760A4" w14:textId="6CE00CCF" w:rsidR="00213BC8" w:rsidRDefault="00213BC8" w:rsidP="00213BC8">
            <w:pPr>
              <w:rPr>
                <w:sz w:val="20"/>
                <w:szCs w:val="20"/>
              </w:rPr>
            </w:pPr>
            <w:r w:rsidRPr="00E5087D">
              <w:rPr>
                <w:sz w:val="20"/>
                <w:szCs w:val="20"/>
              </w:rPr>
              <w:t>Jemena</w:t>
            </w:r>
          </w:p>
        </w:tc>
        <w:tc>
          <w:tcPr>
            <w:tcW w:w="3260" w:type="dxa"/>
            <w:tcBorders>
              <w:bottom w:val="single" w:sz="4" w:space="0" w:color="BFBFBF" w:themeColor="background1" w:themeShade="BF"/>
            </w:tcBorders>
          </w:tcPr>
          <w:p w14:paraId="441370DC" w14:textId="6A585317" w:rsidR="00213BC8" w:rsidRPr="00E5087D" w:rsidRDefault="00213BC8" w:rsidP="00213BC8">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NSW, Vic, Qld</w:t>
            </w:r>
          </w:p>
        </w:tc>
        <w:tc>
          <w:tcPr>
            <w:tcW w:w="3261" w:type="dxa"/>
            <w:tcBorders>
              <w:bottom w:val="single" w:sz="4" w:space="0" w:color="BFBFBF" w:themeColor="background1" w:themeShade="BF"/>
            </w:tcBorders>
          </w:tcPr>
          <w:p w14:paraId="38DD765F" w14:textId="597876CA" w:rsidR="00213BC8" w:rsidRDefault="00213BC8" w:rsidP="00213BC8">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 xml:space="preserve">State Grid Corp of China, Singapore Power </w:t>
            </w:r>
          </w:p>
        </w:tc>
      </w:tr>
    </w:tbl>
    <w:p w14:paraId="0EA38A0A" w14:textId="77777777" w:rsidR="005F6D5E" w:rsidRPr="00E5087D" w:rsidRDefault="005F6D5E" w:rsidP="005F6D5E">
      <w:pPr>
        <w:rPr>
          <w:rFonts w:eastAsiaTheme="majorEastAsia" w:cstheme="majorBidi"/>
          <w:b/>
          <w:sz w:val="32"/>
          <w:szCs w:val="26"/>
        </w:rPr>
      </w:pPr>
      <w:r w:rsidRPr="00E5087D">
        <w:br w:type="page"/>
      </w:r>
    </w:p>
    <w:p w14:paraId="32F35017" w14:textId="77777777" w:rsidR="005F6D5E" w:rsidRPr="00E5087D" w:rsidRDefault="005F6D5E" w:rsidP="005F6D5E">
      <w:pPr>
        <w:pStyle w:val="Heading3"/>
      </w:pPr>
      <w:r w:rsidRPr="00E5087D">
        <w:lastRenderedPageBreak/>
        <w:t>Clean energy demand</w:t>
      </w:r>
    </w:p>
    <w:p w14:paraId="3B544D82" w14:textId="55E37432" w:rsidR="005F6D5E" w:rsidRPr="00E5087D" w:rsidRDefault="005F6D5E" w:rsidP="00FF2E5F">
      <w:pPr>
        <w:pStyle w:val="Heading4"/>
        <w:spacing w:after="120"/>
        <w:rPr>
          <w:color w:val="1192E8" w:themeColor="accent3"/>
        </w:rPr>
      </w:pPr>
      <w:r w:rsidRPr="00E5087D">
        <w:rPr>
          <w:color w:val="1192E8" w:themeColor="accent3"/>
        </w:rPr>
        <w:t xml:space="preserve">Energy usage – </w:t>
      </w:r>
      <w:r w:rsidR="00C8684C" w:rsidRPr="00E5087D">
        <w:rPr>
          <w:color w:val="1192E8" w:themeColor="accent3"/>
        </w:rPr>
        <w:t>e</w:t>
      </w:r>
      <w:r w:rsidRPr="00E5087D">
        <w:rPr>
          <w:color w:val="1192E8" w:themeColor="accent3"/>
        </w:rPr>
        <w:t>lectrification</w:t>
      </w:r>
    </w:p>
    <w:p w14:paraId="2C2E552F" w14:textId="77C61D8A" w:rsidR="005F6D5E" w:rsidRPr="00E5087D" w:rsidRDefault="005F6D5E" w:rsidP="00C8684C">
      <w:pPr>
        <w:spacing w:line="276" w:lineRule="auto"/>
      </w:pPr>
      <w:r w:rsidRPr="00E5087D">
        <w:t xml:space="preserve">Electrification will be driven by electrical services firms with a wide distribution across Australia throughout metropolitan and regional areas. </w:t>
      </w:r>
      <w:r>
        <w:t xml:space="preserve">There </w:t>
      </w:r>
      <w:r w:rsidR="07B5ACAA">
        <w:t>i</w:t>
      </w:r>
      <w:r w:rsidR="60A29861">
        <w:t>s</w:t>
      </w:r>
      <w:r w:rsidR="10A9CF5D">
        <w:t xml:space="preserve"> </w:t>
      </w:r>
      <w:r w:rsidR="07B5ACAA">
        <w:t>a</w:t>
      </w:r>
      <w:r w:rsidRPr="00E5087D">
        <w:t xml:space="preserve"> high concentration of small businesses</w:t>
      </w:r>
      <w:r w:rsidR="60A29861">
        <w:t>, with no</w:t>
      </w:r>
      <w:r>
        <w:t xml:space="preserve"> particularly dominant firm</w:t>
      </w:r>
      <w:r w:rsidR="07B5ACAA">
        <w:t>s</w:t>
      </w:r>
      <w:r w:rsidRPr="00E5087D">
        <w:t>.</w:t>
      </w:r>
    </w:p>
    <w:p w14:paraId="0886C791" w14:textId="61BA8181" w:rsidR="005F6D5E" w:rsidRPr="00E5087D" w:rsidRDefault="005F6D5E" w:rsidP="00FF2E5F">
      <w:pPr>
        <w:pStyle w:val="Heading4"/>
        <w:spacing w:before="240" w:after="120"/>
        <w:rPr>
          <w:color w:val="1192E8" w:themeColor="accent3"/>
        </w:rPr>
      </w:pPr>
      <w:r w:rsidRPr="00E5087D">
        <w:rPr>
          <w:color w:val="1192E8" w:themeColor="accent3"/>
        </w:rPr>
        <w:t xml:space="preserve">Energy usage – </w:t>
      </w:r>
      <w:r w:rsidR="00C8684C" w:rsidRPr="00E5087D">
        <w:rPr>
          <w:color w:val="1192E8" w:themeColor="accent3"/>
        </w:rPr>
        <w:t>h</w:t>
      </w:r>
      <w:r w:rsidRPr="00E5087D">
        <w:rPr>
          <w:color w:val="1192E8" w:themeColor="accent3"/>
        </w:rPr>
        <w:t xml:space="preserve">ydrogen </w:t>
      </w:r>
    </w:p>
    <w:p w14:paraId="35A2B0D6" w14:textId="253F244D" w:rsidR="005F6D5E" w:rsidRPr="00E5087D" w:rsidRDefault="005F6D5E" w:rsidP="00342F5A">
      <w:pPr>
        <w:spacing w:after="120" w:line="276" w:lineRule="auto"/>
        <w:rPr>
          <w14:numForm w14:val="lining"/>
          <w14:numSpacing w14:val="proportional"/>
        </w:rPr>
      </w:pPr>
      <w:r w:rsidRPr="00E5087D">
        <w:rPr>
          <w14:numForm w14:val="lining"/>
          <w14:numSpacing w14:val="proportional"/>
        </w:rPr>
        <w:t xml:space="preserve">The Australian Hydrogen sector remains in its developmental phase, with a number of demonstration and pilot projects underway. Often these involve collaborations between commercial entities and </w:t>
      </w:r>
      <w:r w:rsidR="00935E4B" w:rsidRPr="00E5087D">
        <w:rPr>
          <w14:numForm w14:val="lining"/>
          <w14:numSpacing w14:val="proportional"/>
        </w:rPr>
        <w:t>universities</w:t>
      </w:r>
      <w:r w:rsidRPr="00E5087D">
        <w:rPr>
          <w14:numForm w14:val="lining"/>
          <w14:numSpacing w14:val="proportional"/>
        </w:rPr>
        <w:t>, the CSIRO or other research organisations.</w:t>
      </w:r>
      <w:r w:rsidRPr="00E5087D">
        <w:rPr>
          <w:rStyle w:val="EndnoteReference"/>
          <w14:numForm w14:val="lining"/>
          <w14:numSpacing w14:val="proportional"/>
        </w:rPr>
        <w:endnoteReference w:id="37"/>
      </w:r>
    </w:p>
    <w:p w14:paraId="3D66CD32" w14:textId="77777777" w:rsidR="005F6D5E" w:rsidRPr="00E5087D" w:rsidRDefault="005F6D5E" w:rsidP="00F25595">
      <w:pPr>
        <w:pStyle w:val="ListParagraph"/>
        <w:numPr>
          <w:ilvl w:val="0"/>
          <w:numId w:val="61"/>
        </w:numPr>
        <w:spacing w:after="120" w:line="276" w:lineRule="auto"/>
        <w:ind w:left="714" w:hanging="357"/>
        <w:contextualSpacing w:val="0"/>
        <w:rPr>
          <w14:numForm w14:val="lining"/>
          <w14:numSpacing w14:val="proportional"/>
        </w:rPr>
      </w:pPr>
      <w:r w:rsidRPr="00E5087D">
        <w:rPr>
          <w14:numForm w14:val="lining"/>
          <w14:numSpacing w14:val="proportional"/>
        </w:rPr>
        <w:t xml:space="preserve">Australian Gas Networks (AGN) is developing the Hydrogen Park South Australia (HyP SA). This project is targeting the development of renewable blended gas for domestic consumption. AGN is part of the Australian Gas Infrastructure Group. </w:t>
      </w:r>
    </w:p>
    <w:p w14:paraId="2BDACDA2" w14:textId="77777777" w:rsidR="005F6D5E" w:rsidRPr="00E5087D" w:rsidRDefault="005F6D5E" w:rsidP="00F25595">
      <w:pPr>
        <w:pStyle w:val="ListParagraph"/>
        <w:numPr>
          <w:ilvl w:val="0"/>
          <w:numId w:val="61"/>
        </w:numPr>
        <w:spacing w:after="120" w:line="276" w:lineRule="auto"/>
        <w:ind w:left="714" w:hanging="357"/>
        <w:contextualSpacing w:val="0"/>
        <w:rPr>
          <w14:numForm w14:val="lining"/>
          <w14:numSpacing w14:val="proportional"/>
        </w:rPr>
      </w:pPr>
      <w:r w:rsidRPr="00E5087D">
        <w:rPr>
          <w14:numForm w14:val="lining"/>
          <w14:numSpacing w14:val="proportional"/>
        </w:rPr>
        <w:t xml:space="preserve">Hydrogen Engineering Australia is partnering with a number of other firms, including AGL and Japanese energy users, to pilot the production of hydrogen from coal gas in the Latrobe Valley, transport it to Hastings, and then liquify it for transport to Japan. </w:t>
      </w:r>
    </w:p>
    <w:p w14:paraId="040F8ADC" w14:textId="7447968C" w:rsidR="005F6D5E" w:rsidRPr="00E5087D" w:rsidRDefault="005F6D5E" w:rsidP="00F25595">
      <w:pPr>
        <w:pStyle w:val="ListParagraph"/>
        <w:numPr>
          <w:ilvl w:val="0"/>
          <w:numId w:val="61"/>
        </w:numPr>
        <w:spacing w:after="240" w:line="276" w:lineRule="auto"/>
        <w:ind w:left="714" w:hanging="357"/>
        <w:rPr>
          <w14:numForm w14:val="lining"/>
          <w14:numSpacing w14:val="proportional"/>
        </w:rPr>
      </w:pPr>
      <w:r w:rsidRPr="00E5087D">
        <w:rPr>
          <w14:numForm w14:val="lining"/>
          <w14:numSpacing w14:val="proportional"/>
        </w:rPr>
        <w:t xml:space="preserve">Engie, Mitsui and Yara Fertilisers are seeking to produce green ammonia from a 10MW electrolyser using electricity from onsite solar production in Karratha (Yuri renewable </w:t>
      </w:r>
      <w:r w:rsidR="00935E4B" w:rsidRPr="00E5087D">
        <w:rPr>
          <w14:numForm w14:val="lining"/>
          <w14:numSpacing w14:val="proportional"/>
        </w:rPr>
        <w:t>hydrogen</w:t>
      </w:r>
      <w:r w:rsidRPr="00E5087D">
        <w:rPr>
          <w14:numForm w14:val="lining"/>
          <w14:numSpacing w14:val="proportional"/>
        </w:rPr>
        <w:t xml:space="preserve"> to ammonia project)</w:t>
      </w:r>
      <w:r w:rsidR="02052DF6" w:rsidRPr="00E5087D">
        <w:rPr>
          <w14:numForm w14:val="lining"/>
          <w14:numSpacing w14:val="proportional"/>
        </w:rPr>
        <w:t>.</w:t>
      </w:r>
    </w:p>
    <w:p w14:paraId="634EC694" w14:textId="77777777" w:rsidR="005F6D5E" w:rsidRPr="00E5087D" w:rsidRDefault="005F6D5E" w:rsidP="00342F5A">
      <w:pPr>
        <w:spacing w:after="120" w:line="276" w:lineRule="auto"/>
        <w:rPr>
          <w14:numForm w14:val="lining"/>
          <w14:numSpacing w14:val="proportional"/>
        </w:rPr>
      </w:pPr>
      <w:r w:rsidRPr="00E5087D">
        <w:rPr>
          <w14:numForm w14:val="lining"/>
          <w14:numSpacing w14:val="proportional"/>
        </w:rPr>
        <w:t>The NSW Government has invested in developing a hydrogen hub in the Hunter (as well as Illawarra) with several projects at the exploration, feasibility or development stage:</w:t>
      </w:r>
      <w:r w:rsidRPr="00E5087D">
        <w:rPr>
          <w:rStyle w:val="EndnoteReference"/>
          <w14:numForm w14:val="lining"/>
          <w14:numSpacing w14:val="proportional"/>
        </w:rPr>
        <w:endnoteReference w:id="38"/>
      </w:r>
    </w:p>
    <w:p w14:paraId="6024FF7E" w14:textId="77777777" w:rsidR="005F6D5E" w:rsidRPr="00E5087D" w:rsidRDefault="005F6D5E" w:rsidP="00F25595">
      <w:pPr>
        <w:pStyle w:val="ListParagraph"/>
        <w:numPr>
          <w:ilvl w:val="0"/>
          <w:numId w:val="60"/>
        </w:numPr>
        <w:spacing w:after="120" w:line="276" w:lineRule="auto"/>
        <w:ind w:left="714" w:hanging="357"/>
        <w:contextualSpacing w:val="0"/>
        <w:rPr>
          <w14:numForm w14:val="lining"/>
          <w14:numSpacing w14:val="proportional"/>
        </w:rPr>
      </w:pPr>
      <w:r w:rsidRPr="00E5087D">
        <w:rPr>
          <w14:numForm w14:val="lining"/>
          <w14:numSpacing w14:val="proportional"/>
        </w:rPr>
        <w:t>Hunter Energy Hub led by AGL Energy and Fortescue Future Industries is seeking to develop a large scale hydrogen production facility (min. 150 MW).</w:t>
      </w:r>
    </w:p>
    <w:p w14:paraId="066A7BEA" w14:textId="77777777" w:rsidR="005F6D5E" w:rsidRPr="00E5087D" w:rsidRDefault="005F6D5E" w:rsidP="00F25595">
      <w:pPr>
        <w:pStyle w:val="ListParagraph"/>
        <w:numPr>
          <w:ilvl w:val="0"/>
          <w:numId w:val="60"/>
        </w:numPr>
        <w:spacing w:after="120" w:line="276" w:lineRule="auto"/>
        <w:ind w:left="714" w:hanging="357"/>
        <w:contextualSpacing w:val="0"/>
        <w:rPr>
          <w14:numForm w14:val="lining"/>
          <w14:numSpacing w14:val="proportional"/>
        </w:rPr>
      </w:pPr>
      <w:r w:rsidRPr="00E5087D">
        <w:rPr>
          <w14:numForm w14:val="lining"/>
          <w14:numSpacing w14:val="proportional"/>
        </w:rPr>
        <w:t>Origin Energy and Orica are seeking to produce hydrogen primarily for industrial processes with a 55 MW electrolyser.</w:t>
      </w:r>
    </w:p>
    <w:p w14:paraId="3E206C24" w14:textId="77777777" w:rsidR="005F6D5E" w:rsidRPr="00E5087D" w:rsidRDefault="005F6D5E" w:rsidP="00F25595">
      <w:pPr>
        <w:pStyle w:val="ListParagraph"/>
        <w:numPr>
          <w:ilvl w:val="0"/>
          <w:numId w:val="60"/>
        </w:numPr>
        <w:spacing w:after="240" w:line="276" w:lineRule="auto"/>
        <w:ind w:left="714" w:hanging="357"/>
        <w:contextualSpacing w:val="0"/>
        <w:rPr>
          <w14:numForm w14:val="lining"/>
          <w14:numSpacing w14:val="proportional"/>
        </w:rPr>
      </w:pPr>
      <w:r w:rsidRPr="00E5087D">
        <w:rPr>
          <w14:numForm w14:val="lining"/>
          <w14:numSpacing w14:val="proportional"/>
        </w:rPr>
        <w:t xml:space="preserve">The Port of Newcastle together with Macquarie Green Investment has completed a feasibility study for a 40 MW electrolyser for domestic use initially. </w:t>
      </w:r>
    </w:p>
    <w:p w14:paraId="7CE17A64" w14:textId="761BFDAF" w:rsidR="005F6D5E" w:rsidRPr="00E5087D" w:rsidRDefault="005F6D5E" w:rsidP="00342F5A">
      <w:pPr>
        <w:spacing w:after="120" w:line="276" w:lineRule="auto"/>
        <w:rPr>
          <w14:numForm w14:val="lining"/>
          <w14:numSpacing w14:val="proportional"/>
        </w:rPr>
      </w:pPr>
      <w:r w:rsidRPr="00E5087D">
        <w:rPr>
          <w14:numForm w14:val="lining"/>
          <w14:numSpacing w14:val="proportional"/>
        </w:rPr>
        <w:t>Similarly</w:t>
      </w:r>
      <w:r w:rsidR="5FC80B60" w:rsidRPr="00E5087D">
        <w:rPr>
          <w14:numForm w14:val="lining"/>
          <w14:numSpacing w14:val="proportional"/>
        </w:rPr>
        <w:t>,</w:t>
      </w:r>
      <w:r w:rsidRPr="00E5087D">
        <w:rPr>
          <w14:numForm w14:val="lining"/>
          <w14:numSpacing w14:val="proportional"/>
        </w:rPr>
        <w:t xml:space="preserve"> projects are at various stages in Queensland.</w:t>
      </w:r>
    </w:p>
    <w:p w14:paraId="71213BF2" w14:textId="5EA1D19E" w:rsidR="005F6D5E" w:rsidRPr="00E5087D" w:rsidRDefault="005F6D5E" w:rsidP="00F25595">
      <w:pPr>
        <w:pStyle w:val="ListParagraph"/>
        <w:numPr>
          <w:ilvl w:val="0"/>
          <w:numId w:val="59"/>
        </w:numPr>
        <w:spacing w:line="276" w:lineRule="auto"/>
      </w:pPr>
      <w:r w:rsidRPr="00E5087D">
        <w:rPr>
          <w14:numForm w14:val="lining"/>
          <w14:numSpacing w14:val="proportional"/>
        </w:rPr>
        <w:t xml:space="preserve">The Central Queensland Hydrogen Project (CQ-H2) is under development, led by Stanwell Corporation Limited, Iwatani Corporation, Marubeni Corporation, Kansai Electric Power Company, </w:t>
      </w:r>
      <w:r w:rsidR="3EBE9925" w:rsidRPr="00E5087D">
        <w:rPr>
          <w14:numForm w14:val="lining"/>
          <w14:numSpacing w14:val="proportional"/>
        </w:rPr>
        <w:t>and</w:t>
      </w:r>
      <w:r w:rsidRPr="00E5087D">
        <w:rPr>
          <w14:numForm w14:val="lining"/>
          <w14:numSpacing w14:val="proportional"/>
        </w:rPr>
        <w:t xml:space="preserve"> Keppel Infrastructure. This project is targeting liquid hydrogen export potential</w:t>
      </w:r>
      <w:r w:rsidR="00220AB4">
        <w:rPr>
          <w14:numForm w14:val="lining"/>
          <w14:numSpacing w14:val="proportional"/>
        </w:rPr>
        <w:t>,</w:t>
      </w:r>
      <w:r w:rsidRPr="00E5087D">
        <w:rPr>
          <w:rStyle w:val="EndnoteReference"/>
          <w14:numForm w14:val="lining"/>
          <w14:numSpacing w14:val="proportional"/>
        </w:rPr>
        <w:endnoteReference w:id="39"/>
      </w:r>
      <w:r w:rsidR="00220AB4">
        <w:rPr>
          <w14:numForm w14:val="lining"/>
          <w14:numSpacing w14:val="proportional"/>
        </w:rPr>
        <w:t xml:space="preserve"> </w:t>
      </w:r>
      <w:r w:rsidRPr="00E5087D">
        <w:rPr>
          <w14:numForm w14:val="lining"/>
          <w14:numSpacing w14:val="proportional"/>
        </w:rPr>
        <w:t>as well as domestic applications, with production to scale up in the late 2020s.</w:t>
      </w:r>
      <w:r w:rsidRPr="00E5087D">
        <w:rPr>
          <w:rStyle w:val="EndnoteReference"/>
          <w14:numForm w14:val="lining"/>
          <w14:numSpacing w14:val="proportional"/>
        </w:rPr>
        <w:endnoteReference w:id="40"/>
      </w:r>
      <w:r w:rsidRPr="00E5087D">
        <w:rPr>
          <w14:numForm w14:val="lining"/>
          <w14:numSpacing w14:val="proportional"/>
        </w:rPr>
        <w:t xml:space="preserve"> </w:t>
      </w:r>
    </w:p>
    <w:p w14:paraId="2305A93A" w14:textId="6CF86294" w:rsidR="005F6D5E" w:rsidRPr="00E5087D" w:rsidRDefault="23CD0001" w:rsidP="00C8684C">
      <w:pPr>
        <w:spacing w:line="276" w:lineRule="auto"/>
      </w:pPr>
      <w:r w:rsidRPr="00E5087D">
        <w:rPr>
          <w14:numForm w14:val="lining"/>
          <w14:numSpacing w14:val="proportional"/>
        </w:rPr>
        <w:t xml:space="preserve">With most projects not advanced beyond pilot stage, employment overall remains low and biased towards scientific, technical and research roles, with fewer </w:t>
      </w:r>
      <w:r w:rsidRPr="00E5087D">
        <w:t>trades and manual roles</w:t>
      </w:r>
      <w:r w:rsidR="5CDA8C8E" w:rsidRPr="00E5087D">
        <w:t>, however these are</w:t>
      </w:r>
      <w:r w:rsidRPr="00E5087D">
        <w:t xml:space="preserve"> expected once production reaches commercial scale. </w:t>
      </w:r>
    </w:p>
    <w:p w14:paraId="55BD7FF3" w14:textId="77777777" w:rsidR="00C8684C" w:rsidRPr="00E5087D" w:rsidRDefault="00C8684C">
      <w:pPr>
        <w:rPr>
          <w:rFonts w:cs="Arial"/>
          <w:b/>
          <w:bCs/>
          <w:color w:val="1192E8" w:themeColor="accent3"/>
          <w:sz w:val="28"/>
        </w:rPr>
      </w:pPr>
      <w:r w:rsidRPr="00E5087D">
        <w:rPr>
          <w:color w:val="1192E8" w:themeColor="accent3"/>
        </w:rPr>
        <w:br w:type="page"/>
      </w:r>
    </w:p>
    <w:p w14:paraId="2B39E8B8" w14:textId="13D7B813"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lastRenderedPageBreak/>
        <w:t>Energy performance</w:t>
      </w:r>
    </w:p>
    <w:p w14:paraId="67A19BBB" w14:textId="0C8C27BB" w:rsidR="005F6D5E" w:rsidRPr="00E5087D" w:rsidRDefault="005F6D5E" w:rsidP="00C8684C">
      <w:pPr>
        <w:spacing w:line="276" w:lineRule="auto"/>
        <w:rPr>
          <w14:numForm w14:val="lining"/>
          <w14:numSpacing w14:val="proportional"/>
        </w:rPr>
      </w:pPr>
      <w:r w:rsidRPr="00E5087D">
        <w:rPr>
          <w14:numForm w14:val="lining"/>
          <w14:numSpacing w14:val="proportional"/>
        </w:rPr>
        <w:t>Most of the activity in energy performance will be carried out by firms operating in the construction industry, installing (including retrofitting) more energy efficient forms of building materials such as glass, floor and wall coverings, roofing and insulation, etc., as well as more energy efficient electrical devices.</w:t>
      </w:r>
    </w:p>
    <w:p w14:paraId="3DE03A50" w14:textId="77777777" w:rsidR="005F6D5E" w:rsidRPr="00E5087D" w:rsidRDefault="005F6D5E" w:rsidP="00C8684C">
      <w:pPr>
        <w:spacing w:line="276" w:lineRule="auto"/>
        <w:rPr>
          <w14:numForm w14:val="lining"/>
          <w14:numSpacing w14:val="proportional"/>
        </w:rPr>
      </w:pPr>
      <w:r w:rsidRPr="00E5087D">
        <w:rPr>
          <w14:numForm w14:val="lining"/>
          <w14:numSpacing w14:val="proportional"/>
        </w:rPr>
        <w:t xml:space="preserve">There will also be specialist professional services consulting firms offering energy audits and to manage the implementation of energy performance programs and technologies, and energy performance roles within firms with large energy demand, such as commercial property managers, large retailers and accommodation sites, and manufacturing facilities. </w:t>
      </w:r>
    </w:p>
    <w:p w14:paraId="5E29DFAF" w14:textId="77777777"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t>Transport</w:t>
      </w:r>
    </w:p>
    <w:p w14:paraId="07772780" w14:textId="77777777" w:rsidR="005F6D5E" w:rsidRPr="00E5087D" w:rsidRDefault="005F6D5E" w:rsidP="000C61DA">
      <w:pPr>
        <w:spacing w:after="120" w:line="276" w:lineRule="auto"/>
        <w:rPr>
          <w14:numForm w14:val="lining"/>
          <w14:numSpacing w14:val="proportional"/>
        </w:rPr>
      </w:pPr>
      <w:r w:rsidRPr="00E5087D">
        <w:rPr>
          <w14:numForm w14:val="lining"/>
          <w14:numSpacing w14:val="proportional"/>
        </w:rPr>
        <w:t>The transport firms most involved in clean energy at present include:</w:t>
      </w:r>
    </w:p>
    <w:p w14:paraId="013314B3" w14:textId="77777777" w:rsidR="005F6D5E" w:rsidRPr="00E5087D" w:rsidRDefault="005F6D5E" w:rsidP="00F25595">
      <w:pPr>
        <w:pStyle w:val="ListParagraph"/>
        <w:numPr>
          <w:ilvl w:val="0"/>
          <w:numId w:val="58"/>
        </w:numPr>
        <w:spacing w:after="120" w:line="276" w:lineRule="auto"/>
        <w:ind w:left="714" w:hanging="357"/>
        <w:contextualSpacing w:val="0"/>
        <w:rPr>
          <w14:numForm w14:val="lining"/>
          <w14:numSpacing w14:val="proportional"/>
        </w:rPr>
      </w:pPr>
      <w:r w:rsidRPr="00E5087D">
        <w:rPr>
          <w14:numForm w14:val="lining"/>
          <w14:numSpacing w14:val="proportional"/>
        </w:rPr>
        <w:t>Public transport firms, especially those with large bus networks pursuing electrification</w:t>
      </w:r>
    </w:p>
    <w:p w14:paraId="1FADB72D" w14:textId="34A04F88" w:rsidR="005F6D5E" w:rsidRPr="00E5087D" w:rsidRDefault="005F6D5E" w:rsidP="00F25595">
      <w:pPr>
        <w:pStyle w:val="ListParagraph"/>
        <w:numPr>
          <w:ilvl w:val="0"/>
          <w:numId w:val="58"/>
        </w:numPr>
        <w:spacing w:after="120" w:line="276" w:lineRule="auto"/>
        <w:ind w:left="714" w:hanging="357"/>
        <w:contextualSpacing w:val="0"/>
        <w:rPr>
          <w14:numForm w14:val="lining"/>
          <w14:numSpacing w14:val="proportional"/>
        </w:rPr>
      </w:pPr>
      <w:r w:rsidRPr="00E5087D">
        <w:rPr>
          <w14:numForm w14:val="lining"/>
          <w14:numSpacing w14:val="proportional"/>
        </w:rPr>
        <w:t xml:space="preserve">Firms selling </w:t>
      </w:r>
      <w:r w:rsidR="00C27AFC">
        <w:rPr>
          <w:rFonts w:cs="Arial"/>
          <w14:numForm w14:val="lining"/>
          <w14:numSpacing w14:val="proportional"/>
        </w:rPr>
        <w:t>EV</w:t>
      </w:r>
      <w:r w:rsidRPr="00E5087D">
        <w:rPr>
          <w14:numForm w14:val="lining"/>
          <w14:numSpacing w14:val="proportional"/>
        </w:rPr>
        <w:t>s for private and commercial use in the Australian market</w:t>
      </w:r>
    </w:p>
    <w:p w14:paraId="6658E9E6" w14:textId="186AA042" w:rsidR="005F6D5E" w:rsidRPr="00E5087D" w:rsidRDefault="005F6D5E" w:rsidP="00F25595">
      <w:pPr>
        <w:pStyle w:val="ListParagraph"/>
        <w:numPr>
          <w:ilvl w:val="0"/>
          <w:numId w:val="58"/>
        </w:numPr>
        <w:spacing w:after="120" w:line="276" w:lineRule="auto"/>
        <w:ind w:left="714" w:hanging="357"/>
      </w:pPr>
      <w:r w:rsidRPr="00E5087D">
        <w:rPr>
          <w14:numForm w14:val="lining"/>
          <w14:numSpacing w14:val="proportional"/>
        </w:rPr>
        <w:t xml:space="preserve">Firms servicing </w:t>
      </w:r>
      <w:r w:rsidR="00C27AFC" w:rsidRPr="00C27AFC">
        <w:rPr>
          <w14:numForm w14:val="lining"/>
          <w14:numSpacing w14:val="proportional"/>
        </w:rPr>
        <w:t>EV</w:t>
      </w:r>
      <w:r w:rsidRPr="00E5087D">
        <w:rPr>
          <w14:numForm w14:val="lining"/>
          <w14:numSpacing w14:val="proportional"/>
        </w:rPr>
        <w:t xml:space="preserve">s (often with strong links to firms selling </w:t>
      </w:r>
      <w:r w:rsidR="00C27AFC">
        <w:rPr>
          <w:rFonts w:cs="Arial"/>
          <w14:numForm w14:val="lining"/>
          <w14:numSpacing w14:val="proportional"/>
        </w:rPr>
        <w:t>EV</w:t>
      </w:r>
      <w:r w:rsidRPr="00E5087D">
        <w:rPr>
          <w14:numForm w14:val="lining"/>
          <w14:numSpacing w14:val="proportional"/>
        </w:rPr>
        <w:t>s)</w:t>
      </w:r>
      <w:r w:rsidR="34BBD93C" w:rsidRPr="00E5087D">
        <w:rPr>
          <w14:numForm w14:val="lining"/>
          <w14:numSpacing w14:val="proportional"/>
        </w:rPr>
        <w:t>.</w:t>
      </w:r>
    </w:p>
    <w:p w14:paraId="7C121CDE" w14:textId="77777777"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t>Public transport</w:t>
      </w:r>
    </w:p>
    <w:p w14:paraId="5DEA5FFE" w14:textId="7E81A4A0" w:rsidR="005F6D5E" w:rsidRPr="00E5087D" w:rsidRDefault="005F6D5E" w:rsidP="00F25595">
      <w:pPr>
        <w:pStyle w:val="ListParagraph"/>
        <w:numPr>
          <w:ilvl w:val="0"/>
          <w:numId w:val="5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Transit </w:t>
      </w:r>
      <w:r w:rsidR="00CE1C8F">
        <w:rPr>
          <w14:numForm w14:val="lining"/>
          <w14:numSpacing w14:val="proportional"/>
        </w:rPr>
        <w:t>S</w:t>
      </w:r>
      <w:r w:rsidRPr="00E5087D">
        <w:rPr>
          <w14:numForm w14:val="lining"/>
          <w14:numSpacing w14:val="proportional"/>
        </w:rPr>
        <w:t>ystems operates bus services in Queensland, Western Australia, New South Wales, South Australia, Victoria, Northern Territory as well as locations overseas and is reportedly Australia’s largest operator of zero-emissions bus and coach assets.</w:t>
      </w:r>
      <w:r w:rsidRPr="00E5087D">
        <w:rPr>
          <w:rStyle w:val="EndnoteReference"/>
          <w14:numForm w14:val="lining"/>
          <w14:numSpacing w14:val="proportional"/>
        </w:rPr>
        <w:endnoteReference w:id="41"/>
      </w:r>
    </w:p>
    <w:p w14:paraId="03716A1F" w14:textId="5E44707D" w:rsidR="005F6D5E" w:rsidRPr="00E5087D" w:rsidRDefault="005F6D5E" w:rsidP="00F25595">
      <w:pPr>
        <w:pStyle w:val="ListParagraph"/>
        <w:numPr>
          <w:ilvl w:val="0"/>
          <w:numId w:val="5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Other large public transport operators, including Veolia Transdev and Brisbane Transport are also extending their </w:t>
      </w:r>
      <w:r w:rsidR="00C27AFC">
        <w:rPr>
          <w:rFonts w:cs="Arial"/>
          <w14:numForm w14:val="lining"/>
          <w14:numSpacing w14:val="proportional"/>
        </w:rPr>
        <w:t>EV</w:t>
      </w:r>
      <w:r w:rsidRPr="00E5087D">
        <w:rPr>
          <w14:numForm w14:val="lining"/>
          <w14:numSpacing w14:val="proportional"/>
        </w:rPr>
        <w:t xml:space="preserve"> fleet.</w:t>
      </w:r>
      <w:r w:rsidRPr="00E5087D">
        <w:rPr>
          <w:rStyle w:val="EndnoteReference"/>
          <w14:numForm w14:val="lining"/>
          <w14:numSpacing w14:val="proportional"/>
        </w:rPr>
        <w:endnoteReference w:id="42"/>
      </w:r>
    </w:p>
    <w:p w14:paraId="3100C862" w14:textId="24FA3BF6" w:rsidR="005F6D5E" w:rsidRPr="00E5087D" w:rsidRDefault="005F6D5E" w:rsidP="00C8684C">
      <w:pPr>
        <w:spacing w:line="276" w:lineRule="auto"/>
        <w:rPr>
          <w14:numForm w14:val="lining"/>
          <w14:numSpacing w14:val="proportional"/>
        </w:rPr>
      </w:pPr>
      <w:r w:rsidRPr="00E5087D">
        <w:rPr>
          <w14:numForm w14:val="lining"/>
          <w14:numSpacing w14:val="proportional"/>
        </w:rPr>
        <w:t xml:space="preserve">This has implications primarily for the maintenance workforce, with firms needing to retrain existing mechanics and source new tradespeople to work on </w:t>
      </w:r>
      <w:r w:rsidR="00C27AFC">
        <w:rPr>
          <w:rFonts w:cs="Arial"/>
          <w14:numForm w14:val="lining"/>
          <w14:numSpacing w14:val="proportional"/>
        </w:rPr>
        <w:t>EV</w:t>
      </w:r>
      <w:r w:rsidRPr="00E5087D">
        <w:rPr>
          <w14:numForm w14:val="lining"/>
          <w14:numSpacing w14:val="proportional"/>
        </w:rPr>
        <w:t xml:space="preserve">s. </w:t>
      </w:r>
    </w:p>
    <w:p w14:paraId="06141605" w14:textId="77777777" w:rsidR="005F6D5E" w:rsidRPr="00E5087D" w:rsidRDefault="005F6D5E" w:rsidP="00C8684C">
      <w:pPr>
        <w:pStyle w:val="Heading4"/>
        <w:spacing w:before="240" w:after="120" w:line="240" w:lineRule="auto"/>
        <w:rPr>
          <w:color w:val="1192E8" w:themeColor="accent3"/>
          <w14:numForm w14:val="lining"/>
          <w14:numSpacing w14:val="proportional"/>
        </w:rPr>
      </w:pPr>
      <w:r w:rsidRPr="00E5087D">
        <w:rPr>
          <w:color w:val="1192E8" w:themeColor="accent3"/>
          <w14:numForm w14:val="lining"/>
          <w14:numSpacing w14:val="proportional"/>
        </w:rPr>
        <w:t>Electric vehicle sales and servicing</w:t>
      </w:r>
    </w:p>
    <w:p w14:paraId="4B9D7D0E" w14:textId="6BFB6ACC" w:rsidR="005F6D5E" w:rsidRPr="00E5087D" w:rsidRDefault="005F6D5E" w:rsidP="000C61DA">
      <w:pPr>
        <w:spacing w:after="120" w:line="276" w:lineRule="auto"/>
        <w:rPr>
          <w14:numForm w14:val="lining"/>
          <w14:numSpacing w14:val="proportional"/>
        </w:rPr>
      </w:pPr>
      <w:r w:rsidRPr="00E5087D">
        <w:rPr>
          <w14:numForm w14:val="lining"/>
          <w14:numSpacing w14:val="proportional"/>
        </w:rPr>
        <w:t xml:space="preserve">Battery electric vehicles </w:t>
      </w:r>
      <w:r w:rsidR="006C7704">
        <w:rPr>
          <w14:numForm w14:val="lining"/>
          <w14:numSpacing w14:val="proportional"/>
        </w:rPr>
        <w:t>(BEV)</w:t>
      </w:r>
      <w:r w:rsidRPr="00E5087D">
        <w:rPr>
          <w14:numForm w14:val="lining"/>
          <w14:numSpacing w14:val="proportional"/>
        </w:rPr>
        <w:t xml:space="preserve"> in Australia accounted for 8.8</w:t>
      </w:r>
      <w:r w:rsidR="00B17A48">
        <w:rPr>
          <w14:numForm w14:val="lining"/>
          <w14:numSpacing w14:val="proportional"/>
        </w:rPr>
        <w:t>%</w:t>
      </w:r>
      <w:r w:rsidRPr="00E5087D">
        <w:rPr>
          <w14:numForm w14:val="lining"/>
          <w14:numSpacing w14:val="proportional"/>
        </w:rPr>
        <w:t xml:space="preserve"> of sales in June 2023.</w:t>
      </w:r>
      <w:r w:rsidRPr="00E5087D">
        <w:rPr>
          <w:rStyle w:val="EndnoteReference"/>
          <w14:numForm w14:val="lining"/>
          <w14:numSpacing w14:val="proportional"/>
        </w:rPr>
        <w:endnoteReference w:id="43"/>
      </w:r>
      <w:r w:rsidRPr="00E5087D">
        <w:rPr>
          <w14:numForm w14:val="lining"/>
          <w14:numSpacing w14:val="proportional"/>
        </w:rPr>
        <w:t xml:space="preserve"> Tesla and BYD remain the dominant brands although this could shift as traditional automakers such as Toyota, Volkswagen, Volvo, Subaru, Peugeot and Renault </w:t>
      </w:r>
      <w:r w:rsidR="00DF4E0C">
        <w:rPr>
          <w14:numForm w14:val="lining"/>
          <w14:numSpacing w14:val="proportional"/>
        </w:rPr>
        <w:t xml:space="preserve">are </w:t>
      </w:r>
      <w:r w:rsidRPr="00E5087D">
        <w:rPr>
          <w14:numForm w14:val="lining"/>
          <w14:numSpacing w14:val="proportional"/>
        </w:rPr>
        <w:t xml:space="preserve">all releasing EV models on to the Australian market. As relatively new vehicles, most EV servicing occurs through dealers aligned with the automakers. As </w:t>
      </w:r>
      <w:r w:rsidR="006C66CE">
        <w:rPr>
          <w:rFonts w:cs="Arial"/>
          <w14:numForm w14:val="lining"/>
          <w14:numSpacing w14:val="proportional"/>
        </w:rPr>
        <w:t>EV</w:t>
      </w:r>
      <w:r w:rsidRPr="00E5087D">
        <w:rPr>
          <w14:numForm w14:val="lining"/>
          <w14:numSpacing w14:val="proportional"/>
        </w:rPr>
        <w:t>s become more widespread, overall demand for vehicle servicing may decline somewhat.</w:t>
      </w:r>
      <w:r w:rsidRPr="00E5087D">
        <w:rPr>
          <w:rStyle w:val="EndnoteReference"/>
          <w14:numForm w14:val="lining"/>
          <w14:numSpacing w14:val="proportional"/>
        </w:rPr>
        <w:endnoteReference w:id="44"/>
      </w:r>
    </w:p>
    <w:p w14:paraId="73D3679C" w14:textId="1917311B" w:rsidR="005F6D5E" w:rsidRPr="00E5087D" w:rsidRDefault="005F6D5E" w:rsidP="00C8684C">
      <w:pPr>
        <w:spacing w:line="276" w:lineRule="auto"/>
        <w:rPr>
          <w14:numForm w14:val="lining"/>
          <w14:numSpacing w14:val="proportional"/>
        </w:rPr>
      </w:pPr>
      <w:r w:rsidRPr="00E5087D">
        <w:rPr>
          <w14:numForm w14:val="lining"/>
          <w14:numSpacing w14:val="proportional"/>
        </w:rPr>
        <w:t xml:space="preserve">Rail and road-freight businesses will also be considering how they can reduce their fleet emissions. Airlines are also involved in efforts to reduce emissions, through supporting the development of more fuel efficient aircraft as well as the development of </w:t>
      </w:r>
      <w:r w:rsidR="00EB00AE">
        <w:rPr>
          <w14:numForm w14:val="lining"/>
          <w14:numSpacing w14:val="proportional"/>
        </w:rPr>
        <w:t>S</w:t>
      </w:r>
      <w:r w:rsidRPr="00E5087D">
        <w:rPr>
          <w14:numForm w14:val="lining"/>
          <w14:numSpacing w14:val="proportional"/>
        </w:rPr>
        <w:t xml:space="preserve">ustainable </w:t>
      </w:r>
      <w:r w:rsidR="00EB00AE">
        <w:rPr>
          <w14:numForm w14:val="lining"/>
          <w14:numSpacing w14:val="proportional"/>
        </w:rPr>
        <w:t>A</w:t>
      </w:r>
      <w:r w:rsidRPr="00E5087D">
        <w:rPr>
          <w14:numForm w14:val="lining"/>
          <w14:numSpacing w14:val="proportional"/>
        </w:rPr>
        <w:t xml:space="preserve">viation </w:t>
      </w:r>
      <w:r w:rsidR="00EB00AE">
        <w:rPr>
          <w14:numForm w14:val="lining"/>
          <w14:numSpacing w14:val="proportional"/>
        </w:rPr>
        <w:t>F</w:t>
      </w:r>
      <w:r w:rsidRPr="00E5087D">
        <w:rPr>
          <w14:numForm w14:val="lining"/>
          <w14:numSpacing w14:val="proportional"/>
        </w:rPr>
        <w:t xml:space="preserve">uel </w:t>
      </w:r>
      <w:r w:rsidR="00EB00AE">
        <w:rPr>
          <w14:numForm w14:val="lining"/>
          <w14:numSpacing w14:val="proportional"/>
        </w:rPr>
        <w:t>(SAF)</w:t>
      </w:r>
      <w:r w:rsidRPr="00E5087D">
        <w:rPr>
          <w14:numForm w14:val="lining"/>
          <w14:numSpacing w14:val="proportional"/>
        </w:rPr>
        <w:t xml:space="preserve"> – this is discussed further in ‘transitioning’ below. </w:t>
      </w:r>
    </w:p>
    <w:p w14:paraId="53376823" w14:textId="77777777" w:rsidR="00FF2E5F" w:rsidRPr="00E5087D" w:rsidRDefault="00FF2E5F">
      <w:pPr>
        <w:rPr>
          <w:rFonts w:eastAsiaTheme="majorEastAsia" w:cstheme="majorBidi"/>
          <w:b/>
          <w:sz w:val="56"/>
          <w:szCs w:val="26"/>
        </w:rPr>
      </w:pPr>
      <w:r w:rsidRPr="00E5087D">
        <w:br w:type="page"/>
      </w:r>
    </w:p>
    <w:p w14:paraId="103AD099" w14:textId="066E5ECC" w:rsidR="005F6D5E" w:rsidRPr="00E5087D" w:rsidRDefault="005F6D5E" w:rsidP="00FF2E5F">
      <w:pPr>
        <w:pStyle w:val="Heading3"/>
      </w:pPr>
      <w:r w:rsidRPr="00E5087D">
        <w:lastRenderedPageBreak/>
        <w:t>Clean energy enabling</w:t>
      </w:r>
    </w:p>
    <w:p w14:paraId="3B613A0D" w14:textId="77777777" w:rsidR="005F6D5E" w:rsidRPr="00E5087D" w:rsidRDefault="005F6D5E" w:rsidP="00FF2E5F">
      <w:pPr>
        <w:pStyle w:val="Heading4"/>
        <w:spacing w:before="240" w:after="120"/>
        <w:rPr>
          <w:color w:val="1192E8" w:themeColor="accent3"/>
        </w:rPr>
      </w:pPr>
      <w:r w:rsidRPr="00E5087D">
        <w:rPr>
          <w:color w:val="1192E8" w:themeColor="accent3"/>
        </w:rPr>
        <w:t>Engineering, procurement and construction</w:t>
      </w:r>
    </w:p>
    <w:p w14:paraId="1BFCCE9B" w14:textId="489A70E7" w:rsidR="005F6D5E" w:rsidRPr="00E5087D" w:rsidRDefault="005F6D5E" w:rsidP="00C8684C">
      <w:pPr>
        <w:spacing w:line="276" w:lineRule="auto"/>
        <w:rPr>
          <w14:numForm w14:val="lining"/>
          <w14:numSpacing w14:val="proportional"/>
        </w:rPr>
      </w:pPr>
      <w:r w:rsidRPr="00E5087D">
        <w:rPr>
          <w14:numForm w14:val="lining"/>
          <w14:numSpacing w14:val="proportional"/>
        </w:rPr>
        <w:t>Engineering, procurement and construction is probably the most crucial segment after the two clean energy supply segments. There are a number of firms that are specialising in the construction of utility solar, onshore and offshore wind, and pumped hydro storage. The firms in Figure 3</w:t>
      </w:r>
      <w:r w:rsidR="0061765F">
        <w:rPr>
          <w14:numForm w14:val="lining"/>
          <w14:numSpacing w14:val="proportional"/>
        </w:rPr>
        <w:t>.</w:t>
      </w:r>
      <w:r w:rsidR="00437A3D">
        <w:rPr>
          <w14:numForm w14:val="lining"/>
          <w14:numSpacing w14:val="proportional"/>
        </w:rPr>
        <w:t>2</w:t>
      </w:r>
      <w:r w:rsidR="00071CBD">
        <w:rPr>
          <w14:numForm w14:val="lining"/>
          <w14:numSpacing w14:val="proportional"/>
        </w:rPr>
        <w:t>6</w:t>
      </w:r>
      <w:r w:rsidRPr="00E5087D">
        <w:rPr>
          <w14:numForm w14:val="lining"/>
          <w14:numSpacing w14:val="proportional"/>
        </w:rPr>
        <w:t xml:space="preserve"> have been identified through various sources.</w:t>
      </w:r>
    </w:p>
    <w:p w14:paraId="1C89813A" w14:textId="2B851EEC" w:rsidR="005F6D5E" w:rsidRPr="00E5087D" w:rsidRDefault="005F6D5E" w:rsidP="00342F5A">
      <w:pPr>
        <w:pBdr>
          <w:top w:val="single" w:sz="4" w:space="6" w:color="BFBFBF" w:themeColor="background1" w:themeShade="BF"/>
        </w:pBdr>
        <w:spacing w:after="120" w:line="240" w:lineRule="auto"/>
        <w:rPr>
          <w:b/>
          <w:bCs/>
        </w:rPr>
      </w:pPr>
      <w:r w:rsidRPr="00E5087D">
        <w:rPr>
          <w:b/>
          <w:bCs/>
        </w:rPr>
        <w:t>Figure 3</w:t>
      </w:r>
      <w:r w:rsidR="0061765F">
        <w:rPr>
          <w:b/>
          <w:bCs/>
        </w:rPr>
        <w:t>.</w:t>
      </w:r>
      <w:r w:rsidR="00437A3D">
        <w:rPr>
          <w:b/>
          <w:bCs/>
        </w:rPr>
        <w:t>2</w:t>
      </w:r>
      <w:r w:rsidR="00071CBD">
        <w:rPr>
          <w:b/>
          <w:bCs/>
        </w:rPr>
        <w:t>6</w:t>
      </w:r>
      <w:r w:rsidR="009E6F85" w:rsidRPr="00E5087D">
        <w:rPr>
          <w:b/>
          <w:bCs/>
        </w:rPr>
        <w:t>.</w:t>
      </w:r>
      <w:r w:rsidRPr="00E5087D">
        <w:rPr>
          <w:b/>
          <w:bCs/>
        </w:rPr>
        <w:t xml:space="preserve"> Major firms in renewable energy engineering, procurement and construction projects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F6D5E" w:rsidRPr="00E5087D" w14:paraId="54E5E368" w14:textId="77777777">
        <w:tc>
          <w:tcPr>
            <w:tcW w:w="3005" w:type="dxa"/>
            <w:shd w:val="clear" w:color="auto" w:fill="78821A" w:themeFill="background2" w:themeFillShade="80"/>
          </w:tcPr>
          <w:p w14:paraId="622F5939" w14:textId="77777777" w:rsidR="005F6D5E" w:rsidRPr="00E5087D" w:rsidRDefault="005F6D5E">
            <w:pPr>
              <w:rPr>
                <w:b/>
                <w:color w:val="FFFFFF" w:themeColor="background1"/>
              </w:rPr>
            </w:pPr>
            <w:r w:rsidRPr="00E5087D">
              <w:rPr>
                <w:b/>
                <w:color w:val="FFFFFF" w:themeColor="background1"/>
              </w:rPr>
              <w:t>Utility solar</w:t>
            </w:r>
          </w:p>
        </w:tc>
        <w:tc>
          <w:tcPr>
            <w:tcW w:w="3005" w:type="dxa"/>
            <w:shd w:val="clear" w:color="auto" w:fill="9F040C" w:themeFill="accent5" w:themeFillShade="80"/>
          </w:tcPr>
          <w:p w14:paraId="4D7EC0AA" w14:textId="77777777" w:rsidR="005F6D5E" w:rsidRPr="00E5087D" w:rsidRDefault="005F6D5E">
            <w:pPr>
              <w:rPr>
                <w:b/>
                <w:color w:val="FFFFFF" w:themeColor="background1"/>
              </w:rPr>
            </w:pPr>
            <w:r w:rsidRPr="00E5087D">
              <w:rPr>
                <w:b/>
                <w:color w:val="FFFFFF" w:themeColor="background1"/>
              </w:rPr>
              <w:t>Wind</w:t>
            </w:r>
          </w:p>
        </w:tc>
        <w:tc>
          <w:tcPr>
            <w:tcW w:w="3006" w:type="dxa"/>
            <w:shd w:val="clear" w:color="auto" w:fill="341462" w:themeFill="accent1" w:themeFillShade="80"/>
          </w:tcPr>
          <w:p w14:paraId="12B21540" w14:textId="52834DDB" w:rsidR="005F6D5E" w:rsidRPr="00E5087D" w:rsidRDefault="009F4905">
            <w:pPr>
              <w:rPr>
                <w:b/>
                <w:color w:val="FFFFFF" w:themeColor="background1"/>
              </w:rPr>
            </w:pPr>
            <w:r>
              <w:rPr>
                <w:b/>
                <w:color w:val="FFFFFF" w:themeColor="background1"/>
              </w:rPr>
              <w:t>S</w:t>
            </w:r>
            <w:r w:rsidR="005F6D5E" w:rsidRPr="00E5087D">
              <w:rPr>
                <w:b/>
                <w:color w:val="FFFFFF" w:themeColor="background1"/>
              </w:rPr>
              <w:t>torage</w:t>
            </w:r>
          </w:p>
        </w:tc>
      </w:tr>
      <w:tr w:rsidR="005F6D5E" w:rsidRPr="00E5087D" w14:paraId="135B016B" w14:textId="77777777" w:rsidTr="009F4905">
        <w:trPr>
          <w:trHeight w:val="1692"/>
        </w:trPr>
        <w:tc>
          <w:tcPr>
            <w:tcW w:w="3005" w:type="dxa"/>
            <w:shd w:val="clear" w:color="auto" w:fill="F5F8DD" w:themeFill="background2" w:themeFillTint="33"/>
          </w:tcPr>
          <w:p w14:paraId="4EC15957" w14:textId="1C334D32" w:rsidR="00352592" w:rsidRPr="00352592" w:rsidRDefault="00352592" w:rsidP="00352592">
            <w:pPr>
              <w:spacing w:before="240" w:after="240"/>
              <w:rPr>
                <w:sz w:val="20"/>
                <w:szCs w:val="20"/>
              </w:rPr>
            </w:pPr>
            <w:r w:rsidRPr="00352592">
              <w:rPr>
                <w:sz w:val="20"/>
                <w:szCs w:val="20"/>
              </w:rPr>
              <w:t>Gransolar</w:t>
            </w:r>
          </w:p>
          <w:p w14:paraId="64F6B465" w14:textId="42CDDA2D" w:rsidR="00352592" w:rsidRDefault="00352592" w:rsidP="00352592">
            <w:pPr>
              <w:spacing w:before="240" w:after="240"/>
              <w:rPr>
                <w:sz w:val="20"/>
                <w:szCs w:val="20"/>
              </w:rPr>
            </w:pPr>
            <w:r>
              <w:rPr>
                <w:sz w:val="20"/>
                <w:szCs w:val="20"/>
              </w:rPr>
              <w:t>Sterling and Wilson</w:t>
            </w:r>
          </w:p>
          <w:p w14:paraId="00CABDF2" w14:textId="3522A91C" w:rsidR="005F6D5E" w:rsidRPr="00E5087D" w:rsidRDefault="00352592" w:rsidP="009F4905">
            <w:pPr>
              <w:spacing w:before="240" w:after="240"/>
            </w:pPr>
            <w:r>
              <w:rPr>
                <w:sz w:val="20"/>
                <w:szCs w:val="20"/>
              </w:rPr>
              <w:t>PCL</w:t>
            </w:r>
          </w:p>
        </w:tc>
        <w:tc>
          <w:tcPr>
            <w:tcW w:w="3005" w:type="dxa"/>
            <w:shd w:val="clear" w:color="auto" w:fill="FEDBDD" w:themeFill="accent5" w:themeFillTint="33"/>
          </w:tcPr>
          <w:p w14:paraId="38CC8E4E" w14:textId="1ADFD857" w:rsidR="005F6D5E" w:rsidRPr="00E5087D" w:rsidRDefault="009F4905" w:rsidP="009F4905">
            <w:pPr>
              <w:spacing w:before="240" w:after="240"/>
              <w:rPr>
                <w:sz w:val="20"/>
                <w:szCs w:val="20"/>
              </w:rPr>
            </w:pPr>
            <w:r>
              <w:rPr>
                <w:sz w:val="20"/>
                <w:szCs w:val="20"/>
              </w:rPr>
              <w:t>Vestas</w:t>
            </w:r>
          </w:p>
          <w:p w14:paraId="6269A721" w14:textId="65E64046" w:rsidR="009F4905" w:rsidRDefault="009F4905" w:rsidP="009F4905">
            <w:pPr>
              <w:spacing w:before="240" w:after="240"/>
              <w:rPr>
                <w:sz w:val="20"/>
                <w:szCs w:val="20"/>
              </w:rPr>
            </w:pPr>
            <w:r>
              <w:rPr>
                <w:sz w:val="20"/>
                <w:szCs w:val="20"/>
              </w:rPr>
              <w:t>Goldwind</w:t>
            </w:r>
          </w:p>
          <w:p w14:paraId="1A7C2054" w14:textId="2C72C48C" w:rsidR="005F6D5E" w:rsidRPr="009F4905" w:rsidRDefault="009F4905" w:rsidP="009F4905">
            <w:pPr>
              <w:spacing w:before="240" w:after="240"/>
              <w:rPr>
                <w:sz w:val="20"/>
                <w:szCs w:val="20"/>
              </w:rPr>
            </w:pPr>
            <w:r>
              <w:rPr>
                <w:sz w:val="20"/>
                <w:szCs w:val="20"/>
              </w:rPr>
              <w:t>Acciona</w:t>
            </w:r>
          </w:p>
        </w:tc>
        <w:tc>
          <w:tcPr>
            <w:tcW w:w="3006" w:type="dxa"/>
            <w:shd w:val="clear" w:color="auto" w:fill="E0D1F5" w:themeFill="accent1" w:themeFillTint="33"/>
          </w:tcPr>
          <w:p w14:paraId="62B563AA" w14:textId="47EF0CB0" w:rsidR="009F4905" w:rsidRPr="009F4905" w:rsidRDefault="009F4905" w:rsidP="009F4905">
            <w:pPr>
              <w:spacing w:before="240" w:after="240"/>
              <w:rPr>
                <w:sz w:val="20"/>
                <w:szCs w:val="20"/>
              </w:rPr>
            </w:pPr>
            <w:r w:rsidRPr="009F4905">
              <w:rPr>
                <w:sz w:val="20"/>
                <w:szCs w:val="20"/>
              </w:rPr>
              <w:t>FutureGeneration</w:t>
            </w:r>
          </w:p>
          <w:p w14:paraId="13F2B128" w14:textId="4E394761" w:rsidR="009F4905" w:rsidRPr="009F4905" w:rsidRDefault="009F4905" w:rsidP="009F4905">
            <w:pPr>
              <w:spacing w:before="240" w:after="240"/>
              <w:rPr>
                <w:sz w:val="20"/>
                <w:szCs w:val="20"/>
              </w:rPr>
            </w:pPr>
            <w:r w:rsidRPr="009F4905">
              <w:rPr>
                <w:sz w:val="20"/>
                <w:szCs w:val="20"/>
              </w:rPr>
              <w:t>Consolidated Power Projects</w:t>
            </w:r>
          </w:p>
          <w:p w14:paraId="49E5E3A5" w14:textId="3509A50E" w:rsidR="005F6D5E" w:rsidRPr="00E5087D" w:rsidRDefault="009F4905" w:rsidP="009F4905">
            <w:pPr>
              <w:spacing w:before="240" w:after="240"/>
            </w:pPr>
            <w:r w:rsidRPr="009F4905">
              <w:rPr>
                <w:sz w:val="20"/>
                <w:szCs w:val="20"/>
              </w:rPr>
              <w:t>UGL</w:t>
            </w:r>
          </w:p>
        </w:tc>
      </w:tr>
    </w:tbl>
    <w:p w14:paraId="2F449C8D" w14:textId="77777777" w:rsidR="005F6D5E" w:rsidRPr="00E5087D" w:rsidRDefault="005F6D5E" w:rsidP="00AF4BE7">
      <w:pPr>
        <w:spacing w:line="276" w:lineRule="auto"/>
        <w:rPr>
          <w:sz w:val="18"/>
          <w:szCs w:val="18"/>
        </w:rPr>
      </w:pPr>
    </w:p>
    <w:p w14:paraId="5A1BF792" w14:textId="43DA7844" w:rsidR="005F6D5E" w:rsidRPr="00E5087D" w:rsidRDefault="005F6D5E" w:rsidP="00AF4BE7">
      <w:pPr>
        <w:spacing w:line="276" w:lineRule="auto"/>
        <w:rPr>
          <w14:numForm w14:val="lining"/>
          <w14:numSpacing w14:val="proportional"/>
        </w:rPr>
      </w:pPr>
      <w:r w:rsidRPr="00E5087D">
        <w:rPr>
          <w14:numForm w14:val="lining"/>
          <w14:numSpacing w14:val="proportional"/>
        </w:rPr>
        <w:t xml:space="preserve">For wind, Siemens (Germany), Vestas (Denmark) and GE (US) (along with </w:t>
      </w:r>
      <w:r w:rsidR="00B3697E">
        <w:rPr>
          <w14:numForm w14:val="lining"/>
          <w14:numSpacing w14:val="proportional"/>
        </w:rPr>
        <w:t>a</w:t>
      </w:r>
      <w:r w:rsidRPr="00E5087D">
        <w:rPr>
          <w14:numForm w14:val="lining"/>
          <w14:numSpacing w14:val="proportional"/>
        </w:rPr>
        <w:t xml:space="preserve"> few other firms) also play a significant role in the construction phase as the globally dominant firms manufacturing, installing and servicing wind turbine technology. This has implications for skills development (see </w:t>
      </w:r>
      <w:r w:rsidRPr="00EE68FD">
        <w:rPr>
          <w:b/>
          <w:bCs/>
          <w14:numForm w14:val="lining"/>
          <w14:numSpacing w14:val="proportional"/>
        </w:rPr>
        <w:t>Chapter 7</w:t>
      </w:r>
      <w:r w:rsidRPr="00E5087D">
        <w:rPr>
          <w14:numForm w14:val="lining"/>
          <w14:numSpacing w14:val="proportional"/>
        </w:rPr>
        <w:t>).</w:t>
      </w:r>
    </w:p>
    <w:p w14:paraId="66912501" w14:textId="77777777" w:rsidR="005F6D5E" w:rsidRPr="00E5087D" w:rsidRDefault="005F6D5E" w:rsidP="00FF2E5F">
      <w:pPr>
        <w:pStyle w:val="Heading4"/>
        <w:spacing w:before="240" w:after="120"/>
        <w:rPr>
          <w:color w:val="1192E8" w:themeColor="accent3"/>
        </w:rPr>
      </w:pPr>
      <w:r w:rsidRPr="00E5087D">
        <w:rPr>
          <w:color w:val="1192E8" w:themeColor="accent3"/>
        </w:rPr>
        <w:t>Education, training, research and technology</w:t>
      </w:r>
    </w:p>
    <w:p w14:paraId="69458235" w14:textId="77777777" w:rsidR="005F6D5E" w:rsidRPr="00E5087D" w:rsidRDefault="005F6D5E" w:rsidP="00AF4BE7">
      <w:pPr>
        <w:spacing w:after="120" w:line="276" w:lineRule="auto"/>
        <w:rPr>
          <w14:numForm w14:val="lining"/>
          <w14:numSpacing w14:val="proportional"/>
        </w:rPr>
      </w:pPr>
      <w:r w:rsidRPr="00E5087D">
        <w:rPr>
          <w14:numForm w14:val="lining"/>
          <w14:numSpacing w14:val="proportional"/>
        </w:rPr>
        <w:t xml:space="preserve">Many universities, TAFEs and other education and training providers are involved in the delivery of clean energy courses - these are more extensively covered in </w:t>
      </w:r>
      <w:r w:rsidRPr="00EE68FD">
        <w:rPr>
          <w:b/>
          <w:bCs/>
          <w14:numForm w14:val="lining"/>
          <w14:numSpacing w14:val="proportional"/>
        </w:rPr>
        <w:t>Chapter 4</w:t>
      </w:r>
      <w:r w:rsidRPr="00E5087D">
        <w:rPr>
          <w14:numForm w14:val="lining"/>
          <w14:numSpacing w14:val="proportional"/>
        </w:rPr>
        <w:t xml:space="preserve">. </w:t>
      </w:r>
    </w:p>
    <w:p w14:paraId="2AA12C35" w14:textId="1E2F6A22" w:rsidR="005F6D5E" w:rsidRPr="00E5087D" w:rsidRDefault="005F6D5E" w:rsidP="00AF4BE7">
      <w:pPr>
        <w:spacing w:line="276" w:lineRule="auto"/>
        <w:rPr>
          <w14:numForm w14:val="lining"/>
          <w14:numSpacing w14:val="proportional"/>
        </w:rPr>
      </w:pPr>
      <w:r w:rsidRPr="00E5087D">
        <w:rPr>
          <w14:numForm w14:val="lining"/>
          <w14:numSpacing w14:val="proportional"/>
        </w:rPr>
        <w:t xml:space="preserve">A large focus of the Commonwealth Science and Industry Research </w:t>
      </w:r>
      <w:r w:rsidR="00AE1CB4" w:rsidRPr="00E5087D">
        <w:rPr>
          <w14:numForm w14:val="lining"/>
          <w14:numSpacing w14:val="proportional"/>
        </w:rPr>
        <w:t>Organisation</w:t>
      </w:r>
      <w:r w:rsidRPr="00E5087D">
        <w:rPr>
          <w14:numForm w14:val="lining"/>
          <w14:numSpacing w14:val="proportional"/>
        </w:rPr>
        <w:t xml:space="preserve"> (CSIRO) is directed toward research on decarbonisation, including carbon removal technologies, low emissions technologies, renewable and energy storage technologies, and improving energy efficiency. </w:t>
      </w:r>
    </w:p>
    <w:p w14:paraId="427C0283" w14:textId="77777777" w:rsidR="00AF4BE7" w:rsidRPr="00E5087D" w:rsidRDefault="00AF4BE7">
      <w:pPr>
        <w:rPr>
          <w:rFonts w:cs="Arial"/>
          <w:b/>
          <w:bCs/>
          <w:color w:val="1192E8" w:themeColor="accent3"/>
          <w:sz w:val="28"/>
        </w:rPr>
      </w:pPr>
      <w:r w:rsidRPr="00E5087D">
        <w:rPr>
          <w:color w:val="1192E8" w:themeColor="accent3"/>
        </w:rPr>
        <w:br w:type="page"/>
      </w:r>
    </w:p>
    <w:p w14:paraId="0429B7E3" w14:textId="406D7706" w:rsidR="005F6D5E" w:rsidRPr="00E5087D" w:rsidRDefault="005F6D5E" w:rsidP="00AE1CB4">
      <w:pPr>
        <w:pStyle w:val="Heading4"/>
        <w:spacing w:before="240" w:after="120"/>
        <w:rPr>
          <w:color w:val="1192E8" w:themeColor="accent3"/>
        </w:rPr>
      </w:pPr>
      <w:r w:rsidRPr="00E5087D">
        <w:rPr>
          <w:color w:val="1192E8" w:themeColor="accent3"/>
        </w:rPr>
        <w:lastRenderedPageBreak/>
        <w:t>Finance, legal and business</w:t>
      </w:r>
    </w:p>
    <w:p w14:paraId="4F802FA5" w14:textId="3886546E" w:rsidR="005F6D5E" w:rsidRPr="00E5087D" w:rsidRDefault="005F6D5E" w:rsidP="00AF4BE7">
      <w:pPr>
        <w:spacing w:after="120" w:line="276" w:lineRule="auto"/>
        <w:rPr>
          <w14:numForm w14:val="lining"/>
          <w14:numSpacing w14:val="proportional"/>
        </w:rPr>
      </w:pPr>
      <w:r w:rsidRPr="00E5087D">
        <w:rPr>
          <w14:numForm w14:val="lining"/>
          <w14:numSpacing w14:val="proportional"/>
        </w:rPr>
        <w:t>Australia’s banking and superannuation sectors</w:t>
      </w:r>
      <w:r w:rsidR="000674B1">
        <w:rPr>
          <w14:numForm w14:val="lining"/>
          <w14:numSpacing w14:val="proportional"/>
        </w:rPr>
        <w:t>,</w:t>
      </w:r>
      <w:r w:rsidRPr="00E5087D">
        <w:rPr>
          <w14:numForm w14:val="lining"/>
          <w14:numSpacing w14:val="proportional"/>
        </w:rPr>
        <w:t xml:space="preserve"> as large investors</w:t>
      </w:r>
      <w:r w:rsidR="000674B1">
        <w:rPr>
          <w14:numForm w14:val="lining"/>
          <w14:numSpacing w14:val="proportional"/>
        </w:rPr>
        <w:t>,</w:t>
      </w:r>
      <w:r w:rsidRPr="00E5087D">
        <w:rPr>
          <w14:numForm w14:val="lining"/>
          <w14:numSpacing w14:val="proportional"/>
        </w:rPr>
        <w:t xml:space="preserve"> have significant influence over our path to net zero. Already by 2019, more than half of Australia’s twenty largest banks had committed to net zero by 2050 and a quarter had established emissions targets to cover their operations and investment activities.</w:t>
      </w:r>
      <w:r w:rsidRPr="00E5087D">
        <w:rPr>
          <w:rStyle w:val="EndnoteReference"/>
          <w14:numForm w14:val="lining"/>
          <w14:numSpacing w14:val="proportional"/>
        </w:rPr>
        <w:endnoteReference w:id="45"/>
      </w:r>
      <w:r w:rsidRPr="00E5087D">
        <w:rPr>
          <w14:numForm w14:val="lining"/>
          <w14:numSpacing w14:val="proportional"/>
        </w:rPr>
        <w:t xml:space="preserve"> Superannuation funds were less likely to have established targets for net zero though three (Cbus, HESTA and UniSuper) had committed to reaching net zero across all activities.</w:t>
      </w:r>
      <w:r w:rsidRPr="00E5087D">
        <w:rPr>
          <w:rStyle w:val="EndnoteReference"/>
          <w14:numForm w14:val="lining"/>
          <w14:numSpacing w14:val="proportional"/>
        </w:rPr>
        <w:endnoteReference w:id="46"/>
      </w:r>
    </w:p>
    <w:p w14:paraId="03B09EEB" w14:textId="377CF33B" w:rsidR="005F6D5E" w:rsidRPr="00E5087D" w:rsidRDefault="005F6D5E" w:rsidP="00AF4BE7">
      <w:pPr>
        <w:spacing w:after="120" w:line="276" w:lineRule="auto"/>
        <w:rPr>
          <w14:numForm w14:val="lining"/>
          <w14:numSpacing w14:val="proportional"/>
        </w:rPr>
      </w:pPr>
      <w:r w:rsidRPr="00E5087D">
        <w:rPr>
          <w14:numForm w14:val="lining"/>
          <w14:numSpacing w14:val="proportional"/>
        </w:rPr>
        <w:t xml:space="preserve">Finance </w:t>
      </w:r>
      <w:r w:rsidR="00AE1CB4" w:rsidRPr="00E5087D">
        <w:rPr>
          <w14:numForm w14:val="lining"/>
          <w14:numSpacing w14:val="proportional"/>
        </w:rPr>
        <w:t>sectors</w:t>
      </w:r>
      <w:r w:rsidRPr="00E5087D">
        <w:rPr>
          <w14:numForm w14:val="lining"/>
          <w14:numSpacing w14:val="proportional"/>
        </w:rPr>
        <w:t xml:space="preserve"> require investment analysts and other finance specialists with expertise in emissions accounting to monitor their progress against net zero commitments and assess climate change risk. </w:t>
      </w:r>
    </w:p>
    <w:p w14:paraId="29CD45E9" w14:textId="77777777" w:rsidR="005F6D5E" w:rsidRPr="00E5087D" w:rsidRDefault="005F6D5E" w:rsidP="00AF4BE7">
      <w:pPr>
        <w:spacing w:after="120" w:line="276" w:lineRule="auto"/>
      </w:pPr>
      <w:r w:rsidRPr="00E5087D">
        <w:rPr>
          <w14:numForm w14:val="lining"/>
          <w14:numSpacing w14:val="proportional"/>
        </w:rPr>
        <w:t>Similarly, legal services firms have opportunities to specialise in assisting clients involved in clean energy projects as well as complying with emissions obligations, including under the Safeguard mechanism.</w:t>
      </w:r>
    </w:p>
    <w:p w14:paraId="6777D837" w14:textId="2D85DA36" w:rsidR="005F6D5E" w:rsidRPr="00E5087D" w:rsidRDefault="005F6D5E" w:rsidP="00AE1CB4">
      <w:pPr>
        <w:pStyle w:val="Heading4"/>
        <w:spacing w:before="240" w:after="120"/>
        <w:rPr>
          <w:color w:val="1192E8" w:themeColor="accent3"/>
        </w:rPr>
      </w:pPr>
      <w:r w:rsidRPr="00E5087D">
        <w:rPr>
          <w:color w:val="1192E8" w:themeColor="accent3"/>
        </w:rPr>
        <w:t xml:space="preserve">Clean energy </w:t>
      </w:r>
      <w:r w:rsidR="000E391A">
        <w:rPr>
          <w:color w:val="1192E8" w:themeColor="accent3"/>
        </w:rPr>
        <w:t xml:space="preserve">policy and </w:t>
      </w:r>
      <w:r w:rsidRPr="00E5087D">
        <w:rPr>
          <w:color w:val="1192E8" w:themeColor="accent3"/>
        </w:rPr>
        <w:t>regulation</w:t>
      </w:r>
    </w:p>
    <w:p w14:paraId="7BAE9A3B" w14:textId="77777777" w:rsidR="005F6D5E" w:rsidRPr="00E5087D" w:rsidRDefault="005F6D5E" w:rsidP="00AF4BE7">
      <w:pPr>
        <w:spacing w:after="120" w:line="276" w:lineRule="auto"/>
        <w:rPr>
          <w14:numForm w14:val="lining"/>
          <w14:numSpacing w14:val="proportional"/>
        </w:rPr>
      </w:pPr>
      <w:r w:rsidRPr="00E5087D">
        <w:rPr>
          <w14:numForm w14:val="lining"/>
          <w14:numSpacing w14:val="proportional"/>
        </w:rPr>
        <w:t>At the federal level there are a number of agencies with oversight of some aspects of clean energy policy and regulation:</w:t>
      </w:r>
    </w:p>
    <w:p w14:paraId="745FCAFB" w14:textId="6FE7A802"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 xml:space="preserve">Department of Climate Change, Energy, </w:t>
      </w:r>
      <w:r w:rsidR="6F82A301">
        <w:rPr>
          <w14:numForm w14:val="lining"/>
          <w14:numSpacing w14:val="proportional"/>
        </w:rPr>
        <w:t xml:space="preserve">the </w:t>
      </w:r>
      <w:r w:rsidRPr="00E5087D">
        <w:rPr>
          <w14:numForm w14:val="lining"/>
          <w14:numSpacing w14:val="proportional"/>
        </w:rPr>
        <w:t xml:space="preserve">Environment and Water </w:t>
      </w:r>
      <w:r w:rsidR="1376AECF" w:rsidRPr="00E5087D">
        <w:rPr>
          <w14:numForm w14:val="lining"/>
          <w14:numSpacing w14:val="proportional"/>
        </w:rPr>
        <w:t xml:space="preserve">(DCCEEW) </w:t>
      </w:r>
      <w:r w:rsidRPr="00E5087D">
        <w:rPr>
          <w14:numForm w14:val="lining"/>
          <w14:numSpacing w14:val="proportional"/>
        </w:rPr>
        <w:t>– overall policy responsibility for Australia’s response to climate change and decarbonisation</w:t>
      </w:r>
      <w:r w:rsidR="24EBA880" w:rsidRPr="00E5087D">
        <w:rPr>
          <w14:numForm w14:val="lining"/>
          <w14:numSpacing w14:val="proportional"/>
        </w:rPr>
        <w:t>.</w:t>
      </w:r>
    </w:p>
    <w:p w14:paraId="19FB01A3" w14:textId="550F0C4D" w:rsidR="005F6D5E" w:rsidRPr="00E5087D" w:rsidRDefault="005F6D5E" w:rsidP="00F25595">
      <w:pPr>
        <w:pStyle w:val="ListParagraph"/>
        <w:numPr>
          <w:ilvl w:val="0"/>
          <w:numId w:val="50"/>
        </w:numPr>
        <w:spacing w:after="80" w:line="276" w:lineRule="auto"/>
        <w:ind w:left="714" w:hanging="357"/>
        <w:contextualSpacing w:val="0"/>
        <w:rPr>
          <w14:numForm w14:val="lining"/>
          <w14:numSpacing w14:val="proportional"/>
        </w:rPr>
      </w:pPr>
      <w:r w:rsidRPr="00E5087D">
        <w:rPr>
          <w14:numForm w14:val="lining"/>
          <w14:numSpacing w14:val="proportional"/>
        </w:rPr>
        <w:t xml:space="preserve">Australian Renewable Energy Agency </w:t>
      </w:r>
      <w:r w:rsidR="00BD094B">
        <w:rPr>
          <w14:numForm w14:val="lining"/>
          <w14:numSpacing w14:val="proportional"/>
        </w:rPr>
        <w:t>(ARENA)</w:t>
      </w:r>
      <w:r w:rsidRPr="00E5087D">
        <w:rPr>
          <w14:numForm w14:val="lining"/>
          <w14:numSpacing w14:val="proportional"/>
        </w:rPr>
        <w:t xml:space="preserve"> - improve the competitiveness of renewable energy technologies and increase the supply of renewable energy in Australia.</w:t>
      </w:r>
    </w:p>
    <w:p w14:paraId="4D7A86D5" w14:textId="23193ACD" w:rsidR="005F6D5E" w:rsidRPr="00E5087D" w:rsidRDefault="005F6D5E" w:rsidP="00F25595">
      <w:pPr>
        <w:pStyle w:val="ListParagraph"/>
        <w:numPr>
          <w:ilvl w:val="0"/>
          <w:numId w:val="50"/>
        </w:numPr>
        <w:spacing w:after="80" w:line="276" w:lineRule="auto"/>
        <w:ind w:left="714" w:hanging="357"/>
        <w:rPr>
          <w14:numForm w14:val="lining"/>
          <w14:numSpacing w14:val="proportional"/>
        </w:rPr>
      </w:pPr>
      <w:r w:rsidRPr="00E5087D">
        <w:rPr>
          <w14:numForm w14:val="lining"/>
          <w14:numSpacing w14:val="proportional"/>
        </w:rPr>
        <w:t>Climate Change Authority - an independent statutory body established to provide expert advice to the Australian Government on climate change mitigation initiatives</w:t>
      </w:r>
      <w:r w:rsidR="32807B24" w:rsidRPr="00E5087D">
        <w:rPr>
          <w14:numForm w14:val="lining"/>
          <w14:numSpacing w14:val="proportional"/>
        </w:rPr>
        <w:t>.</w:t>
      </w:r>
    </w:p>
    <w:p w14:paraId="70937131" w14:textId="2829DCC1"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 xml:space="preserve">Clean Energy Finance Corporation </w:t>
      </w:r>
      <w:r w:rsidR="278EB202" w:rsidRPr="00E5087D">
        <w:rPr>
          <w14:numForm w14:val="lining"/>
          <w14:numSpacing w14:val="proportional"/>
        </w:rPr>
        <w:t xml:space="preserve">(CEFC) </w:t>
      </w:r>
      <w:r w:rsidRPr="00E5087D">
        <w:rPr>
          <w14:numForm w14:val="lining"/>
          <w14:numSpacing w14:val="proportional"/>
        </w:rPr>
        <w:t>- mobilises capital investment in renewable energy, low-emission technology and energy efficiency projects in Australia</w:t>
      </w:r>
      <w:r w:rsidR="2AB553F9" w:rsidRPr="00E5087D">
        <w:rPr>
          <w14:numForm w14:val="lining"/>
          <w14:numSpacing w14:val="proportional"/>
        </w:rPr>
        <w:t>.</w:t>
      </w:r>
    </w:p>
    <w:p w14:paraId="636A6081" w14:textId="269CA775"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Clean Energy Regulator -</w:t>
      </w:r>
      <w:r w:rsidR="6EB04F8D" w:rsidRPr="00E5087D">
        <w:rPr>
          <w14:numForm w14:val="lining"/>
          <w14:numSpacing w14:val="proportional"/>
        </w:rPr>
        <w:t xml:space="preserve"> </w:t>
      </w:r>
      <w:r w:rsidRPr="00E5087D">
        <w:rPr>
          <w14:numForm w14:val="lining"/>
          <w14:numSpacing w14:val="proportional"/>
        </w:rPr>
        <w:t>administrative responsibilities for the National Greenhouse and Energy Reporting scheme, Emissions Reduction Fund, Australian National Registry of Emissions Units, Safeguard Mechanism and Renewable Energy Target.</w:t>
      </w:r>
    </w:p>
    <w:p w14:paraId="030530E0" w14:textId="7830BCB0" w:rsidR="005F6D5E" w:rsidRPr="00E5087D" w:rsidRDefault="005F6D5E" w:rsidP="00F25595">
      <w:pPr>
        <w:pStyle w:val="ListParagraph"/>
        <w:numPr>
          <w:ilvl w:val="0"/>
          <w:numId w:val="50"/>
        </w:numPr>
        <w:spacing w:after="80" w:line="276" w:lineRule="auto"/>
        <w:ind w:left="714" w:hanging="357"/>
        <w:rPr>
          <w:rFonts w:eastAsia="Arial" w:cs="Arial"/>
          <w14:numForm w14:val="lining"/>
          <w14:numSpacing w14:val="proportional"/>
        </w:rPr>
      </w:pPr>
      <w:r w:rsidRPr="00E5087D">
        <w:rPr>
          <w14:numForm w14:val="lining"/>
          <w14:numSpacing w14:val="proportional"/>
        </w:rPr>
        <w:t xml:space="preserve">Australian Energy Market Operator </w:t>
      </w:r>
      <w:r w:rsidR="674E0C6B" w:rsidRPr="00E5087D">
        <w:rPr>
          <w14:numForm w14:val="lining"/>
          <w14:numSpacing w14:val="proportional"/>
        </w:rPr>
        <w:t xml:space="preserve">(AEMO), </w:t>
      </w:r>
      <w:r w:rsidR="674E0C6B" w:rsidRPr="41B22448">
        <w:rPr>
          <w:rFonts w:eastAsia="Arial" w:cs="Arial"/>
        </w:rPr>
        <w:t xml:space="preserve">Australian Energy Regulator (AER), and Australian Energy Market Commission (AEMC) - </w:t>
      </w:r>
      <w:r w:rsidR="024205F6" w:rsidRPr="726A2EE5">
        <w:rPr>
          <w:rFonts w:eastAsia="Arial" w:cs="Arial"/>
        </w:rPr>
        <w:t xml:space="preserve">national </w:t>
      </w:r>
      <w:r w:rsidR="674E0C6B" w:rsidRPr="41B22448">
        <w:rPr>
          <w:rFonts w:eastAsia="Arial" w:cs="Arial"/>
        </w:rPr>
        <w:t>regulatory bodies responsible for energy markets and systems</w:t>
      </w:r>
      <w:r w:rsidRPr="41B22448">
        <w:rPr>
          <w:rFonts w:eastAsia="Arial" w:cs="Arial"/>
        </w:rPr>
        <w:t xml:space="preserve"> </w:t>
      </w:r>
      <w:r w:rsidR="245B94EC" w:rsidRPr="726A2EE5">
        <w:rPr>
          <w:rFonts w:eastAsia="Arial" w:cs="Arial"/>
        </w:rPr>
        <w:t>in</w:t>
      </w:r>
      <w:r w:rsidRPr="726A2EE5">
        <w:rPr>
          <w:rFonts w:eastAsia="Arial" w:cs="Arial"/>
        </w:rPr>
        <w:t xml:space="preserve"> </w:t>
      </w:r>
      <w:r w:rsidRPr="00E5087D">
        <w:rPr>
          <w14:numForm w14:val="lining"/>
          <w14:numSpacing w14:val="proportional"/>
        </w:rPr>
        <w:t>A</w:t>
      </w:r>
      <w:r w:rsidR="324B95D0" w:rsidRPr="00E5087D">
        <w:rPr>
          <w14:numForm w14:val="lining"/>
          <w14:numSpacing w14:val="proportional"/>
        </w:rPr>
        <w:t>ustralia</w:t>
      </w:r>
      <w:r w:rsidRPr="00E5087D">
        <w:rPr>
          <w14:numForm w14:val="lining"/>
          <w14:numSpacing w14:val="proportional"/>
        </w:rPr>
        <w:t>.</w:t>
      </w:r>
    </w:p>
    <w:p w14:paraId="7930A616" w14:textId="45D68B73" w:rsidR="005F6D5E" w:rsidRPr="00E5087D" w:rsidRDefault="005F6D5E" w:rsidP="00F25595">
      <w:pPr>
        <w:pStyle w:val="ListParagraph"/>
        <w:numPr>
          <w:ilvl w:val="0"/>
          <w:numId w:val="50"/>
        </w:numPr>
        <w:spacing w:after="80" w:line="276" w:lineRule="auto"/>
        <w:ind w:left="714" w:hanging="357"/>
      </w:pPr>
      <w:r w:rsidRPr="00E5087D">
        <w:rPr>
          <w14:numForm w14:val="lining"/>
          <w14:numSpacing w14:val="proportional"/>
        </w:rPr>
        <w:t xml:space="preserve">Net Zero </w:t>
      </w:r>
      <w:r w:rsidR="000E391A">
        <w:rPr>
          <w14:numForm w14:val="lining"/>
          <w14:numSpacing w14:val="proportional"/>
        </w:rPr>
        <w:t>Authority</w:t>
      </w:r>
      <w:r w:rsidRPr="00E5087D">
        <w:rPr>
          <w14:numForm w14:val="lining"/>
          <w14:numSpacing w14:val="proportional"/>
        </w:rPr>
        <w:t xml:space="preserve"> - responsible for promoting orderly and positive economic transformation as the world decarbonises, to ensure Australia, its regions and workers realise and share the benefits of the net zero economy</w:t>
      </w:r>
      <w:r w:rsidR="0FC84E55" w:rsidRPr="00E5087D">
        <w:rPr>
          <w14:numForm w14:val="lining"/>
          <w14:numSpacing w14:val="proportional"/>
        </w:rPr>
        <w:t>.</w:t>
      </w:r>
    </w:p>
    <w:p w14:paraId="5A609A58" w14:textId="77777777" w:rsidR="005F6D5E" w:rsidRPr="00E5087D" w:rsidRDefault="005F6D5E" w:rsidP="007564A9">
      <w:pPr>
        <w:spacing w:before="240" w:after="120" w:line="276" w:lineRule="auto"/>
        <w:rPr>
          <w14:numForm w14:val="lining"/>
          <w14:numSpacing w14:val="proportional"/>
        </w:rPr>
      </w:pPr>
      <w:r w:rsidRPr="00E5087D">
        <w:rPr>
          <w14:numForm w14:val="lining"/>
          <w14:numSpacing w14:val="proportional"/>
        </w:rPr>
        <w:t xml:space="preserve">Many other Australian Government departments also have dedicated Net Zero Units or other sections working on portfolio responsibilities with implications for clean energy, including the Department of Industry Science and Resources, the Department of Agriculture, Forestry and Fisheries, and the Department of Infrastructure, Transport, Regional Development, Communications and the Arts. </w:t>
      </w:r>
    </w:p>
    <w:p w14:paraId="0C2F200D" w14:textId="77777777" w:rsidR="00AF4BE7" w:rsidRPr="00E5087D" w:rsidRDefault="00AF4BE7" w:rsidP="007564A9">
      <w:pPr>
        <w:spacing w:line="276" w:lineRule="auto"/>
        <w:rPr>
          <w14:numForm w14:val="lining"/>
          <w14:numSpacing w14:val="proportional"/>
        </w:rPr>
      </w:pPr>
      <w:r w:rsidRPr="00E5087D">
        <w:rPr>
          <w14:numForm w14:val="lining"/>
          <w14:numSpacing w14:val="proportional"/>
        </w:rPr>
        <w:br w:type="page"/>
      </w:r>
    </w:p>
    <w:p w14:paraId="470E1895" w14:textId="6597D0B8" w:rsidR="005F6D5E" w:rsidRPr="00E5087D" w:rsidRDefault="005F6D5E" w:rsidP="007564A9">
      <w:pPr>
        <w:spacing w:after="120" w:line="276" w:lineRule="auto"/>
        <w:rPr>
          <w14:numForm w14:val="lining"/>
          <w14:numSpacing w14:val="proportional"/>
        </w:rPr>
      </w:pPr>
      <w:r w:rsidRPr="00E5087D">
        <w:rPr>
          <w14:numForm w14:val="lining"/>
          <w14:numSpacing w14:val="proportional"/>
        </w:rPr>
        <w:lastRenderedPageBreak/>
        <w:t xml:space="preserve">Within State and Territory governments, there are similar agencies and units involved in managing the transition to renewable electricity, sponsoring new technologies and industries such as hydrogen, and developing and implementing other policies to support net zero, such as vehicles and gas. </w:t>
      </w:r>
    </w:p>
    <w:p w14:paraId="02D1D437" w14:textId="77777777" w:rsidR="005F6D5E" w:rsidRPr="00E5087D" w:rsidRDefault="005F6D5E" w:rsidP="007564A9">
      <w:pPr>
        <w:spacing w:line="276" w:lineRule="auto"/>
      </w:pPr>
      <w:r w:rsidRPr="00E5087D">
        <w:t xml:space="preserve">Although not mapped as part of the clean energy workforce in </w:t>
      </w:r>
      <w:r w:rsidRPr="00EE68FD">
        <w:rPr>
          <w:b/>
          <w:bCs/>
        </w:rPr>
        <w:t>Chapter 2</w:t>
      </w:r>
      <w:r w:rsidRPr="00E5087D">
        <w:t xml:space="preserve">, workplace relations and safety regulators such as Safe Work Australia together with licensing bodies also have an important role to play in regulating the clean energy workforce. This is discussed further in </w:t>
      </w:r>
      <w:r w:rsidRPr="00102F0E">
        <w:rPr>
          <w:b/>
        </w:rPr>
        <w:t>Chapter 8</w:t>
      </w:r>
      <w:r w:rsidRPr="00E5087D">
        <w:t xml:space="preserve">. </w:t>
      </w:r>
    </w:p>
    <w:p w14:paraId="58422C82" w14:textId="77777777" w:rsidR="005F6D5E" w:rsidRPr="00E5087D" w:rsidRDefault="005F6D5E" w:rsidP="00AF4BE7">
      <w:pPr>
        <w:pStyle w:val="Heading3"/>
        <w:spacing w:before="480"/>
      </w:pPr>
      <w:r w:rsidRPr="00E5087D">
        <w:t>Clean energy supply chain</w:t>
      </w:r>
    </w:p>
    <w:p w14:paraId="7DB25063" w14:textId="77777777" w:rsidR="005F6D5E" w:rsidRPr="00E5087D" w:rsidRDefault="005F6D5E" w:rsidP="00AF4BE7">
      <w:pPr>
        <w:spacing w:line="276" w:lineRule="auto"/>
        <w:rPr>
          <w:rFonts w:asciiTheme="minorHAnsi" w:hAnsiTheme="minorHAnsi" w:cstheme="minorHAnsi"/>
          <w14:numForm w14:val="lining"/>
          <w14:numSpacing w14:val="proportional"/>
        </w:rPr>
      </w:pPr>
      <w:r w:rsidRPr="00E5087D">
        <w:t xml:space="preserve">At present, the workforce in the relevant industry groups directly relevant to the clean energy </w:t>
      </w:r>
      <w:r w:rsidRPr="00E5087D">
        <w:rPr>
          <w:rFonts w:asciiTheme="minorHAnsi" w:hAnsiTheme="minorHAnsi" w:cstheme="minorHAnsi"/>
          <w14:numForm w14:val="lining"/>
          <w14:numSpacing w14:val="proportional"/>
        </w:rPr>
        <w:t xml:space="preserve">supply chain are primarily in critical minerals extraction and processing, with some wind turbine components assembled and manufactured in Victoria. </w:t>
      </w:r>
    </w:p>
    <w:p w14:paraId="3CC2EC03" w14:textId="77777777" w:rsidR="005F6D5E" w:rsidRPr="00E5087D" w:rsidRDefault="005F6D5E" w:rsidP="00AF4BE7">
      <w:pPr>
        <w:pStyle w:val="Heading4"/>
        <w:spacing w:before="240" w:after="120" w:line="240" w:lineRule="auto"/>
        <w:rPr>
          <w:rFonts w:asciiTheme="minorHAnsi" w:hAnsiTheme="minorHAnsi" w:cstheme="minorHAnsi"/>
          <w:color w:val="1192E8" w:themeColor="accent3"/>
          <w14:numForm w14:val="lining"/>
          <w14:numSpacing w14:val="proportional"/>
        </w:rPr>
      </w:pPr>
      <w:r w:rsidRPr="00E5087D">
        <w:rPr>
          <w:rFonts w:asciiTheme="minorHAnsi" w:hAnsiTheme="minorHAnsi" w:cstheme="minorHAnsi"/>
          <w:color w:val="1192E8" w:themeColor="accent3"/>
          <w14:numForm w14:val="lining"/>
          <w14:numSpacing w14:val="proportional"/>
        </w:rPr>
        <w:t>Critical minerals</w:t>
      </w:r>
    </w:p>
    <w:p w14:paraId="181A469D" w14:textId="27DEA419" w:rsidR="00CE445E" w:rsidRPr="00E5087D" w:rsidRDefault="00CE445E" w:rsidP="00CE445E">
      <w:pPr>
        <w:spacing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The Australian Government’s critical minerals strategy outlines opportunities to expand extraction and processing of critical minerals, including lithium, cobalt, manganese, rare earth minerals, tungsten and vanadium.</w:t>
      </w:r>
      <w:r w:rsidRPr="2F97E14D">
        <w:rPr>
          <w:rStyle w:val="EndnoteReference"/>
          <w:rFonts w:asciiTheme="minorHAnsi" w:hAnsiTheme="minorHAnsi"/>
          <w14:numForm w14:val="lining"/>
          <w14:numSpacing w14:val="proportional"/>
        </w:rPr>
        <w:endnoteReference w:id="47"/>
      </w:r>
      <w:r w:rsidRPr="2F97E14D">
        <w:rPr>
          <w:rFonts w:asciiTheme="minorHAnsi" w:hAnsiTheme="minorHAnsi"/>
          <w14:numForm w14:val="lining"/>
          <w14:numSpacing w14:val="proportional"/>
        </w:rPr>
        <w:t xml:space="preserve"> These minerals are key to decarbonisation, including in the production of things like batteries (see </w:t>
      </w:r>
      <w:r w:rsidRPr="00EE68FD">
        <w:rPr>
          <w:rFonts w:asciiTheme="minorHAnsi" w:hAnsiTheme="minorHAnsi"/>
          <w:b/>
          <w:bCs/>
          <w14:numForm w14:val="lining"/>
          <w14:numSpacing w14:val="proportional"/>
        </w:rPr>
        <w:t>Chapter 6</w:t>
      </w:r>
      <w:r w:rsidRPr="2F97E14D">
        <w:rPr>
          <w:rFonts w:asciiTheme="minorHAnsi" w:hAnsiTheme="minorHAnsi"/>
          <w14:numForm w14:val="lining"/>
          <w14:numSpacing w14:val="proportional"/>
        </w:rPr>
        <w:t>). Processing plants are under construction or development for purified spherical graphite (EcoGraf, Kwinana, WA; Renascor Resources), nickel-manganese-cobalt (Pure Battery Technologies, Kalgoorlie WA) and rare earth minerals (Lynas, Kalgoorlie WA; Iluka Resources, Eneabba WA).</w:t>
      </w:r>
      <w:r w:rsidRPr="2F97E14D">
        <w:rPr>
          <w:rStyle w:val="EndnoteReference"/>
          <w:rFonts w:asciiTheme="minorHAnsi" w:hAnsiTheme="minorHAnsi"/>
          <w14:numForm w14:val="lining"/>
          <w14:numSpacing w14:val="proportional"/>
        </w:rPr>
        <w:endnoteReference w:id="48"/>
      </w:r>
    </w:p>
    <w:p w14:paraId="1CE50748" w14:textId="19B7C64A" w:rsidR="005F6D5E" w:rsidRPr="00E5087D" w:rsidRDefault="000D0D66" w:rsidP="00AF4BE7">
      <w:pPr>
        <w:spacing w:after="120"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T</w:t>
      </w:r>
      <w:r w:rsidR="005F6D5E" w:rsidRPr="2F97E14D">
        <w:rPr>
          <w:rFonts w:asciiTheme="minorHAnsi" w:hAnsiTheme="minorHAnsi"/>
          <w14:numForm w14:val="lining"/>
          <w14:numSpacing w14:val="proportional"/>
        </w:rPr>
        <w:t>he world’s largest lithium mine by production</w:t>
      </w:r>
      <w:r w:rsidRPr="2F97E14D">
        <w:rPr>
          <w:rFonts w:asciiTheme="minorHAnsi" w:hAnsiTheme="minorHAnsi"/>
          <w14:numForm w14:val="lining"/>
          <w14:numSpacing w14:val="proportional"/>
        </w:rPr>
        <w:t xml:space="preserve"> is in</w:t>
      </w:r>
      <w:r w:rsidR="005F6D5E" w:rsidRPr="2F97E14D">
        <w:rPr>
          <w:rFonts w:asciiTheme="minorHAnsi" w:hAnsiTheme="minorHAnsi"/>
          <w14:numForm w14:val="lining"/>
          <w14:numSpacing w14:val="proportional"/>
        </w:rPr>
        <w:t xml:space="preserve"> Western Australia, co</w:t>
      </w:r>
      <w:r w:rsidR="00AE1CB4" w:rsidRPr="2F97E14D">
        <w:rPr>
          <w:rFonts w:asciiTheme="minorHAnsi" w:hAnsiTheme="minorHAnsi"/>
          <w14:numForm w14:val="lining"/>
          <w14:numSpacing w14:val="proportional"/>
        </w:rPr>
        <w:t>-</w:t>
      </w:r>
      <w:r w:rsidR="005F6D5E" w:rsidRPr="2F97E14D">
        <w:rPr>
          <w:rFonts w:asciiTheme="minorHAnsi" w:hAnsiTheme="minorHAnsi"/>
          <w14:numForm w14:val="lining"/>
          <w14:numSpacing w14:val="proportional"/>
        </w:rPr>
        <w:t>owned by Albermarle and TLEA (itself a joint venture between Tianqi Lithium and IGO).</w:t>
      </w:r>
      <w:r w:rsidR="005F6D5E" w:rsidRPr="2F97E14D">
        <w:rPr>
          <w:rStyle w:val="EndnoteReference"/>
          <w:rFonts w:asciiTheme="minorHAnsi" w:hAnsiTheme="minorHAnsi"/>
          <w14:numForm w14:val="lining"/>
          <w14:numSpacing w14:val="proportional"/>
        </w:rPr>
        <w:endnoteReference w:id="49"/>
      </w:r>
      <w:r w:rsidR="005F6D5E" w:rsidRPr="2F97E14D">
        <w:rPr>
          <w:rFonts w:asciiTheme="minorHAnsi" w:hAnsiTheme="minorHAnsi"/>
          <w14:numForm w14:val="lining"/>
          <w14:numSpacing w14:val="proportional"/>
        </w:rPr>
        <w:t xml:space="preserve"> </w:t>
      </w:r>
      <w:r w:rsidR="00B12C5F" w:rsidRPr="2F97E14D">
        <w:rPr>
          <w:rFonts w:asciiTheme="minorHAnsi" w:hAnsiTheme="minorHAnsi"/>
          <w14:numForm w14:val="lining"/>
          <w14:numSpacing w14:val="proportional"/>
        </w:rPr>
        <w:t>Lithium will continue to be critical to decarbonisation as its needed in many small and large</w:t>
      </w:r>
      <w:r w:rsidR="002D3BDC" w:rsidRPr="2F97E14D">
        <w:rPr>
          <w:rFonts w:asciiTheme="minorHAnsi" w:hAnsiTheme="minorHAnsi"/>
        </w:rPr>
        <w:t>-</w:t>
      </w:r>
      <w:r w:rsidR="00B12C5F" w:rsidRPr="2F97E14D">
        <w:rPr>
          <w:rFonts w:asciiTheme="minorHAnsi" w:hAnsiTheme="minorHAnsi"/>
          <w14:numForm w14:val="lining"/>
          <w14:numSpacing w14:val="proportional"/>
        </w:rPr>
        <w:t xml:space="preserve">scale batteries. </w:t>
      </w:r>
      <w:r w:rsidR="005F6D5E" w:rsidRPr="2F97E14D">
        <w:rPr>
          <w:rFonts w:asciiTheme="minorHAnsi" w:hAnsiTheme="minorHAnsi"/>
          <w14:numForm w14:val="lining"/>
          <w14:numSpacing w14:val="proportional"/>
        </w:rPr>
        <w:t>The next largest lithium mines in Australia ar</w:t>
      </w:r>
      <w:r w:rsidRPr="2F97E14D">
        <w:rPr>
          <w:rFonts w:asciiTheme="minorHAnsi" w:hAnsiTheme="minorHAnsi"/>
          <w14:numForm w14:val="lining"/>
          <w14:numSpacing w14:val="proportional"/>
        </w:rPr>
        <w:t>e</w:t>
      </w:r>
      <w:r w:rsidR="005F6D5E" w:rsidRPr="2F97E14D">
        <w:rPr>
          <w:rFonts w:asciiTheme="minorHAnsi" w:hAnsiTheme="minorHAnsi"/>
          <w14:numForm w14:val="lining"/>
          <w14:numSpacing w14:val="proportional"/>
        </w:rPr>
        <w:t>:</w:t>
      </w:r>
    </w:p>
    <w:p w14:paraId="195526FB"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Pilangoora (Pilbara Minerals)</w:t>
      </w:r>
    </w:p>
    <w:p w14:paraId="72C52C25"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Mt Marion (Mineral Resources and Jianxi Ganfeng Lithium)</w:t>
      </w:r>
    </w:p>
    <w:p w14:paraId="113B73CA"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Wodinga (Mineral Resources and Albermarle)</w:t>
      </w:r>
    </w:p>
    <w:p w14:paraId="30D5D909" w14:textId="77777777" w:rsidR="005F6D5E" w:rsidRPr="00E5087D" w:rsidRDefault="005F6D5E" w:rsidP="00F25595">
      <w:pPr>
        <w:pStyle w:val="ListParagraph"/>
        <w:numPr>
          <w:ilvl w:val="0"/>
          <w:numId w:val="25"/>
        </w:numPr>
        <w:spacing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Mt Cattlin (Allcem)</w:t>
      </w:r>
    </w:p>
    <w:p w14:paraId="16F40125" w14:textId="77777777" w:rsidR="005F6D5E" w:rsidRPr="00E5087D" w:rsidRDefault="005F6D5E" w:rsidP="00F25595">
      <w:pPr>
        <w:pStyle w:val="ListParagraph"/>
        <w:numPr>
          <w:ilvl w:val="0"/>
          <w:numId w:val="25"/>
        </w:numPr>
        <w:spacing w:after="120"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Finniss (NT, Core Lithium)</w:t>
      </w:r>
    </w:p>
    <w:p w14:paraId="29DC97DF" w14:textId="77777777" w:rsidR="005F6D5E" w:rsidRPr="00E5087D" w:rsidRDefault="005F6D5E" w:rsidP="00AF4BE7">
      <w:pPr>
        <w:spacing w:after="120"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Lithium hydroxide is refined by Tianqi Lithium and IGO at a refinery in Kwinana, Western Australia.</w:t>
      </w:r>
      <w:r w:rsidRPr="2F97E14D">
        <w:rPr>
          <w:rStyle w:val="EndnoteReference"/>
          <w:rFonts w:asciiTheme="minorHAnsi" w:hAnsiTheme="minorHAnsi"/>
          <w14:numForm w14:val="lining"/>
          <w14:numSpacing w14:val="proportional"/>
        </w:rPr>
        <w:endnoteReference w:id="50"/>
      </w:r>
      <w:r w:rsidRPr="2F97E14D">
        <w:rPr>
          <w:rFonts w:asciiTheme="minorHAnsi" w:hAnsiTheme="minorHAnsi"/>
          <w14:numForm w14:val="lining"/>
          <w14:numSpacing w14:val="proportional"/>
        </w:rPr>
        <w:t xml:space="preserve"> A second refinery at Kemerton (Albermarle and Mineral Resources) is close to commercial production and a third refinery, also at Kwinana (Wesfarmers and SQM), is under construction. </w:t>
      </w:r>
    </w:p>
    <w:p w14:paraId="3BA2214A" w14:textId="77777777" w:rsidR="005F6D5E" w:rsidRPr="00E5087D" w:rsidRDefault="005F6D5E" w:rsidP="00AF4BE7">
      <w:pPr>
        <w:pStyle w:val="Heading4"/>
        <w:spacing w:before="240" w:after="120" w:line="240" w:lineRule="auto"/>
        <w:rPr>
          <w:rFonts w:asciiTheme="minorHAnsi" w:hAnsiTheme="minorHAnsi" w:cstheme="minorHAnsi"/>
          <w:color w:val="1192E8" w:themeColor="accent3"/>
          <w14:numForm w14:val="lining"/>
          <w14:numSpacing w14:val="proportional"/>
        </w:rPr>
      </w:pPr>
      <w:r w:rsidRPr="00E5087D">
        <w:rPr>
          <w:rFonts w:asciiTheme="minorHAnsi" w:hAnsiTheme="minorHAnsi" w:cstheme="minorHAnsi"/>
          <w:color w:val="1192E8" w:themeColor="accent3"/>
          <w14:numForm w14:val="lining"/>
          <w14:numSpacing w14:val="proportional"/>
        </w:rPr>
        <w:t>Wind turbine manufacturing</w:t>
      </w:r>
    </w:p>
    <w:p w14:paraId="55E3F43D" w14:textId="3F435E92" w:rsidR="005F6D5E" w:rsidRPr="00E5087D" w:rsidRDefault="005F6D5E" w:rsidP="00AF4BE7">
      <w:pPr>
        <w:spacing w:line="276" w:lineRule="auto"/>
        <w:rPr>
          <w:rFonts w:asciiTheme="minorHAnsi" w:hAnsiTheme="minorHAnsi" w:cstheme="minorHAnsi"/>
          <w14:numForm w14:val="lining"/>
          <w14:numSpacing w14:val="proportional"/>
        </w:rPr>
      </w:pPr>
      <w:r w:rsidRPr="2F97E14D">
        <w:rPr>
          <w:rFonts w:asciiTheme="minorHAnsi" w:hAnsiTheme="minorHAnsi"/>
          <w14:numForm w14:val="lining"/>
          <w14:numSpacing w14:val="proportional"/>
        </w:rPr>
        <w:t>Global wind turbine manufacturer Vestas has partnered with local firm Marand Precision Engineering to assemble wind turbine tower components at a facility on the site of the former Ford factor</w:t>
      </w:r>
      <w:r w:rsidR="009D2BEA" w:rsidRPr="2F97E14D">
        <w:rPr>
          <w:rFonts w:asciiTheme="minorHAnsi" w:hAnsiTheme="minorHAnsi"/>
          <w14:numForm w14:val="lining"/>
          <w14:numSpacing w14:val="proportional"/>
        </w:rPr>
        <w:t>y</w:t>
      </w:r>
      <w:r w:rsidRPr="2F97E14D">
        <w:rPr>
          <w:rFonts w:asciiTheme="minorHAnsi" w:hAnsiTheme="minorHAnsi"/>
          <w14:numForm w14:val="lining"/>
          <w14:numSpacing w14:val="proportional"/>
        </w:rPr>
        <w:t xml:space="preserve"> in Geelong.</w:t>
      </w:r>
      <w:r w:rsidRPr="2F97E14D">
        <w:rPr>
          <w:rStyle w:val="EndnoteReference"/>
          <w:rFonts w:asciiTheme="minorHAnsi" w:hAnsiTheme="minorHAnsi"/>
          <w14:numForm w14:val="lining"/>
          <w14:numSpacing w14:val="proportional"/>
        </w:rPr>
        <w:endnoteReference w:id="51"/>
      </w:r>
      <w:r w:rsidRPr="2F97E14D">
        <w:rPr>
          <w:rFonts w:asciiTheme="minorHAnsi" w:hAnsiTheme="minorHAnsi"/>
          <w14:numForm w14:val="lining"/>
          <w14:numSpacing w14:val="proportional"/>
        </w:rPr>
        <w:t xml:space="preserve"> Other state governments are also pursuing local manufacturing of wind turbine components as part of the development of their wind energy capacity. </w:t>
      </w:r>
    </w:p>
    <w:p w14:paraId="5A10621A" w14:textId="77777777" w:rsidR="00AF4BE7" w:rsidRPr="00E5087D" w:rsidRDefault="00AF4BE7">
      <w:pPr>
        <w:rPr>
          <w:rFonts w:asciiTheme="minorHAnsi" w:hAnsiTheme="minorHAnsi" w:cstheme="minorHAnsi"/>
          <w:b/>
          <w:bCs/>
          <w:color w:val="1192E8" w:themeColor="accent3"/>
          <w:sz w:val="28"/>
          <w14:numForm w14:val="lining"/>
          <w14:numSpacing w14:val="proportional"/>
        </w:rPr>
      </w:pPr>
      <w:r w:rsidRPr="00E5087D">
        <w:rPr>
          <w:rFonts w:asciiTheme="minorHAnsi" w:hAnsiTheme="minorHAnsi" w:cstheme="minorHAnsi"/>
          <w:color w:val="1192E8" w:themeColor="accent3"/>
          <w14:numForm w14:val="lining"/>
          <w14:numSpacing w14:val="proportional"/>
        </w:rPr>
        <w:br w:type="page"/>
      </w:r>
    </w:p>
    <w:p w14:paraId="251DB8A1" w14:textId="61A6E0F1" w:rsidR="005F6D5E" w:rsidRPr="00E5087D" w:rsidRDefault="005F6D5E" w:rsidP="00AF4BE7">
      <w:pPr>
        <w:pStyle w:val="Heading4"/>
        <w:spacing w:before="240" w:after="120" w:line="240" w:lineRule="auto"/>
        <w:rPr>
          <w:rFonts w:asciiTheme="minorHAnsi" w:hAnsiTheme="minorHAnsi" w:cstheme="minorHAnsi"/>
          <w:color w:val="1192E8" w:themeColor="accent3"/>
          <w14:numForm w14:val="lining"/>
          <w14:numSpacing w14:val="proportional"/>
        </w:rPr>
      </w:pPr>
      <w:r w:rsidRPr="00E5087D">
        <w:rPr>
          <w:rFonts w:asciiTheme="minorHAnsi" w:hAnsiTheme="minorHAnsi" w:cstheme="minorHAnsi"/>
          <w:color w:val="1192E8" w:themeColor="accent3"/>
          <w14:numForm w14:val="lining"/>
          <w14:numSpacing w14:val="proportional"/>
        </w:rPr>
        <w:lastRenderedPageBreak/>
        <w:t>Vehicle and equipment production, trade and maintenance</w:t>
      </w:r>
    </w:p>
    <w:p w14:paraId="0040C49F" w14:textId="77777777" w:rsidR="005F6D5E" w:rsidRPr="00E5087D" w:rsidRDefault="005F6D5E" w:rsidP="00AF4BE7">
      <w:pPr>
        <w:spacing w:after="120" w:line="276" w:lineRule="auto"/>
        <w:rPr>
          <w:rFonts w:asciiTheme="minorHAnsi" w:hAnsiTheme="minorHAnsi" w:cstheme="minorHAnsi"/>
          <w14:numForm w14:val="lining"/>
          <w14:numSpacing w14:val="proportional"/>
        </w:rPr>
      </w:pPr>
      <w:r w:rsidRPr="00E5087D">
        <w:rPr>
          <w:rFonts w:asciiTheme="minorHAnsi" w:hAnsiTheme="minorHAnsi" w:cstheme="minorHAnsi"/>
          <w14:numForm w14:val="lining"/>
          <w14:numSpacing w14:val="proportional"/>
        </w:rPr>
        <w:t>There are a variety of trade and maintenance firms responsible for the production, trade and maintenance of industrial, mechanical and agricultural equipment. The impact of the transition to clean energy will be relatively gradual for this sector given investment cycles for business and the potential for sustainable fuel technologies to permit the ongoing use of existing equipment.</w:t>
      </w:r>
    </w:p>
    <w:p w14:paraId="273BDD93" w14:textId="757B54DA" w:rsidR="00AE1CB4" w:rsidRPr="00E5087D" w:rsidRDefault="005F6D5E" w:rsidP="00AF4BE7">
      <w:pPr>
        <w:spacing w:line="276" w:lineRule="auto"/>
        <w:rPr>
          <w:rFonts w:eastAsiaTheme="majorEastAsia" w:cstheme="majorBidi"/>
          <w:b/>
          <w:sz w:val="32"/>
          <w:szCs w:val="24"/>
        </w:rPr>
      </w:pPr>
      <w:r w:rsidRPr="2F97E14D">
        <w:rPr>
          <w:rFonts w:asciiTheme="minorHAnsi" w:hAnsiTheme="minorHAnsi"/>
          <w14:numForm w14:val="lining"/>
          <w14:numSpacing w14:val="proportional"/>
        </w:rPr>
        <w:t>One prominent area where there is already substantial activity is the local manufacturing of electric buses. Volgren and BusTech are two Australian firms producing electric buses in partnership with original equipment manufacturers such as Volvo.</w:t>
      </w:r>
      <w:r w:rsidRPr="2F97E14D">
        <w:rPr>
          <w:rStyle w:val="EndnoteReference"/>
          <w:rFonts w:asciiTheme="minorHAnsi" w:hAnsiTheme="minorHAnsi"/>
          <w:color w:val="212529"/>
          <w:spacing w:val="8"/>
          <w:shd w:val="clear" w:color="auto" w:fill="FFFFFF"/>
          <w14:numForm w14:val="lining"/>
          <w14:numSpacing w14:val="proportional"/>
        </w:rPr>
        <w:endnoteReference w:id="52"/>
      </w:r>
    </w:p>
    <w:p w14:paraId="205802D7" w14:textId="5813F1FB" w:rsidR="005F6D5E" w:rsidRPr="00E5087D" w:rsidRDefault="005F6D5E" w:rsidP="00AF4BE7">
      <w:pPr>
        <w:pStyle w:val="Heading3"/>
      </w:pPr>
      <w:r w:rsidRPr="00E5087D">
        <w:t xml:space="preserve">Carbon </w:t>
      </w:r>
      <w:r w:rsidR="00AE1CB4" w:rsidRPr="00E5087D">
        <w:t>lifecycle</w:t>
      </w:r>
    </w:p>
    <w:p w14:paraId="6B71B085" w14:textId="77777777" w:rsidR="005F6D5E" w:rsidRPr="00E5087D" w:rsidRDefault="005F6D5E" w:rsidP="00AF4BE7">
      <w:pPr>
        <w:pStyle w:val="Heading4"/>
        <w:spacing w:before="240" w:after="120" w:line="240" w:lineRule="auto"/>
        <w:rPr>
          <w:color w:val="1192E8" w:themeColor="accent3"/>
        </w:rPr>
      </w:pPr>
      <w:r w:rsidRPr="00E5087D">
        <w:rPr>
          <w:color w:val="1192E8" w:themeColor="accent3"/>
        </w:rPr>
        <w:t>Recycling, waste reuse and energy recovery</w:t>
      </w:r>
    </w:p>
    <w:p w14:paraId="038DC3EC" w14:textId="65A77C15" w:rsidR="005F6D5E" w:rsidRPr="00E5087D" w:rsidRDefault="005F6D5E" w:rsidP="006B054A">
      <w:pPr>
        <w:spacing w:line="276" w:lineRule="auto"/>
        <w:rPr>
          <w14:numForm w14:val="lining"/>
          <w14:numSpacing w14:val="proportional"/>
        </w:rPr>
      </w:pPr>
      <w:r w:rsidRPr="00E5087D">
        <w:rPr>
          <w14:numForm w14:val="lining"/>
          <w14:numSpacing w14:val="proportional"/>
        </w:rPr>
        <w:t>The 2022 National Energy Waste Report identifies activities at various stages of waste management including waste reuse (such as tip shops as well as soils and ash) and energy recovery. Energy recovery includes the following methods: landfill gas, waste-derived fuels, anaerobic digestion, and thermal energy-from-waste facilities. Landfill gas collection accounts for about 83% of energy recovery, though its contribution to the total energy derived from natural gas is small – about 0.2</w:t>
      </w:r>
      <w:r w:rsidR="00CE1473">
        <w:rPr>
          <w14:numForm w14:val="lining"/>
          <w14:numSpacing w14:val="proportional"/>
        </w:rPr>
        <w:t>%</w:t>
      </w:r>
      <w:r w:rsidRPr="00E5087D">
        <w:rPr>
          <w14:numForm w14:val="lining"/>
          <w14:numSpacing w14:val="proportional"/>
        </w:rPr>
        <w:t>.</w:t>
      </w:r>
      <w:r w:rsidRPr="00E5087D">
        <w:rPr>
          <w:rStyle w:val="EndnoteReference"/>
          <w14:numForm w14:val="lining"/>
          <w14:numSpacing w14:val="proportional"/>
        </w:rPr>
        <w:endnoteReference w:id="53"/>
      </w:r>
      <w:r w:rsidRPr="00E5087D">
        <w:rPr>
          <w14:numForm w14:val="lining"/>
          <w14:numSpacing w14:val="proportional"/>
        </w:rPr>
        <w:t xml:space="preserve"> Local governments and waste management specialists are the dominant employers here, including Veolia (involved in the Kwinana waste to energy plant under development).</w:t>
      </w:r>
      <w:r w:rsidRPr="00E5087D">
        <w:rPr>
          <w:rStyle w:val="EndnoteReference"/>
          <w14:numForm w14:val="lining"/>
          <w14:numSpacing w14:val="proportional"/>
        </w:rPr>
        <w:endnoteReference w:id="54"/>
      </w:r>
      <w:r w:rsidRPr="00E5087D">
        <w:rPr>
          <w14:numForm w14:val="lining"/>
          <w14:numSpacing w14:val="proportional"/>
        </w:rPr>
        <w:t xml:space="preserve"> A number of other waste-to-energy projects are under development with assistance from the </w:t>
      </w:r>
      <w:r w:rsidR="00BD094B">
        <w:rPr>
          <w14:numForm w14:val="lining"/>
          <w14:numSpacing w14:val="proportional"/>
        </w:rPr>
        <w:t>ARENA</w:t>
      </w:r>
      <w:r w:rsidRPr="00E5087D">
        <w:rPr>
          <w14:numForm w14:val="lining"/>
          <w14:numSpacing w14:val="proportional"/>
        </w:rPr>
        <w:t xml:space="preserve">. </w:t>
      </w:r>
    </w:p>
    <w:p w14:paraId="70A1F3E5" w14:textId="77777777" w:rsidR="005F6D5E" w:rsidRPr="00E5087D" w:rsidRDefault="005F6D5E" w:rsidP="00AF4BE7">
      <w:pPr>
        <w:pStyle w:val="Heading4"/>
        <w:spacing w:before="240" w:after="120" w:line="240" w:lineRule="auto"/>
        <w:rPr>
          <w:color w:val="1192E8" w:themeColor="accent3"/>
        </w:rPr>
      </w:pPr>
      <w:r w:rsidRPr="00E5087D">
        <w:rPr>
          <w:color w:val="1192E8" w:themeColor="accent3"/>
        </w:rPr>
        <w:t>Forestry and agriculture</w:t>
      </w:r>
    </w:p>
    <w:p w14:paraId="10169D1E" w14:textId="08BA08FC" w:rsidR="005F6D5E" w:rsidRPr="00E5087D" w:rsidRDefault="005F6D5E" w:rsidP="006B054A">
      <w:pPr>
        <w:spacing w:line="276" w:lineRule="auto"/>
        <w:rPr>
          <w14:numForm w14:val="lining"/>
          <w14:numSpacing w14:val="proportional"/>
        </w:rPr>
      </w:pPr>
      <w:r w:rsidRPr="00E5087D">
        <w:rPr>
          <w14:numForm w14:val="lining"/>
          <w14:numSpacing w14:val="proportional"/>
        </w:rPr>
        <w:t xml:space="preserve">Firms in the forestry and agriculture sector are also involved, with timber residues and agricultural by-products such as chaff providing feedstock for biofuels. Rapid growing tree species could also provide a cost effective, </w:t>
      </w:r>
      <w:r w:rsidR="00AE1CB4" w:rsidRPr="00E5087D">
        <w:rPr>
          <w14:numForm w14:val="lining"/>
          <w14:numSpacing w14:val="proportional"/>
        </w:rPr>
        <w:t>renewable</w:t>
      </w:r>
      <w:r w:rsidRPr="00E5087D">
        <w:rPr>
          <w14:numForm w14:val="lining"/>
          <w14:numSpacing w14:val="proportional"/>
        </w:rPr>
        <w:t xml:space="preserve"> biomass feedstock. </w:t>
      </w:r>
      <w:r w:rsidR="002C2D61">
        <w:rPr>
          <w14:numForm w14:val="lining"/>
          <w14:numSpacing w14:val="proportional"/>
        </w:rPr>
        <w:t>However</w:t>
      </w:r>
      <w:r w:rsidR="00175D70">
        <w:rPr>
          <w14:numForm w14:val="lining"/>
          <w14:numSpacing w14:val="proportional"/>
        </w:rPr>
        <w:t>, climate outcomes</w:t>
      </w:r>
      <w:r w:rsidR="006C665B">
        <w:rPr>
          <w14:numForm w14:val="lining"/>
          <w14:numSpacing w14:val="proportional"/>
        </w:rPr>
        <w:t xml:space="preserve"> for biofuels depend on the feedstock and renewable production process, as not all biofuels are low or zero carbon.</w:t>
      </w:r>
      <w:r w:rsidR="002C2D61">
        <w:rPr>
          <w14:numForm w14:val="lining"/>
          <w14:numSpacing w14:val="proportional"/>
        </w:rPr>
        <w:t xml:space="preserve"> </w:t>
      </w:r>
    </w:p>
    <w:p w14:paraId="4E96445D" w14:textId="77777777" w:rsidR="005F6D5E" w:rsidRPr="00E5087D" w:rsidRDefault="005F6D5E" w:rsidP="00AF4BE7">
      <w:pPr>
        <w:pStyle w:val="Heading3"/>
      </w:pPr>
      <w:r w:rsidRPr="00E5087D">
        <w:t>Transitioning and emissions intensive sectors</w:t>
      </w:r>
    </w:p>
    <w:p w14:paraId="75C99406" w14:textId="5B6A8A06" w:rsidR="005F6D5E" w:rsidRPr="00E5087D" w:rsidRDefault="005F6D5E" w:rsidP="00AF4BE7">
      <w:pPr>
        <w:pStyle w:val="Heading4"/>
        <w:spacing w:before="240" w:after="120" w:line="240" w:lineRule="auto"/>
        <w:rPr>
          <w:color w:val="1192E8" w:themeColor="accent3"/>
        </w:rPr>
      </w:pPr>
      <w:r w:rsidRPr="00E5087D">
        <w:rPr>
          <w:color w:val="1192E8" w:themeColor="accent3"/>
        </w:rPr>
        <w:t>Transitioning sector</w:t>
      </w:r>
    </w:p>
    <w:p w14:paraId="5140AE21" w14:textId="3E5D8743" w:rsidR="005F6D5E" w:rsidRPr="00E5087D" w:rsidRDefault="005F6D5E" w:rsidP="006B054A">
      <w:pPr>
        <w:spacing w:after="120" w:line="276" w:lineRule="auto"/>
        <w:rPr>
          <w14:numForm w14:val="lining"/>
          <w14:numSpacing w14:val="proportional"/>
        </w:rPr>
      </w:pPr>
      <w:r w:rsidRPr="00E5087D">
        <w:rPr>
          <w14:numForm w14:val="lining"/>
          <w14:numSpacing w14:val="proportional"/>
        </w:rPr>
        <w:t xml:space="preserve">Figure </w:t>
      </w:r>
      <w:r w:rsidR="003226A2">
        <w:rPr>
          <w14:numForm w14:val="lining"/>
          <w14:numSpacing w14:val="proportional"/>
        </w:rPr>
        <w:t>3</w:t>
      </w:r>
      <w:r w:rsidR="0061765F">
        <w:rPr>
          <w14:numForm w14:val="lining"/>
          <w14:numSpacing w14:val="proportional"/>
        </w:rPr>
        <w:t>.</w:t>
      </w:r>
      <w:r w:rsidR="00E01116">
        <w:rPr>
          <w14:numForm w14:val="lining"/>
          <w14:numSpacing w14:val="proportional"/>
        </w:rPr>
        <w:t>27</w:t>
      </w:r>
      <w:r w:rsidRPr="00E5087D">
        <w:rPr>
          <w14:numForm w14:val="lining"/>
          <w14:numSpacing w14:val="proportional"/>
        </w:rPr>
        <w:t xml:space="preserve"> provides a summary of the main employers involved in coal and gas-fired power generation. Many of those firms have begun to diversify into renewable power generation.</w:t>
      </w:r>
    </w:p>
    <w:p w14:paraId="3964FCE2" w14:textId="77777777" w:rsidR="005F6D5E" w:rsidRPr="00E5087D" w:rsidRDefault="005F6D5E" w:rsidP="006B054A">
      <w:pPr>
        <w:spacing w:after="120" w:line="276" w:lineRule="auto"/>
        <w:rPr>
          <w14:numForm w14:val="lining"/>
          <w14:numSpacing w14:val="proportional"/>
        </w:rPr>
      </w:pPr>
      <w:r w:rsidRPr="00E5087D">
        <w:rPr>
          <w14:numForm w14:val="lining"/>
          <w14:numSpacing w14:val="proportional"/>
        </w:rPr>
        <w:t>It is a similar situation in the natural gas and petroleum refining and wholesale sectors. A number of firms involved in natural gas and petroleum, such as Origin Energy and Orica, have already been mentioned as actively involved in hydrogen projects.</w:t>
      </w:r>
    </w:p>
    <w:p w14:paraId="60DFC3E0" w14:textId="6A3D4A46" w:rsidR="00AE1CB4" w:rsidRPr="00E5087D" w:rsidRDefault="005F6D5E" w:rsidP="00762CC1">
      <w:pPr>
        <w:spacing w:after="240" w:line="276" w:lineRule="auto"/>
        <w:rPr>
          <w:b/>
          <w:bCs/>
        </w:rPr>
      </w:pPr>
      <w:r w:rsidRPr="00E5087D">
        <w:rPr>
          <w14:numForm w14:val="lining"/>
          <w14:numSpacing w14:val="proportional"/>
        </w:rPr>
        <w:t xml:space="preserve">Prominent petroleum refiners and distributors are likewise involved in sustainable fuel projects focused on road transport, aviation and the resources industry. For example, BP’s Kwinana’s refinery is one of five sites globally developing projects for </w:t>
      </w:r>
      <w:r w:rsidR="00EB00AE">
        <w:rPr>
          <w14:numForm w14:val="lining"/>
          <w14:numSpacing w14:val="proportional"/>
        </w:rPr>
        <w:t>SAF</w:t>
      </w:r>
      <w:r w:rsidRPr="00E5087D">
        <w:rPr>
          <w14:numForm w14:val="lining"/>
          <w14:numSpacing w14:val="proportional"/>
        </w:rPr>
        <w:t xml:space="preserve"> and renewable diesel</w:t>
      </w:r>
      <w:r w:rsidR="00086901">
        <w:rPr>
          <w14:numForm w14:val="lining"/>
          <w14:numSpacing w14:val="proportional"/>
        </w:rPr>
        <w:t>.</w:t>
      </w:r>
      <w:r w:rsidRPr="00E5087D">
        <w:rPr>
          <w:rStyle w:val="EndnoteReference"/>
          <w14:numForm w14:val="lining"/>
          <w14:numSpacing w14:val="proportional"/>
        </w:rPr>
        <w:endnoteReference w:id="55"/>
      </w:r>
      <w:r w:rsidRPr="00E5087D">
        <w:rPr>
          <w14:numForm w14:val="lining"/>
          <w14:numSpacing w14:val="proportional"/>
        </w:rPr>
        <w:t xml:space="preserve"> If these efforts are successful, such firms will be able to continue (and potentially expand) Australian production using existing capital and workforce. </w:t>
      </w:r>
    </w:p>
    <w:p w14:paraId="6E92724A" w14:textId="70E6766D" w:rsidR="005F6D5E" w:rsidRPr="00E5087D" w:rsidRDefault="005F6D5E" w:rsidP="00444165">
      <w:pPr>
        <w:pBdr>
          <w:top w:val="single" w:sz="4" w:space="6" w:color="BFBFBF" w:themeColor="background1" w:themeShade="BF"/>
        </w:pBdr>
        <w:spacing w:after="120" w:line="240" w:lineRule="auto"/>
        <w:rPr>
          <w:b/>
          <w:bCs/>
        </w:rPr>
      </w:pPr>
      <w:r w:rsidRPr="00E5087D">
        <w:rPr>
          <w:b/>
          <w:bCs/>
        </w:rPr>
        <w:lastRenderedPageBreak/>
        <w:t>Figure 3</w:t>
      </w:r>
      <w:r w:rsidR="0061765F">
        <w:rPr>
          <w:b/>
          <w:bCs/>
        </w:rPr>
        <w:t>.</w:t>
      </w:r>
      <w:r w:rsidR="00835DB5">
        <w:rPr>
          <w:b/>
          <w:bCs/>
        </w:rPr>
        <w:t>27</w:t>
      </w:r>
      <w:r w:rsidR="009E6F85" w:rsidRPr="00E5087D">
        <w:rPr>
          <w:b/>
          <w:bCs/>
        </w:rPr>
        <w:t>.</w:t>
      </w:r>
      <w:r w:rsidRPr="00E5087D">
        <w:rPr>
          <w:b/>
          <w:bCs/>
        </w:rPr>
        <w:t xml:space="preserve"> Major firms in coal and gas fired power generation</w:t>
      </w:r>
    </w:p>
    <w:tbl>
      <w:tblPr>
        <w:tblStyle w:val="ListTable2-Accent2"/>
        <w:tblW w:w="0" w:type="auto"/>
        <w:tblLook w:val="04A0" w:firstRow="1" w:lastRow="0" w:firstColumn="1" w:lastColumn="0" w:noHBand="0" w:noVBand="1"/>
      </w:tblPr>
      <w:tblGrid>
        <w:gridCol w:w="1701"/>
        <w:gridCol w:w="7315"/>
      </w:tblGrid>
      <w:tr w:rsidR="005F6D5E" w:rsidRPr="00E5087D" w14:paraId="21EFB5E6" w14:textId="77777777" w:rsidTr="006B05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008585" w:themeFill="accent2" w:themeFillTint="E6"/>
          </w:tcPr>
          <w:p w14:paraId="0337807D" w14:textId="77777777" w:rsidR="005F6D5E" w:rsidRPr="00E5087D" w:rsidRDefault="005F6D5E">
            <w:pPr>
              <w:rPr>
                <w:color w:val="FFFFFF" w:themeColor="background1"/>
                <w:sz w:val="20"/>
                <w:szCs w:val="20"/>
              </w:rPr>
            </w:pPr>
            <w:r w:rsidRPr="00E5087D">
              <w:rPr>
                <w:color w:val="FFFFFF" w:themeColor="background1"/>
                <w:sz w:val="20"/>
                <w:szCs w:val="20"/>
              </w:rPr>
              <w:t>Firm</w:t>
            </w:r>
          </w:p>
        </w:tc>
        <w:tc>
          <w:tcPr>
            <w:tcW w:w="7315" w:type="dxa"/>
            <w:shd w:val="clear" w:color="auto" w:fill="008585" w:themeFill="accent2" w:themeFillTint="E6"/>
          </w:tcPr>
          <w:p w14:paraId="0348FBC7" w14:textId="77777777" w:rsidR="005F6D5E" w:rsidRPr="00E5087D" w:rsidRDefault="005F6D5E">
            <w:pP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E5087D">
              <w:rPr>
                <w:color w:val="FFFFFF" w:themeColor="background1"/>
                <w:sz w:val="20"/>
                <w:szCs w:val="20"/>
              </w:rPr>
              <w:t>Activities</w:t>
            </w:r>
          </w:p>
        </w:tc>
      </w:tr>
      <w:tr w:rsidR="005F6D5E" w:rsidRPr="00E5087D" w14:paraId="00ABCB0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421F04D" w14:textId="77777777" w:rsidR="005F6D5E" w:rsidRPr="00E5087D" w:rsidRDefault="005F6D5E">
            <w:pPr>
              <w:rPr>
                <w:sz w:val="20"/>
                <w:szCs w:val="20"/>
              </w:rPr>
            </w:pPr>
            <w:r w:rsidRPr="00E5087D">
              <w:rPr>
                <w:sz w:val="20"/>
                <w:szCs w:val="20"/>
              </w:rPr>
              <w:t xml:space="preserve">AGL Energy - </w:t>
            </w:r>
          </w:p>
        </w:tc>
        <w:tc>
          <w:tcPr>
            <w:tcW w:w="7315" w:type="dxa"/>
          </w:tcPr>
          <w:p w14:paraId="250C6B34"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AGL Energy is one of the largest power generators and retailers in Australia, operating a diverse portfolio of power plants including coal, gas, and renewable energy facilities.</w:t>
            </w:r>
          </w:p>
          <w:p w14:paraId="68796A54" w14:textId="321DBAFA"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Loy Yang A (Latrobe Valley, Victoria). Coal fired, 2,210 MW. Loy Yang A scheduled for closure </w:t>
            </w:r>
            <w:r w:rsidR="006B054A" w:rsidRPr="00E5087D">
              <w:rPr>
                <w:sz w:val="20"/>
                <w:szCs w:val="20"/>
              </w:rPr>
              <w:t>2035.</w:t>
            </w:r>
          </w:p>
          <w:p w14:paraId="14F0FA73"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AGl Macquarie (Bayswaster) (Hunter Valley, NSW). Coal fired, 2715 MW. Scheduled for closure 2030-2033.</w:t>
            </w:r>
          </w:p>
          <w:p w14:paraId="7BC4D0C3"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AGL Torrens (Adelaide SA). Gas-fired. Last remaining station (Torres Island B) to close on 30 June 2026.</w:t>
            </w:r>
          </w:p>
          <w:p w14:paraId="4889B184"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Somerton (Melbourne Vic). Peak gas turbine generator. </w:t>
            </w:r>
          </w:p>
          <w:p w14:paraId="656BE559" w14:textId="77777777" w:rsidR="005F6D5E" w:rsidRPr="00E5087D" w:rsidRDefault="005F6D5E" w:rsidP="00F25595">
            <w:pPr>
              <w:pStyle w:val="ListParagraph"/>
              <w:numPr>
                <w:ilvl w:val="0"/>
                <w:numId w:val="21"/>
              </w:numPr>
              <w:ind w:left="340" w:hanging="170"/>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 xml:space="preserve">AGL Kwinana (Kwinana WA). Peak dual fuel 120MW station. </w:t>
            </w:r>
          </w:p>
          <w:p w14:paraId="774A83B6" w14:textId="2BA136B2"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AGL is also developing gas-fired plants at Barker Inlet (SA), Tomago (Newcastle NSW) and Tarrone (Vic)</w:t>
            </w:r>
            <w:r w:rsidR="00627671">
              <w:rPr>
                <w:sz w:val="20"/>
                <w:szCs w:val="20"/>
              </w:rPr>
              <w:t>.</w:t>
            </w:r>
          </w:p>
        </w:tc>
      </w:tr>
      <w:tr w:rsidR="005F6D5E" w:rsidRPr="00E5087D" w14:paraId="1402C7F0" w14:textId="77777777">
        <w:tc>
          <w:tcPr>
            <w:cnfStyle w:val="001000000000" w:firstRow="0" w:lastRow="0" w:firstColumn="1" w:lastColumn="0" w:oddVBand="0" w:evenVBand="0" w:oddHBand="0" w:evenHBand="0" w:firstRowFirstColumn="0" w:firstRowLastColumn="0" w:lastRowFirstColumn="0" w:lastRowLastColumn="0"/>
            <w:tcW w:w="1701" w:type="dxa"/>
          </w:tcPr>
          <w:p w14:paraId="59990417" w14:textId="77777777" w:rsidR="005F6D5E" w:rsidRPr="00E5087D" w:rsidRDefault="005F6D5E">
            <w:pPr>
              <w:rPr>
                <w:sz w:val="20"/>
                <w:szCs w:val="20"/>
              </w:rPr>
            </w:pPr>
            <w:r w:rsidRPr="00E5087D">
              <w:rPr>
                <w:sz w:val="20"/>
                <w:szCs w:val="20"/>
              </w:rPr>
              <w:t>Origin Energy</w:t>
            </w:r>
          </w:p>
        </w:tc>
        <w:tc>
          <w:tcPr>
            <w:tcW w:w="7315" w:type="dxa"/>
          </w:tcPr>
          <w:p w14:paraId="5E3ECECE"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Origin Energy is an integrated energy company involved in power generation, retail, and exploration and production of natural gas. They operate a range of power plants including gas-fired, coal-fired, and renewable energy facilities.</w:t>
            </w:r>
          </w:p>
          <w:p w14:paraId="2A90A215"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auto"/>
                <w:sz w:val="20"/>
                <w:szCs w:val="20"/>
                <w:lang w:eastAsia="zh-CN"/>
              </w:rPr>
            </w:pPr>
            <w:r w:rsidRPr="00E5087D">
              <w:rPr>
                <w:rFonts w:eastAsia="Times New Roman"/>
                <w:sz w:val="20"/>
                <w:szCs w:val="20"/>
                <w:lang w:eastAsia="zh-CN"/>
              </w:rPr>
              <w:t>Eraring Power Station (New South Wales): Lake Macquarie, NSW. 2,880 megawatts (MW). Scheduled closure 2025.</w:t>
            </w:r>
          </w:p>
          <w:p w14:paraId="09A6D307"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Darling Downs Power Station (Dalby, Queensland): 630 MW. Combined-cycle gas-fired power station.</w:t>
            </w:r>
          </w:p>
          <w:p w14:paraId="5FFA6D63"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Mortlake Power Station (Victoria): Gas-fired peaking power station, 566 MW</w:t>
            </w:r>
          </w:p>
          <w:p w14:paraId="2543517F"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Ladbroke Grove Power Station (Taralgon, Victoria): gas-fired peak station. 320 MW</w:t>
            </w:r>
          </w:p>
          <w:p w14:paraId="229A4982" w14:textId="77777777" w:rsidR="005F6D5E" w:rsidRPr="00E5087D" w:rsidRDefault="005F6D5E" w:rsidP="00F25595">
            <w:pPr>
              <w:numPr>
                <w:ilvl w:val="1"/>
                <w:numId w:val="20"/>
              </w:numPr>
              <w:ind w:left="340" w:hanging="170"/>
              <w:cnfStyle w:val="000000000000" w:firstRow="0" w:lastRow="0" w:firstColumn="0" w:lastColumn="0" w:oddVBand="0" w:evenVBand="0" w:oddHBand="0" w:evenHBand="0" w:firstRowFirstColumn="0" w:firstRowLastColumn="0" w:lastRowFirstColumn="0" w:lastRowLastColumn="0"/>
              <w:rPr>
                <w:sz w:val="20"/>
                <w:szCs w:val="20"/>
              </w:rPr>
            </w:pPr>
            <w:r w:rsidRPr="00E5087D">
              <w:rPr>
                <w:rFonts w:eastAsia="Times New Roman"/>
                <w:sz w:val="20"/>
                <w:szCs w:val="20"/>
                <w:lang w:eastAsia="zh-CN"/>
              </w:rPr>
              <w:t xml:space="preserve">Quarantine Power Station (South Australia): 210MW gas-fired peaking station. </w:t>
            </w:r>
          </w:p>
        </w:tc>
      </w:tr>
      <w:tr w:rsidR="005F6D5E" w:rsidRPr="00E5087D" w14:paraId="4F843B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9BCEF25" w14:textId="77777777" w:rsidR="005F6D5E" w:rsidRPr="00E5087D" w:rsidRDefault="005F6D5E">
            <w:pPr>
              <w:rPr>
                <w:sz w:val="20"/>
                <w:szCs w:val="20"/>
              </w:rPr>
            </w:pPr>
            <w:r w:rsidRPr="00E5087D">
              <w:rPr>
                <w:sz w:val="20"/>
                <w:szCs w:val="20"/>
              </w:rPr>
              <w:t>Energy Australia</w:t>
            </w:r>
          </w:p>
        </w:tc>
        <w:tc>
          <w:tcPr>
            <w:tcW w:w="7315" w:type="dxa"/>
          </w:tcPr>
          <w:p w14:paraId="702F37AE"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Subsidiary of China Light and Power Company (CLP) with interests in electricity generation and electricity and gas retailing.</w:t>
            </w:r>
          </w:p>
          <w:p w14:paraId="5E77F4DC" w14:textId="020B0C35"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 xml:space="preserve">Yallourn Power Station (Latrobe Valley, Vic, coal-fired, 1450 </w:t>
            </w:r>
            <w:r w:rsidR="006B054A" w:rsidRPr="00E5087D">
              <w:rPr>
                <w:rFonts w:eastAsia="Times New Roman"/>
                <w:sz w:val="20"/>
                <w:szCs w:val="20"/>
                <w:lang w:eastAsia="zh-CN"/>
              </w:rPr>
              <w:t>MW,</w:t>
            </w:r>
            <w:r w:rsidRPr="00E5087D">
              <w:rPr>
                <w:rFonts w:eastAsia="Times New Roman"/>
                <w:sz w:val="20"/>
                <w:szCs w:val="20"/>
                <w:lang w:eastAsia="zh-CN"/>
              </w:rPr>
              <w:t xml:space="preserve"> Scheduled closure 2028)</w:t>
            </w:r>
          </w:p>
          <w:p w14:paraId="3AF9966E" w14:textId="23CA7288"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Mt Piper Power Station (Hunter Valley NSW, coal-</w:t>
            </w:r>
            <w:r w:rsidR="00AE1CB4" w:rsidRPr="00E5087D">
              <w:rPr>
                <w:rFonts w:eastAsia="Times New Roman"/>
                <w:sz w:val="20"/>
                <w:szCs w:val="20"/>
                <w:lang w:eastAsia="zh-CN"/>
              </w:rPr>
              <w:t>fired</w:t>
            </w:r>
            <w:r w:rsidRPr="00E5087D">
              <w:rPr>
                <w:rFonts w:eastAsia="Times New Roman"/>
                <w:sz w:val="20"/>
                <w:szCs w:val="20"/>
                <w:lang w:eastAsia="zh-CN"/>
              </w:rPr>
              <w:t>, 1400 MW, scheduled closure 2040)</w:t>
            </w:r>
          </w:p>
          <w:p w14:paraId="140CD321"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Tallwarra Power Station (Illawarra, NSW, gas-fired, 435 MW)</w:t>
            </w:r>
          </w:p>
          <w:p w14:paraId="4B0C524F"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Hallett Power Station (SA, gas fired, 235 MW)</w:t>
            </w:r>
          </w:p>
          <w:p w14:paraId="32BE78D1"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Newport Power Station (Melbourne, SA, gas-fired, 510 MW)</w:t>
            </w:r>
          </w:p>
          <w:p w14:paraId="502DB4C7" w14:textId="77777777" w:rsidR="005F6D5E" w:rsidRPr="00E5087D" w:rsidRDefault="005F6D5E" w:rsidP="00F25595">
            <w:pPr>
              <w:numPr>
                <w:ilvl w:val="1"/>
                <w:numId w:val="22"/>
              </w:numPr>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Jeeralang Power Station (Latrobe Valley Vic, gas-fired peaking, 450 MW)</w:t>
            </w:r>
          </w:p>
          <w:p w14:paraId="047D21BE"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Energy Australia also operates Cathedral Rocks Wind Farm (SA).</w:t>
            </w:r>
          </w:p>
        </w:tc>
      </w:tr>
      <w:tr w:rsidR="005F6D5E" w:rsidRPr="00E5087D" w14:paraId="3A939B12" w14:textId="77777777">
        <w:tc>
          <w:tcPr>
            <w:cnfStyle w:val="001000000000" w:firstRow="0" w:lastRow="0" w:firstColumn="1" w:lastColumn="0" w:oddVBand="0" w:evenVBand="0" w:oddHBand="0" w:evenHBand="0" w:firstRowFirstColumn="0" w:firstRowLastColumn="0" w:lastRowFirstColumn="0" w:lastRowLastColumn="0"/>
            <w:tcW w:w="1701" w:type="dxa"/>
          </w:tcPr>
          <w:p w14:paraId="1EF085E1" w14:textId="77777777" w:rsidR="005F6D5E" w:rsidRPr="00E5087D" w:rsidRDefault="005F6D5E">
            <w:pPr>
              <w:rPr>
                <w:sz w:val="20"/>
                <w:szCs w:val="20"/>
              </w:rPr>
            </w:pPr>
            <w:r w:rsidRPr="00E5087D">
              <w:rPr>
                <w:sz w:val="20"/>
                <w:szCs w:val="20"/>
              </w:rPr>
              <w:t>Stanwell</w:t>
            </w:r>
          </w:p>
        </w:tc>
        <w:tc>
          <w:tcPr>
            <w:tcW w:w="7315" w:type="dxa"/>
          </w:tcPr>
          <w:p w14:paraId="0C4CBBEB"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sz w:val="20"/>
                <w:szCs w:val="20"/>
              </w:rPr>
              <w:t>Stanwell Corporation operates several coal-fired power stations in Queensland, supplying electricity to the state's grid.</w:t>
            </w:r>
          </w:p>
          <w:p w14:paraId="76D1DC2B" w14:textId="77777777" w:rsidR="005F6D5E" w:rsidRPr="00E5087D" w:rsidRDefault="005F6D5E" w:rsidP="00F25595">
            <w:pPr>
              <w:numPr>
                <w:ilvl w:val="1"/>
                <w:numId w:val="23"/>
              </w:numPr>
              <w:spacing w:line="259" w:lineRule="auto"/>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Stanwell (Qld, coal-fired, 1445 MW, scheduled closure 2046)</w:t>
            </w:r>
          </w:p>
          <w:p w14:paraId="6BF8477E" w14:textId="77777777" w:rsidR="005F6D5E" w:rsidRPr="00E5087D" w:rsidRDefault="005F6D5E" w:rsidP="00F25595">
            <w:pPr>
              <w:numPr>
                <w:ilvl w:val="1"/>
                <w:numId w:val="23"/>
              </w:numPr>
              <w:spacing w:line="259" w:lineRule="auto"/>
              <w:ind w:left="340" w:hanging="170"/>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Tarong (Qld, coal-fired, 1400 MW, scheduled closure 2037)</w:t>
            </w:r>
          </w:p>
          <w:p w14:paraId="2EDB9FF1" w14:textId="77777777" w:rsidR="005F6D5E" w:rsidRPr="00E5087D" w:rsidRDefault="005F6D5E" w:rsidP="00F25595">
            <w:pPr>
              <w:numPr>
                <w:ilvl w:val="1"/>
                <w:numId w:val="23"/>
              </w:numPr>
              <w:spacing w:line="259" w:lineRule="auto"/>
              <w:ind w:left="340" w:hanging="170"/>
              <w:cnfStyle w:val="000000000000" w:firstRow="0" w:lastRow="0" w:firstColumn="0" w:lastColumn="0" w:oddVBand="0" w:evenVBand="0" w:oddHBand="0" w:evenHBand="0" w:firstRowFirstColumn="0" w:firstRowLastColumn="0" w:lastRowFirstColumn="0" w:lastRowLastColumn="0"/>
              <w:rPr>
                <w:sz w:val="20"/>
                <w:szCs w:val="20"/>
              </w:rPr>
            </w:pPr>
            <w:r w:rsidRPr="00E5087D">
              <w:rPr>
                <w:rFonts w:eastAsia="Times New Roman"/>
                <w:sz w:val="20"/>
                <w:szCs w:val="20"/>
                <w:lang w:eastAsia="zh-CN"/>
              </w:rPr>
              <w:t>Tarong North (Qld, coal-fired, 443 MW, scheduled closure 2037)</w:t>
            </w:r>
          </w:p>
        </w:tc>
      </w:tr>
      <w:tr w:rsidR="005F6D5E" w:rsidRPr="00E5087D" w14:paraId="71FFB4B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BB0D60F" w14:textId="77777777" w:rsidR="005F6D5E" w:rsidRPr="00E5087D" w:rsidRDefault="005F6D5E">
            <w:pPr>
              <w:rPr>
                <w:sz w:val="20"/>
                <w:szCs w:val="20"/>
              </w:rPr>
            </w:pPr>
            <w:r w:rsidRPr="00E5087D">
              <w:rPr>
                <w:sz w:val="20"/>
                <w:szCs w:val="20"/>
              </w:rPr>
              <w:t>CS Energy</w:t>
            </w:r>
          </w:p>
        </w:tc>
        <w:tc>
          <w:tcPr>
            <w:tcW w:w="7315" w:type="dxa"/>
          </w:tcPr>
          <w:p w14:paraId="5A10D317"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sz w:val="20"/>
                <w:szCs w:val="20"/>
              </w:rPr>
            </w:pPr>
            <w:r w:rsidRPr="00E5087D">
              <w:rPr>
                <w:sz w:val="20"/>
                <w:szCs w:val="20"/>
              </w:rPr>
              <w:t>CS Energy is a Queensland-based energy company that owns and operates a portfolio of coal and gas-fired power stations in the state.</w:t>
            </w:r>
          </w:p>
          <w:p w14:paraId="527F0ACC" w14:textId="77777777" w:rsidR="005F6D5E" w:rsidRPr="00E5087D" w:rsidRDefault="005F6D5E" w:rsidP="00F25595">
            <w:pPr>
              <w:numPr>
                <w:ilvl w:val="1"/>
                <w:numId w:val="24"/>
              </w:numPr>
              <w:spacing w:line="259" w:lineRule="auto"/>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Callide Bl (Qld, coal-fired, 700 MW, scheduled closure 2028)</w:t>
            </w:r>
          </w:p>
          <w:p w14:paraId="6ECE0E19" w14:textId="77777777" w:rsidR="005F6D5E" w:rsidRPr="00E5087D" w:rsidRDefault="005F6D5E" w:rsidP="00F25595">
            <w:pPr>
              <w:numPr>
                <w:ilvl w:val="1"/>
                <w:numId w:val="24"/>
              </w:numPr>
              <w:spacing w:line="259" w:lineRule="auto"/>
              <w:ind w:left="340" w:hanging="170"/>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Callide C (Qld, coal-fired, 810 MW, not scheduled for closure)</w:t>
            </w:r>
          </w:p>
        </w:tc>
      </w:tr>
      <w:tr w:rsidR="005F6D5E" w:rsidRPr="00E5087D" w14:paraId="0B4F05C6" w14:textId="77777777">
        <w:tc>
          <w:tcPr>
            <w:cnfStyle w:val="001000000000" w:firstRow="0" w:lastRow="0" w:firstColumn="1" w:lastColumn="0" w:oddVBand="0" w:evenVBand="0" w:oddHBand="0" w:evenHBand="0" w:firstRowFirstColumn="0" w:firstRowLastColumn="0" w:lastRowFirstColumn="0" w:lastRowLastColumn="0"/>
            <w:tcW w:w="1701" w:type="dxa"/>
          </w:tcPr>
          <w:p w14:paraId="79C3BB72" w14:textId="77777777" w:rsidR="005F6D5E" w:rsidRPr="00E5087D" w:rsidRDefault="005F6D5E">
            <w:pPr>
              <w:rPr>
                <w:sz w:val="20"/>
                <w:szCs w:val="20"/>
              </w:rPr>
            </w:pPr>
            <w:r w:rsidRPr="00E5087D">
              <w:rPr>
                <w:sz w:val="20"/>
                <w:szCs w:val="20"/>
              </w:rPr>
              <w:t>Alinta Energy</w:t>
            </w:r>
          </w:p>
        </w:tc>
        <w:tc>
          <w:tcPr>
            <w:tcW w:w="7315" w:type="dxa"/>
          </w:tcPr>
          <w:p w14:paraId="64FAF9D3" w14:textId="77777777" w:rsidR="005F6D5E" w:rsidRPr="00E5087D" w:rsidRDefault="005F6D5E">
            <w:pPr>
              <w:cnfStyle w:val="000000000000" w:firstRow="0" w:lastRow="0" w:firstColumn="0" w:lastColumn="0" w:oddVBand="0" w:evenVBand="0" w:oddHBand="0" w:evenHBand="0" w:firstRowFirstColumn="0" w:firstRowLastColumn="0" w:lastRowFirstColumn="0" w:lastRowLastColumn="0"/>
              <w:rPr>
                <w:sz w:val="20"/>
                <w:szCs w:val="20"/>
              </w:rPr>
            </w:pPr>
            <w:r w:rsidRPr="00E5087D">
              <w:rPr>
                <w:rFonts w:eastAsia="Times New Roman"/>
                <w:sz w:val="20"/>
                <w:szCs w:val="20"/>
                <w:lang w:eastAsia="zh-CN"/>
              </w:rPr>
              <w:t>Alinta Energy operates a diverse range of power generation assets across Australia, including gas-fired, coal-fired, and renewable energy facilities.</w:t>
            </w:r>
          </w:p>
        </w:tc>
      </w:tr>
      <w:tr w:rsidR="005F6D5E" w:rsidRPr="00E5087D" w14:paraId="3FA557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19D228A" w14:textId="77777777" w:rsidR="005F6D5E" w:rsidRPr="00E5087D" w:rsidRDefault="005F6D5E">
            <w:pPr>
              <w:rPr>
                <w:sz w:val="20"/>
                <w:szCs w:val="20"/>
              </w:rPr>
            </w:pPr>
            <w:r w:rsidRPr="00E5087D">
              <w:rPr>
                <w:sz w:val="20"/>
                <w:szCs w:val="20"/>
              </w:rPr>
              <w:t>ENGIE Australia and New Zealand</w:t>
            </w:r>
          </w:p>
        </w:tc>
        <w:tc>
          <w:tcPr>
            <w:tcW w:w="7315" w:type="dxa"/>
          </w:tcPr>
          <w:p w14:paraId="34430F61"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auto"/>
                <w:sz w:val="20"/>
                <w:szCs w:val="20"/>
                <w:lang w:eastAsia="zh-CN"/>
              </w:rPr>
            </w:pPr>
            <w:r w:rsidRPr="00E5087D">
              <w:rPr>
                <w:rFonts w:eastAsia="Times New Roman"/>
                <w:sz w:val="20"/>
                <w:szCs w:val="20"/>
                <w:lang w:eastAsia="zh-CN"/>
              </w:rPr>
              <w:t>ENGIE Australia &amp; New Zealand - ENGIE operates a number of power plants in Australia, including gas-fired and renewable energy facilities.</w:t>
            </w:r>
          </w:p>
          <w:p w14:paraId="0BB1D0D6" w14:textId="77777777" w:rsidR="005F6D5E" w:rsidRPr="00E5087D" w:rsidRDefault="005F6D5E">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p>
        </w:tc>
      </w:tr>
      <w:tr w:rsidR="005F6D5E" w:rsidRPr="00E5087D" w14:paraId="162B3D33" w14:textId="77777777">
        <w:tc>
          <w:tcPr>
            <w:cnfStyle w:val="001000000000" w:firstRow="0" w:lastRow="0" w:firstColumn="1" w:lastColumn="0" w:oddVBand="0" w:evenVBand="0" w:oddHBand="0" w:evenHBand="0" w:firstRowFirstColumn="0" w:firstRowLastColumn="0" w:lastRowFirstColumn="0" w:lastRowLastColumn="0"/>
            <w:tcW w:w="1701" w:type="dxa"/>
          </w:tcPr>
          <w:p w14:paraId="452D723B" w14:textId="71B72F79" w:rsidR="005F6D5E" w:rsidRPr="00E5087D" w:rsidRDefault="00136299">
            <w:pPr>
              <w:rPr>
                <w:sz w:val="20"/>
                <w:szCs w:val="20"/>
              </w:rPr>
            </w:pPr>
            <w:r>
              <w:rPr>
                <w:rFonts w:eastAsia="Times New Roman"/>
                <w:sz w:val="20"/>
                <w:szCs w:val="20"/>
                <w:lang w:eastAsia="zh-CN"/>
              </w:rPr>
              <w:t>EDL (</w:t>
            </w:r>
            <w:r w:rsidRPr="00E5087D">
              <w:rPr>
                <w:rFonts w:eastAsia="Times New Roman"/>
                <w:sz w:val="20"/>
                <w:szCs w:val="20"/>
                <w:lang w:eastAsia="zh-CN"/>
              </w:rPr>
              <w:t>Energy Developments Limited</w:t>
            </w:r>
            <w:r>
              <w:rPr>
                <w:rFonts w:eastAsia="Times New Roman"/>
                <w:sz w:val="20"/>
                <w:szCs w:val="20"/>
                <w:lang w:eastAsia="zh-CN"/>
              </w:rPr>
              <w:t>)</w:t>
            </w:r>
          </w:p>
        </w:tc>
        <w:tc>
          <w:tcPr>
            <w:tcW w:w="7315" w:type="dxa"/>
          </w:tcPr>
          <w:p w14:paraId="7B841BCB" w14:textId="1BA5377C" w:rsidR="005F6D5E" w:rsidRPr="00E5087D" w:rsidRDefault="005F6D5E">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EDL (Energy Developments Limited) specializes in developing, owning, and operating landfill gas, waste coal mine gas, and natural gas power generation projects in Australia.</w:t>
            </w:r>
          </w:p>
        </w:tc>
      </w:tr>
      <w:tr w:rsidR="005F6D5E" w:rsidRPr="00E5087D" w14:paraId="56940A5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3D78A26" w14:textId="77777777" w:rsidR="005F6D5E" w:rsidRPr="00E5087D" w:rsidRDefault="005F6D5E">
            <w:pPr>
              <w:rPr>
                <w:sz w:val="20"/>
                <w:szCs w:val="20"/>
              </w:rPr>
            </w:pPr>
            <w:r w:rsidRPr="00E5087D">
              <w:rPr>
                <w:sz w:val="20"/>
                <w:szCs w:val="20"/>
              </w:rPr>
              <w:t>Power and Water Corp</w:t>
            </w:r>
          </w:p>
        </w:tc>
        <w:tc>
          <w:tcPr>
            <w:tcW w:w="7315" w:type="dxa"/>
          </w:tcPr>
          <w:p w14:paraId="4EDB8542" w14:textId="5DDCD344" w:rsidR="005F6D5E" w:rsidRPr="00E5087D" w:rsidRDefault="005F6D5E">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zh-CN"/>
              </w:rPr>
            </w:pPr>
            <w:r w:rsidRPr="00E5087D">
              <w:rPr>
                <w:rFonts w:eastAsia="Times New Roman"/>
                <w:sz w:val="20"/>
                <w:szCs w:val="20"/>
                <w:lang w:eastAsia="zh-CN"/>
              </w:rPr>
              <w:t>Runs the power generation in the NT in Darwin, Katherine, Tenant Ck and Alice Springs and Yulara</w:t>
            </w:r>
            <w:r w:rsidR="00627671">
              <w:rPr>
                <w:rFonts w:eastAsia="Times New Roman"/>
                <w:sz w:val="20"/>
                <w:szCs w:val="20"/>
                <w:lang w:eastAsia="zh-CN"/>
              </w:rPr>
              <w:t>.</w:t>
            </w:r>
          </w:p>
        </w:tc>
      </w:tr>
    </w:tbl>
    <w:p w14:paraId="085CC15C" w14:textId="77777777" w:rsidR="005F6D5E" w:rsidRPr="00E5087D" w:rsidRDefault="005F6D5E" w:rsidP="005F6D5E">
      <w:pPr>
        <w:rPr>
          <w:rFonts w:eastAsiaTheme="majorEastAsia" w:cstheme="majorBidi"/>
          <w:b/>
          <w:color w:val="441170" w:themeColor="text2"/>
          <w:sz w:val="26"/>
          <w:szCs w:val="24"/>
        </w:rPr>
      </w:pPr>
      <w:r w:rsidRPr="00E5087D">
        <w:rPr>
          <w:sz w:val="20"/>
          <w:szCs w:val="20"/>
        </w:rPr>
        <w:t>Sources: see endnotes</w:t>
      </w:r>
      <w:r w:rsidRPr="00E5087D">
        <w:rPr>
          <w:rStyle w:val="EndnoteReference"/>
          <w:sz w:val="20"/>
          <w:szCs w:val="20"/>
        </w:rPr>
        <w:endnoteReference w:id="56"/>
      </w:r>
      <w:r w:rsidRPr="00E5087D">
        <w:rPr>
          <w:sz w:val="20"/>
          <w:szCs w:val="20"/>
        </w:rPr>
        <w:t xml:space="preserve">   </w:t>
      </w:r>
      <w:r w:rsidRPr="00E5087D">
        <w:br w:type="page"/>
      </w:r>
    </w:p>
    <w:p w14:paraId="6972AA88" w14:textId="77777777" w:rsidR="005F6D5E" w:rsidRPr="00E5087D" w:rsidRDefault="005F6D5E" w:rsidP="006B054A">
      <w:pPr>
        <w:pStyle w:val="Heading4"/>
        <w:spacing w:before="240" w:after="120" w:line="240" w:lineRule="auto"/>
        <w:rPr>
          <w:color w:val="1192E8" w:themeColor="accent3"/>
        </w:rPr>
      </w:pPr>
      <w:r w:rsidRPr="00E5087D">
        <w:rPr>
          <w:color w:val="1192E8" w:themeColor="accent3"/>
        </w:rPr>
        <w:lastRenderedPageBreak/>
        <w:t>Emissions-intensive sectors</w:t>
      </w:r>
    </w:p>
    <w:p w14:paraId="6F050183" w14:textId="31E4D7DC" w:rsidR="005F6D5E" w:rsidRPr="00E5087D" w:rsidRDefault="005F6D5E" w:rsidP="006B054A">
      <w:pPr>
        <w:spacing w:line="276" w:lineRule="auto"/>
      </w:pPr>
      <w:r w:rsidRPr="00E5087D">
        <w:rPr>
          <w14:numForm w14:val="lining"/>
          <w14:numSpacing w14:val="proportional"/>
        </w:rPr>
        <w:t>The Safeguard mechanism identifies the largest sites responsible for direct emissions (excluding electricity generation). These sites (and the firms that operate them) map to various segments adopted in this report, including transitioning (e.g. Adani Mining Pty Ltd, Anglo Coa</w:t>
      </w:r>
      <w:r w:rsidR="000C5628">
        <w:rPr>
          <w14:numForm w14:val="lining"/>
          <w14:numSpacing w14:val="proportional"/>
        </w:rPr>
        <w:t>l</w:t>
      </w:r>
      <w:r w:rsidRPr="00E5087D">
        <w:rPr>
          <w14:numForm w14:val="lining"/>
          <w14:numSpacing w14:val="proportional"/>
        </w:rPr>
        <w:t>, Centennial), demand – transport (</w:t>
      </w:r>
      <w:r w:rsidR="00AE1CB4" w:rsidRPr="00E5087D">
        <w:rPr>
          <w14:numForm w14:val="lining"/>
          <w14:numSpacing w14:val="proportional"/>
        </w:rPr>
        <w:t>Virgin</w:t>
      </w:r>
      <w:r w:rsidRPr="00E5087D">
        <w:rPr>
          <w14:numForm w14:val="lining"/>
          <w14:numSpacing w14:val="proportional"/>
        </w:rPr>
        <w:t xml:space="preserve"> Australia, Qantas, Aurizon, Toll Holdings), enabling supply chain (aluminium and steel </w:t>
      </w:r>
      <w:r w:rsidR="00AE1CB4" w:rsidRPr="00E5087D">
        <w:rPr>
          <w14:numForm w14:val="lining"/>
          <w14:numSpacing w14:val="proportional"/>
        </w:rPr>
        <w:t>products</w:t>
      </w:r>
      <w:r w:rsidRPr="00E5087D">
        <w:rPr>
          <w14:numForm w14:val="lining"/>
          <w14:numSpacing w14:val="proportional"/>
        </w:rPr>
        <w:t xml:space="preserve"> such as </w:t>
      </w:r>
      <w:r w:rsidR="00AE1CB4" w:rsidRPr="00E5087D">
        <w:rPr>
          <w14:numForm w14:val="lining"/>
          <w14:numSpacing w14:val="proportional"/>
        </w:rPr>
        <w:t>BlueScope</w:t>
      </w:r>
      <w:r w:rsidRPr="00E5087D">
        <w:rPr>
          <w14:numForm w14:val="lining"/>
          <w14:numSpacing w14:val="proportional"/>
        </w:rPr>
        <w:t xml:space="preserve"> and Alcoa) and carbon lifecycle (Veolia). The firms and facilities captured by the safeguard mechanism that align with the emissions intensive sectors are shown in Figure </w:t>
      </w:r>
      <w:r w:rsidR="0061765F">
        <w:rPr>
          <w14:numForm w14:val="lining"/>
          <w14:numSpacing w14:val="proportional"/>
        </w:rPr>
        <w:t>3.</w:t>
      </w:r>
      <w:r w:rsidR="00835DB5">
        <w:rPr>
          <w14:numForm w14:val="lining"/>
          <w14:numSpacing w14:val="proportional"/>
        </w:rPr>
        <w:t>28</w:t>
      </w:r>
      <w:r w:rsidRPr="00E5087D">
        <w:rPr>
          <w14:numForm w14:val="lining"/>
          <w14:numSpacing w14:val="proportional"/>
        </w:rPr>
        <w:t xml:space="preserve">. They </w:t>
      </w:r>
      <w:r w:rsidRPr="00E5087D">
        <w:t>cover cement, fertiliser,</w:t>
      </w:r>
      <w:r w:rsidR="00AE1CB4" w:rsidRPr="00E5087D">
        <w:t xml:space="preserve"> </w:t>
      </w:r>
      <w:r w:rsidRPr="00E5087D">
        <w:t xml:space="preserve">paper polymer and starch production. </w:t>
      </w:r>
    </w:p>
    <w:p w14:paraId="6A657A2E" w14:textId="542B4C0D" w:rsidR="005F6D5E" w:rsidRPr="00E5087D" w:rsidRDefault="005F6D5E" w:rsidP="00444165">
      <w:pPr>
        <w:pBdr>
          <w:top w:val="single" w:sz="4" w:space="6" w:color="BFBFBF" w:themeColor="background1" w:themeShade="BF"/>
        </w:pBdr>
        <w:spacing w:after="120" w:line="240" w:lineRule="auto"/>
        <w:rPr>
          <w:b/>
          <w:bCs/>
        </w:rPr>
      </w:pPr>
      <w:r w:rsidRPr="00E5087D">
        <w:rPr>
          <w:b/>
          <w:bCs/>
        </w:rPr>
        <w:t xml:space="preserve">Figure </w:t>
      </w:r>
      <w:r w:rsidR="0061765F">
        <w:rPr>
          <w:b/>
          <w:bCs/>
        </w:rPr>
        <w:t>3.</w:t>
      </w:r>
      <w:r w:rsidR="00835DB5">
        <w:rPr>
          <w:b/>
          <w:bCs/>
        </w:rPr>
        <w:t>28</w:t>
      </w:r>
      <w:r w:rsidR="009E6F85" w:rsidRPr="00E5087D">
        <w:rPr>
          <w:b/>
          <w:bCs/>
        </w:rPr>
        <w:t>.</w:t>
      </w:r>
      <w:r w:rsidRPr="00E5087D">
        <w:rPr>
          <w:b/>
          <w:bCs/>
        </w:rPr>
        <w:t xml:space="preserve"> Safeguard mechanism sites and firms (selection) by clean energy segment</w:t>
      </w:r>
    </w:p>
    <w:tbl>
      <w:tblPr>
        <w:tblW w:w="5000" w:type="pct"/>
        <w:tblLook w:val="04A0" w:firstRow="1" w:lastRow="0" w:firstColumn="1" w:lastColumn="0" w:noHBand="0" w:noVBand="1"/>
      </w:tblPr>
      <w:tblGrid>
        <w:gridCol w:w="4815"/>
        <w:gridCol w:w="3260"/>
        <w:gridCol w:w="941"/>
      </w:tblGrid>
      <w:tr w:rsidR="005F6D5E" w:rsidRPr="00E5087D" w14:paraId="450D9392" w14:textId="77777777">
        <w:tc>
          <w:tcPr>
            <w:tcW w:w="2670" w:type="pct"/>
            <w:tcBorders>
              <w:top w:val="single" w:sz="4" w:space="0" w:color="C0C2C4"/>
              <w:left w:val="single" w:sz="4" w:space="0" w:color="C0C2C4"/>
              <w:bottom w:val="single" w:sz="4" w:space="0" w:color="C0C2C4"/>
              <w:right w:val="single" w:sz="4" w:space="0" w:color="C0C2C4"/>
            </w:tcBorders>
            <w:shd w:val="clear" w:color="000000" w:fill="005874"/>
            <w:vAlign w:val="center"/>
            <w:hideMark/>
          </w:tcPr>
          <w:p w14:paraId="520D2142" w14:textId="77777777" w:rsidR="005F6D5E" w:rsidRPr="00E5087D" w:rsidRDefault="005F6D5E">
            <w:pPr>
              <w:spacing w:after="0" w:line="240" w:lineRule="auto"/>
              <w:jc w:val="center"/>
              <w:rPr>
                <w:rFonts w:asciiTheme="majorHAnsi" w:eastAsia="Times New Roman" w:hAnsiTheme="majorHAnsi" w:cstheme="majorHAnsi"/>
                <w:b/>
                <w:bCs/>
                <w:color w:val="FFFFFF"/>
                <w:lang w:eastAsia="en-AU"/>
              </w:rPr>
            </w:pPr>
            <w:r w:rsidRPr="00E5087D">
              <w:rPr>
                <w:rFonts w:asciiTheme="majorHAnsi" w:eastAsia="Times New Roman" w:hAnsiTheme="majorHAnsi" w:cstheme="majorHAnsi"/>
                <w:b/>
                <w:bCs/>
                <w:color w:val="FFFFFF"/>
                <w:lang w:eastAsia="en-AU"/>
              </w:rPr>
              <w:t>Responsible emitter</w:t>
            </w:r>
          </w:p>
        </w:tc>
        <w:tc>
          <w:tcPr>
            <w:tcW w:w="1808" w:type="pct"/>
            <w:tcBorders>
              <w:top w:val="single" w:sz="4" w:space="0" w:color="C0C2C4"/>
              <w:left w:val="single" w:sz="4" w:space="0" w:color="C0C2C4"/>
              <w:bottom w:val="single" w:sz="4" w:space="0" w:color="C0C2C4"/>
              <w:right w:val="single" w:sz="4" w:space="0" w:color="C0C2C4"/>
            </w:tcBorders>
            <w:shd w:val="clear" w:color="000000" w:fill="005874"/>
            <w:vAlign w:val="center"/>
            <w:hideMark/>
          </w:tcPr>
          <w:p w14:paraId="5CC1C60E" w14:textId="77777777" w:rsidR="005F6D5E" w:rsidRPr="00E5087D" w:rsidRDefault="005F6D5E">
            <w:pPr>
              <w:spacing w:after="0" w:line="240" w:lineRule="auto"/>
              <w:jc w:val="center"/>
              <w:rPr>
                <w:rFonts w:asciiTheme="majorHAnsi" w:eastAsia="Times New Roman" w:hAnsiTheme="majorHAnsi" w:cstheme="majorHAnsi"/>
                <w:b/>
                <w:bCs/>
                <w:color w:val="FFFFFF"/>
                <w:lang w:eastAsia="en-AU"/>
              </w:rPr>
            </w:pPr>
            <w:r w:rsidRPr="00E5087D">
              <w:rPr>
                <w:rFonts w:asciiTheme="majorHAnsi" w:eastAsia="Times New Roman" w:hAnsiTheme="majorHAnsi" w:cstheme="majorHAnsi"/>
                <w:b/>
                <w:bCs/>
                <w:color w:val="FFFFFF"/>
                <w:lang w:eastAsia="en-AU"/>
              </w:rPr>
              <w:t>Facility name</w:t>
            </w:r>
          </w:p>
        </w:tc>
        <w:tc>
          <w:tcPr>
            <w:tcW w:w="522" w:type="pct"/>
            <w:tcBorders>
              <w:top w:val="single" w:sz="4" w:space="0" w:color="C0C2C4"/>
              <w:left w:val="single" w:sz="4" w:space="0" w:color="C0C2C4"/>
              <w:bottom w:val="single" w:sz="4" w:space="0" w:color="C0C2C4"/>
              <w:right w:val="single" w:sz="4" w:space="0" w:color="C0C2C4"/>
            </w:tcBorders>
            <w:shd w:val="clear" w:color="000000" w:fill="005874"/>
            <w:vAlign w:val="center"/>
            <w:hideMark/>
          </w:tcPr>
          <w:p w14:paraId="10D7E234" w14:textId="77777777" w:rsidR="005F6D5E" w:rsidRPr="00E5087D" w:rsidRDefault="005F6D5E">
            <w:pPr>
              <w:spacing w:after="0" w:line="240" w:lineRule="auto"/>
              <w:jc w:val="center"/>
              <w:rPr>
                <w:rFonts w:asciiTheme="majorHAnsi" w:eastAsia="Times New Roman" w:hAnsiTheme="majorHAnsi" w:cstheme="majorHAnsi"/>
                <w:b/>
                <w:bCs/>
                <w:color w:val="FFFFFF"/>
                <w:lang w:eastAsia="en-AU"/>
              </w:rPr>
            </w:pPr>
            <w:r w:rsidRPr="00E5087D">
              <w:rPr>
                <w:rFonts w:asciiTheme="majorHAnsi" w:eastAsia="Times New Roman" w:hAnsiTheme="majorHAnsi" w:cstheme="majorHAnsi"/>
                <w:b/>
                <w:bCs/>
                <w:color w:val="FFFFFF"/>
                <w:lang w:eastAsia="en-AU"/>
              </w:rPr>
              <w:t xml:space="preserve">State </w:t>
            </w:r>
          </w:p>
        </w:tc>
      </w:tr>
      <w:tr w:rsidR="005F6D5E" w:rsidRPr="00E5087D" w14:paraId="5B45ADD3"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4E3281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09861BA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Angaston Operations</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78E09875"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SA</w:t>
            </w:r>
          </w:p>
        </w:tc>
      </w:tr>
      <w:tr w:rsidR="005F6D5E" w:rsidRPr="00E5087D" w14:paraId="1AE7C4B0"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1B2A521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419C1F6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Birkenhead Operations</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1D6DDDE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SA</w:t>
            </w:r>
          </w:p>
        </w:tc>
      </w:tr>
      <w:tr w:rsidR="005F6D5E" w:rsidRPr="00E5087D" w14:paraId="690C2620"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48714384"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3C3805E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Cockburn Operations</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4C475EC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WA</w:t>
            </w:r>
          </w:p>
        </w:tc>
      </w:tr>
      <w:tr w:rsidR="005F6D5E" w:rsidRPr="00E5087D" w14:paraId="30159F1A"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121F830D"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ADBRI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5DF3530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Dongara Operations</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5AC4199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WA</w:t>
            </w:r>
          </w:p>
        </w:tc>
      </w:tr>
      <w:tr w:rsidR="005F6D5E" w:rsidRPr="00E5087D" w14:paraId="5262DF2C"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4885709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CEMENT AUSTRALIA (GOLIATH) PTY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423D9AB6"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Railton</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50651EF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TAS</w:t>
            </w:r>
          </w:p>
        </w:tc>
      </w:tr>
      <w:tr w:rsidR="005F6D5E" w:rsidRPr="00E5087D" w14:paraId="2324FA8B"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6188037"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CEMENT AUSTRALIA (QUEENSLAND) PTY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64FB80A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Fisherman's Landing</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1F83ECED"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QLD</w:t>
            </w:r>
          </w:p>
        </w:tc>
      </w:tr>
      <w:tr w:rsidR="005F6D5E" w:rsidRPr="00E5087D" w14:paraId="1BCD8C07"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5CAC740C"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Kimberly-Clark Australia Pty. Limited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5EECCA1F"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Millicent Mill</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3D12F854"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SA</w:t>
            </w:r>
          </w:p>
        </w:tc>
      </w:tr>
      <w:tr w:rsidR="005F6D5E" w:rsidRPr="00E5087D" w14:paraId="0AA67713"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781B665"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Norske Skog Paper Mills (Australia) Limited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063F0FF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Norske Skog Boyer Mill</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3C54575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TAS</w:t>
            </w:r>
          </w:p>
        </w:tc>
      </w:tr>
      <w:tr w:rsidR="005F6D5E" w:rsidRPr="00E5087D" w14:paraId="6BC549BF"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2F32D3A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ORICA AUSTRALIA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4BEF10B3"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Yarwun Nitrates</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2D608B1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QLD</w:t>
            </w:r>
          </w:p>
        </w:tc>
      </w:tr>
      <w:tr w:rsidR="005F6D5E" w:rsidRPr="00E5087D" w14:paraId="2272A8A5"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0AAB1468"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PAPER AUSTRALIA PTY LTD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603AA289"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Opal Australian Paper Maryvale Mill</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447A49E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VIC</w:t>
            </w:r>
          </w:p>
        </w:tc>
      </w:tr>
      <w:tr w:rsidR="005F6D5E" w:rsidRPr="00E5087D" w14:paraId="2A9F9F8F"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23BC877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12A61C61"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Altona Manufacturing</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099B6C8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VIC</w:t>
            </w:r>
          </w:p>
        </w:tc>
      </w:tr>
      <w:tr w:rsidR="005F6D5E" w:rsidRPr="00E5087D" w14:paraId="72E39ECC"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48B8F7F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PTY LTD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7B0E3983"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Qenos Botany Manufacturing</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6BC154E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NSW</w:t>
            </w:r>
          </w:p>
        </w:tc>
      </w:tr>
      <w:tr w:rsidR="005F6D5E" w:rsidRPr="00E5087D" w14:paraId="10E8431D"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214FF9D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Queensland Nitrates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142F643A"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Queensland Nitrates Ammonium Nitrate Plant</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7924B95E"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QLD</w:t>
            </w:r>
          </w:p>
        </w:tc>
      </w:tr>
      <w:tr w:rsidR="005F6D5E" w:rsidRPr="00E5087D" w14:paraId="16BACECA"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39635BAB"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Shoalhaven Starches Pty Ltd</w:t>
            </w:r>
          </w:p>
        </w:tc>
        <w:tc>
          <w:tcPr>
            <w:tcW w:w="1808" w:type="pct"/>
            <w:tcBorders>
              <w:top w:val="single" w:sz="4" w:space="0" w:color="C0C2C4"/>
              <w:left w:val="single" w:sz="4" w:space="0" w:color="C0C2C4"/>
              <w:bottom w:val="single" w:sz="4" w:space="0" w:color="C0C2C4"/>
              <w:right w:val="single" w:sz="4" w:space="0" w:color="C0C2C4"/>
            </w:tcBorders>
            <w:shd w:val="clear" w:color="auto" w:fill="auto"/>
            <w:hideMark/>
          </w:tcPr>
          <w:p w14:paraId="33C0887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Nowra Plant</w:t>
            </w:r>
          </w:p>
        </w:tc>
        <w:tc>
          <w:tcPr>
            <w:tcW w:w="522" w:type="pct"/>
            <w:tcBorders>
              <w:top w:val="single" w:sz="4" w:space="0" w:color="C0C2C4"/>
              <w:left w:val="single" w:sz="4" w:space="0" w:color="C0C2C4"/>
              <w:bottom w:val="single" w:sz="4" w:space="0" w:color="C0C2C4"/>
              <w:right w:val="single" w:sz="4" w:space="0" w:color="C0C2C4"/>
            </w:tcBorders>
            <w:shd w:val="clear" w:color="auto" w:fill="auto"/>
            <w:noWrap/>
            <w:hideMark/>
          </w:tcPr>
          <w:p w14:paraId="7C3EF7F1"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NSW</w:t>
            </w:r>
          </w:p>
        </w:tc>
      </w:tr>
      <w:tr w:rsidR="005F6D5E" w:rsidRPr="00E5087D" w14:paraId="01BDA799" w14:textId="77777777">
        <w:tc>
          <w:tcPr>
            <w:tcW w:w="2670" w:type="pct"/>
            <w:tcBorders>
              <w:top w:val="single" w:sz="4" w:space="0" w:color="C0C2C4"/>
              <w:left w:val="single" w:sz="4" w:space="0" w:color="C0C2C4"/>
              <w:bottom w:val="single" w:sz="4" w:space="0" w:color="C0C2C4"/>
              <w:right w:val="single" w:sz="4" w:space="0" w:color="C0C2C4"/>
            </w:tcBorders>
            <w:shd w:val="clear" w:color="000000" w:fill="D5D6D4"/>
            <w:hideMark/>
          </w:tcPr>
          <w:p w14:paraId="179BE723"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Yara Pilbara Fertilisers Pty Ltd</w:t>
            </w:r>
          </w:p>
        </w:tc>
        <w:tc>
          <w:tcPr>
            <w:tcW w:w="1808" w:type="pct"/>
            <w:tcBorders>
              <w:top w:val="single" w:sz="4" w:space="0" w:color="C0C2C4"/>
              <w:left w:val="single" w:sz="4" w:space="0" w:color="C0C2C4"/>
              <w:bottom w:val="single" w:sz="4" w:space="0" w:color="C0C2C4"/>
              <w:right w:val="single" w:sz="4" w:space="0" w:color="C0C2C4"/>
            </w:tcBorders>
            <w:shd w:val="clear" w:color="000000" w:fill="E8E9E7"/>
            <w:hideMark/>
          </w:tcPr>
          <w:p w14:paraId="52FEF5B1"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YPF AMMONIA PLANT</w:t>
            </w:r>
          </w:p>
        </w:tc>
        <w:tc>
          <w:tcPr>
            <w:tcW w:w="522" w:type="pct"/>
            <w:tcBorders>
              <w:top w:val="single" w:sz="4" w:space="0" w:color="C0C2C4"/>
              <w:left w:val="single" w:sz="4" w:space="0" w:color="C0C2C4"/>
              <w:bottom w:val="single" w:sz="4" w:space="0" w:color="C0C2C4"/>
              <w:right w:val="single" w:sz="4" w:space="0" w:color="C0C2C4"/>
            </w:tcBorders>
            <w:shd w:val="clear" w:color="000000" w:fill="E8E9E7"/>
            <w:noWrap/>
            <w:hideMark/>
          </w:tcPr>
          <w:p w14:paraId="1A246830" w14:textId="77777777" w:rsidR="005F6D5E" w:rsidRPr="00E5087D" w:rsidRDefault="005F6D5E">
            <w:pPr>
              <w:spacing w:after="0" w:line="240" w:lineRule="auto"/>
              <w:rPr>
                <w:rFonts w:asciiTheme="majorHAnsi" w:eastAsia="Times New Roman" w:hAnsiTheme="majorHAnsi" w:cstheme="majorHAnsi"/>
                <w:color w:val="auto"/>
                <w:lang w:eastAsia="en-AU"/>
              </w:rPr>
            </w:pPr>
            <w:r w:rsidRPr="00E5087D">
              <w:rPr>
                <w:rFonts w:asciiTheme="majorHAnsi" w:eastAsia="Times New Roman" w:hAnsiTheme="majorHAnsi" w:cstheme="majorHAnsi"/>
                <w:color w:val="auto"/>
                <w:lang w:eastAsia="en-AU"/>
              </w:rPr>
              <w:t>WA</w:t>
            </w:r>
          </w:p>
        </w:tc>
      </w:tr>
    </w:tbl>
    <w:p w14:paraId="3B78B45E" w14:textId="77777777" w:rsidR="005F6D5E" w:rsidRPr="00E5087D" w:rsidRDefault="005F6D5E" w:rsidP="005F6D5E">
      <w:pPr>
        <w:rPr>
          <w:rFonts w:eastAsiaTheme="majorEastAsia" w:cstheme="majorBidi"/>
          <w:b/>
          <w:sz w:val="32"/>
          <w:szCs w:val="26"/>
        </w:rPr>
      </w:pPr>
      <w:r w:rsidRPr="00E5087D">
        <w:br w:type="page"/>
      </w:r>
    </w:p>
    <w:p w14:paraId="20AC44C7" w14:textId="77777777" w:rsidR="005F6D5E" w:rsidRPr="00E5087D" w:rsidRDefault="005F6D5E" w:rsidP="00AE1CB4">
      <w:pPr>
        <w:pStyle w:val="Heading3"/>
      </w:pPr>
      <w:r w:rsidRPr="00E5087D">
        <w:lastRenderedPageBreak/>
        <w:t>Coordination across segments</w:t>
      </w:r>
    </w:p>
    <w:p w14:paraId="0BD75CD7" w14:textId="77777777" w:rsidR="005F6D5E" w:rsidRPr="00E5087D" w:rsidRDefault="005F6D5E" w:rsidP="006B054A">
      <w:pPr>
        <w:pStyle w:val="Heading4"/>
        <w:spacing w:before="240" w:after="120" w:line="240" w:lineRule="auto"/>
        <w:rPr>
          <w:color w:val="1192E8" w:themeColor="accent3"/>
        </w:rPr>
      </w:pPr>
      <w:r w:rsidRPr="00E5087D">
        <w:rPr>
          <w:color w:val="1192E8" w:themeColor="accent3"/>
        </w:rPr>
        <w:t>Industry associations</w:t>
      </w:r>
    </w:p>
    <w:p w14:paraId="60114FB6" w14:textId="77777777" w:rsidR="005F6D5E" w:rsidRPr="00E5087D" w:rsidRDefault="005F6D5E" w:rsidP="006B054A">
      <w:pPr>
        <w:spacing w:after="120" w:line="276" w:lineRule="auto"/>
        <w:rPr>
          <w14:numForm w14:val="lining"/>
          <w14:numSpacing w14:val="proportional"/>
        </w:rPr>
      </w:pPr>
      <w:r w:rsidRPr="00E5087D">
        <w:rPr>
          <w14:numForm w14:val="lining"/>
          <w14:numSpacing w14:val="proportional"/>
        </w:rPr>
        <w:t>Many of the clean energy firms identified in this chapter are active participants in industry associations. These associations play an important role in:</w:t>
      </w:r>
    </w:p>
    <w:p w14:paraId="132BEE62" w14:textId="40630949" w:rsidR="005F6D5E" w:rsidRPr="00E5087D" w:rsidRDefault="7F833D68" w:rsidP="00F25595">
      <w:pPr>
        <w:pStyle w:val="ListParagraph"/>
        <w:numPr>
          <w:ilvl w:val="0"/>
          <w:numId w:val="19"/>
        </w:numPr>
        <w:spacing w:line="276" w:lineRule="auto"/>
      </w:pPr>
      <w:r w:rsidRPr="00E5087D">
        <w:rPr>
          <w14:numForm w14:val="lining"/>
          <w14:numSpacing w14:val="proportional"/>
        </w:rPr>
        <w:t>i</w:t>
      </w:r>
      <w:r w:rsidR="23CD0001" w:rsidRPr="00E5087D">
        <w:rPr>
          <w14:numForm w14:val="lining"/>
          <w14:numSpacing w14:val="proportional"/>
        </w:rPr>
        <w:t>ncreasing the profile of clean energy</w:t>
      </w:r>
    </w:p>
    <w:p w14:paraId="1764E358" w14:textId="3267F968" w:rsidR="005F6D5E" w:rsidRPr="00E5087D" w:rsidRDefault="3C0DAE8B" w:rsidP="00F25595">
      <w:pPr>
        <w:pStyle w:val="ListParagraph"/>
        <w:numPr>
          <w:ilvl w:val="0"/>
          <w:numId w:val="19"/>
        </w:numPr>
        <w:spacing w:line="276" w:lineRule="auto"/>
      </w:pPr>
      <w:r w:rsidRPr="00E5087D">
        <w:rPr>
          <w14:numForm w14:val="lining"/>
          <w14:numSpacing w14:val="proportional"/>
        </w:rPr>
        <w:t>c</w:t>
      </w:r>
      <w:r w:rsidR="23CD0001" w:rsidRPr="00E5087D">
        <w:rPr>
          <w14:numForm w14:val="lining"/>
          <w14:numSpacing w14:val="proportional"/>
        </w:rPr>
        <w:t>oordinating across industry segments</w:t>
      </w:r>
    </w:p>
    <w:p w14:paraId="14727439" w14:textId="36D92198" w:rsidR="005F6D5E" w:rsidRPr="00E5087D" w:rsidRDefault="0B0FB059" w:rsidP="00F25595">
      <w:pPr>
        <w:pStyle w:val="ListParagraph"/>
        <w:numPr>
          <w:ilvl w:val="0"/>
          <w:numId w:val="19"/>
        </w:numPr>
        <w:spacing w:line="276" w:lineRule="auto"/>
      </w:pPr>
      <w:r w:rsidRPr="00E5087D">
        <w:rPr>
          <w14:numForm w14:val="lining"/>
          <w14:numSpacing w14:val="proportional"/>
        </w:rPr>
        <w:t>s</w:t>
      </w:r>
      <w:r w:rsidR="23CD0001" w:rsidRPr="00E5087D">
        <w:rPr>
          <w14:numForm w14:val="lining"/>
          <w14:numSpacing w14:val="proportional"/>
        </w:rPr>
        <w:t>ponsoring strategies to develop a sustainable and diverse clean energy workforce</w:t>
      </w:r>
    </w:p>
    <w:p w14:paraId="05E16C9A" w14:textId="3DE61EC7" w:rsidR="005F6D5E" w:rsidRPr="00E5087D" w:rsidRDefault="43F4DB6E" w:rsidP="00F25595">
      <w:pPr>
        <w:pStyle w:val="ListParagraph"/>
        <w:numPr>
          <w:ilvl w:val="0"/>
          <w:numId w:val="19"/>
        </w:numPr>
        <w:spacing w:line="276" w:lineRule="auto"/>
      </w:pPr>
      <w:r w:rsidRPr="00E5087D">
        <w:rPr>
          <w14:numForm w14:val="lining"/>
          <w14:numSpacing w14:val="proportional"/>
        </w:rPr>
        <w:t>f</w:t>
      </w:r>
      <w:r w:rsidR="23CD0001" w:rsidRPr="00E5087D">
        <w:rPr>
          <w14:numForm w14:val="lining"/>
          <w14:numSpacing w14:val="proportional"/>
        </w:rPr>
        <w:t>ostering training pathways and workforce development approaches, including accrediting courses</w:t>
      </w:r>
      <w:r w:rsidR="46733C31" w:rsidRPr="00E5087D">
        <w:rPr>
          <w14:numForm w14:val="lining"/>
          <w14:numSpacing w14:val="proportional"/>
        </w:rPr>
        <w:t>.</w:t>
      </w:r>
    </w:p>
    <w:p w14:paraId="341004C5" w14:textId="0F2D8F3C" w:rsidR="005F6D5E" w:rsidRPr="00E5087D" w:rsidRDefault="005F6D5E" w:rsidP="006B054A">
      <w:pPr>
        <w:spacing w:line="276" w:lineRule="auto"/>
        <w:rPr>
          <w14:numForm w14:val="lining"/>
          <w14:numSpacing w14:val="proportional"/>
        </w:rPr>
      </w:pPr>
      <w:r w:rsidRPr="00E5087D">
        <w:rPr>
          <w14:numForm w14:val="lining"/>
          <w14:numSpacing w14:val="proportional"/>
        </w:rPr>
        <w:t xml:space="preserve">A selection of active industry associations are captured in Figure </w:t>
      </w:r>
      <w:r w:rsidR="0061765F">
        <w:rPr>
          <w14:numForm w14:val="lining"/>
          <w14:numSpacing w14:val="proportional"/>
        </w:rPr>
        <w:t>3.</w:t>
      </w:r>
      <w:r w:rsidR="000A31CE">
        <w:rPr>
          <w14:numForm w14:val="lining"/>
          <w14:numSpacing w14:val="proportional"/>
        </w:rPr>
        <w:t>29</w:t>
      </w:r>
      <w:r w:rsidR="006B054A" w:rsidRPr="00E5087D">
        <w:rPr>
          <w14:numForm w14:val="lining"/>
          <w14:numSpacing w14:val="proportional"/>
        </w:rPr>
        <w:t>.</w:t>
      </w:r>
    </w:p>
    <w:p w14:paraId="6593D594" w14:textId="0E4D2F73" w:rsidR="005F6D5E" w:rsidRPr="00E5087D" w:rsidRDefault="005F6D5E" w:rsidP="00444165">
      <w:pPr>
        <w:pBdr>
          <w:top w:val="single" w:sz="4" w:space="6" w:color="BFBFBF" w:themeColor="background1" w:themeShade="BF"/>
        </w:pBdr>
        <w:spacing w:after="120" w:line="240" w:lineRule="auto"/>
        <w:rPr>
          <w:b/>
          <w:bCs/>
        </w:rPr>
      </w:pPr>
      <w:r w:rsidRPr="00E5087D">
        <w:rPr>
          <w:b/>
          <w:bCs/>
        </w:rPr>
        <w:t xml:space="preserve">Figure </w:t>
      </w:r>
      <w:r w:rsidR="0061765F">
        <w:rPr>
          <w:b/>
          <w:bCs/>
        </w:rPr>
        <w:t>3.</w:t>
      </w:r>
      <w:r w:rsidR="000A31CE">
        <w:rPr>
          <w:b/>
          <w:bCs/>
        </w:rPr>
        <w:t>29</w:t>
      </w:r>
      <w:r w:rsidR="009E6F85" w:rsidRPr="00E5087D">
        <w:rPr>
          <w:b/>
          <w:bCs/>
        </w:rPr>
        <w:t>.</w:t>
      </w:r>
      <w:r w:rsidRPr="00E5087D">
        <w:rPr>
          <w:b/>
          <w:bCs/>
        </w:rPr>
        <w:t xml:space="preserve"> Clean energy industry associations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F6D5E" w:rsidRPr="00E5087D" w14:paraId="2950E41F" w14:textId="77777777">
        <w:tc>
          <w:tcPr>
            <w:tcW w:w="3005" w:type="dxa"/>
            <w:shd w:val="clear" w:color="auto" w:fill="78821A" w:themeFill="background2" w:themeFillShade="80"/>
          </w:tcPr>
          <w:p w14:paraId="73756AB3" w14:textId="77777777" w:rsidR="005F6D5E" w:rsidRPr="00E5087D" w:rsidRDefault="005F6D5E">
            <w:pPr>
              <w:rPr>
                <w:b/>
                <w:color w:val="FFFFFF" w:themeColor="background1"/>
              </w:rPr>
            </w:pPr>
            <w:r w:rsidRPr="00E5087D">
              <w:rPr>
                <w:b/>
                <w:color w:val="FFFFFF" w:themeColor="background1"/>
              </w:rPr>
              <w:t>Broad membership</w:t>
            </w:r>
          </w:p>
        </w:tc>
        <w:tc>
          <w:tcPr>
            <w:tcW w:w="3005" w:type="dxa"/>
            <w:shd w:val="clear" w:color="auto" w:fill="9F040C" w:themeFill="accent5" w:themeFillShade="80"/>
          </w:tcPr>
          <w:p w14:paraId="7A8B505B" w14:textId="77777777" w:rsidR="005F6D5E" w:rsidRPr="00E5087D" w:rsidRDefault="005F6D5E">
            <w:pPr>
              <w:rPr>
                <w:b/>
                <w:color w:val="FFFFFF" w:themeColor="background1"/>
              </w:rPr>
            </w:pPr>
            <w:r w:rsidRPr="00E5087D">
              <w:rPr>
                <w:b/>
                <w:color w:val="FFFFFF" w:themeColor="background1"/>
              </w:rPr>
              <w:t>Clean energy focused</w:t>
            </w:r>
          </w:p>
        </w:tc>
        <w:tc>
          <w:tcPr>
            <w:tcW w:w="3006" w:type="dxa"/>
            <w:shd w:val="clear" w:color="auto" w:fill="341462" w:themeFill="accent1" w:themeFillShade="80"/>
          </w:tcPr>
          <w:p w14:paraId="4D96B2A9" w14:textId="77777777" w:rsidR="005F6D5E" w:rsidRPr="00E5087D" w:rsidRDefault="005F6D5E">
            <w:pPr>
              <w:rPr>
                <w:b/>
                <w:color w:val="FFFFFF" w:themeColor="background1"/>
              </w:rPr>
            </w:pPr>
            <w:r w:rsidRPr="00E5087D">
              <w:rPr>
                <w:b/>
                <w:color w:val="FFFFFF" w:themeColor="background1"/>
              </w:rPr>
              <w:t>Sector focused</w:t>
            </w:r>
          </w:p>
        </w:tc>
      </w:tr>
      <w:tr w:rsidR="005F6D5E" w:rsidRPr="00E5087D" w14:paraId="7B7DDE25" w14:textId="77777777">
        <w:tc>
          <w:tcPr>
            <w:tcW w:w="3005" w:type="dxa"/>
            <w:shd w:val="clear" w:color="auto" w:fill="B4C227" w:themeFill="background2" w:themeFillShade="BF"/>
          </w:tcPr>
          <w:p w14:paraId="1F4C543A" w14:textId="77777777" w:rsidR="005F6D5E" w:rsidRPr="00E5087D" w:rsidRDefault="005F6D5E">
            <w:pPr>
              <w:spacing w:before="40" w:after="40"/>
              <w:rPr>
                <w:i/>
              </w:rPr>
            </w:pPr>
            <w:r w:rsidRPr="00E5087D">
              <w:rPr>
                <w:i/>
                <w:color w:val="FFFFFF" w:themeColor="background1"/>
              </w:rPr>
              <w:t>Open to membership across multiple industry segments but promoting decarbonisation</w:t>
            </w:r>
          </w:p>
        </w:tc>
        <w:tc>
          <w:tcPr>
            <w:tcW w:w="3005" w:type="dxa"/>
            <w:shd w:val="clear" w:color="auto" w:fill="ED0612" w:themeFill="accent5" w:themeFillShade="BF"/>
          </w:tcPr>
          <w:p w14:paraId="4E47FC2D" w14:textId="77777777" w:rsidR="005F6D5E" w:rsidRPr="00E5087D" w:rsidRDefault="005F6D5E">
            <w:pPr>
              <w:spacing w:before="40" w:after="40"/>
              <w:rPr>
                <w:i/>
                <w:color w:val="FFFFFF" w:themeColor="background1"/>
              </w:rPr>
            </w:pPr>
            <w:r w:rsidRPr="00E5087D">
              <w:rPr>
                <w:i/>
                <w:color w:val="FFFFFF" w:themeColor="background1"/>
              </w:rPr>
              <w:t>Specifically focused on clean energy</w:t>
            </w:r>
          </w:p>
        </w:tc>
        <w:tc>
          <w:tcPr>
            <w:tcW w:w="3006" w:type="dxa"/>
            <w:shd w:val="clear" w:color="auto" w:fill="4E1E92" w:themeFill="accent1" w:themeFillShade="BF"/>
          </w:tcPr>
          <w:p w14:paraId="3AA232A6" w14:textId="77777777" w:rsidR="005F6D5E" w:rsidRPr="00E5087D" w:rsidRDefault="005F6D5E">
            <w:pPr>
              <w:spacing w:before="40" w:after="40"/>
              <w:rPr>
                <w:i/>
                <w:color w:val="FFFFFF" w:themeColor="background1"/>
              </w:rPr>
            </w:pPr>
            <w:r w:rsidRPr="00E5087D">
              <w:rPr>
                <w:i/>
                <w:color w:val="FFFFFF" w:themeColor="background1"/>
              </w:rPr>
              <w:t>Focused on decarbonization aspects of specific segments or sectors.</w:t>
            </w:r>
          </w:p>
        </w:tc>
      </w:tr>
      <w:tr w:rsidR="005F6D5E" w:rsidRPr="00E5087D" w14:paraId="1D03031C" w14:textId="77777777">
        <w:tc>
          <w:tcPr>
            <w:tcW w:w="3005" w:type="dxa"/>
            <w:shd w:val="clear" w:color="auto" w:fill="F5F8DD" w:themeFill="background2" w:themeFillTint="33"/>
          </w:tcPr>
          <w:p w14:paraId="26C03B76" w14:textId="77777777" w:rsidR="005F6D5E" w:rsidRPr="00E5087D" w:rsidRDefault="005F6D5E" w:rsidP="00F25595">
            <w:pPr>
              <w:pStyle w:val="ListParagraph"/>
              <w:numPr>
                <w:ilvl w:val="0"/>
                <w:numId w:val="26"/>
              </w:numPr>
              <w:spacing w:before="80" w:after="80"/>
              <w:ind w:left="263" w:hanging="226"/>
              <w:contextualSpacing w:val="0"/>
            </w:pPr>
            <w:r w:rsidRPr="00E5087D">
              <w:t>Business Council of Australia</w:t>
            </w:r>
          </w:p>
          <w:p w14:paraId="37B5E7D2" w14:textId="77777777" w:rsidR="005F6D5E" w:rsidRPr="00E5087D" w:rsidRDefault="005F6D5E" w:rsidP="00F25595">
            <w:pPr>
              <w:pStyle w:val="ListParagraph"/>
              <w:numPr>
                <w:ilvl w:val="0"/>
                <w:numId w:val="26"/>
              </w:numPr>
              <w:spacing w:before="80" w:after="80"/>
              <w:ind w:left="263" w:hanging="226"/>
              <w:contextualSpacing w:val="0"/>
            </w:pPr>
            <w:r w:rsidRPr="00E5087D">
              <w:t>Ai Group</w:t>
            </w:r>
          </w:p>
          <w:p w14:paraId="588B47D7" w14:textId="77777777" w:rsidR="005F6D5E" w:rsidRPr="00E5087D" w:rsidRDefault="005F6D5E" w:rsidP="00F25595">
            <w:pPr>
              <w:pStyle w:val="ListParagraph"/>
              <w:numPr>
                <w:ilvl w:val="0"/>
                <w:numId w:val="26"/>
              </w:numPr>
              <w:spacing w:before="80" w:after="80"/>
              <w:ind w:left="263" w:hanging="226"/>
              <w:contextualSpacing w:val="0"/>
            </w:pPr>
            <w:r w:rsidRPr="00E5087D">
              <w:t>Australian Chamber of Commerce and Industry</w:t>
            </w:r>
          </w:p>
        </w:tc>
        <w:tc>
          <w:tcPr>
            <w:tcW w:w="3005" w:type="dxa"/>
            <w:shd w:val="clear" w:color="auto" w:fill="FEDBDD" w:themeFill="accent5" w:themeFillTint="33"/>
          </w:tcPr>
          <w:p w14:paraId="724FFA2A" w14:textId="77777777" w:rsidR="005F6D5E" w:rsidRPr="00E5087D" w:rsidRDefault="005F6D5E" w:rsidP="00F25595">
            <w:pPr>
              <w:pStyle w:val="ListParagraph"/>
              <w:numPr>
                <w:ilvl w:val="0"/>
                <w:numId w:val="26"/>
              </w:numPr>
              <w:spacing w:before="80" w:after="80"/>
              <w:ind w:left="263" w:hanging="226"/>
              <w:contextualSpacing w:val="0"/>
            </w:pPr>
            <w:r w:rsidRPr="00E5087D">
              <w:t>Clean Energy Council</w:t>
            </w:r>
          </w:p>
          <w:p w14:paraId="013D0F27" w14:textId="77777777" w:rsidR="005F6D5E" w:rsidRPr="00E5087D" w:rsidRDefault="005F6D5E" w:rsidP="00F25595">
            <w:pPr>
              <w:pStyle w:val="ListParagraph"/>
              <w:numPr>
                <w:ilvl w:val="0"/>
                <w:numId w:val="26"/>
              </w:numPr>
              <w:spacing w:before="80" w:after="80"/>
              <w:ind w:left="263" w:hanging="226"/>
              <w:contextualSpacing w:val="0"/>
            </w:pPr>
            <w:r w:rsidRPr="00E5087D">
              <w:t>Smart Energy Council</w:t>
            </w:r>
          </w:p>
          <w:p w14:paraId="1E7B023E" w14:textId="77777777" w:rsidR="005F6D5E" w:rsidRPr="00E5087D" w:rsidRDefault="005F6D5E">
            <w:pPr>
              <w:spacing w:before="80" w:after="80"/>
              <w:ind w:left="397"/>
            </w:pPr>
          </w:p>
        </w:tc>
        <w:tc>
          <w:tcPr>
            <w:tcW w:w="3006" w:type="dxa"/>
            <w:shd w:val="clear" w:color="auto" w:fill="E0D1F5" w:themeFill="accent1" w:themeFillTint="33"/>
          </w:tcPr>
          <w:p w14:paraId="7011CB67" w14:textId="77777777" w:rsidR="005F6D5E" w:rsidRPr="00E5087D" w:rsidRDefault="005F6D5E" w:rsidP="00F25595">
            <w:pPr>
              <w:pStyle w:val="ListParagraph"/>
              <w:numPr>
                <w:ilvl w:val="0"/>
                <w:numId w:val="26"/>
              </w:numPr>
              <w:spacing w:before="80" w:after="80"/>
              <w:ind w:left="263" w:hanging="226"/>
              <w:contextualSpacing w:val="0"/>
            </w:pPr>
            <w:r w:rsidRPr="00E5087D">
              <w:t xml:space="preserve">Hydrogen Council </w:t>
            </w:r>
          </w:p>
          <w:p w14:paraId="75B533AD" w14:textId="77777777" w:rsidR="005F6D5E" w:rsidRPr="00E5087D" w:rsidRDefault="005F6D5E" w:rsidP="00F25595">
            <w:pPr>
              <w:pStyle w:val="ListParagraph"/>
              <w:numPr>
                <w:ilvl w:val="0"/>
                <w:numId w:val="26"/>
              </w:numPr>
              <w:spacing w:before="80" w:after="80"/>
              <w:ind w:left="263" w:hanging="226"/>
              <w:contextualSpacing w:val="0"/>
            </w:pPr>
            <w:r w:rsidRPr="00E5087D">
              <w:t>Electric Vehicle Council</w:t>
            </w:r>
          </w:p>
          <w:p w14:paraId="438C62D1" w14:textId="77777777" w:rsidR="005F6D5E" w:rsidRPr="00E5087D" w:rsidRDefault="005F6D5E" w:rsidP="00F25595">
            <w:pPr>
              <w:pStyle w:val="ListParagraph"/>
              <w:numPr>
                <w:ilvl w:val="0"/>
                <w:numId w:val="26"/>
              </w:numPr>
              <w:spacing w:before="80" w:after="80"/>
              <w:ind w:left="263" w:hanging="226"/>
              <w:contextualSpacing w:val="0"/>
            </w:pPr>
            <w:r w:rsidRPr="00E5087D">
              <w:t>Bioenergy Australia</w:t>
            </w:r>
          </w:p>
          <w:p w14:paraId="7BB7C636" w14:textId="50D16537" w:rsidR="005F6D5E" w:rsidRPr="00E5087D" w:rsidRDefault="005F6D5E" w:rsidP="00F25595">
            <w:pPr>
              <w:pStyle w:val="ListParagraph"/>
              <w:numPr>
                <w:ilvl w:val="0"/>
                <w:numId w:val="26"/>
              </w:numPr>
              <w:spacing w:before="80" w:after="80"/>
              <w:ind w:left="263" w:hanging="226"/>
              <w:contextualSpacing w:val="0"/>
            </w:pPr>
            <w:r w:rsidRPr="00E5087D">
              <w:t>Circular Australia</w:t>
            </w:r>
          </w:p>
          <w:p w14:paraId="543C0119" w14:textId="77777777" w:rsidR="005F6D5E" w:rsidRPr="00E5087D" w:rsidRDefault="005F6D5E">
            <w:pPr>
              <w:spacing w:before="80" w:after="80"/>
              <w:ind w:left="397"/>
            </w:pPr>
          </w:p>
        </w:tc>
      </w:tr>
    </w:tbl>
    <w:p w14:paraId="7DFCAAC6" w14:textId="77777777" w:rsidR="00D41B7C" w:rsidRDefault="00D41B7C">
      <w:r>
        <w:br w:type="page"/>
      </w:r>
    </w:p>
    <w:p w14:paraId="1931C935" w14:textId="43BE13AB" w:rsidR="00D41B7C" w:rsidRPr="000C61DA" w:rsidRDefault="00D41B7C" w:rsidP="00D41B7C">
      <w:pPr>
        <w:spacing w:after="120" w:line="240" w:lineRule="auto"/>
        <w:ind w:left="283" w:right="170"/>
        <w:rPr>
          <w:rFonts w:eastAsia="Arial" w:cs="Arial"/>
          <w:b/>
          <w:sz w:val="26"/>
          <w:szCs w:val="26"/>
          <w14:numForm w14:val="lining"/>
          <w14:numSpacing w14:val="proportional"/>
        </w:rPr>
      </w:pPr>
      <w:r w:rsidRPr="00E5087D">
        <w:rPr>
          <w:noProof/>
          <w:color w:val="2B579A"/>
          <w:shd w:val="clear" w:color="auto" w:fill="E6E6E6"/>
        </w:rPr>
        <w:lastRenderedPageBreak/>
        <mc:AlternateContent>
          <mc:Choice Requires="wpg">
            <w:drawing>
              <wp:anchor distT="0" distB="0" distL="114300" distR="114300" simplePos="0" relativeHeight="251658281" behindDoc="1" locked="0" layoutInCell="1" allowOverlap="1" wp14:anchorId="5A776B75" wp14:editId="01E260E8">
                <wp:simplePos x="0" y="0"/>
                <wp:positionH relativeFrom="column">
                  <wp:posOffset>-68366</wp:posOffset>
                </wp:positionH>
                <wp:positionV relativeFrom="paragraph">
                  <wp:posOffset>-76911</wp:posOffset>
                </wp:positionV>
                <wp:extent cx="5836776" cy="8656890"/>
                <wp:effectExtent l="0" t="0" r="0" b="0"/>
                <wp:wrapNone/>
                <wp:docPr id="1341085351" name="Group 13410853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36776" cy="8656890"/>
                          <a:chOff x="0" y="0"/>
                          <a:chExt cx="5546822" cy="3722400"/>
                        </a:xfrm>
                      </wpg:grpSpPr>
                      <wps:wsp>
                        <wps:cNvPr id="1341085354" name="Rectangle 1341085354"/>
                        <wps:cNvSpPr/>
                        <wps:spPr>
                          <a:xfrm>
                            <a:off x="12068" y="1"/>
                            <a:ext cx="5534754" cy="3722399"/>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78145CF8" w14:textId="77777777" w:rsidR="005D61AA" w:rsidRPr="00D34889" w:rsidRDefault="005D61AA" w:rsidP="00D34889">
                              <w:pPr>
                                <w:spacing w:after="120" w:line="240" w:lineRule="auto"/>
                                <w:rPr>
                                  <w:sz w:val="18"/>
                                  <w:szCs w:val="18"/>
                                  <w:lang w:val="en-US"/>
                                  <w14:numForm w14:val="lining"/>
                                  <w14:numSpacing w14:val="proportional"/>
                                </w:rPr>
                              </w:pPr>
                            </w:p>
                          </w:txbxContent>
                        </wps:txbx>
                        <wps:bodyPr spcFirstLastPara="0" wrap="square" lIns="288000" tIns="72000" rIns="144000" bIns="72000" anchor="t">
                          <a:noAutofit/>
                        </wps:bodyPr>
                      </wps:wsp>
                      <wps:wsp>
                        <wps:cNvPr id="1341085355" name="Rectangle 1341085355"/>
                        <wps:cNvSpPr/>
                        <wps:spPr>
                          <a:xfrm>
                            <a:off x="0" y="0"/>
                            <a:ext cx="133350" cy="3722400"/>
                          </a:xfrm>
                          <a:prstGeom prst="rect">
                            <a:avLst/>
                          </a:prstGeom>
                          <a:solidFill>
                            <a:srgbClr val="A0D3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776B75" id="Group 1341085351" o:spid="_x0000_s1054" alt="&quot;&quot;" style="position:absolute;left:0;text-align:left;margin-left:-5.4pt;margin-top:-6.05pt;width:459.6pt;height:681.65pt;z-index:-251658199" coordsize="55468,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">
                <v:rect id="Rectangle 1341085354" o:spid="_x0000_s1055" style="position:absolute;left:120;width:55348;height:37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" fillcolor="#f2f2f2 [3052]" stroked="f" strokeweight="1pt">
                  <v:textbox inset="8mm,2mm,4mm,2mm">
                    <w:txbxContent>
                      <w:p w14:paraId="78145CF8" w14:textId="77777777" w:rsidR="005D61AA" w:rsidRPr="00D34889" w:rsidRDefault="005D61AA" w:rsidP="00D34889">
                        <w:pPr>
                          <w:spacing w:after="120" w:line="240" w:lineRule="auto"/>
                          <w:rPr>
                            <w:sz w:val="18"/>
                            <w:szCs w:val="18"/>
                            <w:lang w:val="en-US"/>
                            <w14:numForm w14:val="lining"/>
                            <w14:numSpacing w14:val="proportional"/>
                          </w:rPr>
                        </w:pPr>
                      </w:p>
                    </w:txbxContent>
                  </v:textbox>
                </v:rect>
                <v:rect id="Rectangle 1341085355" o:spid="_x0000_s1056" style="position:absolute;width:1333;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" fillcolor="#a0d3f6" stroked="f" strokeweight="1pt"/>
              </v:group>
            </w:pict>
          </mc:Fallback>
        </mc:AlternateContent>
      </w:r>
      <w:r w:rsidRPr="000C61DA">
        <w:rPr>
          <w:rFonts w:eastAsia="Arial" w:cs="Arial"/>
          <w:b/>
          <w:sz w:val="26"/>
          <w:szCs w:val="26"/>
          <w14:numForm w14:val="lining"/>
          <w14:numSpacing w14:val="proportional"/>
        </w:rPr>
        <w:t xml:space="preserve">LinkedIn data indicates there are over 35,000 workers in </w:t>
      </w:r>
      <w:r w:rsidRPr="000C61DA">
        <w:rPr>
          <w:rFonts w:eastAsia="Arial" w:cs="Arial"/>
          <w:b/>
          <w:sz w:val="26"/>
          <w:szCs w:val="26"/>
          <w14:numForm w14:val="lining"/>
          <w14:numSpacing w14:val="proportional"/>
        </w:rPr>
        <w:br/>
        <w:t xml:space="preserve">Australia’s ‘Renewables and Environment’ industry </w:t>
      </w:r>
    </w:p>
    <w:p w14:paraId="2600C155" w14:textId="5291FBBD"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 xml:space="preserve">LinkedIn Talent Insights is a database based on the professional networking site’s 930 million members worldwide and provides ‘real-time’ insights on skills, employers, job titles and industries. The database has some shortcomings when compared with survey or administrative data - it is skewed towards professional roles and is self-reported. However, it is a useful tool to understand the growth of job roles in new industries like clean energy. For example, this year LinkedIn identified the emergence and growth of green skills based on over 160 ‘green skills’. Our analysis focuses on a smaller list of 9 skill areas: Engineering (Renewables &amp; Environment Industry), Batteries, Hydrogen, Solar, Wind, Land Use, Energy performance, Biofuels, and Circular Economy. </w:t>
      </w:r>
    </w:p>
    <w:p w14:paraId="0605B3DF" w14:textId="542C48C7"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 xml:space="preserve">In 2023, there are over 35,000 LinkedIn members based in Australia listed as working in Renewables and Environment Industry. Over 290,000 Australian users listed at least one green skill on their profile; and over 111,000 have one or more of the green skills groups listed. </w:t>
      </w:r>
      <w:bookmarkStart w:id="39" w:name="_Hlk144726647"/>
      <w:r w:rsidRPr="000C61DA">
        <w:rPr>
          <w:rFonts w:ascii="Arial" w:hAnsi="Arial" w:cs="Arial"/>
          <w:color w:val="000000" w:themeColor="text1"/>
          <w14:numForm w14:val="lining"/>
          <w14:numSpacing w14:val="proportional"/>
        </w:rPr>
        <w:t xml:space="preserve">‘Energy performance’ was the biggest skill group for members based in Australia, with almost 19% of green talent holders listing at least one of these skills. Over 5% hold at least one skill in the ‘solar’ skill group.  </w:t>
      </w:r>
    </w:p>
    <w:p w14:paraId="23D22B42" w14:textId="2C0B15A7"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Green skills more broadly are on the rise, up by 8% in the last 12 months</w:t>
      </w:r>
      <w:bookmarkEnd w:id="39"/>
      <w:r w:rsidRPr="000C61DA">
        <w:rPr>
          <w:rFonts w:ascii="Arial" w:hAnsi="Arial" w:cs="Arial"/>
          <w:color w:val="000000" w:themeColor="text1"/>
          <w14:numForm w14:val="lining"/>
          <w14:numSpacing w14:val="proportional"/>
        </w:rPr>
        <w:t xml:space="preserve"> (9% worldwide) and hiring demand is high or very high for all groups. The skills groups with the most growth were hydrogen (72%) and batteries (31%),</w:t>
      </w:r>
      <w:r w:rsidRPr="000C61DA">
        <w:rPr>
          <w:rFonts w:ascii="Arial" w:hAnsi="Arial" w:cs="Arial"/>
          <w:b/>
          <w:bCs/>
          <w:color w:val="000000" w:themeColor="text1"/>
          <w14:numForm w14:val="lining"/>
          <w14:numSpacing w14:val="proportional"/>
        </w:rPr>
        <w:t xml:space="preserve"> </w:t>
      </w:r>
      <w:r w:rsidRPr="000C61DA">
        <w:rPr>
          <w:rFonts w:ascii="Arial" w:hAnsi="Arial" w:cs="Arial"/>
          <w:color w:val="000000" w:themeColor="text1"/>
          <w14:numForm w14:val="lining"/>
          <w14:numSpacing w14:val="proportional"/>
        </w:rPr>
        <w:t xml:space="preserve">reflecting the increased investment in these technologies. </w:t>
      </w:r>
    </w:p>
    <w:p w14:paraId="50D25420" w14:textId="6DA5A998"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 xml:space="preserve">The strongest growth in employment for ‘green skills’ over the last 12 months was in Information Technology &amp; Services (10%), Renewables &amp; Environment (9%) and Civil Engineering (9%). This is despite enabling parts of the clean energy sector like Government Administration, Higher Education and Environmental Services being the largest employing industries. </w:t>
      </w:r>
    </w:p>
    <w:p w14:paraId="2FF21E9A" w14:textId="74E33EB1"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The LinkedIn ‘clean energy’ cohort had a high proportion of male workers (73%), but did differ depending on the skills group. For example, 86% of members with skills in Batteries were male, compared to only 60% of members with skills in the Circular Economy.</w:t>
      </w:r>
    </w:p>
    <w:p w14:paraId="768CBEA7" w14:textId="2A013F17"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The data also shows that the strongest net migration of talent with these skills was from India, with a net increase of almost 270 workers. While a direct comparison cannot be made, it shows some consistency with ABS data which indicates that most overseas born workers in clean energy jobs were born in Southern and Central Asia regions. This is true for most of the skills groups except for Wind skills. Most of these workers have migrated from the United Kingdom where there has been a strong focus on wind energy.</w:t>
      </w:r>
    </w:p>
    <w:p w14:paraId="107AFC2A" w14:textId="33304BC3" w:rsidR="00D41B7C" w:rsidRPr="000C61DA" w:rsidRDefault="00D41B7C" w:rsidP="00D41B7C">
      <w:pPr>
        <w:pStyle w:val="NoSpacing"/>
        <w:spacing w:before="120" w:line="276" w:lineRule="auto"/>
        <w:ind w:left="283" w:right="170"/>
        <w:rPr>
          <w:rFonts w:ascii="Arial" w:hAnsi="Arial" w:cs="Arial"/>
          <w:color w:val="000000" w:themeColor="text1"/>
          <w14:numForm w14:val="lining"/>
          <w14:numSpacing w14:val="proportional"/>
        </w:rPr>
      </w:pPr>
      <w:r w:rsidRPr="000C61DA">
        <w:rPr>
          <w:rFonts w:ascii="Arial" w:hAnsi="Arial" w:cs="Arial"/>
          <w:color w:val="000000" w:themeColor="text1"/>
          <w14:numForm w14:val="lining"/>
          <w14:numSpacing w14:val="proportional"/>
        </w:rPr>
        <w:t>The most common green skills groups were Engineering, Sustainability and Renewable Energy. The fastest growing job titles include Principal Electric Engineer (Engineering), Engineering Manager (Hydrogen), Sustainability Consultant (Energy Performance), Service Engineer (Solar) and Policy Officer (Circular Economy).</w:t>
      </w:r>
    </w:p>
    <w:p w14:paraId="59289586" w14:textId="77777777" w:rsidR="00D41B7C" w:rsidRPr="000C61DA" w:rsidRDefault="00D41B7C" w:rsidP="00D41B7C">
      <w:pPr>
        <w:pStyle w:val="NoSpacing"/>
        <w:spacing w:before="120"/>
        <w:ind w:left="283" w:right="170"/>
        <w:rPr>
          <w:rFonts w:ascii="Arial" w:hAnsi="Arial" w:cs="Arial"/>
          <w:color w:val="000000" w:themeColor="text1"/>
          <w:sz w:val="18"/>
          <w:szCs w:val="18"/>
          <w14:numForm w14:val="lining"/>
          <w14:numSpacing w14:val="proportional"/>
        </w:rPr>
      </w:pPr>
      <w:r w:rsidRPr="000C61DA">
        <w:rPr>
          <w:rFonts w:ascii="Arial" w:hAnsi="Arial" w:cs="Arial"/>
          <w:color w:val="000000" w:themeColor="text1"/>
          <w:sz w:val="18"/>
          <w:szCs w:val="18"/>
          <w14:numForm w14:val="lining"/>
          <w14:numSpacing w14:val="proportional"/>
        </w:rPr>
        <w:t>LinkedIn Talent Insights data is derived by aggregating profile data voluntarily submitted by LinkedIn members. As such, LinkedIn cannot guarantee the accuracy of LinkedIn Talent Insights data.</w:t>
      </w:r>
    </w:p>
    <w:p w14:paraId="04FD0D5A" w14:textId="77777777" w:rsidR="00D41B7C" w:rsidRPr="00D34889" w:rsidRDefault="00D41B7C" w:rsidP="00D41B7C">
      <w:pPr>
        <w:spacing w:after="120" w:line="240" w:lineRule="auto"/>
        <w:rPr>
          <w:sz w:val="18"/>
          <w:szCs w:val="18"/>
          <w:lang w:val="en-US"/>
          <w14:numForm w14:val="lining"/>
          <w14:numSpacing w14:val="proportional"/>
        </w:rPr>
      </w:pPr>
    </w:p>
    <w:p w14:paraId="4FD9D152" w14:textId="3BD54859" w:rsidR="005D61AA" w:rsidRDefault="005D61AA"/>
    <w:p w14:paraId="1F51BE6B" w14:textId="77777777" w:rsidR="007368E3" w:rsidRPr="00E5087D" w:rsidRDefault="007368E3" w:rsidP="005F6D5E">
      <w:pPr>
        <w:rPr>
          <w:rFonts w:eastAsiaTheme="majorEastAsia" w:cstheme="majorBidi"/>
          <w:b/>
          <w:color w:val="441170" w:themeColor="text2"/>
          <w:sz w:val="26"/>
          <w:szCs w:val="24"/>
        </w:rPr>
        <w:sectPr w:rsidR="007368E3" w:rsidRPr="00E5087D" w:rsidSect="00835633">
          <w:headerReference w:type="even" r:id="rId102"/>
          <w:headerReference w:type="default" r:id="rId103"/>
          <w:footerReference w:type="even" r:id="rId104"/>
          <w:footerReference w:type="default" r:id="rId105"/>
          <w:headerReference w:type="first" r:id="rId106"/>
          <w:footerReference w:type="first" r:id="rId107"/>
          <w:endnotePr>
            <w:numFmt w:val="decimal"/>
          </w:endnotePr>
          <w:type w:val="continuous"/>
          <w:pgSz w:w="11906" w:h="16838" w:code="9"/>
          <w:pgMar w:top="1440" w:right="1440" w:bottom="1440" w:left="1440" w:header="0" w:footer="709" w:gutter="0"/>
          <w:cols w:space="708"/>
          <w:docGrid w:linePitch="360"/>
        </w:sectPr>
      </w:pPr>
    </w:p>
    <w:p w14:paraId="7EE799F0" w14:textId="10F8090D" w:rsidR="007A6737" w:rsidRPr="00ED0047" w:rsidRDefault="00462E4E" w:rsidP="007564A9">
      <w:pPr>
        <w:pStyle w:val="Heading1"/>
        <w:spacing w:before="8280"/>
        <w:ind w:left="283"/>
      </w:pPr>
      <w:bookmarkStart w:id="40" w:name="_Toc146892673"/>
      <w:r>
        <w:rPr>
          <w:b w:val="0"/>
          <w:bCs/>
          <w:noProof/>
          <w:sz w:val="72"/>
        </w:rPr>
        <w:lastRenderedPageBreak/>
        <w:drawing>
          <wp:anchor distT="0" distB="0" distL="114300" distR="114300" simplePos="0" relativeHeight="251663460" behindDoc="0" locked="0" layoutInCell="1" allowOverlap="1" wp14:anchorId="28605551" wp14:editId="2051AC20">
            <wp:simplePos x="0" y="0"/>
            <wp:positionH relativeFrom="column">
              <wp:posOffset>-926605</wp:posOffset>
            </wp:positionH>
            <wp:positionV relativeFrom="paragraph">
              <wp:posOffset>-919398</wp:posOffset>
            </wp:positionV>
            <wp:extent cx="7559675" cy="5431790"/>
            <wp:effectExtent l="0" t="0" r="3175" b="0"/>
            <wp:wrapNone/>
            <wp:docPr id="145975616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56169" name="Picture 8">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anchor>
        </w:drawing>
      </w:r>
      <w:r w:rsidR="007564A9" w:rsidRPr="00E5087D">
        <w:rPr>
          <w:noProof/>
        </w:rPr>
        <mc:AlternateContent>
          <mc:Choice Requires="wps">
            <w:drawing>
              <wp:anchor distT="0" distB="0" distL="114300" distR="114300" simplePos="0" relativeHeight="251658271" behindDoc="1" locked="0" layoutInCell="1" allowOverlap="1" wp14:anchorId="27EA55CE" wp14:editId="2CF770FF">
                <wp:simplePos x="0" y="0"/>
                <wp:positionH relativeFrom="page">
                  <wp:posOffset>-10173</wp:posOffset>
                </wp:positionH>
                <wp:positionV relativeFrom="paragraph">
                  <wp:posOffset>4513139</wp:posOffset>
                </wp:positionV>
                <wp:extent cx="7559675" cy="5259705"/>
                <wp:effectExtent l="0" t="0" r="3175" b="0"/>
                <wp:wrapNone/>
                <wp:docPr id="1341085124" name="Freeform: Shape 1341085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AE3F5"/>
                        </a:solidFill>
                      </wps:spPr>
                      <wps:txbx>
                        <w:txbxContent>
                          <w:p w14:paraId="3831C148" w14:textId="77777777" w:rsidR="003448D3" w:rsidRDefault="003448D3" w:rsidP="003448D3"/>
                        </w:txbxContent>
                      </wps:txbx>
                      <wps:bodyPr wrap="square" lIns="0" tIns="0" rIns="0" bIns="0" rtlCol="0">
                        <a:prstTxWarp prst="textNoShape">
                          <a:avLst/>
                        </a:prstTxWarp>
                        <a:noAutofit/>
                      </wps:bodyPr>
                    </wps:wsp>
                  </a:graphicData>
                </a:graphic>
              </wp:anchor>
            </w:drawing>
          </mc:Choice>
          <mc:Fallback>
            <w:pict>
              <v:shape w14:anchorId="27EA55CE" id="Freeform: Shape 1341085124" o:spid="_x0000_s1057" alt="&quot;&quot;" style="position:absolute;left:0;text-align:left;margin-left:-.8pt;margin-top:355.35pt;width:595.25pt;height:414.15pt;z-index:-251658209;visibility:visible;mso-wrap-style:square;mso-wrap-distance-left:9pt;mso-wrap-distance-top:0;mso-wrap-distance-right:9pt;mso-wrap-distance-bottom:0;mso-position-horizontal:absolute;mso-position-horizontal-relative:page;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" adj="-11796480,,5400" path="m7559992,l,,,5259603r7559992,l7559992,xe" fillcolor="#dae3f5" stroked="f">
                <v:stroke joinstyle="miter"/>
                <v:formulas/>
                <v:path arrowok="t" o:connecttype="custom" textboxrect="0,0,7560309,5259705"/>
                <v:textbox inset="0,0,0,0">
                  <w:txbxContent>
                    <w:p w14:paraId="3831C148" w14:textId="77777777" w:rsidR="003448D3" w:rsidRDefault="003448D3" w:rsidP="003448D3"/>
                  </w:txbxContent>
                </v:textbox>
                <w10:wrap anchorx="page"/>
              </v:shape>
            </w:pict>
          </mc:Fallback>
        </mc:AlternateContent>
      </w:r>
      <w:r w:rsidR="007A6737" w:rsidRPr="00EB6D73">
        <w:rPr>
          <w:b w:val="0"/>
          <w:bCs/>
          <w:sz w:val="72"/>
        </w:rPr>
        <w:t xml:space="preserve">Chapter </w:t>
      </w:r>
      <w:r w:rsidR="007A6737" w:rsidRPr="00EB6D73">
        <w:rPr>
          <w:b w:val="0"/>
          <w:bCs/>
          <w:spacing w:val="-5"/>
          <w:sz w:val="72"/>
        </w:rPr>
        <w:t>4:</w:t>
      </w:r>
      <w:r w:rsidR="007A6737">
        <w:rPr>
          <w:spacing w:val="-5"/>
          <w:sz w:val="72"/>
        </w:rPr>
        <w:br/>
      </w:r>
      <w:r w:rsidR="007A6737" w:rsidRPr="00EB6D73">
        <w:rPr>
          <w:sz w:val="92"/>
          <w:szCs w:val="92"/>
        </w:rPr>
        <w:t xml:space="preserve">Workforce </w:t>
      </w:r>
      <w:r w:rsidR="007A6737" w:rsidRPr="00EB6D73">
        <w:rPr>
          <w:spacing w:val="-2"/>
          <w:sz w:val="92"/>
          <w:szCs w:val="92"/>
        </w:rPr>
        <w:t>pathways</w:t>
      </w:r>
      <w:bookmarkEnd w:id="40"/>
    </w:p>
    <w:p w14:paraId="04538CFF" w14:textId="28425DC5" w:rsidR="007A6737" w:rsidRPr="00BB2E09" w:rsidRDefault="007A6737" w:rsidP="007A6737">
      <w:pPr>
        <w:pStyle w:val="BodyText"/>
        <w:spacing w:before="544"/>
        <w:ind w:left="283"/>
        <w:rPr>
          <w:lang w:val="en-AU"/>
        </w:rPr>
      </w:pPr>
      <w:r w:rsidRPr="00BB2E09">
        <w:rPr>
          <w:lang w:val="en-AU"/>
        </w:rPr>
        <w:t>Details</w:t>
      </w:r>
      <w:r w:rsidRPr="00BB2E09">
        <w:rPr>
          <w:spacing w:val="-2"/>
          <w:lang w:val="en-AU"/>
        </w:rPr>
        <w:t xml:space="preserve"> </w:t>
      </w:r>
      <w:r w:rsidRPr="00BB2E09">
        <w:rPr>
          <w:lang w:val="en-AU"/>
        </w:rPr>
        <w:t>the</w:t>
      </w:r>
      <w:r w:rsidRPr="00BB2E09">
        <w:rPr>
          <w:spacing w:val="-1"/>
          <w:lang w:val="en-AU"/>
        </w:rPr>
        <w:t xml:space="preserve"> </w:t>
      </w:r>
      <w:r w:rsidRPr="00BB2E09">
        <w:rPr>
          <w:lang w:val="en-AU"/>
        </w:rPr>
        <w:t>pathways</w:t>
      </w:r>
      <w:r w:rsidRPr="00BB2E09">
        <w:rPr>
          <w:spacing w:val="-1"/>
          <w:lang w:val="en-AU"/>
        </w:rPr>
        <w:t xml:space="preserve"> </w:t>
      </w:r>
      <w:r w:rsidRPr="00BB2E09">
        <w:rPr>
          <w:lang w:val="en-AU"/>
        </w:rPr>
        <w:t>into</w:t>
      </w:r>
      <w:r w:rsidRPr="00BB2E09">
        <w:rPr>
          <w:spacing w:val="-1"/>
          <w:lang w:val="en-AU"/>
        </w:rPr>
        <w:t xml:space="preserve"> </w:t>
      </w:r>
      <w:r w:rsidRPr="00BB2E09">
        <w:rPr>
          <w:lang w:val="en-AU"/>
        </w:rPr>
        <w:t>clean</w:t>
      </w:r>
      <w:r w:rsidRPr="00BB2E09">
        <w:rPr>
          <w:spacing w:val="-1"/>
          <w:lang w:val="en-AU"/>
        </w:rPr>
        <w:t xml:space="preserve"> </w:t>
      </w:r>
      <w:r w:rsidRPr="00BB2E09">
        <w:rPr>
          <w:lang w:val="en-AU"/>
        </w:rPr>
        <w:t>energy</w:t>
      </w:r>
      <w:r w:rsidRPr="00BB2E09">
        <w:rPr>
          <w:spacing w:val="-1"/>
          <w:lang w:val="en-AU"/>
        </w:rPr>
        <w:t xml:space="preserve"> </w:t>
      </w:r>
      <w:r w:rsidRPr="00BB2E09">
        <w:rPr>
          <w:lang w:val="en-AU"/>
        </w:rPr>
        <w:t>employment</w:t>
      </w:r>
      <w:r w:rsidRPr="00BB2E09">
        <w:rPr>
          <w:spacing w:val="-1"/>
          <w:lang w:val="en-AU"/>
        </w:rPr>
        <w:t xml:space="preserve"> </w:t>
      </w:r>
      <w:r w:rsidRPr="00BB2E09">
        <w:rPr>
          <w:lang w:val="en-AU"/>
        </w:rPr>
        <w:t>from</w:t>
      </w:r>
      <w:r w:rsidRPr="00BB2E09">
        <w:rPr>
          <w:spacing w:val="-1"/>
          <w:lang w:val="en-AU"/>
        </w:rPr>
        <w:t xml:space="preserve"> </w:t>
      </w:r>
      <w:r w:rsidRPr="00BB2E09">
        <w:rPr>
          <w:spacing w:val="-4"/>
          <w:lang w:val="en-AU"/>
        </w:rPr>
        <w:t xml:space="preserve">VET, </w:t>
      </w:r>
      <w:r w:rsidRPr="00BB2E09">
        <w:rPr>
          <w:lang w:val="en-AU"/>
        </w:rPr>
        <w:t>higher</w:t>
      </w:r>
      <w:r w:rsidRPr="00BB2E09">
        <w:rPr>
          <w:spacing w:val="-2"/>
          <w:lang w:val="en-AU"/>
        </w:rPr>
        <w:t xml:space="preserve"> </w:t>
      </w:r>
      <w:r w:rsidRPr="00BB2E09">
        <w:rPr>
          <w:lang w:val="en-AU"/>
        </w:rPr>
        <w:t>education,</w:t>
      </w:r>
      <w:r w:rsidRPr="00BB2E09">
        <w:rPr>
          <w:spacing w:val="-2"/>
          <w:lang w:val="en-AU"/>
        </w:rPr>
        <w:t xml:space="preserve"> </w:t>
      </w:r>
      <w:r w:rsidRPr="00BB2E09">
        <w:rPr>
          <w:lang w:val="en-AU"/>
        </w:rPr>
        <w:t>migration</w:t>
      </w:r>
      <w:r w:rsidRPr="00BB2E09">
        <w:rPr>
          <w:spacing w:val="-2"/>
          <w:lang w:val="en-AU"/>
        </w:rPr>
        <w:t xml:space="preserve"> </w:t>
      </w:r>
      <w:r w:rsidRPr="00BB2E09">
        <w:rPr>
          <w:lang w:val="en-AU"/>
        </w:rPr>
        <w:t>and</w:t>
      </w:r>
      <w:r w:rsidRPr="00BB2E09">
        <w:rPr>
          <w:spacing w:val="-2"/>
          <w:lang w:val="en-AU"/>
        </w:rPr>
        <w:t xml:space="preserve"> </w:t>
      </w:r>
      <w:r w:rsidRPr="00BB2E09">
        <w:rPr>
          <w:lang w:val="en-AU"/>
        </w:rPr>
        <w:t>industry</w:t>
      </w:r>
      <w:r w:rsidRPr="00BB2E09">
        <w:rPr>
          <w:spacing w:val="-2"/>
          <w:lang w:val="en-AU"/>
        </w:rPr>
        <w:t xml:space="preserve"> transitions.</w:t>
      </w:r>
    </w:p>
    <w:p w14:paraId="11B61481" w14:textId="77777777" w:rsidR="00FF7791" w:rsidRPr="00E5087D" w:rsidRDefault="00FF7791" w:rsidP="00295B1B">
      <w:pPr>
        <w:pStyle w:val="Heading2"/>
        <w:spacing w:after="520"/>
      </w:pPr>
      <w:bookmarkStart w:id="41" w:name="_Toc146892674"/>
      <w:r w:rsidRPr="00D05592">
        <w:rPr>
          <w:rFonts w:asciiTheme="majorHAnsi" w:hAnsiTheme="majorHAnsi" w:cstheme="majorHAnsi"/>
        </w:rPr>
        <w:lastRenderedPageBreak/>
        <w:t>4</w:t>
      </w:r>
      <w:r w:rsidRPr="00D05592">
        <w:rPr>
          <w:rFonts w:asciiTheme="majorHAnsi" w:hAnsiTheme="majorHAnsi" w:cstheme="majorHAnsi"/>
          <w:smallCaps/>
        </w:rPr>
        <w:t>a</w:t>
      </w:r>
      <w:r w:rsidRPr="00D05592">
        <w:rPr>
          <w:rFonts w:asciiTheme="majorHAnsi" w:hAnsiTheme="majorHAnsi" w:cstheme="majorHAnsi"/>
        </w:rPr>
        <w:t>.</w:t>
      </w:r>
      <w:r w:rsidRPr="00E5087D">
        <w:t xml:space="preserve"> </w:t>
      </w:r>
      <w:r w:rsidRPr="00E5087D">
        <w:rPr>
          <w:b w:val="0"/>
          <w:bCs/>
        </w:rPr>
        <w:t>The pathways</w:t>
      </w:r>
      <w:bookmarkEnd w:id="41"/>
    </w:p>
    <w:p w14:paraId="113D600C" w14:textId="746B8D93" w:rsidR="00FF7791" w:rsidRPr="00E5087D" w:rsidRDefault="00FF7791" w:rsidP="00FF7791">
      <w:pPr>
        <w:spacing w:after="120" w:line="276" w:lineRule="auto"/>
      </w:pPr>
      <w:r w:rsidRPr="00E5087D">
        <w:t>This section examines the pathways into critical clean energy roles. We have grouped them into three main pathways: tertiary education (including VET and higher education), migration, and transitions from other industries</w:t>
      </w:r>
      <w:r w:rsidR="00377210">
        <w:t xml:space="preserve"> (Figure 4</w:t>
      </w:r>
      <w:r w:rsidR="00CD5186">
        <w:t>.1</w:t>
      </w:r>
      <w:r w:rsidR="00377210">
        <w:t>)</w:t>
      </w:r>
      <w:r w:rsidRPr="00E5087D">
        <w:t xml:space="preserve">. This includes a particular focus on industry sectors impacted by decarbonisation and other sectors and job roles likely to experience structural adjustment. </w:t>
      </w:r>
    </w:p>
    <w:p w14:paraId="7A9A7543" w14:textId="77777777" w:rsidR="00FF7791" w:rsidRPr="00E5087D" w:rsidRDefault="00FF7791" w:rsidP="007D22AD">
      <w:pPr>
        <w:spacing w:after="240" w:line="276" w:lineRule="auto"/>
      </w:pPr>
      <w:r w:rsidRPr="00E5087D">
        <w:t xml:space="preserve">Each of these pathways is vital to the supply of clean energy workers and will need to be scaled and better targeted. </w:t>
      </w:r>
      <w:r w:rsidRPr="00EE68FD">
        <w:rPr>
          <w:b/>
          <w:bCs/>
        </w:rPr>
        <w:t>Chapters 7 and 8</w:t>
      </w:r>
      <w:r w:rsidRPr="00E5087D">
        <w:t xml:space="preserve"> explore the barriers impacting these pathways and identifies opportunities to overcome them. These pathways also interconnect and overlap to a great extent and will continue to do so.</w:t>
      </w:r>
    </w:p>
    <w:p w14:paraId="1291816E" w14:textId="756027DC" w:rsidR="00FF7791" w:rsidRPr="00E5087D" w:rsidRDefault="00FF7791" w:rsidP="007D22AD">
      <w:pPr>
        <w:pBdr>
          <w:top w:val="single" w:sz="4" w:space="6" w:color="BFBFBF" w:themeColor="background1" w:themeShade="BF"/>
        </w:pBdr>
        <w:spacing w:after="120" w:line="240" w:lineRule="auto"/>
        <w:rPr>
          <w:b/>
          <w:bCs/>
          <w:sz w:val="23"/>
          <w:szCs w:val="23"/>
        </w:rPr>
      </w:pPr>
      <w:r w:rsidRPr="00E5087D">
        <w:rPr>
          <w:b/>
          <w:bCs/>
          <w:sz w:val="23"/>
          <w:szCs w:val="23"/>
        </w:rPr>
        <w:t xml:space="preserve">Figure </w:t>
      </w:r>
      <w:r w:rsidR="009E6F85" w:rsidRPr="00E5087D">
        <w:rPr>
          <w:b/>
          <w:bCs/>
          <w:sz w:val="23"/>
          <w:szCs w:val="23"/>
        </w:rPr>
        <w:t>4</w:t>
      </w:r>
      <w:r w:rsidR="001A7900">
        <w:rPr>
          <w:b/>
          <w:bCs/>
          <w:sz w:val="23"/>
          <w:szCs w:val="23"/>
        </w:rPr>
        <w:t>.1</w:t>
      </w:r>
      <w:r w:rsidRPr="00E5087D">
        <w:rPr>
          <w:b/>
          <w:bCs/>
          <w:sz w:val="23"/>
          <w:szCs w:val="23"/>
        </w:rPr>
        <w:t xml:space="preserve">. Pathways to the clean energy </w:t>
      </w:r>
      <w:r w:rsidRPr="007D22AD">
        <w:rPr>
          <w:b/>
          <w:bCs/>
        </w:rPr>
        <w:t>workforce</w:t>
      </w:r>
    </w:p>
    <w:p w14:paraId="731F16A0" w14:textId="77777777" w:rsidR="00FF7791" w:rsidRPr="00E5087D" w:rsidRDefault="00FF7791" w:rsidP="00FF7791">
      <w:pPr>
        <w:spacing w:after="120" w:line="276" w:lineRule="auto"/>
        <w:jc w:val="center"/>
      </w:pPr>
      <w:r w:rsidRPr="00E5087D">
        <w:rPr>
          <w:noProof/>
        </w:rPr>
        <w:drawing>
          <wp:inline distT="0" distB="0" distL="0" distR="0" wp14:anchorId="797325F2" wp14:editId="7FC0BE4E">
            <wp:extent cx="4393095" cy="2698837"/>
            <wp:effectExtent l="0" t="0" r="7620" b="6350"/>
            <wp:docPr id="1341085126" name="Picture 1341085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26" name="Picture 1341085126">
                      <a:extLst>
                        <a:ext uri="{C183D7F6-B498-43B3-948B-1728B52AA6E4}">
                          <adec:decorative xmlns:adec="http://schemas.microsoft.com/office/drawing/2017/decorative" val="1"/>
                        </a:ext>
                      </a:extLst>
                    </pic:cNvPr>
                    <pic:cNvPicPr/>
                  </pic:nvPicPr>
                  <pic:blipFill>
                    <a:blip r:embed="rId109" cstate="screen">
                      <a:extLst>
                        <a:ext uri="{28A0092B-C50C-407E-A947-70E740481C1C}">
                          <a14:useLocalDpi xmlns:a14="http://schemas.microsoft.com/office/drawing/2010/main"/>
                        </a:ext>
                      </a:extLst>
                    </a:blip>
                    <a:stretch>
                      <a:fillRect/>
                    </a:stretch>
                  </pic:blipFill>
                  <pic:spPr>
                    <a:xfrm>
                      <a:off x="0" y="0"/>
                      <a:ext cx="4417605" cy="2713894"/>
                    </a:xfrm>
                    <a:prstGeom prst="rect">
                      <a:avLst/>
                    </a:prstGeom>
                  </pic:spPr>
                </pic:pic>
              </a:graphicData>
            </a:graphic>
          </wp:inline>
        </w:drawing>
      </w:r>
    </w:p>
    <w:p w14:paraId="0AB3E4C6" w14:textId="77777777" w:rsidR="00FF7791" w:rsidRPr="00E5087D" w:rsidRDefault="00FF7791" w:rsidP="00FF7791">
      <w:pPr>
        <w:spacing w:before="240" w:after="120" w:line="276" w:lineRule="auto"/>
        <w:rPr>
          <w14:numForm w14:val="lining"/>
          <w14:numSpacing w14:val="proportional"/>
        </w:rPr>
      </w:pPr>
      <w:r w:rsidRPr="00E5087D">
        <w:rPr>
          <w14:numForm w14:val="lining"/>
          <w14:numSpacing w14:val="proportional"/>
        </w:rPr>
        <w:t>The Australian Government is currently examining the policy frameworks for each of these pathways through significant reform initiatives:</w:t>
      </w:r>
    </w:p>
    <w:p w14:paraId="325C4218" w14:textId="7ED2A599" w:rsidR="00FF7791" w:rsidRPr="00E5087D" w:rsidRDefault="00FF7791" w:rsidP="00F25595">
      <w:pPr>
        <w:pStyle w:val="ListParagraph"/>
        <w:numPr>
          <w:ilvl w:val="0"/>
          <w:numId w:val="52"/>
        </w:numPr>
        <w:spacing w:after="120" w:line="240" w:lineRule="auto"/>
        <w:contextualSpacing w:val="0"/>
      </w:pPr>
      <w:r w:rsidRPr="00E5087D">
        <w:rPr>
          <w14:numForm w14:val="lining"/>
          <w14:numSpacing w14:val="proportional"/>
        </w:rPr>
        <w:t xml:space="preserve">the </w:t>
      </w:r>
      <w:r w:rsidRPr="00E5087D">
        <w:rPr>
          <w:b/>
          <w:bCs/>
          <w:color w:val="084974" w:themeColor="accent3" w:themeShade="80"/>
          <w14:numForm w14:val="lining"/>
          <w14:numSpacing w14:val="proportional"/>
        </w:rPr>
        <w:t>Universities Accord Review</w:t>
      </w:r>
      <w:r w:rsidRPr="00E5087D">
        <w:rPr>
          <w:color w:val="084974" w:themeColor="accent3" w:themeShade="80"/>
          <w14:numForm w14:val="lining"/>
          <w14:numSpacing w14:val="proportional"/>
        </w:rPr>
        <w:t xml:space="preserve"> </w:t>
      </w:r>
      <w:r w:rsidRPr="00E5087D">
        <w:rPr>
          <w:b/>
          <w:bCs/>
          <w:color w:val="084974" w:themeColor="accent3" w:themeShade="80"/>
          <w14:numForm w14:val="lining"/>
          <w14:numSpacing w14:val="proportional"/>
        </w:rPr>
        <w:t>Panel</w:t>
      </w:r>
      <w:r w:rsidRPr="00E5087D">
        <w:rPr>
          <w14:numForm w14:val="lining"/>
          <w14:numSpacing w14:val="proportional"/>
        </w:rPr>
        <w:t>, due to report by the end of 2023, is considering recommendations to reform Australian higher education system</w:t>
      </w:r>
      <w:r w:rsidR="00172D80" w:rsidRPr="00E5087D">
        <w:rPr>
          <w14:numForm w14:val="lining"/>
          <w14:numSpacing w14:val="proportional"/>
        </w:rPr>
        <w:t xml:space="preserve">, including </w:t>
      </w:r>
      <w:r w:rsidR="00AE2A78" w:rsidRPr="00E5087D">
        <w:rPr>
          <w14:numForm w14:val="lining"/>
          <w14:numSpacing w14:val="proportional"/>
        </w:rPr>
        <w:t>opportunities</w:t>
      </w:r>
      <w:r w:rsidR="00172D80" w:rsidRPr="00E5087D">
        <w:rPr>
          <w14:numForm w14:val="lining"/>
          <w14:numSpacing w14:val="proportional"/>
        </w:rPr>
        <w:t xml:space="preserve"> to support greater connections </w:t>
      </w:r>
      <w:r w:rsidR="00AE2A78" w:rsidRPr="00E5087D">
        <w:rPr>
          <w14:numForm w14:val="lining"/>
          <w14:numSpacing w14:val="proportional"/>
        </w:rPr>
        <w:t>with the VET sector</w:t>
      </w:r>
    </w:p>
    <w:p w14:paraId="1860551C" w14:textId="50EF5B6E" w:rsidR="00FF7791" w:rsidRPr="00E5087D" w:rsidRDefault="00FF7791" w:rsidP="00F25595">
      <w:pPr>
        <w:pStyle w:val="ListParagraph"/>
        <w:numPr>
          <w:ilvl w:val="0"/>
          <w:numId w:val="52"/>
        </w:numPr>
        <w:spacing w:after="120" w:line="240" w:lineRule="auto"/>
        <w:contextualSpacing w:val="0"/>
        <w:rPr>
          <w14:numForm w14:val="lining"/>
          <w14:numSpacing w14:val="proportional"/>
        </w:rPr>
      </w:pPr>
      <w:r w:rsidRPr="00E5087D">
        <w:rPr>
          <w14:numForm w14:val="lining"/>
          <w14:numSpacing w14:val="proportional"/>
        </w:rPr>
        <w:t xml:space="preserve">negotiations with States and Territories for a new </w:t>
      </w:r>
      <w:r w:rsidRPr="00E5087D">
        <w:rPr>
          <w:b/>
          <w:bCs/>
          <w:color w:val="084974" w:themeColor="accent3" w:themeShade="80"/>
          <w14:numForm w14:val="lining"/>
          <w14:numSpacing w14:val="proportional"/>
        </w:rPr>
        <w:t xml:space="preserve">National Skills Agreement </w:t>
      </w:r>
      <w:r w:rsidRPr="00E5087D">
        <w:rPr>
          <w14:numForm w14:val="lining"/>
          <w14:numSpacing w14:val="proportional"/>
        </w:rPr>
        <w:t>that strengthens the VET sector</w:t>
      </w:r>
    </w:p>
    <w:p w14:paraId="42ADC41A" w14:textId="34F8E8D3" w:rsidR="00FF7791" w:rsidRPr="00E5087D" w:rsidRDefault="00FF7791" w:rsidP="00F25595">
      <w:pPr>
        <w:pStyle w:val="ListParagraph"/>
        <w:numPr>
          <w:ilvl w:val="0"/>
          <w:numId w:val="52"/>
        </w:numPr>
        <w:spacing w:after="120" w:line="240" w:lineRule="auto"/>
        <w:contextualSpacing w:val="0"/>
        <w:rPr>
          <w14:numForm w14:val="lining"/>
          <w14:numSpacing w14:val="proportional"/>
        </w:rPr>
      </w:pPr>
      <w:r w:rsidRPr="00E5087D">
        <w:rPr>
          <w14:numForm w14:val="lining"/>
          <w14:numSpacing w14:val="proportional"/>
        </w:rPr>
        <w:t xml:space="preserve">a new </w:t>
      </w:r>
      <w:r w:rsidRPr="00E5087D">
        <w:rPr>
          <w:b/>
          <w:bCs/>
          <w:color w:val="441170" w:themeColor="text2"/>
          <w14:numForm w14:val="lining"/>
          <w14:numSpacing w14:val="proportional"/>
        </w:rPr>
        <w:t>Migration</w:t>
      </w:r>
      <w:r w:rsidRPr="00E5087D">
        <w:rPr>
          <w:color w:val="441170" w:themeColor="text2"/>
          <w14:numForm w14:val="lining"/>
          <w14:numSpacing w14:val="proportional"/>
        </w:rPr>
        <w:t xml:space="preserve"> </w:t>
      </w:r>
      <w:r w:rsidRPr="00E5087D">
        <w:rPr>
          <w:b/>
          <w:bCs/>
          <w:color w:val="441170" w:themeColor="text2"/>
          <w14:numForm w14:val="lining"/>
          <w14:numSpacing w14:val="proportional"/>
        </w:rPr>
        <w:t>Strategy</w:t>
      </w:r>
      <w:r w:rsidR="00916E69">
        <w:rPr>
          <w:b/>
          <w:bCs/>
          <w:color w:val="441170" w:themeColor="text2"/>
          <w14:numForm w14:val="lining"/>
          <w14:numSpacing w14:val="proportional"/>
        </w:rPr>
        <w:t xml:space="preserve"> </w:t>
      </w:r>
      <w:r w:rsidR="00916E69" w:rsidRPr="00916E69">
        <w:rPr>
          <w14:numForm w14:val="lining"/>
          <w14:numSpacing w14:val="proportional"/>
        </w:rPr>
        <w:t>due to be released later in 2023</w:t>
      </w:r>
      <w:r w:rsidRPr="00E5087D">
        <w:rPr>
          <w14:numForm w14:val="lining"/>
          <w14:numSpacing w14:val="proportional"/>
        </w:rPr>
        <w:t xml:space="preserve">, informed by the recent Migration Review, </w:t>
      </w:r>
      <w:r w:rsidR="00916E69">
        <w:rPr>
          <w14:numForm w14:val="lining"/>
          <w14:numSpacing w14:val="proportional"/>
        </w:rPr>
        <w:t>will consider</w:t>
      </w:r>
      <w:r w:rsidRPr="00E5087D">
        <w:rPr>
          <w14:numForm w14:val="lining"/>
          <w14:numSpacing w14:val="proportional"/>
        </w:rPr>
        <w:t xml:space="preserve"> skilled migration pathways for in-demand industries</w:t>
      </w:r>
    </w:p>
    <w:p w14:paraId="1F48E460" w14:textId="77777777" w:rsidR="00FF7791" w:rsidRPr="00E5087D" w:rsidRDefault="00FF7791" w:rsidP="00F25595">
      <w:pPr>
        <w:pStyle w:val="ListParagraph"/>
        <w:numPr>
          <w:ilvl w:val="0"/>
          <w:numId w:val="52"/>
        </w:numPr>
        <w:spacing w:after="120" w:line="240" w:lineRule="auto"/>
      </w:pPr>
      <w:r w:rsidRPr="00E5087D">
        <w:rPr>
          <w14:numForm w14:val="lining"/>
          <w14:numSpacing w14:val="proportional"/>
        </w:rPr>
        <w:t xml:space="preserve">the establishment of a </w:t>
      </w:r>
      <w:r w:rsidRPr="00E5087D">
        <w:rPr>
          <w:b/>
          <w:bCs/>
          <w:color w:val="9F1853" w:themeColor="accent4"/>
          <w14:numForm w14:val="lining"/>
          <w14:numSpacing w14:val="proportional"/>
        </w:rPr>
        <w:t>Net Zero Economy Authority</w:t>
      </w:r>
      <w:r w:rsidRPr="00E5087D">
        <w:rPr>
          <w:color w:val="441170" w:themeColor="text2"/>
          <w14:numForm w14:val="lining"/>
          <w14:numSpacing w14:val="proportional"/>
        </w:rPr>
        <w:t xml:space="preserve"> </w:t>
      </w:r>
      <w:r w:rsidRPr="00E5087D">
        <w:rPr>
          <w14:numForm w14:val="lining"/>
          <w14:numSpacing w14:val="proportional"/>
        </w:rPr>
        <w:t>to ensure that regions and workers across Australia realise and share the benefits of the net zero economy.</w:t>
      </w:r>
    </w:p>
    <w:p w14:paraId="4A6E02ED" w14:textId="3DBD7ACE" w:rsidR="00FF7791" w:rsidRPr="00E5087D" w:rsidRDefault="00C526C8" w:rsidP="00AE2A78">
      <w:pPr>
        <w:spacing w:before="160" w:after="240" w:line="276" w:lineRule="auto"/>
        <w:rPr>
          <w14:numForm w14:val="lining"/>
          <w14:numSpacing w14:val="proportional"/>
        </w:rPr>
      </w:pPr>
      <w:r w:rsidRPr="00E5087D">
        <w:rPr>
          <w14:numForm w14:val="lining"/>
          <w14:numSpacing w14:val="proportional"/>
        </w:rPr>
        <w:t>This study is well-timed to inform these wide-ranging reforms and ensure Australia has the workforce it needs to decarbonise.</w:t>
      </w:r>
      <w:r>
        <w:rPr>
          <w14:numForm w14:val="lining"/>
          <w14:numSpacing w14:val="proportional"/>
        </w:rPr>
        <w:t xml:space="preserve"> Also, f</w:t>
      </w:r>
      <w:r w:rsidR="00FF7791" w:rsidRPr="00E5087D">
        <w:rPr>
          <w14:numForm w14:val="lining"/>
          <w14:numSpacing w14:val="proportional"/>
        </w:rPr>
        <w:t xml:space="preserve">ollowing the 2022 Jobs and Skills Summit, Treasury </w:t>
      </w:r>
      <w:r w:rsidR="00676086">
        <w:rPr>
          <w14:numForm w14:val="lining"/>
          <w14:numSpacing w14:val="proportional"/>
        </w:rPr>
        <w:t>developed</w:t>
      </w:r>
      <w:r w:rsidR="000C61DA">
        <w:rPr>
          <w14:numForm w14:val="lining"/>
          <w14:numSpacing w14:val="proportional"/>
        </w:rPr>
        <w:t xml:space="preserve"> </w:t>
      </w:r>
      <w:r w:rsidR="00676086">
        <w:rPr>
          <w14:numForm w14:val="lining"/>
          <w14:numSpacing w14:val="proportional"/>
        </w:rPr>
        <w:t>and recently released</w:t>
      </w:r>
      <w:r w:rsidR="00FF7791" w:rsidRPr="00E5087D">
        <w:rPr>
          <w14:numForm w14:val="lining"/>
          <w14:numSpacing w14:val="proportional"/>
        </w:rPr>
        <w:t xml:space="preserve"> an Employment White Paper that provide</w:t>
      </w:r>
      <w:r>
        <w:rPr>
          <w14:numForm w14:val="lining"/>
          <w14:numSpacing w14:val="proportional"/>
        </w:rPr>
        <w:t>s</w:t>
      </w:r>
      <w:r w:rsidR="00FF7791" w:rsidRPr="00E5087D">
        <w:rPr>
          <w14:numForm w14:val="lining"/>
          <w14:numSpacing w14:val="proportional"/>
        </w:rPr>
        <w:t xml:space="preserve"> a roadmap for Australia’s future workforce. </w:t>
      </w:r>
    </w:p>
    <w:p w14:paraId="07A1562A" w14:textId="77777777" w:rsidR="005136BF" w:rsidRPr="00E5087D" w:rsidRDefault="005136BF" w:rsidP="005136BF">
      <w:pPr>
        <w:pStyle w:val="Heading2"/>
        <w:rPr>
          <w:b w:val="0"/>
          <w:bCs/>
        </w:rPr>
      </w:pPr>
      <w:bookmarkStart w:id="42" w:name="_Toc146892675"/>
      <w:r w:rsidRPr="00D05592">
        <w:rPr>
          <w:rFonts w:asciiTheme="majorHAnsi" w:hAnsiTheme="majorHAnsi" w:cstheme="majorHAnsi"/>
        </w:rPr>
        <w:lastRenderedPageBreak/>
        <w:t>4</w:t>
      </w:r>
      <w:r w:rsidRPr="00D05592">
        <w:rPr>
          <w:rFonts w:asciiTheme="majorHAnsi" w:hAnsiTheme="majorHAnsi" w:cstheme="majorHAnsi"/>
          <w:smallCaps/>
        </w:rPr>
        <w:t>b</w:t>
      </w:r>
      <w:r w:rsidRPr="00D05592">
        <w:rPr>
          <w:rFonts w:asciiTheme="majorHAnsi" w:hAnsiTheme="majorHAnsi" w:cstheme="majorHAnsi"/>
        </w:rPr>
        <w:t>.</w:t>
      </w:r>
      <w:r w:rsidRPr="00E5087D">
        <w:rPr>
          <w:b w:val="0"/>
          <w:bCs/>
        </w:rPr>
        <w:t xml:space="preserve"> Education and training</w:t>
      </w:r>
      <w:bookmarkEnd w:id="42"/>
    </w:p>
    <w:p w14:paraId="53734859" w14:textId="77777777" w:rsidR="005136BF" w:rsidRPr="00E5087D" w:rsidRDefault="005136BF" w:rsidP="005136BF">
      <w:pPr>
        <w:pStyle w:val="Heading3"/>
      </w:pPr>
      <w:r w:rsidRPr="00E5087D">
        <w:t>Education and training is a shared responsibility</w:t>
      </w:r>
    </w:p>
    <w:p w14:paraId="08AB55ED" w14:textId="393689A0" w:rsidR="005136BF" w:rsidRPr="00E5087D" w:rsidRDefault="005136BF" w:rsidP="005136BF">
      <w:pPr>
        <w:spacing w:before="120" w:after="120"/>
      </w:pPr>
      <w:r w:rsidRPr="00E5087D">
        <w:t>The clean energy workforce draws heavily on Australia’s higher education and VET systems. Both systems provide many diverse pathways into clean energy, including through upskilling. Our modelling shows that the vast majority of clean energy jobs over the next 30 years will require tertiary-level qualifications.</w:t>
      </w:r>
      <w:r w:rsidR="00206DF6">
        <w:t xml:space="preserve"> Tertiary</w:t>
      </w:r>
      <w:r w:rsidR="00624A47">
        <w:t xml:space="preserve"> </w:t>
      </w:r>
      <w:r w:rsidR="00206DF6">
        <w:t xml:space="preserve">pathways rely on Australian schools, career guidance and informal experiences </w:t>
      </w:r>
      <w:r w:rsidR="009D24CE">
        <w:t>where young people gain interest and exposure in different fields and careers.</w:t>
      </w:r>
    </w:p>
    <w:p w14:paraId="300C258A" w14:textId="79BFF664" w:rsidR="005136BF" w:rsidRPr="00E5087D" w:rsidRDefault="005136BF" w:rsidP="005136BF">
      <w:pPr>
        <w:spacing w:before="240" w:after="120"/>
        <w:rPr>
          <w:b/>
          <w:bCs/>
        </w:rPr>
      </w:pPr>
      <w:r w:rsidRPr="00E5087D">
        <w:rPr>
          <w:b/>
          <w:bCs/>
        </w:rPr>
        <w:t xml:space="preserve">Table </w:t>
      </w:r>
      <w:r w:rsidR="00DB521D">
        <w:rPr>
          <w:b/>
          <w:bCs/>
        </w:rPr>
        <w:t>4.1</w:t>
      </w:r>
      <w:r w:rsidRPr="00E5087D">
        <w:rPr>
          <w:b/>
          <w:bCs/>
        </w:rPr>
        <w:t>. Types of education and training pathways</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19"/>
        <w:gridCol w:w="3119"/>
      </w:tblGrid>
      <w:tr w:rsidR="005136BF" w:rsidRPr="00E5087D" w14:paraId="56A90E8B" w14:textId="77777777">
        <w:trPr>
          <w:trHeight w:val="454"/>
        </w:trPr>
        <w:tc>
          <w:tcPr>
            <w:tcW w:w="3118" w:type="dxa"/>
            <w:tcBorders>
              <w:top w:val="single" w:sz="4" w:space="0" w:color="auto"/>
              <w:bottom w:val="single" w:sz="4" w:space="0" w:color="auto"/>
            </w:tcBorders>
            <w:shd w:val="clear" w:color="auto" w:fill="CEE9FB" w:themeFill="accent3" w:themeFillTint="33"/>
            <w:vAlign w:val="center"/>
          </w:tcPr>
          <w:p w14:paraId="5D08DAB3" w14:textId="77777777" w:rsidR="005136BF" w:rsidRPr="00E5087D" w:rsidRDefault="005136BF">
            <w:pPr>
              <w:rPr>
                <w:b/>
                <w:bCs/>
                <w:sz w:val="23"/>
                <w:szCs w:val="23"/>
              </w:rPr>
            </w:pPr>
            <w:r w:rsidRPr="00E5087D">
              <w:rPr>
                <w:b/>
                <w:bCs/>
                <w:sz w:val="23"/>
                <w:szCs w:val="23"/>
              </w:rPr>
              <w:t>Vocational Education</w:t>
            </w:r>
          </w:p>
        </w:tc>
        <w:tc>
          <w:tcPr>
            <w:tcW w:w="3119" w:type="dxa"/>
            <w:tcBorders>
              <w:top w:val="single" w:sz="4" w:space="0" w:color="auto"/>
              <w:bottom w:val="single" w:sz="4" w:space="0" w:color="auto"/>
            </w:tcBorders>
            <w:shd w:val="clear" w:color="auto" w:fill="9DD3F8" w:themeFill="accent3" w:themeFillTint="66"/>
            <w:vAlign w:val="center"/>
          </w:tcPr>
          <w:p w14:paraId="37BAEE61" w14:textId="77777777" w:rsidR="005136BF" w:rsidRPr="00E5087D" w:rsidRDefault="005136BF">
            <w:pPr>
              <w:rPr>
                <w:b/>
                <w:bCs/>
                <w:sz w:val="23"/>
                <w:szCs w:val="23"/>
              </w:rPr>
            </w:pPr>
            <w:r w:rsidRPr="00E5087D">
              <w:rPr>
                <w:b/>
                <w:bCs/>
                <w:sz w:val="23"/>
                <w:szCs w:val="23"/>
              </w:rPr>
              <w:t>Higher Education</w:t>
            </w:r>
          </w:p>
        </w:tc>
        <w:tc>
          <w:tcPr>
            <w:tcW w:w="3119" w:type="dxa"/>
            <w:tcBorders>
              <w:top w:val="single" w:sz="4" w:space="0" w:color="auto"/>
              <w:bottom w:val="single" w:sz="4" w:space="0" w:color="auto"/>
            </w:tcBorders>
            <w:shd w:val="clear" w:color="auto" w:fill="084974" w:themeFill="accent3" w:themeFillShade="80"/>
            <w:vAlign w:val="center"/>
          </w:tcPr>
          <w:p w14:paraId="1957C18D" w14:textId="5EFBE3BA" w:rsidR="005136BF" w:rsidRPr="00E5087D" w:rsidRDefault="005136BF">
            <w:pPr>
              <w:rPr>
                <w:b/>
                <w:bCs/>
                <w:sz w:val="23"/>
                <w:szCs w:val="23"/>
              </w:rPr>
            </w:pPr>
            <w:r w:rsidRPr="00E5087D">
              <w:rPr>
                <w:b/>
                <w:bCs/>
                <w:color w:val="FFFFFF" w:themeColor="background1"/>
                <w:sz w:val="23"/>
                <w:szCs w:val="23"/>
              </w:rPr>
              <w:t>Industry-led</w:t>
            </w:r>
          </w:p>
        </w:tc>
      </w:tr>
      <w:tr w:rsidR="005136BF" w:rsidRPr="00E5087D" w14:paraId="45B7CAB3" w14:textId="77777777" w:rsidTr="00D46149">
        <w:trPr>
          <w:trHeight w:val="1217"/>
        </w:trPr>
        <w:tc>
          <w:tcPr>
            <w:tcW w:w="3118" w:type="dxa"/>
            <w:tcBorders>
              <w:top w:val="single" w:sz="4" w:space="0" w:color="auto"/>
              <w:bottom w:val="single" w:sz="4" w:space="0" w:color="auto"/>
            </w:tcBorders>
            <w:vAlign w:val="center"/>
          </w:tcPr>
          <w:p w14:paraId="2E9FDFE9" w14:textId="77777777" w:rsidR="005136BF" w:rsidRPr="00E5087D" w:rsidRDefault="005136BF">
            <w:pPr>
              <w:spacing w:before="80" w:after="80"/>
            </w:pPr>
            <w:r w:rsidRPr="00E5087D">
              <w:t>Developing practical skills for a particular job function or trade</w:t>
            </w:r>
          </w:p>
        </w:tc>
        <w:tc>
          <w:tcPr>
            <w:tcW w:w="3119" w:type="dxa"/>
            <w:tcBorders>
              <w:top w:val="single" w:sz="4" w:space="0" w:color="auto"/>
              <w:bottom w:val="single" w:sz="4" w:space="0" w:color="auto"/>
            </w:tcBorders>
            <w:vAlign w:val="center"/>
          </w:tcPr>
          <w:p w14:paraId="465DB952" w14:textId="77777777" w:rsidR="005136BF" w:rsidRPr="00E5087D" w:rsidRDefault="005136BF">
            <w:pPr>
              <w:spacing w:before="80" w:after="80"/>
            </w:pPr>
            <w:r w:rsidRPr="00E5087D">
              <w:t xml:space="preserve">Generalist education </w:t>
            </w:r>
          </w:p>
          <w:p w14:paraId="149B6A2A" w14:textId="77777777" w:rsidR="005136BF" w:rsidRPr="00E5087D" w:rsidRDefault="005136BF">
            <w:pPr>
              <w:spacing w:before="80" w:after="80"/>
            </w:pPr>
            <w:r w:rsidRPr="00E5087D">
              <w:t>Training for highly specialised professional occupations</w:t>
            </w:r>
          </w:p>
        </w:tc>
        <w:tc>
          <w:tcPr>
            <w:tcW w:w="3119" w:type="dxa"/>
            <w:tcBorders>
              <w:top w:val="single" w:sz="4" w:space="0" w:color="auto"/>
              <w:bottom w:val="single" w:sz="4" w:space="0" w:color="auto"/>
            </w:tcBorders>
            <w:vAlign w:val="center"/>
          </w:tcPr>
          <w:p w14:paraId="29448BE6" w14:textId="77777777" w:rsidR="005136BF" w:rsidRPr="00E5087D" w:rsidRDefault="005136BF">
            <w:pPr>
              <w:spacing w:before="80" w:after="80"/>
            </w:pPr>
            <w:r w:rsidRPr="00E5087D">
              <w:t xml:space="preserve">Industry delivers on-the job, firm specific training. Helps workers specialise with particular technologies and practices. </w:t>
            </w:r>
          </w:p>
        </w:tc>
      </w:tr>
      <w:tr w:rsidR="005136BF" w:rsidRPr="00E5087D" w14:paraId="747159DC" w14:textId="77777777">
        <w:trPr>
          <w:trHeight w:val="1399"/>
        </w:trPr>
        <w:tc>
          <w:tcPr>
            <w:tcW w:w="3118" w:type="dxa"/>
            <w:tcBorders>
              <w:top w:val="single" w:sz="4" w:space="0" w:color="auto"/>
              <w:bottom w:val="single" w:sz="4" w:space="0" w:color="auto"/>
            </w:tcBorders>
            <w:shd w:val="clear" w:color="auto" w:fill="FFFFFF" w:themeFill="background1"/>
            <w:vAlign w:val="center"/>
          </w:tcPr>
          <w:p w14:paraId="36E80E31" w14:textId="47B5CB0F" w:rsidR="005136BF" w:rsidRPr="00E5087D" w:rsidRDefault="005136BF">
            <w:pPr>
              <w:spacing w:before="120" w:after="120"/>
            </w:pPr>
            <w:r w:rsidRPr="00E5087D">
              <w:t xml:space="preserve">Certificates </w:t>
            </w:r>
            <w:r w:rsidR="00001EDD">
              <w:t>I-IV</w:t>
            </w:r>
          </w:p>
          <w:p w14:paraId="7F754D7B" w14:textId="77777777" w:rsidR="005136BF" w:rsidRPr="00E5087D" w:rsidRDefault="005136BF">
            <w:pPr>
              <w:spacing w:after="120"/>
            </w:pPr>
            <w:r w:rsidRPr="00E5087D">
              <w:t xml:space="preserve">Diplomas </w:t>
            </w:r>
          </w:p>
          <w:p w14:paraId="74C84893" w14:textId="77777777" w:rsidR="005136BF" w:rsidRDefault="005136BF">
            <w:pPr>
              <w:spacing w:after="120"/>
            </w:pPr>
            <w:r w:rsidRPr="00E5087D">
              <w:t>Advanced Diplomas</w:t>
            </w:r>
          </w:p>
          <w:p w14:paraId="522A6629" w14:textId="6A8A876F" w:rsidR="00B260B6" w:rsidRPr="00E5087D" w:rsidRDefault="00B260B6">
            <w:pPr>
              <w:spacing w:after="120"/>
            </w:pPr>
            <w:r>
              <w:t>Graduate Certificates and Diplomas</w:t>
            </w:r>
          </w:p>
        </w:tc>
        <w:tc>
          <w:tcPr>
            <w:tcW w:w="3119" w:type="dxa"/>
            <w:tcBorders>
              <w:top w:val="single" w:sz="4" w:space="0" w:color="auto"/>
              <w:bottom w:val="single" w:sz="4" w:space="0" w:color="auto"/>
            </w:tcBorders>
            <w:shd w:val="clear" w:color="auto" w:fill="FFFFFF" w:themeFill="background1"/>
            <w:vAlign w:val="center"/>
          </w:tcPr>
          <w:p w14:paraId="3F9E241D" w14:textId="77777777" w:rsidR="005136BF" w:rsidRPr="00E5087D" w:rsidRDefault="005136BF">
            <w:pPr>
              <w:spacing w:before="120" w:after="120"/>
            </w:pPr>
            <w:r w:rsidRPr="00E5087D">
              <w:t xml:space="preserve">Higher education diplomas </w:t>
            </w:r>
          </w:p>
          <w:p w14:paraId="30DC319F" w14:textId="77777777" w:rsidR="005136BF" w:rsidRPr="00E5087D" w:rsidRDefault="005136BF">
            <w:pPr>
              <w:spacing w:after="120"/>
            </w:pPr>
            <w:r w:rsidRPr="00E5087D">
              <w:t>Undergraduate degrees</w:t>
            </w:r>
          </w:p>
          <w:p w14:paraId="0A686660" w14:textId="77777777" w:rsidR="005136BF" w:rsidRPr="00E5087D" w:rsidRDefault="005136BF">
            <w:pPr>
              <w:spacing w:after="120"/>
            </w:pPr>
            <w:r w:rsidRPr="00E5087D">
              <w:t>Postgraduate certificates and degrees</w:t>
            </w:r>
          </w:p>
        </w:tc>
        <w:tc>
          <w:tcPr>
            <w:tcW w:w="3119" w:type="dxa"/>
            <w:tcBorders>
              <w:top w:val="single" w:sz="4" w:space="0" w:color="auto"/>
              <w:bottom w:val="single" w:sz="4" w:space="0" w:color="auto"/>
            </w:tcBorders>
            <w:shd w:val="clear" w:color="auto" w:fill="FFFFFF" w:themeFill="background1"/>
            <w:vAlign w:val="center"/>
          </w:tcPr>
          <w:p w14:paraId="622C1A89" w14:textId="77777777" w:rsidR="005136BF" w:rsidRPr="00E5087D" w:rsidRDefault="005136BF">
            <w:pPr>
              <w:spacing w:before="120" w:after="120"/>
            </w:pPr>
            <w:r w:rsidRPr="00E5087D">
              <w:t>Unaccredited training</w:t>
            </w:r>
          </w:p>
          <w:p w14:paraId="5102D34F" w14:textId="77777777" w:rsidR="005136BF" w:rsidRPr="00E5087D" w:rsidRDefault="005136BF">
            <w:pPr>
              <w:spacing w:before="120" w:after="120"/>
            </w:pPr>
            <w:r w:rsidRPr="00E5087D">
              <w:t>Industry placements and work experience</w:t>
            </w:r>
          </w:p>
        </w:tc>
      </w:tr>
      <w:tr w:rsidR="005136BF" w:rsidRPr="00E5087D" w14:paraId="2D15CAB1" w14:textId="77777777">
        <w:trPr>
          <w:trHeight w:val="1038"/>
        </w:trPr>
        <w:tc>
          <w:tcPr>
            <w:tcW w:w="3118" w:type="dxa"/>
            <w:tcBorders>
              <w:top w:val="single" w:sz="4" w:space="0" w:color="auto"/>
              <w:bottom w:val="single" w:sz="4" w:space="0" w:color="auto"/>
            </w:tcBorders>
            <w:vAlign w:val="center"/>
          </w:tcPr>
          <w:p w14:paraId="3B9136CC" w14:textId="77777777" w:rsidR="005136BF" w:rsidRPr="00E5087D" w:rsidRDefault="005136BF">
            <w:pPr>
              <w:spacing w:before="120" w:after="120"/>
            </w:pPr>
            <w:r w:rsidRPr="00E5087D">
              <w:t>Trades like electricians and automotive mechanics</w:t>
            </w:r>
          </w:p>
        </w:tc>
        <w:tc>
          <w:tcPr>
            <w:tcW w:w="3119" w:type="dxa"/>
            <w:tcBorders>
              <w:top w:val="single" w:sz="4" w:space="0" w:color="auto"/>
              <w:bottom w:val="single" w:sz="4" w:space="0" w:color="auto"/>
            </w:tcBorders>
            <w:vAlign w:val="center"/>
          </w:tcPr>
          <w:p w14:paraId="4CEFFCE9" w14:textId="77777777" w:rsidR="005136BF" w:rsidRPr="00E5087D" w:rsidRDefault="005136BF">
            <w:pPr>
              <w:spacing w:before="120" w:after="120"/>
            </w:pPr>
            <w:r w:rsidRPr="00E5087D">
              <w:t>Professionals like electrical engineers and environmental scientists</w:t>
            </w:r>
          </w:p>
        </w:tc>
        <w:tc>
          <w:tcPr>
            <w:tcW w:w="3119" w:type="dxa"/>
            <w:tcBorders>
              <w:top w:val="single" w:sz="4" w:space="0" w:color="auto"/>
              <w:bottom w:val="single" w:sz="4" w:space="0" w:color="auto"/>
            </w:tcBorders>
            <w:vAlign w:val="center"/>
          </w:tcPr>
          <w:p w14:paraId="2DC65774" w14:textId="77777777" w:rsidR="005136BF" w:rsidRPr="00E5087D" w:rsidRDefault="005136BF">
            <w:pPr>
              <w:spacing w:before="120" w:after="120"/>
            </w:pPr>
            <w:r w:rsidRPr="00E5087D">
              <w:t xml:space="preserve">Job role specialisation </w:t>
            </w:r>
          </w:p>
        </w:tc>
      </w:tr>
    </w:tbl>
    <w:p w14:paraId="380DC211" w14:textId="77777777" w:rsidR="005136BF" w:rsidRPr="00E5087D" w:rsidRDefault="005136BF" w:rsidP="005136BF">
      <w:pPr>
        <w:spacing w:before="360" w:after="120"/>
        <w:rPr>
          <w:b/>
          <w:bCs/>
          <w:color w:val="0C6DAD" w:themeColor="accent3" w:themeShade="BF"/>
          <w:sz w:val="24"/>
          <w:szCs w:val="24"/>
        </w:rPr>
      </w:pPr>
      <w:r w:rsidRPr="00E5087D">
        <w:rPr>
          <w:b/>
          <w:bCs/>
          <w:color w:val="0C6DAD" w:themeColor="accent3" w:themeShade="BF"/>
          <w:sz w:val="24"/>
          <w:szCs w:val="24"/>
        </w:rPr>
        <w:t>Industry involvement</w:t>
      </w:r>
    </w:p>
    <w:p w14:paraId="02DAD0E2" w14:textId="718A6423" w:rsidR="005136BF" w:rsidRPr="00E5087D" w:rsidRDefault="005136BF" w:rsidP="000C61DA">
      <w:pPr>
        <w:spacing w:before="120" w:after="240" w:line="276" w:lineRule="auto"/>
      </w:pPr>
      <w:r w:rsidRPr="00E5087D">
        <w:t xml:space="preserve">Not all skills can (or should) be provided by formal training. Industry-led </w:t>
      </w:r>
      <w:r w:rsidR="00295B1B" w:rsidRPr="00E5087D">
        <w:t>informal</w:t>
      </w:r>
      <w:r w:rsidRPr="00E5087D">
        <w:t xml:space="preserve"> training is an important bridge between tertiary qualifications and the specific, in-house skills needs of employers. </w:t>
      </w:r>
      <w:r w:rsidR="00295B1B" w:rsidRPr="00E5087D">
        <w:t xml:space="preserve">Informal </w:t>
      </w:r>
      <w:r w:rsidRPr="00E5087D">
        <w:t>training</w:t>
      </w:r>
      <w:r w:rsidR="00295B1B" w:rsidRPr="00E5087D">
        <w:t>, typically undertaken on the job,</w:t>
      </w:r>
      <w:r w:rsidRPr="00E5087D">
        <w:t xml:space="preserve"> can still be rigorous and may provide a pathway to formal qualifications through Recognition of Prior Learning</w:t>
      </w:r>
      <w:r w:rsidR="009F624C">
        <w:t xml:space="preserve"> (RPL)</w:t>
      </w:r>
      <w:r w:rsidRPr="00E5087D">
        <w:t>. Some industry-led training can align with international standards, which is an important consideration in sectors such as wind energy, where firms and workers are globally mobile.</w:t>
      </w:r>
    </w:p>
    <w:p w14:paraId="1F8C2540" w14:textId="0895B09E" w:rsidR="005136BF" w:rsidRPr="00E5087D" w:rsidRDefault="005136BF" w:rsidP="00172D80">
      <w:pPr>
        <w:pStyle w:val="IntenseQuote"/>
        <w:pBdr>
          <w:top w:val="single" w:sz="4" w:space="10" w:color="1192E8" w:themeColor="accent3"/>
          <w:bottom w:val="single" w:sz="4" w:space="10" w:color="1192E8" w:themeColor="accent3"/>
        </w:pBdr>
        <w:spacing w:before="120" w:after="120"/>
        <w:ind w:left="680" w:right="680"/>
        <w:rPr>
          <w:rStyle w:val="EndnoteReference"/>
          <w:color w:val="000000" w:themeColor="text1"/>
        </w:rPr>
      </w:pPr>
      <w:r w:rsidRPr="00E5087D">
        <w:rPr>
          <w:color w:val="000000" w:themeColor="text1"/>
        </w:rPr>
        <w:t>“Training and certification delivered by industry groups is currently critical to enabling parts of the transition. For example, the EEC’s Certified Insulation Installer program is underpinning state and territory government initiatives to deploy insulation to buildings, improving thermal performance and reducing energy system emissions associated with heating and cooling buildings”</w:t>
      </w:r>
      <w:r w:rsidR="002C5F3C" w:rsidRPr="00E5087D">
        <w:rPr>
          <w:color w:val="000000" w:themeColor="text1"/>
        </w:rPr>
        <w:t>.</w:t>
      </w:r>
    </w:p>
    <w:p w14:paraId="60F7CCFD" w14:textId="56FC5169" w:rsidR="002C5F3C" w:rsidRPr="00D46149" w:rsidRDefault="005136BF" w:rsidP="00D46149">
      <w:pPr>
        <w:pStyle w:val="IntenseQuote"/>
        <w:pBdr>
          <w:top w:val="single" w:sz="4" w:space="10" w:color="1192E8" w:themeColor="accent3"/>
          <w:bottom w:val="single" w:sz="4" w:space="10" w:color="1192E8" w:themeColor="accent3"/>
        </w:pBdr>
        <w:spacing w:before="120" w:after="120"/>
        <w:ind w:left="680" w:right="680"/>
        <w:rPr>
          <w:i w:val="0"/>
          <w:color w:val="0C6DAD" w:themeColor="accent3" w:themeShade="BF"/>
        </w:rPr>
      </w:pPr>
      <w:r w:rsidRPr="00A959E4">
        <w:rPr>
          <w:i w:val="0"/>
          <w:iCs w:val="0"/>
          <w:color w:val="1192E8" w:themeColor="accent3"/>
        </w:rPr>
        <w:t>–</w:t>
      </w:r>
      <w:r w:rsidRPr="00444165">
        <w:rPr>
          <w:i w:val="0"/>
          <w:iCs w:val="0"/>
          <w:color w:val="0C6DAD" w:themeColor="accent3" w:themeShade="BF"/>
        </w:rPr>
        <w:t xml:space="preserve"> Energy Efficiency Council</w:t>
      </w:r>
      <w:r w:rsidR="0032465E">
        <w:rPr>
          <w:i w:val="0"/>
          <w:iCs w:val="0"/>
          <w:color w:val="0C6DAD" w:themeColor="accent3" w:themeShade="BF"/>
        </w:rPr>
        <w:t xml:space="preserve"> (EEC</w:t>
      </w:r>
      <w:r w:rsidR="0032465E" w:rsidRPr="21F72A16">
        <w:rPr>
          <w:i w:val="0"/>
          <w:iCs w:val="0"/>
          <w:color w:val="0C6DAD" w:themeColor="accent3" w:themeShade="BF"/>
        </w:rPr>
        <w:t>)</w:t>
      </w:r>
      <w:r w:rsidR="1113F729" w:rsidRPr="21F72A16">
        <w:rPr>
          <w:i w:val="0"/>
          <w:iCs w:val="0"/>
          <w:color w:val="0C6DAD" w:themeColor="accent3" w:themeShade="BF"/>
        </w:rPr>
        <w:t>.</w:t>
      </w:r>
      <w:r w:rsidRPr="4563A599">
        <w:rPr>
          <w:rStyle w:val="EndnoteReference"/>
          <w:i w:val="0"/>
          <w:iCs w:val="0"/>
          <w:color w:val="0C6DAD" w:themeColor="accent3" w:themeShade="BF"/>
        </w:rPr>
        <w:endnoteReference w:id="57"/>
      </w:r>
    </w:p>
    <w:p w14:paraId="1C8B89BA" w14:textId="42415F74" w:rsidR="005136BF" w:rsidRPr="00E5087D" w:rsidRDefault="005136BF" w:rsidP="000C61DA">
      <w:pPr>
        <w:spacing w:before="240" w:after="120" w:line="276" w:lineRule="auto"/>
      </w:pPr>
      <w:r w:rsidRPr="00E5087D">
        <w:lastRenderedPageBreak/>
        <w:t xml:space="preserve">Industry also has a vital role in providing students with work experience and exposure to business practices and technology. In VET, this relationship is built-in through the apprenticeship model. However, apprentices can’t gain exposure to every element of clean energy through a single employer. Industry has an important role in providing Registered Training </w:t>
      </w:r>
      <w:r w:rsidR="00295B1B" w:rsidRPr="00E5087D">
        <w:t>Organisations</w:t>
      </w:r>
      <w:r w:rsidRPr="00E5087D">
        <w:t xml:space="preserve"> (RTOs) and students with access to a range of technology and worksites, like wind turbines, that are difficult to replicate in a classroom environment. </w:t>
      </w:r>
    </w:p>
    <w:p w14:paraId="302F55B9" w14:textId="0EFC6890" w:rsidR="005136BF" w:rsidRPr="00E5087D" w:rsidRDefault="005136BF" w:rsidP="000C61DA">
      <w:pPr>
        <w:spacing w:before="120" w:line="276" w:lineRule="auto"/>
      </w:pPr>
      <w:r w:rsidRPr="00E5087D">
        <w:t xml:space="preserve">For </w:t>
      </w:r>
      <w:r w:rsidR="000D24B3">
        <w:t>higher education</w:t>
      </w:r>
      <w:r w:rsidRPr="00E5087D">
        <w:t xml:space="preserve"> students, exposure to industry is often less formal and not always guaranteed. Some universities, like </w:t>
      </w:r>
      <w:r w:rsidR="000B472F">
        <w:t>the University of New South Wales (</w:t>
      </w:r>
      <w:r w:rsidRPr="00E5087D">
        <w:t>UNSW</w:t>
      </w:r>
      <w:r w:rsidR="000B472F">
        <w:t>)</w:t>
      </w:r>
      <w:r w:rsidRPr="00E5087D">
        <w:t>, provide third and fourth-year students the opportunity to undertake internships within a chosen field as part of their studies, lasting anywhere between one to six months. Without these industry familiarisation opportunities, it’s unrealistic to assume students can enter the workforce with all the skills and experience employers need.</w:t>
      </w:r>
    </w:p>
    <w:p w14:paraId="6586E690" w14:textId="77777777" w:rsidR="00A91D01" w:rsidRPr="00E5087D" w:rsidRDefault="00A91D01" w:rsidP="00A91D01">
      <w:pPr>
        <w:spacing w:before="240" w:after="120"/>
        <w:rPr>
          <w:b/>
          <w:bCs/>
          <w:color w:val="0C6DAD" w:themeColor="accent3" w:themeShade="BF"/>
          <w:sz w:val="24"/>
          <w:szCs w:val="24"/>
        </w:rPr>
      </w:pPr>
      <w:r w:rsidRPr="00E5087D">
        <w:rPr>
          <w:b/>
          <w:bCs/>
          <w:color w:val="0C6DAD" w:themeColor="accent3" w:themeShade="BF"/>
          <w:sz w:val="24"/>
          <w:szCs w:val="24"/>
        </w:rPr>
        <w:t>Tertiary alignment</w:t>
      </w:r>
    </w:p>
    <w:p w14:paraId="03480047" w14:textId="71CA1ABC" w:rsidR="00A91D01" w:rsidRPr="00E5087D" w:rsidRDefault="00A91D01" w:rsidP="000C61DA">
      <w:pPr>
        <w:spacing w:before="120" w:after="120" w:line="276" w:lineRule="auto"/>
      </w:pPr>
      <w:r w:rsidRPr="00E5087D">
        <w:t>While VET and higher education are two distinct s</w:t>
      </w:r>
      <w:r w:rsidR="0041220A">
        <w:t>ectors</w:t>
      </w:r>
      <w:r w:rsidRPr="00E5087D">
        <w:t xml:space="preserve">, there is growing interest and opportunity for a more aligned tertiary </w:t>
      </w:r>
      <w:r w:rsidR="0041220A">
        <w:t>system</w:t>
      </w:r>
      <w:r w:rsidRPr="00E5087D">
        <w:t>. This is particularly so for an emerging workforce like clean energy, with potential to move away from the linear, siloed approach to tertiary pathways.</w:t>
      </w:r>
    </w:p>
    <w:p w14:paraId="7C3F4EB9" w14:textId="282B221D" w:rsidR="00A91D01" w:rsidRPr="00E5087D" w:rsidRDefault="00A91D01" w:rsidP="00986331">
      <w:pPr>
        <w:pStyle w:val="IntenseQuote"/>
        <w:pBdr>
          <w:top w:val="single" w:sz="4" w:space="10" w:color="1192E8" w:themeColor="accent3"/>
          <w:bottom w:val="single" w:sz="4" w:space="10" w:color="1192E8" w:themeColor="accent3"/>
        </w:pBdr>
        <w:spacing w:before="240" w:after="120"/>
        <w:ind w:left="680" w:right="680"/>
        <w:rPr>
          <w:color w:val="000000" w:themeColor="text1"/>
          <w:vertAlign w:val="superscript"/>
        </w:rPr>
      </w:pPr>
      <w:r w:rsidRPr="00E5087D">
        <w:rPr>
          <w:color w:val="000000" w:themeColor="text1"/>
        </w:rPr>
        <w:t>“We need to encourage innovative methods of course delivery, particularly in areas of national priority such as health care, clean energy and defence. Industry providers should be engaged in course design with VET and higher education providers to identify key learning requirements across both sectors”</w:t>
      </w:r>
      <w:r w:rsidR="00986331" w:rsidRPr="00E5087D">
        <w:rPr>
          <w:color w:val="000000" w:themeColor="text1"/>
        </w:rPr>
        <w:t>.</w:t>
      </w:r>
    </w:p>
    <w:p w14:paraId="23BC127C" w14:textId="61DA4F94" w:rsidR="00A91D01" w:rsidRPr="00E5087D" w:rsidRDefault="00A959E4" w:rsidP="00986331">
      <w:pPr>
        <w:pStyle w:val="IntenseQuote"/>
        <w:pBdr>
          <w:top w:val="single" w:sz="4" w:space="10" w:color="1192E8" w:themeColor="accent3"/>
          <w:bottom w:val="single" w:sz="4" w:space="10" w:color="1192E8" w:themeColor="accent3"/>
        </w:pBdr>
        <w:spacing w:before="120" w:after="120"/>
        <w:ind w:left="680" w:right="680"/>
        <w:rPr>
          <w:i w:val="0"/>
          <w:iCs w:val="0"/>
          <w:color w:val="0C6DAD" w:themeColor="accent3" w:themeShade="BF"/>
        </w:rPr>
      </w:pPr>
      <w:r w:rsidRPr="00444165">
        <w:rPr>
          <w:i w:val="0"/>
          <w:iCs w:val="0"/>
          <w:color w:val="0C6DAD" w:themeColor="accent3" w:themeShade="BF"/>
        </w:rPr>
        <w:t>–</w:t>
      </w:r>
      <w:r>
        <w:rPr>
          <w:i w:val="0"/>
          <w:iCs w:val="0"/>
          <w:color w:val="0C6DAD" w:themeColor="accent3" w:themeShade="BF"/>
        </w:rPr>
        <w:t xml:space="preserve"> </w:t>
      </w:r>
      <w:r w:rsidR="00A91D01" w:rsidRPr="00E5087D">
        <w:rPr>
          <w:i w:val="0"/>
          <w:iCs w:val="0"/>
          <w:color w:val="0C6DAD" w:themeColor="accent3" w:themeShade="BF"/>
        </w:rPr>
        <w:t>Australian Universities Accord: Interim Report</w:t>
      </w:r>
      <w:r w:rsidR="3E9CC25F" w:rsidRPr="4289ECC0">
        <w:rPr>
          <w:i w:val="0"/>
          <w:iCs w:val="0"/>
          <w:color w:val="0C6DAD" w:themeColor="accent3" w:themeShade="BF"/>
        </w:rPr>
        <w:t>.</w:t>
      </w:r>
      <w:r w:rsidRPr="24B937FE">
        <w:rPr>
          <w:rStyle w:val="EndnoteReference"/>
          <w:i w:val="0"/>
          <w:iCs w:val="0"/>
          <w:color w:val="0C6DAD" w:themeColor="accent3" w:themeShade="BF"/>
        </w:rPr>
        <w:endnoteReference w:id="58"/>
      </w:r>
    </w:p>
    <w:p w14:paraId="011DF299" w14:textId="33967135" w:rsidR="00A91D01" w:rsidRPr="00E5087D" w:rsidRDefault="00A91D01" w:rsidP="000C61DA">
      <w:pPr>
        <w:spacing w:beforeAutospacing="1" w:line="276" w:lineRule="auto"/>
      </w:pPr>
      <w:r w:rsidRPr="00E5087D">
        <w:t>Some of Australia’s dual-sector universities are already looking to bridge the gap between the two distinct s</w:t>
      </w:r>
      <w:r w:rsidR="00482F0E">
        <w:t>ectors</w:t>
      </w:r>
      <w:r w:rsidRPr="00E5087D">
        <w:t xml:space="preserve"> through initiatives like degree apprenticeships. For example, the A</w:t>
      </w:r>
      <w:r w:rsidR="6A66207B" w:rsidRPr="00E5087D">
        <w:t>i</w:t>
      </w:r>
      <w:r w:rsidRPr="00E5087D">
        <w:t xml:space="preserve"> Group is </w:t>
      </w:r>
      <w:r w:rsidR="008C59FA">
        <w:t xml:space="preserve">seeking to </w:t>
      </w:r>
      <w:r w:rsidRPr="00E5087D">
        <w:t>establis</w:t>
      </w:r>
      <w:r w:rsidR="008C59FA">
        <w:t>h</w:t>
      </w:r>
      <w:r w:rsidRPr="00E5087D">
        <w:t xml:space="preserve"> a pilot to combine a degree in electrical engineering with a Certificate III electrical trade, delivered as an apprenticeship.</w:t>
      </w:r>
      <w:r w:rsidRPr="00E5087D">
        <w:rPr>
          <w:rStyle w:val="EndnoteReference"/>
        </w:rPr>
        <w:endnoteReference w:id="59"/>
      </w:r>
      <w:r w:rsidRPr="00E5087D">
        <w:t xml:space="preserve"> </w:t>
      </w:r>
      <w:r w:rsidRPr="00EE68FD">
        <w:rPr>
          <w:b/>
          <w:bCs/>
        </w:rPr>
        <w:t xml:space="preserve">Chapter </w:t>
      </w:r>
      <w:r w:rsidR="002C5F3C" w:rsidRPr="00EE68FD">
        <w:rPr>
          <w:b/>
          <w:bCs/>
        </w:rPr>
        <w:t>7</w:t>
      </w:r>
      <w:r w:rsidRPr="00E5087D">
        <w:t xml:space="preserve"> explores some of the challenges and opportunities with tertiary alignment from a clean energy perspective</w:t>
      </w:r>
      <w:r w:rsidR="008C59FA">
        <w:t>.</w:t>
      </w:r>
    </w:p>
    <w:p w14:paraId="44A4E3E0" w14:textId="77777777" w:rsidR="00986331" w:rsidRPr="00E5087D" w:rsidRDefault="00986331" w:rsidP="000C61DA">
      <w:pPr>
        <w:spacing w:line="276" w:lineRule="auto"/>
        <w:rPr>
          <w:b/>
          <w:bCs/>
          <w:color w:val="0C6DAD" w:themeColor="accent3" w:themeShade="BF"/>
          <w:sz w:val="24"/>
          <w:szCs w:val="24"/>
        </w:rPr>
      </w:pPr>
      <w:r w:rsidRPr="00E5087D">
        <w:rPr>
          <w:b/>
          <w:bCs/>
          <w:color w:val="0C6DAD" w:themeColor="accent3" w:themeShade="BF"/>
          <w:sz w:val="24"/>
          <w:szCs w:val="24"/>
        </w:rPr>
        <w:br w:type="page"/>
      </w:r>
    </w:p>
    <w:p w14:paraId="74F078FF" w14:textId="1AE7AB57" w:rsidR="00A91D01" w:rsidRPr="00E5087D" w:rsidRDefault="00A91D01" w:rsidP="00A91D01">
      <w:pPr>
        <w:spacing w:before="240" w:after="120"/>
        <w:rPr>
          <w:b/>
          <w:bCs/>
          <w:color w:val="0C6DAD" w:themeColor="accent3" w:themeShade="BF"/>
          <w:sz w:val="24"/>
          <w:szCs w:val="24"/>
        </w:rPr>
      </w:pPr>
      <w:r w:rsidRPr="00E5087D">
        <w:rPr>
          <w:b/>
          <w:bCs/>
          <w:color w:val="0C6DAD" w:themeColor="accent3" w:themeShade="BF"/>
          <w:sz w:val="24"/>
          <w:szCs w:val="24"/>
        </w:rPr>
        <w:lastRenderedPageBreak/>
        <w:t>Elements of tertiary pathways</w:t>
      </w:r>
    </w:p>
    <w:p w14:paraId="485ECF4A" w14:textId="77777777" w:rsidR="00A91D01" w:rsidRPr="00E5087D" w:rsidRDefault="00A91D01" w:rsidP="000C61DA">
      <w:pPr>
        <w:spacing w:after="120" w:line="276" w:lineRule="auto"/>
      </w:pPr>
      <w:r w:rsidRPr="00E5087D">
        <w:t xml:space="preserve">The clean energy workforce builds on a deep knowledge base provided by the existing tertiary system. This pipeline has and will continue to deliver the fundamental skills needed for the sector. This is true for electro-technology (the primary field of interest) and other roles in engineering, construction and automotive technology. </w:t>
      </w:r>
    </w:p>
    <w:p w14:paraId="78432A9D" w14:textId="77777777" w:rsidR="00A91D01" w:rsidRPr="00E5087D" w:rsidRDefault="00A91D01" w:rsidP="000C61DA">
      <w:pPr>
        <w:spacing w:after="120" w:line="276" w:lineRule="auto"/>
      </w:pPr>
      <w:r w:rsidRPr="00E5087D">
        <w:t xml:space="preserve">There are a growing number of clean energy-specific skills, like managing energy efficiency, which are also important to the workforce. However, for the most part these skills are extensions or ‘top ups’ that build on the skillsets provided by existing training packages and undergraduate degrees. </w:t>
      </w:r>
    </w:p>
    <w:p w14:paraId="43C6B5FB" w14:textId="1A92ED12" w:rsidR="00A91D01" w:rsidRPr="00E5087D" w:rsidRDefault="00A91D01" w:rsidP="000C61DA">
      <w:pPr>
        <w:spacing w:after="0" w:line="276" w:lineRule="auto"/>
      </w:pPr>
      <w:r w:rsidRPr="00E5087D">
        <w:t>JSA has identified three key elements of clean energy</w:t>
      </w:r>
      <w:r w:rsidR="002C5F3C" w:rsidRPr="00E5087D">
        <w:t xml:space="preserve"> education and</w:t>
      </w:r>
      <w:r w:rsidRPr="00E5087D">
        <w:t xml:space="preserve"> training pathways: </w:t>
      </w:r>
    </w:p>
    <w:p w14:paraId="39403C38" w14:textId="35920362" w:rsidR="00A91D01" w:rsidRPr="00E5087D" w:rsidRDefault="00A91D01" w:rsidP="00F25595">
      <w:pPr>
        <w:pStyle w:val="ListParagraph"/>
        <w:numPr>
          <w:ilvl w:val="0"/>
          <w:numId w:val="62"/>
        </w:numPr>
        <w:spacing w:line="276" w:lineRule="auto"/>
        <w:rPr>
          <w:rFonts w:eastAsia="Arial" w:cs="Arial"/>
        </w:rPr>
      </w:pPr>
      <w:r w:rsidRPr="00E5087D">
        <w:t xml:space="preserve">existing broad-based qualifications </w:t>
      </w:r>
    </w:p>
    <w:p w14:paraId="7053089B" w14:textId="3D5E3887" w:rsidR="00A91D01" w:rsidRPr="00E5087D" w:rsidRDefault="00A91D01" w:rsidP="00F25595">
      <w:pPr>
        <w:pStyle w:val="ListParagraph"/>
        <w:numPr>
          <w:ilvl w:val="0"/>
          <w:numId w:val="62"/>
        </w:numPr>
        <w:spacing w:line="276" w:lineRule="auto"/>
        <w:rPr>
          <w:rFonts w:eastAsia="Arial" w:cs="Arial"/>
        </w:rPr>
      </w:pPr>
      <w:r w:rsidRPr="00E5087D">
        <w:t xml:space="preserve">clean energy top-up and electives </w:t>
      </w:r>
    </w:p>
    <w:p w14:paraId="3C7E2176" w14:textId="77777777" w:rsidR="00A91D01" w:rsidRPr="00E5087D" w:rsidRDefault="00A91D01" w:rsidP="00F25595">
      <w:pPr>
        <w:pStyle w:val="ListParagraph"/>
        <w:numPr>
          <w:ilvl w:val="0"/>
          <w:numId w:val="62"/>
        </w:numPr>
        <w:spacing w:after="120" w:line="276" w:lineRule="auto"/>
        <w:rPr>
          <w:rFonts w:eastAsia="Arial" w:cs="Arial"/>
        </w:rPr>
      </w:pPr>
      <w:r w:rsidRPr="00E5087D">
        <w:t xml:space="preserve">new qualifications targeted to emerging sectors. </w:t>
      </w:r>
    </w:p>
    <w:p w14:paraId="4DD68F26" w14:textId="039217B6" w:rsidR="00A91D01" w:rsidRPr="00E5087D" w:rsidRDefault="00A91D01" w:rsidP="000C61DA">
      <w:pPr>
        <w:spacing w:after="240" w:line="276" w:lineRule="auto"/>
        <w:rPr>
          <w:rFonts w:eastAsia="Arial" w:cs="Arial"/>
        </w:rPr>
      </w:pPr>
      <w:r w:rsidRPr="00E5087D">
        <w:t xml:space="preserve">These elements are explored in Figure </w:t>
      </w:r>
      <w:r w:rsidR="00377210">
        <w:t>4</w:t>
      </w:r>
      <w:r w:rsidR="001A7900">
        <w:t>.2</w:t>
      </w:r>
      <w:r w:rsidRPr="00E5087D">
        <w:t xml:space="preserve"> with example courses.</w:t>
      </w:r>
    </w:p>
    <w:p w14:paraId="128CD4DE" w14:textId="52D103E9" w:rsidR="0052047E" w:rsidRPr="007C6342" w:rsidRDefault="0052047E" w:rsidP="00A81085">
      <w:pPr>
        <w:pBdr>
          <w:top w:val="single" w:sz="4" w:space="6" w:color="BFBFBF" w:themeColor="background1" w:themeShade="BF"/>
        </w:pBdr>
        <w:spacing w:after="80" w:line="240" w:lineRule="auto"/>
        <w:rPr>
          <w:b/>
          <w:bCs/>
        </w:rPr>
      </w:pPr>
      <w:r w:rsidRPr="007C6342">
        <w:rPr>
          <w:b/>
          <w:bCs/>
        </w:rPr>
        <w:t xml:space="preserve">Figure </w:t>
      </w:r>
      <w:r w:rsidR="00377210" w:rsidRPr="007C6342">
        <w:rPr>
          <w:b/>
          <w:bCs/>
        </w:rPr>
        <w:t>4</w:t>
      </w:r>
      <w:r w:rsidR="001A7900">
        <w:rPr>
          <w:b/>
          <w:bCs/>
        </w:rPr>
        <w:t>.2</w:t>
      </w:r>
      <w:r w:rsidRPr="007C6342">
        <w:rPr>
          <w:b/>
          <w:bCs/>
        </w:rPr>
        <w:t xml:space="preserve">. </w:t>
      </w:r>
      <w:r w:rsidR="00FF5A36">
        <w:rPr>
          <w:b/>
          <w:bCs/>
        </w:rPr>
        <w:t xml:space="preserve">Illustrative </w:t>
      </w:r>
      <w:r w:rsidRPr="007C6342">
        <w:rPr>
          <w:b/>
          <w:bCs/>
        </w:rPr>
        <w:t>tertiary education</w:t>
      </w:r>
      <w:r w:rsidR="006B054A" w:rsidRPr="007C6342">
        <w:rPr>
          <w:b/>
          <w:bCs/>
        </w:rPr>
        <w:t xml:space="preserve"> pathways</w:t>
      </w:r>
      <w:r w:rsidR="002C5F3C" w:rsidRPr="007C6342">
        <w:rPr>
          <w:b/>
          <w:bCs/>
        </w:rPr>
        <w:t xml:space="preserve"> for the clean energy workforce</w:t>
      </w:r>
    </w:p>
    <w:p w14:paraId="3FCF0903" w14:textId="77777777" w:rsidR="0052047E" w:rsidRPr="00E5087D" w:rsidRDefault="0052047E" w:rsidP="009B67EA">
      <w:pPr>
        <w:pStyle w:val="Bodycopy"/>
        <w:spacing w:after="0"/>
      </w:pPr>
      <w:r w:rsidRPr="00E5087D">
        <w:rPr>
          <w:noProof/>
        </w:rPr>
        <w:drawing>
          <wp:inline distT="0" distB="0" distL="0" distR="0" wp14:anchorId="0499930F" wp14:editId="42F302D7">
            <wp:extent cx="5731402" cy="5025553"/>
            <wp:effectExtent l="0" t="0" r="3175" b="3810"/>
            <wp:docPr id="1341085130" name="Picture 1341085130" descr="This figure captures tertiary education pathways for the clean energy workforce for students and existing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30" name="Picture 1341085130" descr="This figure captures tertiary education pathways for the clean energy workforce for students and existing workers."/>
                    <pic:cNvPicPr/>
                  </pic:nvPicPr>
                  <pic:blipFill rotWithShape="1">
                    <a:blip r:embed="rId110" cstate="screen">
                      <a:extLst>
                        <a:ext uri="{28A0092B-C50C-407E-A947-70E740481C1C}">
                          <a14:useLocalDpi xmlns:a14="http://schemas.microsoft.com/office/drawing/2010/main"/>
                        </a:ext>
                      </a:extLst>
                    </a:blip>
                    <a:srcRect t="2054" b="3310"/>
                    <a:stretch/>
                  </pic:blipFill>
                  <pic:spPr bwMode="auto">
                    <a:xfrm>
                      <a:off x="0" y="0"/>
                      <a:ext cx="5731510" cy="5025648"/>
                    </a:xfrm>
                    <a:prstGeom prst="rect">
                      <a:avLst/>
                    </a:prstGeom>
                    <a:ln>
                      <a:noFill/>
                    </a:ln>
                    <a:extLst>
                      <a:ext uri="{53640926-AAD7-44D8-BBD7-CCE9431645EC}">
                        <a14:shadowObscured xmlns:a14="http://schemas.microsoft.com/office/drawing/2010/main"/>
                      </a:ext>
                    </a:extLst>
                  </pic:spPr>
                </pic:pic>
              </a:graphicData>
            </a:graphic>
          </wp:inline>
        </w:drawing>
      </w:r>
    </w:p>
    <w:p w14:paraId="574DB269" w14:textId="0F2D6CDD" w:rsidR="00377B56" w:rsidRPr="00E5087D" w:rsidRDefault="002007BF">
      <w:pPr>
        <w:rPr>
          <w:sz w:val="18"/>
          <w:szCs w:val="18"/>
        </w:rPr>
      </w:pPr>
      <w:r>
        <w:rPr>
          <w:sz w:val="18"/>
          <w:szCs w:val="18"/>
        </w:rPr>
        <w:t>Note: existing workers (including those within clean energy, transitioning industries, or any other sector of the economy) can also benefit from targeted and broad-based qualifications where major upskilling or reskilling is required.</w:t>
      </w:r>
    </w:p>
    <w:p w14:paraId="237F43B4" w14:textId="77777777" w:rsidR="00377B56" w:rsidRPr="00E5087D" w:rsidRDefault="00377B56" w:rsidP="00377B56">
      <w:pPr>
        <w:pStyle w:val="Heading3"/>
      </w:pPr>
      <w:r w:rsidRPr="00E5087D">
        <w:lastRenderedPageBreak/>
        <w:t>Broad based qualifications are key</w:t>
      </w:r>
    </w:p>
    <w:p w14:paraId="64550883" w14:textId="77777777" w:rsidR="00377B56" w:rsidRPr="00E5087D" w:rsidRDefault="00377B56" w:rsidP="00377B56">
      <w:pPr>
        <w:spacing w:after="120"/>
        <w:rPr>
          <w:b/>
          <w:bCs/>
          <w:color w:val="0C6DAD" w:themeColor="accent3" w:themeShade="BF"/>
          <w:sz w:val="24"/>
          <w:szCs w:val="24"/>
        </w:rPr>
      </w:pPr>
      <w:r w:rsidRPr="00E5087D">
        <w:rPr>
          <w:b/>
          <w:bCs/>
          <w:color w:val="0C6DAD" w:themeColor="accent3" w:themeShade="BF"/>
          <w:sz w:val="24"/>
          <w:szCs w:val="24"/>
        </w:rPr>
        <w:t>Types of qualifications</w:t>
      </w:r>
    </w:p>
    <w:p w14:paraId="2D34654E" w14:textId="28F5BD6D" w:rsidR="00377B56" w:rsidRPr="00E5087D" w:rsidRDefault="00377B56" w:rsidP="00377B56">
      <w:pPr>
        <w:spacing w:after="120" w:line="276" w:lineRule="auto"/>
      </w:pPr>
      <w:r w:rsidRPr="00E5087D">
        <w:t>Broad-based qualifications include common pathways like a Certificate III in Electrotechnology (VET) and Bachelor of Electrical Engineering (Higher Education). These existing qualifications provide the fundamental skills required across a wide range of roles, including clean energy. These qualifications are already delivered in large numbers across Australia</w:t>
      </w:r>
      <w:r w:rsidR="007206A7">
        <w:t xml:space="preserve"> and are key to ensuring everyone has the knowledge, skills and competencies needed to thrive in a variety of work settings</w:t>
      </w:r>
      <w:r w:rsidR="00C65704">
        <w:t xml:space="preserve"> (Table 4.2).</w:t>
      </w:r>
    </w:p>
    <w:p w14:paraId="4E1F2166" w14:textId="77777777" w:rsidR="00377B56" w:rsidRPr="00E5087D" w:rsidRDefault="00377B56" w:rsidP="00377B56">
      <w:pPr>
        <w:spacing w:after="240" w:line="276" w:lineRule="auto"/>
      </w:pPr>
      <w:r w:rsidRPr="00E5087D">
        <w:t>Increasing the capacity of education and training providers to scale these courses will be a key challenge going forward. In the short-term, many graduates with these qualifications will work in larger, adjacent sectors such as construction, mining and manufacturing. But as the demand for clean energy workers grows, the early investment in these skills pipelines will pay dividends, as these broad-based qualifications will be highly transferable and relevant into the future.</w:t>
      </w:r>
    </w:p>
    <w:p w14:paraId="1B512B83" w14:textId="123A36E9" w:rsidR="00377B56" w:rsidRPr="007C6342" w:rsidRDefault="00377B56" w:rsidP="00377B56">
      <w:pPr>
        <w:spacing w:after="80"/>
        <w:rPr>
          <w:b/>
          <w:bCs/>
        </w:rPr>
      </w:pPr>
      <w:r w:rsidRPr="007C6342">
        <w:rPr>
          <w:b/>
          <w:bCs/>
        </w:rPr>
        <w:t xml:space="preserve">Table </w:t>
      </w:r>
      <w:r w:rsidR="00323AA8" w:rsidRPr="007C6342">
        <w:rPr>
          <w:b/>
          <w:bCs/>
        </w:rPr>
        <w:t>4</w:t>
      </w:r>
      <w:r w:rsidR="00691A79">
        <w:rPr>
          <w:b/>
          <w:bCs/>
        </w:rPr>
        <w:t>.2</w:t>
      </w:r>
      <w:r w:rsidRPr="007C6342">
        <w:rPr>
          <w:b/>
          <w:bCs/>
        </w:rPr>
        <w:t xml:space="preserve"> Example broad-based qualifications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377B56" w:rsidRPr="00E5087D" w14:paraId="44A15280" w14:textId="77777777" w:rsidTr="007E30DD">
        <w:trPr>
          <w:trHeight w:val="470"/>
        </w:trPr>
        <w:tc>
          <w:tcPr>
            <w:tcW w:w="4508" w:type="dxa"/>
            <w:tcBorders>
              <w:top w:val="single" w:sz="4" w:space="0" w:color="auto"/>
              <w:bottom w:val="single" w:sz="4" w:space="0" w:color="auto"/>
              <w:right w:val="single" w:sz="4" w:space="0" w:color="auto"/>
            </w:tcBorders>
            <w:shd w:val="clear" w:color="auto" w:fill="DAE3F5"/>
            <w:vAlign w:val="center"/>
          </w:tcPr>
          <w:p w14:paraId="13FEF1D2" w14:textId="0E9E2930" w:rsidR="00377B56" w:rsidRPr="00E5087D" w:rsidRDefault="00377B56">
            <w:pPr>
              <w:rPr>
                <w:b/>
                <w:bCs/>
              </w:rPr>
            </w:pPr>
            <w:r w:rsidRPr="00E5087D">
              <w:rPr>
                <w:b/>
                <w:bCs/>
              </w:rPr>
              <w:t>Certificates III and IV</w:t>
            </w:r>
            <w:r w:rsidR="005D2D70" w:rsidRPr="00E5087D">
              <w:rPr>
                <w:b/>
                <w:bCs/>
              </w:rPr>
              <w:t xml:space="preserve"> and Diplomas</w:t>
            </w:r>
          </w:p>
        </w:tc>
        <w:tc>
          <w:tcPr>
            <w:tcW w:w="4508" w:type="dxa"/>
            <w:tcBorders>
              <w:top w:val="single" w:sz="4" w:space="0" w:color="auto"/>
              <w:left w:val="single" w:sz="4" w:space="0" w:color="auto"/>
              <w:bottom w:val="single" w:sz="4" w:space="0" w:color="auto"/>
            </w:tcBorders>
            <w:shd w:val="clear" w:color="auto" w:fill="D9D9D9" w:themeFill="background1" w:themeFillShade="D9"/>
            <w:vAlign w:val="center"/>
          </w:tcPr>
          <w:p w14:paraId="368FC5BA" w14:textId="11FE81C6" w:rsidR="00377B56" w:rsidRPr="00E5087D" w:rsidRDefault="00CF646A">
            <w:pPr>
              <w:rPr>
                <w:b/>
                <w:bCs/>
              </w:rPr>
            </w:pPr>
            <w:r w:rsidRPr="00E5087D">
              <w:rPr>
                <w:b/>
                <w:bCs/>
              </w:rPr>
              <w:t>Bachelor</w:t>
            </w:r>
            <w:r w:rsidR="005D2D70" w:rsidRPr="00E5087D">
              <w:rPr>
                <w:b/>
                <w:bCs/>
              </w:rPr>
              <w:t>’s</w:t>
            </w:r>
            <w:r w:rsidRPr="00E5087D">
              <w:rPr>
                <w:b/>
                <w:bCs/>
              </w:rPr>
              <w:t xml:space="preserve"> and </w:t>
            </w:r>
            <w:r w:rsidR="005D2D70" w:rsidRPr="00E5087D">
              <w:rPr>
                <w:b/>
                <w:bCs/>
              </w:rPr>
              <w:t>M</w:t>
            </w:r>
            <w:r w:rsidRPr="00E5087D">
              <w:rPr>
                <w:b/>
                <w:bCs/>
              </w:rPr>
              <w:t xml:space="preserve">aster’s </w:t>
            </w:r>
            <w:r w:rsidR="00377B56" w:rsidRPr="00E5087D">
              <w:rPr>
                <w:b/>
                <w:bCs/>
              </w:rPr>
              <w:t>degrees</w:t>
            </w:r>
          </w:p>
        </w:tc>
      </w:tr>
      <w:tr w:rsidR="00377B56" w:rsidRPr="00E5087D" w14:paraId="466D1626" w14:textId="77777777" w:rsidTr="00153483">
        <w:trPr>
          <w:trHeight w:val="3100"/>
        </w:trPr>
        <w:tc>
          <w:tcPr>
            <w:tcW w:w="4508" w:type="dxa"/>
            <w:tcBorders>
              <w:top w:val="single" w:sz="4" w:space="0" w:color="auto"/>
              <w:bottom w:val="single" w:sz="4" w:space="0" w:color="auto"/>
              <w:right w:val="single" w:sz="4" w:space="0" w:color="auto"/>
            </w:tcBorders>
            <w:vAlign w:val="center"/>
          </w:tcPr>
          <w:p w14:paraId="7BE6E1D9" w14:textId="77777777" w:rsidR="00377B56" w:rsidRPr="00E5087D" w:rsidRDefault="00377B56" w:rsidP="00153483">
            <w:pPr>
              <w:spacing w:before="120"/>
            </w:pPr>
            <w:r w:rsidRPr="00E5087D">
              <w:t>Metal and Engineering</w:t>
            </w:r>
          </w:p>
          <w:p w14:paraId="63732A81" w14:textId="77777777" w:rsidR="00377B56" w:rsidRPr="00E5087D" w:rsidRDefault="00377B56" w:rsidP="00F25595">
            <w:pPr>
              <w:pStyle w:val="ListParagraph"/>
              <w:numPr>
                <w:ilvl w:val="0"/>
                <w:numId w:val="28"/>
              </w:numPr>
              <w:ind w:left="600"/>
            </w:pPr>
            <w:r w:rsidRPr="00E5087D">
              <w:t>Engineering – Electronic Trade</w:t>
            </w:r>
          </w:p>
          <w:p w14:paraId="54328DA0" w14:textId="77777777" w:rsidR="00377B56" w:rsidRPr="00E5087D" w:rsidRDefault="00377B56" w:rsidP="00F25595">
            <w:pPr>
              <w:pStyle w:val="ListParagraph"/>
              <w:numPr>
                <w:ilvl w:val="0"/>
                <w:numId w:val="28"/>
              </w:numPr>
              <w:ind w:left="600"/>
            </w:pPr>
            <w:r w:rsidRPr="00E5087D">
              <w:t>Engineering – Mechanical Trade</w:t>
            </w:r>
          </w:p>
          <w:p w14:paraId="32700925" w14:textId="77777777" w:rsidR="00377B56" w:rsidRPr="00E5087D" w:rsidRDefault="00377B56" w:rsidP="00F25595">
            <w:pPr>
              <w:pStyle w:val="ListParagraph"/>
              <w:numPr>
                <w:ilvl w:val="0"/>
                <w:numId w:val="28"/>
              </w:numPr>
              <w:spacing w:after="120"/>
              <w:ind w:left="600"/>
            </w:pPr>
            <w:r w:rsidRPr="00E5087D">
              <w:t>Engineering – Fabrication Trade</w:t>
            </w:r>
          </w:p>
          <w:p w14:paraId="0F1B9800" w14:textId="77777777" w:rsidR="00377B56" w:rsidRPr="00E5087D" w:rsidRDefault="00377B56" w:rsidP="00F25595">
            <w:pPr>
              <w:pStyle w:val="ListParagraph"/>
              <w:numPr>
                <w:ilvl w:val="0"/>
                <w:numId w:val="28"/>
              </w:numPr>
              <w:ind w:left="600"/>
            </w:pPr>
            <w:r w:rsidRPr="00E5087D">
              <w:t>Engineering Drafting</w:t>
            </w:r>
          </w:p>
          <w:p w14:paraId="30A2FD63" w14:textId="77777777" w:rsidR="00377B56" w:rsidRPr="00E5087D" w:rsidRDefault="00377B56" w:rsidP="00153483">
            <w:pPr>
              <w:spacing w:before="80"/>
            </w:pPr>
            <w:r w:rsidRPr="00E5087D">
              <w:t>Electrotechnology</w:t>
            </w:r>
          </w:p>
          <w:p w14:paraId="77DF7A15" w14:textId="77777777" w:rsidR="00377B56" w:rsidRPr="00E5087D" w:rsidRDefault="00377B56" w:rsidP="00F25595">
            <w:pPr>
              <w:pStyle w:val="ListParagraph"/>
              <w:numPr>
                <w:ilvl w:val="0"/>
                <w:numId w:val="28"/>
              </w:numPr>
              <w:spacing w:after="120"/>
              <w:ind w:left="600"/>
            </w:pPr>
            <w:r w:rsidRPr="00E5087D">
              <w:t>Electrotechnology electrician</w:t>
            </w:r>
          </w:p>
          <w:p w14:paraId="535B5D88" w14:textId="77777777" w:rsidR="00377B56" w:rsidRPr="00E5087D" w:rsidRDefault="00377B56" w:rsidP="00F25595">
            <w:pPr>
              <w:pStyle w:val="ListParagraph"/>
              <w:numPr>
                <w:ilvl w:val="0"/>
                <w:numId w:val="28"/>
              </w:numPr>
              <w:spacing w:after="120"/>
              <w:ind w:left="600"/>
            </w:pPr>
            <w:r w:rsidRPr="00E5087D">
              <w:t>Switchgear and Controlgear</w:t>
            </w:r>
          </w:p>
          <w:p w14:paraId="73200571" w14:textId="77777777" w:rsidR="00377B56" w:rsidRPr="00E5087D" w:rsidRDefault="00377B56" w:rsidP="00F25595">
            <w:pPr>
              <w:pStyle w:val="ListParagraph"/>
              <w:numPr>
                <w:ilvl w:val="0"/>
                <w:numId w:val="28"/>
              </w:numPr>
              <w:spacing w:after="120"/>
              <w:ind w:left="600"/>
            </w:pPr>
            <w:r w:rsidRPr="00E5087D">
              <w:t>Electrical Fitting</w:t>
            </w:r>
          </w:p>
          <w:p w14:paraId="2E7DB47E" w14:textId="77777777" w:rsidR="00377B56" w:rsidRPr="00E5087D" w:rsidRDefault="00377B56" w:rsidP="00F25595">
            <w:pPr>
              <w:pStyle w:val="ListParagraph"/>
              <w:numPr>
                <w:ilvl w:val="0"/>
                <w:numId w:val="28"/>
              </w:numPr>
              <w:spacing w:after="120"/>
              <w:ind w:left="600"/>
            </w:pPr>
            <w:r w:rsidRPr="00E5087D">
              <w:t>Airconditioning and Refrigeration</w:t>
            </w:r>
          </w:p>
          <w:p w14:paraId="278203BE" w14:textId="77777777" w:rsidR="00377B56" w:rsidRPr="00E5087D" w:rsidRDefault="00377B56" w:rsidP="00153483">
            <w:pPr>
              <w:spacing w:before="80"/>
            </w:pPr>
            <w:r w:rsidRPr="00E5087D">
              <w:t>Electrical Supply Industry</w:t>
            </w:r>
          </w:p>
          <w:p w14:paraId="41D64BD1" w14:textId="77777777" w:rsidR="00377B56" w:rsidRPr="00E5087D" w:rsidRDefault="00377B56" w:rsidP="00F25595">
            <w:pPr>
              <w:pStyle w:val="ListParagraph"/>
              <w:numPr>
                <w:ilvl w:val="0"/>
                <w:numId w:val="28"/>
              </w:numPr>
              <w:spacing w:after="120"/>
              <w:ind w:left="600"/>
            </w:pPr>
            <w:r w:rsidRPr="00E5087D">
              <w:t>Transmission Overhead</w:t>
            </w:r>
          </w:p>
          <w:p w14:paraId="552768D1" w14:textId="77777777" w:rsidR="00377B56" w:rsidRPr="00E5087D" w:rsidRDefault="00377B56" w:rsidP="00F25595">
            <w:pPr>
              <w:pStyle w:val="ListParagraph"/>
              <w:numPr>
                <w:ilvl w:val="0"/>
                <w:numId w:val="28"/>
              </w:numPr>
              <w:spacing w:after="120"/>
              <w:ind w:left="600"/>
            </w:pPr>
            <w:r w:rsidRPr="00E5087D">
              <w:t>Network Systems</w:t>
            </w:r>
          </w:p>
          <w:p w14:paraId="63ECF63C" w14:textId="77777777" w:rsidR="00377B56" w:rsidRPr="00E5087D" w:rsidRDefault="00377B56" w:rsidP="00F25595">
            <w:pPr>
              <w:pStyle w:val="ListParagraph"/>
              <w:numPr>
                <w:ilvl w:val="0"/>
                <w:numId w:val="28"/>
              </w:numPr>
              <w:spacing w:after="120"/>
              <w:ind w:left="600"/>
            </w:pPr>
            <w:r w:rsidRPr="00E5087D">
              <w:t>Generation</w:t>
            </w:r>
          </w:p>
          <w:p w14:paraId="14AF539C" w14:textId="77777777" w:rsidR="00377B56" w:rsidRPr="00E5087D" w:rsidRDefault="00377B56" w:rsidP="00153483">
            <w:pPr>
              <w:spacing w:before="80"/>
            </w:pPr>
            <w:r w:rsidRPr="00E5087D">
              <w:t>Automotive Industry Service and Repair</w:t>
            </w:r>
          </w:p>
          <w:p w14:paraId="25274C29" w14:textId="77777777" w:rsidR="00377B56" w:rsidRPr="00E5087D" w:rsidRDefault="00377B56" w:rsidP="00F25595">
            <w:pPr>
              <w:pStyle w:val="ListParagraph"/>
              <w:numPr>
                <w:ilvl w:val="0"/>
                <w:numId w:val="28"/>
              </w:numPr>
              <w:spacing w:after="120"/>
              <w:ind w:left="600"/>
            </w:pPr>
            <w:r w:rsidRPr="00E5087D">
              <w:t>Light Vehicle Mechanical</w:t>
            </w:r>
          </w:p>
          <w:p w14:paraId="6FA1751E" w14:textId="77777777" w:rsidR="00377B56" w:rsidRPr="00E5087D" w:rsidRDefault="00377B56" w:rsidP="00F25595">
            <w:pPr>
              <w:pStyle w:val="ListParagraph"/>
              <w:numPr>
                <w:ilvl w:val="0"/>
                <w:numId w:val="28"/>
              </w:numPr>
              <w:spacing w:after="120"/>
              <w:ind w:left="600"/>
              <w:rPr>
                <w:sz w:val="24"/>
                <w:szCs w:val="24"/>
              </w:rPr>
            </w:pPr>
            <w:r w:rsidRPr="00E5087D">
              <w:t>Automotive Electrical Technology</w:t>
            </w:r>
          </w:p>
        </w:tc>
        <w:tc>
          <w:tcPr>
            <w:tcW w:w="4508" w:type="dxa"/>
            <w:tcBorders>
              <w:top w:val="single" w:sz="4" w:space="0" w:color="auto"/>
              <w:left w:val="single" w:sz="4" w:space="0" w:color="auto"/>
              <w:bottom w:val="single" w:sz="4" w:space="0" w:color="auto"/>
            </w:tcBorders>
          </w:tcPr>
          <w:p w14:paraId="2016F0E4" w14:textId="77777777" w:rsidR="00377B56" w:rsidRPr="00E5087D" w:rsidRDefault="00377B56">
            <w:pPr>
              <w:spacing w:before="120"/>
            </w:pPr>
            <w:r w:rsidRPr="00E5087D">
              <w:t>Engineering</w:t>
            </w:r>
          </w:p>
          <w:p w14:paraId="2B24315F" w14:textId="77777777" w:rsidR="00377B56" w:rsidRPr="00E5087D" w:rsidRDefault="00377B56" w:rsidP="00F25595">
            <w:pPr>
              <w:pStyle w:val="ListParagraph"/>
              <w:numPr>
                <w:ilvl w:val="0"/>
                <w:numId w:val="28"/>
              </w:numPr>
              <w:ind w:left="600"/>
            </w:pPr>
            <w:r w:rsidRPr="00E5087D">
              <w:t>Electrical</w:t>
            </w:r>
          </w:p>
          <w:p w14:paraId="2686DB7C" w14:textId="77777777" w:rsidR="00377B56" w:rsidRPr="00E5087D" w:rsidRDefault="00377B56" w:rsidP="00F25595">
            <w:pPr>
              <w:pStyle w:val="ListParagraph"/>
              <w:numPr>
                <w:ilvl w:val="0"/>
                <w:numId w:val="28"/>
              </w:numPr>
              <w:ind w:left="600"/>
            </w:pPr>
            <w:r w:rsidRPr="00E5087D">
              <w:t>Civil</w:t>
            </w:r>
          </w:p>
          <w:p w14:paraId="1E9EF2F3" w14:textId="77777777" w:rsidR="00377B56" w:rsidRPr="00E5087D" w:rsidRDefault="00377B56" w:rsidP="00F25595">
            <w:pPr>
              <w:pStyle w:val="ListParagraph"/>
              <w:numPr>
                <w:ilvl w:val="0"/>
                <w:numId w:val="28"/>
              </w:numPr>
              <w:ind w:left="600"/>
            </w:pPr>
            <w:r w:rsidRPr="00E5087D">
              <w:t>Industrial, Mechanical and Production</w:t>
            </w:r>
          </w:p>
          <w:p w14:paraId="52DB1204" w14:textId="77777777" w:rsidR="00377B56" w:rsidRPr="00E5087D" w:rsidRDefault="00377B56" w:rsidP="00F25595">
            <w:pPr>
              <w:pStyle w:val="ListParagraph"/>
              <w:numPr>
                <w:ilvl w:val="0"/>
                <w:numId w:val="28"/>
              </w:numPr>
              <w:ind w:left="600"/>
            </w:pPr>
            <w:r w:rsidRPr="00E5087D">
              <w:t>Electronic</w:t>
            </w:r>
          </w:p>
          <w:p w14:paraId="394F1711" w14:textId="77777777" w:rsidR="00377B56" w:rsidRPr="00E5087D" w:rsidRDefault="00377B56" w:rsidP="00F25595">
            <w:pPr>
              <w:pStyle w:val="ListParagraph"/>
              <w:numPr>
                <w:ilvl w:val="0"/>
                <w:numId w:val="28"/>
              </w:numPr>
              <w:ind w:left="600"/>
            </w:pPr>
            <w:r w:rsidRPr="00E5087D">
              <w:t>Chemical</w:t>
            </w:r>
          </w:p>
          <w:p w14:paraId="2487977E" w14:textId="5968C624" w:rsidR="00377B56" w:rsidRDefault="00AA7395">
            <w:pPr>
              <w:spacing w:before="240"/>
            </w:pPr>
            <w:r>
              <w:t>Natural and physical sciences</w:t>
            </w:r>
          </w:p>
          <w:p w14:paraId="6D95A39E" w14:textId="60E2F59C" w:rsidR="00AA7395" w:rsidRDefault="00AA7395">
            <w:pPr>
              <w:spacing w:before="240"/>
            </w:pPr>
            <w:r>
              <w:t>Biological sciences</w:t>
            </w:r>
          </w:p>
          <w:p w14:paraId="30A587D7" w14:textId="77777777" w:rsidR="00EC5E7A" w:rsidRPr="00641B7B" w:rsidRDefault="00EC5E7A">
            <w:pPr>
              <w:spacing w:before="240"/>
            </w:pPr>
            <w:r w:rsidRPr="00641B7B">
              <w:t>Social sciences</w:t>
            </w:r>
          </w:p>
          <w:p w14:paraId="2A34CB6E" w14:textId="49EF0AA3" w:rsidR="00EC5E7A" w:rsidRPr="00E5087D" w:rsidRDefault="00EC5E7A">
            <w:pPr>
              <w:spacing w:before="240"/>
              <w:rPr>
                <w:sz w:val="24"/>
                <w:szCs w:val="24"/>
              </w:rPr>
            </w:pPr>
            <w:r w:rsidRPr="00641B7B">
              <w:t>Economics</w:t>
            </w:r>
          </w:p>
        </w:tc>
      </w:tr>
    </w:tbl>
    <w:p w14:paraId="61F78BD1" w14:textId="77777777" w:rsidR="00377B56" w:rsidRPr="00E5087D" w:rsidRDefault="00377B56" w:rsidP="00377B56">
      <w:pPr>
        <w:spacing w:before="360" w:after="0"/>
        <w:rPr>
          <w:b/>
          <w:bCs/>
        </w:rPr>
      </w:pPr>
      <w:r w:rsidRPr="00E5087D">
        <w:rPr>
          <w:b/>
          <w:bCs/>
        </w:rPr>
        <w:t>Undergraduate degrees</w:t>
      </w:r>
    </w:p>
    <w:p w14:paraId="70BBACDC" w14:textId="77777777" w:rsidR="00377B56" w:rsidRPr="00E5087D" w:rsidRDefault="00377B56" w:rsidP="00377B56">
      <w:pPr>
        <w:spacing w:before="120" w:after="120" w:line="276" w:lineRule="auto"/>
      </w:pPr>
      <w:r w:rsidRPr="00E5087D">
        <w:t>Most undergraduate students in Australia must complete secondary education and receive an Australian Tertiary Admission Rank (ATAR) or equivalent. Entrance requirements vary considerably for broad-based degrees, ranging from anywhere between an ATAR of 75 to the mid 90’s. It’s very common for engineering courses to include prerequisites. Just over half of all undergraduate engineering courses have a maths prerequisite, more than any other discipline, and 24% require at least one science subject.</w:t>
      </w:r>
    </w:p>
    <w:p w14:paraId="6AE36F40" w14:textId="77777777" w:rsidR="00377B56" w:rsidRPr="00E5087D" w:rsidRDefault="00377B56" w:rsidP="00377B56">
      <w:pPr>
        <w:spacing w:before="120" w:after="120" w:line="276" w:lineRule="auto"/>
      </w:pPr>
      <w:r w:rsidRPr="00E5087D">
        <w:lastRenderedPageBreak/>
        <w:t>Undergraduate engineering students typically choose their practice area (like mechanical or civil engineering) at enrolment. However, many engineering programs share similar core subjects in their first years, allowing students to change disciplines.</w:t>
      </w:r>
    </w:p>
    <w:p w14:paraId="322FE9DB" w14:textId="77F78582" w:rsidR="00377B56" w:rsidRPr="00E5087D" w:rsidRDefault="00377B56" w:rsidP="00823B18">
      <w:pPr>
        <w:spacing w:after="240" w:line="276" w:lineRule="auto"/>
      </w:pPr>
      <w:r w:rsidRPr="00E5087D">
        <w:t xml:space="preserve">Despite strong growth in Australia’s </w:t>
      </w:r>
      <w:r w:rsidR="000D24B3">
        <w:t>higher education</w:t>
      </w:r>
      <w:r w:rsidRPr="00E5087D">
        <w:t xml:space="preserve"> sector, the number of domestic students studying engineering has barely changed in the past decade</w:t>
      </w:r>
      <w:r w:rsidR="00276B42">
        <w:t xml:space="preserve"> (Figure 4.3)</w:t>
      </w:r>
      <w:r w:rsidRPr="00E5087D">
        <w:t>. In 2021</w:t>
      </w:r>
      <w:r w:rsidR="00E778FC">
        <w:t>,</w:t>
      </w:r>
      <w:r w:rsidRPr="00E5087D">
        <w:t xml:space="preserve"> there were around 15,500 domestic </w:t>
      </w:r>
      <w:r w:rsidR="000D24B3">
        <w:t>higher education</w:t>
      </w:r>
      <w:r w:rsidRPr="00E5087D">
        <w:t xml:space="preserve"> commencements in the field of engineering. Of these, only around 10.5% were studying </w:t>
      </w:r>
      <w:r w:rsidRPr="62A92061">
        <w:t>Electrical and Electronic Engineering and Technology.</w:t>
      </w:r>
      <w:r w:rsidRPr="00E5087D">
        <w:t xml:space="preserve"> </w:t>
      </w:r>
    </w:p>
    <w:p w14:paraId="732B36EB" w14:textId="2196731E" w:rsidR="00377B56" w:rsidRPr="007C6342" w:rsidRDefault="00377B56" w:rsidP="007D22AD">
      <w:pPr>
        <w:pBdr>
          <w:top w:val="single" w:sz="4" w:space="6" w:color="BFBFBF" w:themeColor="background1" w:themeShade="BF"/>
        </w:pBdr>
        <w:spacing w:after="120" w:line="240" w:lineRule="auto"/>
        <w:rPr>
          <w:b/>
          <w:bCs/>
        </w:rPr>
      </w:pPr>
      <w:r w:rsidRPr="007C6342">
        <w:rPr>
          <w:b/>
          <w:bCs/>
        </w:rPr>
        <w:t>Figure 4</w:t>
      </w:r>
      <w:r w:rsidR="000E5E18">
        <w:rPr>
          <w:b/>
          <w:bCs/>
        </w:rPr>
        <w:t>.3</w:t>
      </w:r>
      <w:r w:rsidRPr="007C6342">
        <w:rPr>
          <w:b/>
          <w:bCs/>
        </w:rPr>
        <w:t xml:space="preserve">. Domestic commencements in </w:t>
      </w:r>
      <w:r w:rsidRPr="39FD9238">
        <w:rPr>
          <w:b/>
        </w:rPr>
        <w:t xml:space="preserve">Electrical and Electronic </w:t>
      </w:r>
      <w:r w:rsidRPr="007C6342">
        <w:rPr>
          <w:b/>
          <w:bCs/>
        </w:rPr>
        <w:t>Engineering</w:t>
      </w:r>
      <w:r w:rsidRPr="39FD9238">
        <w:rPr>
          <w:b/>
        </w:rPr>
        <w:t xml:space="preserve"> and Technology</w:t>
      </w:r>
      <w:r w:rsidR="007C6342" w:rsidRPr="007C6342">
        <w:rPr>
          <w:b/>
          <w:bCs/>
          <w:i/>
          <w:iCs/>
        </w:rPr>
        <w:t xml:space="preserve"> </w:t>
      </w:r>
      <w:r w:rsidR="007C6342" w:rsidRPr="007C6342">
        <w:rPr>
          <w:b/>
          <w:bCs/>
        </w:rPr>
        <w:t>(bachelor’s degrees)</w:t>
      </w:r>
    </w:p>
    <w:p w14:paraId="5BE6D6B2" w14:textId="0BBF216E" w:rsidR="00377B56" w:rsidRPr="00E5087D" w:rsidRDefault="007C6342" w:rsidP="00377B56">
      <w:pPr>
        <w:spacing w:after="0"/>
        <w:rPr>
          <w:b/>
          <w:bCs/>
          <w:sz w:val="24"/>
          <w:szCs w:val="24"/>
        </w:rPr>
      </w:pPr>
      <w:r>
        <w:rPr>
          <w:noProof/>
        </w:rPr>
        <w:drawing>
          <wp:inline distT="0" distB="0" distL="0" distR="0" wp14:anchorId="3E723E0C" wp14:editId="6B4F6EE1">
            <wp:extent cx="5731510" cy="2662178"/>
            <wp:effectExtent l="0" t="0" r="2540" b="5080"/>
            <wp:docPr id="1341085353" name="Graphic 1341085353" descr="This figure charts domestic commencements in Electrical and Electronic Engineering and Technology in absolute numbers and as a proportion of all engineering commencements (bachelor’s degrees) from 2001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53" name="Graphic 1341085353" descr="This figure charts domestic commencements in Electrical and Electronic Engineering and Technology in absolute numbers and as a proportion of all engineering commencements (bachelor’s degrees) from 2001 to 2021."/>
                    <pic:cNvPicPr/>
                  </pic:nvPicPr>
                  <pic:blipFill rotWithShape="1">
                    <a:blip r:embed="rId111" cstate="screen">
                      <a:extLst>
                        <a:ext uri="{28A0092B-C50C-407E-A947-70E740481C1C}">
                          <a14:useLocalDpi xmlns:a14="http://schemas.microsoft.com/office/drawing/2010/main"/>
                        </a:ext>
                        <a:ext uri="{96DAC541-7B7A-43D3-8B79-37D633B846F1}">
                          <asvg:svgBlip xmlns:asvg="http://schemas.microsoft.com/office/drawing/2016/SVG/main" r:embed="rId112"/>
                        </a:ext>
                      </a:extLst>
                    </a:blip>
                    <a:srcRect b="2434"/>
                    <a:stretch/>
                  </pic:blipFill>
                  <pic:spPr bwMode="auto">
                    <a:xfrm>
                      <a:off x="0" y="0"/>
                      <a:ext cx="5731510" cy="2662178"/>
                    </a:xfrm>
                    <a:prstGeom prst="rect">
                      <a:avLst/>
                    </a:prstGeom>
                    <a:ln>
                      <a:noFill/>
                    </a:ln>
                    <a:extLst>
                      <a:ext uri="{53640926-AAD7-44D8-BBD7-CCE9431645EC}">
                        <a14:shadowObscured xmlns:a14="http://schemas.microsoft.com/office/drawing/2010/main"/>
                      </a:ext>
                    </a:extLst>
                  </pic:spPr>
                </pic:pic>
              </a:graphicData>
            </a:graphic>
          </wp:inline>
        </w:drawing>
      </w:r>
    </w:p>
    <w:p w14:paraId="3CC6DD82" w14:textId="6EC6EAE9" w:rsidR="00823B18" w:rsidRDefault="00377B56" w:rsidP="007564A9">
      <w:pPr>
        <w:spacing w:after="0"/>
        <w:rPr>
          <w:b/>
          <w:bCs/>
        </w:rPr>
      </w:pPr>
      <w:r w:rsidRPr="00E5087D">
        <w:rPr>
          <w:sz w:val="18"/>
          <w:szCs w:val="18"/>
        </w:rPr>
        <w:t xml:space="preserve">Source: </w:t>
      </w:r>
      <w:r w:rsidR="00F91890">
        <w:rPr>
          <w:sz w:val="18"/>
          <w:szCs w:val="18"/>
        </w:rPr>
        <w:t xml:space="preserve">Custom </w:t>
      </w:r>
      <w:r w:rsidRPr="00E5087D">
        <w:rPr>
          <w:sz w:val="18"/>
          <w:szCs w:val="18"/>
        </w:rPr>
        <w:t>Department of Education microdata.</w:t>
      </w:r>
      <w:r w:rsidR="00823B18">
        <w:rPr>
          <w:b/>
          <w:bCs/>
        </w:rPr>
        <w:br w:type="page"/>
      </w:r>
    </w:p>
    <w:p w14:paraId="1792B865" w14:textId="699655F4" w:rsidR="00377B56" w:rsidRPr="00E5087D" w:rsidRDefault="00377B56" w:rsidP="00733F6D">
      <w:pPr>
        <w:spacing w:before="240" w:after="0"/>
        <w:rPr>
          <w:b/>
          <w:bCs/>
        </w:rPr>
      </w:pPr>
      <w:r w:rsidRPr="00E5087D">
        <w:rPr>
          <w:b/>
          <w:bCs/>
        </w:rPr>
        <w:lastRenderedPageBreak/>
        <w:t>Trade apprenticeships</w:t>
      </w:r>
    </w:p>
    <w:p w14:paraId="72B8C64B" w14:textId="7BDC3F27" w:rsidR="00377B56" w:rsidRPr="00E5087D" w:rsidRDefault="00377B56" w:rsidP="00823B18">
      <w:pPr>
        <w:spacing w:before="120" w:after="240"/>
      </w:pPr>
      <w:r w:rsidRPr="00E5087D">
        <w:t>Trade qualifications are predominantly delivered at the Certificate III/IV level and as Australian Apprenticeships. The number of apprenticeship commencements in relevant fields have also remained largely steady in recent years</w:t>
      </w:r>
      <w:r w:rsidR="0031518F">
        <w:t>, although</w:t>
      </w:r>
      <w:r w:rsidR="00F44BF9">
        <w:t xml:space="preserve"> there was notable growth in 2020 and 2021, likely as a result of large wage subsidies during COVID-19</w:t>
      </w:r>
      <w:r w:rsidR="003D3CE1">
        <w:t xml:space="preserve"> (Figure 4.4)</w:t>
      </w:r>
      <w:r w:rsidRPr="00E5087D">
        <w:t>.</w:t>
      </w:r>
      <w:r w:rsidR="00F44BF9">
        <w:t xml:space="preserve"> Whether this growth in commencements</w:t>
      </w:r>
      <w:r w:rsidR="00823B18">
        <w:t xml:space="preserve"> continues</w:t>
      </w:r>
      <w:r w:rsidR="00F44BF9">
        <w:t xml:space="preserve"> is not yet known. </w:t>
      </w:r>
      <w:r w:rsidRPr="00E5087D">
        <w:t xml:space="preserve">Around 15,700 apprentices commenced in </w:t>
      </w:r>
      <w:r w:rsidR="73EFBD17" w:rsidRPr="62A92061">
        <w:t>E</w:t>
      </w:r>
      <w:r w:rsidRPr="62A92061">
        <w:t xml:space="preserve">lectrical and </w:t>
      </w:r>
      <w:r w:rsidR="203139F0" w:rsidRPr="62A92061">
        <w:t>E</w:t>
      </w:r>
      <w:r w:rsidRPr="62A92061">
        <w:t xml:space="preserve">lectronic </w:t>
      </w:r>
      <w:r w:rsidR="6AF6E98A" w:rsidRPr="62A92061">
        <w:t>E</w:t>
      </w:r>
      <w:r w:rsidRPr="62A92061">
        <w:t xml:space="preserve">ngineering and </w:t>
      </w:r>
      <w:r w:rsidR="3190B46F" w:rsidRPr="62A92061">
        <w:t>T</w:t>
      </w:r>
      <w:r w:rsidRPr="62A92061">
        <w:t>echnology</w:t>
      </w:r>
      <w:r w:rsidRPr="00E5087D">
        <w:rPr>
          <w:i/>
          <w:iCs/>
        </w:rPr>
        <w:t xml:space="preserve"> </w:t>
      </w:r>
      <w:r w:rsidRPr="00E5087D">
        <w:t>in 2021.</w:t>
      </w:r>
    </w:p>
    <w:p w14:paraId="359C0FA7" w14:textId="2CE35866" w:rsidR="000819B2" w:rsidRPr="007C6342" w:rsidRDefault="00377B56" w:rsidP="002469A0">
      <w:pPr>
        <w:pBdr>
          <w:top w:val="single" w:sz="4" w:space="6" w:color="BFBFBF" w:themeColor="background1" w:themeShade="BF"/>
        </w:pBdr>
        <w:spacing w:after="0" w:line="240" w:lineRule="auto"/>
        <w:rPr>
          <w:b/>
          <w:bCs/>
          <w:spacing w:val="2"/>
          <w14:ligatures w14:val="standard"/>
          <w14:numForm w14:val="lining"/>
          <w14:numSpacing w14:val="proportional"/>
        </w:rPr>
      </w:pPr>
      <w:r w:rsidRPr="007C6342">
        <w:rPr>
          <w:b/>
          <w:bCs/>
          <w:spacing w:val="2"/>
          <w14:ligatures w14:val="standard"/>
          <w14:numForm w14:val="lining"/>
          <w14:numSpacing w14:val="proportional"/>
        </w:rPr>
        <w:t xml:space="preserve">Figure </w:t>
      </w:r>
      <w:r w:rsidR="00377210" w:rsidRPr="007C6342">
        <w:rPr>
          <w:b/>
          <w:bCs/>
          <w:spacing w:val="2"/>
          <w14:ligatures w14:val="standard"/>
          <w14:numForm w14:val="lining"/>
          <w14:numSpacing w14:val="proportional"/>
        </w:rPr>
        <w:t>4</w:t>
      </w:r>
      <w:r w:rsidR="000E5E18">
        <w:rPr>
          <w:b/>
          <w:bCs/>
          <w:spacing w:val="2"/>
          <w14:ligatures w14:val="standard"/>
          <w14:numForm w14:val="lining"/>
          <w14:numSpacing w14:val="proportional"/>
        </w:rPr>
        <w:t>.</w:t>
      </w:r>
      <w:r w:rsidR="00377210" w:rsidRPr="007C6342">
        <w:rPr>
          <w:b/>
          <w:bCs/>
          <w:spacing w:val="2"/>
          <w14:ligatures w14:val="standard"/>
          <w14:numForm w14:val="lining"/>
          <w14:numSpacing w14:val="proportional"/>
        </w:rPr>
        <w:t>4</w:t>
      </w:r>
      <w:r w:rsidR="00DC79EF" w:rsidRPr="007C6342">
        <w:rPr>
          <w:b/>
          <w:bCs/>
          <w:spacing w:val="2"/>
          <w14:ligatures w14:val="standard"/>
          <w14:numForm w14:val="lining"/>
          <w14:numSpacing w14:val="proportional"/>
        </w:rPr>
        <w:t>.</w:t>
      </w:r>
      <w:r w:rsidRPr="007C6342">
        <w:rPr>
          <w:b/>
          <w:bCs/>
          <w:spacing w:val="2"/>
          <w14:ligatures w14:val="standard"/>
          <w14:numForm w14:val="lining"/>
          <w14:numSpacing w14:val="proportional"/>
        </w:rPr>
        <w:t xml:space="preserve"> </w:t>
      </w:r>
      <w:r w:rsidRPr="007C6342">
        <w:rPr>
          <w:b/>
          <w:bCs/>
        </w:rPr>
        <w:t>Apprenticeship</w:t>
      </w:r>
      <w:r w:rsidRPr="007C6342">
        <w:rPr>
          <w:b/>
          <w:bCs/>
          <w:spacing w:val="2"/>
          <w14:ligatures w14:val="standard"/>
          <w14:numForm w14:val="lining"/>
          <w14:numSpacing w14:val="proportional"/>
        </w:rPr>
        <w:t xml:space="preserve"> commencements by field of education</w:t>
      </w:r>
      <w:r w:rsidR="000819B2">
        <w:rPr>
          <w:noProof/>
        </w:rPr>
        <w:drawing>
          <wp:inline distT="0" distB="0" distL="0" distR="0" wp14:anchorId="34E5A6BF" wp14:editId="49987D7E">
            <wp:extent cx="5605981" cy="2495550"/>
            <wp:effectExtent l="0" t="0" r="7620" b="0"/>
            <wp:docPr id="1341085358" name="Graphic 1341085358" descr="This figure captures apprenticeship commencements for three engineering fields of education between 2012 a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58" name="Graphic 1341085358" descr="This figure captures apprenticeship commencements for three engineering fields of education between 2012 and 2022."/>
                    <pic:cNvPicPr/>
                  </pic:nvPicPr>
                  <pic:blipFill>
                    <a:blip r:embed="rId113">
                      <a:extLst>
                        <a:ext uri="{96DAC541-7B7A-43D3-8B79-37D633B846F1}">
                          <asvg:svgBlip xmlns:asvg="http://schemas.microsoft.com/office/drawing/2016/SVG/main" r:embed="rId114"/>
                        </a:ext>
                      </a:extLst>
                    </a:blip>
                    <a:stretch>
                      <a:fillRect/>
                    </a:stretch>
                  </pic:blipFill>
                  <pic:spPr>
                    <a:xfrm>
                      <a:off x="0" y="0"/>
                      <a:ext cx="5605981" cy="2495550"/>
                    </a:xfrm>
                    <a:prstGeom prst="rect">
                      <a:avLst/>
                    </a:prstGeom>
                  </pic:spPr>
                </pic:pic>
              </a:graphicData>
            </a:graphic>
          </wp:inline>
        </w:drawing>
      </w:r>
    </w:p>
    <w:p w14:paraId="3F113C6E" w14:textId="6BF91110" w:rsidR="00377B56" w:rsidRPr="00E5087D" w:rsidRDefault="00377B56" w:rsidP="00733F6D">
      <w:pPr>
        <w:spacing w:after="0"/>
      </w:pPr>
      <w:r w:rsidRPr="00E5087D">
        <w:rPr>
          <w:sz w:val="18"/>
          <w:szCs w:val="18"/>
        </w:rPr>
        <w:t>Source: NCVER Apprentices and Trainees</w:t>
      </w:r>
      <w:r w:rsidR="001423E3">
        <w:rPr>
          <w:sz w:val="18"/>
          <w:szCs w:val="18"/>
        </w:rPr>
        <w:t>,</w:t>
      </w:r>
      <w:r w:rsidR="00584901">
        <w:rPr>
          <w:sz w:val="18"/>
          <w:szCs w:val="18"/>
        </w:rPr>
        <w:t xml:space="preserve"> December 2022</w:t>
      </w:r>
      <w:r w:rsidRPr="00E5087D">
        <w:rPr>
          <w:sz w:val="18"/>
          <w:szCs w:val="18"/>
        </w:rPr>
        <w:t>.</w:t>
      </w:r>
    </w:p>
    <w:p w14:paraId="54F3D86D" w14:textId="77777777" w:rsidR="00741A2D" w:rsidRDefault="00741A2D">
      <w:pPr>
        <w:rPr>
          <w:rFonts w:eastAsia="Arial" w:cs="Arial"/>
          <w:b/>
          <w:sz w:val="24"/>
          <w:szCs w:val="24"/>
        </w:rPr>
      </w:pPr>
      <w:r>
        <w:rPr>
          <w:rFonts w:eastAsia="Arial" w:cs="Arial"/>
          <w:b/>
          <w:sz w:val="24"/>
          <w:szCs w:val="24"/>
        </w:rPr>
        <w:br w:type="page"/>
      </w:r>
    </w:p>
    <w:p w14:paraId="1AE06F1E" w14:textId="2FBB3DB8" w:rsidR="00741A2D" w:rsidRDefault="009A3AA9" w:rsidP="00741A2D">
      <w:pPr>
        <w:spacing w:before="240" w:line="240" w:lineRule="auto"/>
        <w:rPr>
          <w:rFonts w:eastAsia="Arial" w:cs="Arial"/>
          <w:b/>
          <w:sz w:val="24"/>
          <w:szCs w:val="24"/>
        </w:rPr>
      </w:pPr>
      <w:r w:rsidRPr="00E5087D">
        <w:rPr>
          <w:noProof/>
        </w:rPr>
        <w:lastRenderedPageBreak/>
        <mc:AlternateContent>
          <mc:Choice Requires="wpg">
            <w:drawing>
              <wp:anchor distT="0" distB="0" distL="114300" distR="114300" simplePos="0" relativeHeight="251658283" behindDoc="1" locked="0" layoutInCell="1" allowOverlap="1" wp14:anchorId="4DF0A084" wp14:editId="2F2CCBCE">
                <wp:simplePos x="0" y="0"/>
                <wp:positionH relativeFrom="column">
                  <wp:posOffset>-170121</wp:posOffset>
                </wp:positionH>
                <wp:positionV relativeFrom="page">
                  <wp:posOffset>1112874</wp:posOffset>
                </wp:positionV>
                <wp:extent cx="5975350" cy="8296275"/>
                <wp:effectExtent l="0" t="0" r="6350" b="9525"/>
                <wp:wrapNone/>
                <wp:docPr id="1341085131" name="Group 1341085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75350" cy="8296275"/>
                          <a:chOff x="0" y="-1"/>
                          <a:chExt cx="5676430" cy="4607122"/>
                        </a:xfrm>
                      </wpg:grpSpPr>
                      <wps:wsp>
                        <wps:cNvPr id="1341085132" name="Rectangle 1341085132"/>
                        <wps:cNvSpPr/>
                        <wps:spPr>
                          <a:xfrm>
                            <a:off x="0" y="-1"/>
                            <a:ext cx="5676430" cy="4607122"/>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5470EBE3" w14:textId="445217D7" w:rsidR="00650945" w:rsidRPr="000C61DA" w:rsidRDefault="00EB08A7" w:rsidP="002A4815">
                              <w:pPr>
                                <w:pStyle w:val="Default"/>
                                <w:spacing w:after="120"/>
                                <w:rPr>
                                  <w:sz w:val="20"/>
                                  <w:szCs w:val="20"/>
                                  <w14:numForm w14:val="lining"/>
                                  <w14:numSpacing w14:val="proportional"/>
                                </w:rPr>
                              </w:pPr>
                              <w:r w:rsidRPr="000C61DA">
                                <w:rPr>
                                  <w:sz w:val="20"/>
                                  <w:szCs w:val="20"/>
                                  <w14:numForm w14:val="lining"/>
                                  <w14:numSpacing w14:val="proportional"/>
                                </w:rPr>
                                <w:t xml:space="preserve"> </w:t>
                              </w:r>
                            </w:p>
                          </w:txbxContent>
                        </wps:txbx>
                        <wps:bodyPr spcFirstLastPara="0" wrap="square" lIns="288000" tIns="72000" rIns="144000" bIns="72000" anchor="t">
                          <a:noAutofit/>
                        </wps:bodyPr>
                      </wps:wsp>
                      <wps:wsp>
                        <wps:cNvPr id="1341085133" name="Rectangle 1341085133"/>
                        <wps:cNvSpPr/>
                        <wps:spPr>
                          <a:xfrm>
                            <a:off x="0" y="0"/>
                            <a:ext cx="151075" cy="4594944"/>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DF0A084" id="Group 1341085131" o:spid="_x0000_s1058" alt="&quot;&quot;" style="position:absolute;margin-left:-13.4pt;margin-top:87.65pt;width:470.5pt;height:653.25pt;z-index:-251658197;mso-position-vertical-relative:page" coordorigin="" coordsize="56764,46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">
                <v:rect id="Rectangle 1341085132" o:spid="_x0000_s1059" style="position:absolute;width:56764;height:4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" fillcolor="#f2f2f2 [3052]" stroked="f" strokeweight="1pt">
                  <v:textbox inset="8mm,2mm,4mm,2mm">
                    <w:txbxContent>
                      <w:p w14:paraId="5470EBE3" w14:textId="445217D7" w:rsidR="00650945" w:rsidRPr="000C61DA" w:rsidRDefault="00EB08A7" w:rsidP="002A4815">
                        <w:pPr>
                          <w:pStyle w:val="Default"/>
                          <w:spacing w:after="120"/>
                          <w:rPr>
                            <w:sz w:val="20"/>
                            <w:szCs w:val="20"/>
                            <w14:numForm w14:val="lining"/>
                            <w14:numSpacing w14:val="proportional"/>
                          </w:rPr>
                        </w:pPr>
                        <w:r w:rsidRPr="000C61DA">
                          <w:rPr>
                            <w:sz w:val="20"/>
                            <w:szCs w:val="20"/>
                            <w14:numForm w14:val="lining"/>
                            <w14:numSpacing w14:val="proportional"/>
                          </w:rPr>
                          <w:t xml:space="preserve"> </w:t>
                        </w:r>
                      </w:p>
                    </w:txbxContent>
                  </v:textbox>
                </v:rect>
                <v:rect id="Rectangle 1341085133" o:spid="_x0000_s1060" style="position:absolute;width:1510;height:45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" fillcolor="#dae3f5" stroked="f" strokeweight="1pt"/>
                <w10:wrap anchory="page"/>
              </v:group>
            </w:pict>
          </mc:Fallback>
        </mc:AlternateContent>
      </w:r>
    </w:p>
    <w:p w14:paraId="2641EF3F" w14:textId="45354831" w:rsidR="00741A2D" w:rsidRPr="00563587" w:rsidRDefault="00741A2D" w:rsidP="00741A2D">
      <w:pPr>
        <w:spacing w:before="240" w:line="240" w:lineRule="auto"/>
        <w:ind w:left="170" w:right="113"/>
        <w:rPr>
          <w:rFonts w:eastAsia="Arial" w:cs="Arial"/>
          <w:b/>
          <w:sz w:val="24"/>
          <w:szCs w:val="24"/>
        </w:rPr>
      </w:pPr>
      <w:r>
        <w:rPr>
          <w:rFonts w:eastAsia="Arial" w:cs="Arial"/>
          <w:b/>
          <w:sz w:val="24"/>
          <w:szCs w:val="24"/>
        </w:rPr>
        <w:t>BOX 1: How do Australian Apprenticeships work?</w:t>
      </w:r>
    </w:p>
    <w:p w14:paraId="4A8406DF" w14:textId="7866B0A5" w:rsidR="00741A2D" w:rsidRPr="000C61DA" w:rsidRDefault="00741A2D" w:rsidP="00741A2D">
      <w:pPr>
        <w:spacing w:after="12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Australian Apprenticeships are a popular way to gain a nationally recognised VET qualification through hands-on learning and while earning an income. Apprenticeships in trade occupations, typically take 3-4 years to complete full-time, and start from the certificate III level.</w:t>
      </w:r>
    </w:p>
    <w:p w14:paraId="460881B0" w14:textId="1A8A3DA8" w:rsidR="00741A2D" w:rsidRPr="000C61DA" w:rsidRDefault="00741A2D" w:rsidP="00741A2D">
      <w:pPr>
        <w:spacing w:after="120" w:line="240" w:lineRule="auto"/>
        <w:ind w:left="170" w:right="113"/>
        <w:rPr>
          <w:rFonts w:eastAsia="Arial" w:cs="Arial"/>
          <w:bCs/>
          <w:sz w:val="20"/>
          <w:szCs w:val="20"/>
          <w14:ligatures w14:val="standard"/>
          <w14:numForm w14:val="lining"/>
          <w14:numSpacing w14:val="proportional"/>
        </w:rPr>
      </w:pPr>
      <w:r w:rsidRPr="000C61DA">
        <w:rPr>
          <w:rFonts w:eastAsia="Arial" w:cs="Arial"/>
          <w:b/>
          <w:sz w:val="20"/>
          <w:szCs w:val="20"/>
          <w14:ligatures w14:val="standard"/>
          <w14:numForm w14:val="lining"/>
          <w14:numSpacing w14:val="proportional"/>
        </w:rPr>
        <w:t xml:space="preserve">State and Territory Training Authorities </w:t>
      </w:r>
      <w:r w:rsidRPr="000C61DA">
        <w:rPr>
          <w:rFonts w:eastAsia="Arial" w:cs="Arial"/>
          <w:bCs/>
          <w:sz w:val="20"/>
          <w:szCs w:val="20"/>
          <w14:ligatures w14:val="standard"/>
          <w14:numForm w14:val="lining"/>
          <w14:numSpacing w14:val="proportional"/>
        </w:rPr>
        <w:t>determine which qualifications are delivered as an apprenticeship or traineeship, and some states offer different funding based on this classification. The</w:t>
      </w:r>
      <w:r w:rsidRPr="000C61DA">
        <w:rPr>
          <w:rFonts w:eastAsia="Arial" w:cs="Arial"/>
          <w:b/>
          <w:sz w:val="20"/>
          <w:szCs w:val="20"/>
          <w14:ligatures w14:val="standard"/>
          <w14:numForm w14:val="lining"/>
          <w14:numSpacing w14:val="proportional"/>
        </w:rPr>
        <w:t xml:space="preserve"> Fair Work Ombudsman</w:t>
      </w:r>
      <w:r w:rsidRPr="000C61DA">
        <w:rPr>
          <w:rFonts w:eastAsia="Arial" w:cs="Arial"/>
          <w:bCs/>
          <w:sz w:val="20"/>
          <w:szCs w:val="20"/>
          <w14:ligatures w14:val="standard"/>
          <w14:numForm w14:val="lining"/>
          <w14:numSpacing w14:val="proportional"/>
        </w:rPr>
        <w:t xml:space="preserve"> is responsible for providing information, resources and advice on wages and entitlements for different apprenticeships.</w:t>
      </w:r>
    </w:p>
    <w:p w14:paraId="4F640D43" w14:textId="77777777" w:rsidR="00741A2D" w:rsidRPr="000C61DA" w:rsidRDefault="00741A2D" w:rsidP="00741A2D">
      <w:pPr>
        <w:spacing w:after="8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 xml:space="preserve">Apprentices enter into a Training Contract with their employer through an </w:t>
      </w:r>
      <w:r w:rsidRPr="000C61DA">
        <w:rPr>
          <w:rFonts w:eastAsia="Arial" w:cs="Arial"/>
          <w:b/>
          <w:sz w:val="20"/>
          <w:szCs w:val="20"/>
          <w14:ligatures w14:val="standard"/>
          <w14:numForm w14:val="lining"/>
          <w14:numSpacing w14:val="proportional"/>
        </w:rPr>
        <w:t>Australian</w:t>
      </w:r>
      <w:r w:rsidRPr="000C61DA">
        <w:rPr>
          <w:rFonts w:eastAsia="Arial" w:cs="Arial"/>
          <w:bCs/>
          <w:sz w:val="20"/>
          <w:szCs w:val="20"/>
          <w14:ligatures w14:val="standard"/>
          <w14:numForm w14:val="lining"/>
          <w14:numSpacing w14:val="proportional"/>
        </w:rPr>
        <w:t xml:space="preserve"> </w:t>
      </w:r>
      <w:r w:rsidRPr="000C61DA">
        <w:rPr>
          <w:rFonts w:eastAsia="Arial" w:cs="Arial"/>
          <w:b/>
          <w:sz w:val="20"/>
          <w:szCs w:val="20"/>
          <w14:ligatures w14:val="standard"/>
          <w14:numForm w14:val="lining"/>
          <w14:numSpacing w14:val="proportional"/>
        </w:rPr>
        <w:t>Apprenticeship Support Network</w:t>
      </w:r>
      <w:r w:rsidRPr="000C61DA">
        <w:rPr>
          <w:rFonts w:eastAsia="Arial" w:cs="Arial"/>
          <w:bCs/>
          <w:sz w:val="20"/>
          <w:szCs w:val="20"/>
          <w14:ligatures w14:val="standard"/>
          <w14:numForm w14:val="lining"/>
          <w14:numSpacing w14:val="proportional"/>
        </w:rPr>
        <w:t xml:space="preserve"> (AASN) provider. These contracts outline:</w:t>
      </w:r>
    </w:p>
    <w:p w14:paraId="4C5D9264"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each party’s responsibilities in the apprenticeship</w:t>
      </w:r>
    </w:p>
    <w:p w14:paraId="3CC5D202"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the employment arrangements</w:t>
      </w:r>
    </w:p>
    <w:p w14:paraId="0C165BBD"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the relevant industrial award</w:t>
      </w:r>
    </w:p>
    <w:p w14:paraId="50CA204D"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what qualification the apprentice will get, and</w:t>
      </w:r>
    </w:p>
    <w:p w14:paraId="7545FE1D" w14:textId="77777777" w:rsidR="00741A2D" w:rsidRPr="000C61DA" w:rsidRDefault="00741A2D" w:rsidP="00F25595">
      <w:pPr>
        <w:pStyle w:val="ListParagraph"/>
        <w:numPr>
          <w:ilvl w:val="0"/>
          <w:numId w:val="51"/>
        </w:numPr>
        <w:spacing w:after="120" w:line="240" w:lineRule="auto"/>
        <w:ind w:left="70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which RTO will deliver the training.</w:t>
      </w:r>
    </w:p>
    <w:p w14:paraId="45E6ABA5" w14:textId="35EC512A" w:rsidR="00741A2D" w:rsidRPr="000C61DA" w:rsidRDefault="00741A2D" w:rsidP="009451E9">
      <w:pPr>
        <w:spacing w:before="160" w:after="12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 xml:space="preserve">Apprentices can also be employed by </w:t>
      </w:r>
      <w:r w:rsidRPr="000C61DA">
        <w:rPr>
          <w:rFonts w:eastAsia="Arial" w:cs="Arial"/>
          <w:b/>
          <w:sz w:val="20"/>
          <w:szCs w:val="20"/>
          <w14:ligatures w14:val="standard"/>
          <w14:numForm w14:val="lining"/>
          <w14:numSpacing w14:val="proportional"/>
        </w:rPr>
        <w:t xml:space="preserve">Group Training Organisations (GTO) </w:t>
      </w:r>
      <w:r w:rsidRPr="000C61DA">
        <w:rPr>
          <w:rFonts w:eastAsia="Arial" w:cs="Arial"/>
          <w:bCs/>
          <w:sz w:val="20"/>
          <w:szCs w:val="20"/>
          <w14:ligatures w14:val="standard"/>
          <w14:numForm w14:val="lining"/>
          <w14:numSpacing w14:val="proportional"/>
        </w:rPr>
        <w:t>which place them with host employers on a short or long-term basis. This model can make it easier for employers to take on apprentices and help provide continuity of employment and training for the apprentice.</w:t>
      </w:r>
    </w:p>
    <w:p w14:paraId="3D53BEFF" w14:textId="77777777" w:rsidR="00741A2D" w:rsidRPr="009451E9" w:rsidRDefault="00741A2D" w:rsidP="009451E9">
      <w:pPr>
        <w:spacing w:before="160" w:after="120" w:line="240" w:lineRule="auto"/>
        <w:ind w:left="170" w:right="113"/>
        <w:rPr>
          <w:rFonts w:eastAsia="Arial" w:cs="Arial"/>
          <w:bCs/>
          <w:sz w:val="20"/>
          <w:szCs w:val="20"/>
          <w14:ligatures w14:val="standard"/>
          <w14:numForm w14:val="lining"/>
          <w14:numSpacing w14:val="proportional"/>
        </w:rPr>
      </w:pPr>
      <w:r w:rsidRPr="009451E9">
        <w:rPr>
          <w:rFonts w:eastAsia="Arial" w:cs="Arial"/>
          <w:bCs/>
          <w:sz w:val="20"/>
          <w:szCs w:val="20"/>
          <w14:ligatures w14:val="standard"/>
          <w14:numForm w14:val="lining"/>
          <w14:numSpacing w14:val="proportional"/>
        </w:rPr>
        <w:t xml:space="preserve">The Australian Government partnered with state and territory governments to establish a 12-month Skills Agreement to deliver 180,000 </w:t>
      </w:r>
      <w:r w:rsidRPr="009451E9">
        <w:rPr>
          <w:rFonts w:eastAsia="Arial" w:cs="Arial"/>
          <w:b/>
          <w:sz w:val="20"/>
          <w:szCs w:val="20"/>
          <w14:ligatures w14:val="standard"/>
          <w14:numForm w14:val="lining"/>
          <w14:numSpacing w14:val="proportional"/>
        </w:rPr>
        <w:t xml:space="preserve">Fee-Free TAFE and vocational education places </w:t>
      </w:r>
      <w:r w:rsidRPr="009451E9">
        <w:rPr>
          <w:rFonts w:eastAsia="Arial" w:cs="Arial"/>
          <w:bCs/>
          <w:sz w:val="20"/>
          <w:szCs w:val="20"/>
          <w14:ligatures w14:val="standard"/>
          <w14:numForm w14:val="lining"/>
          <w14:numSpacing w14:val="proportional"/>
        </w:rPr>
        <w:t>in areas of national priority, including technology and sovereign capability. Fee-Free TAFE will be prioritised for several priority groups, including First Nations people, young people and women undertaking study in non-traditional fields.</w:t>
      </w:r>
    </w:p>
    <w:p w14:paraId="50D2FF3F" w14:textId="77777777" w:rsidR="00741A2D" w:rsidRPr="000C61DA" w:rsidRDefault="00741A2D" w:rsidP="009451E9">
      <w:pPr>
        <w:spacing w:before="160" w:after="120" w:line="240" w:lineRule="auto"/>
        <w:ind w:left="170" w:right="113"/>
        <w:rPr>
          <w:rFonts w:eastAsia="Arial" w:cs="Arial"/>
          <w:bCs/>
          <w:sz w:val="20"/>
          <w:szCs w:val="20"/>
          <w14:ligatures w14:val="standard"/>
          <w14:numForm w14:val="lining"/>
          <w14:numSpacing w14:val="proportional"/>
        </w:rPr>
      </w:pPr>
      <w:r w:rsidRPr="000C61DA">
        <w:rPr>
          <w:rFonts w:eastAsia="Arial" w:cs="Arial"/>
          <w:bCs/>
          <w:sz w:val="20"/>
          <w:szCs w:val="20"/>
          <w14:ligatures w14:val="standard"/>
          <w14:numForm w14:val="lining"/>
          <w14:numSpacing w14:val="proportional"/>
        </w:rPr>
        <w:t xml:space="preserve">The Australian Apprenticeships Incentive System (Incentives System), commenced on 1 July 2022, is designed to target skills, and offers a range of financial incentives for employers and apprentices including: </w:t>
      </w:r>
    </w:p>
    <w:p w14:paraId="49970015" w14:textId="77777777" w:rsidR="00741A2D" w:rsidRPr="000C61DA" w:rsidRDefault="00741A2D" w:rsidP="00F25595">
      <w:pPr>
        <w:pStyle w:val="ListParagraph"/>
        <w:numPr>
          <w:ilvl w:val="0"/>
          <w:numId w:val="27"/>
        </w:numPr>
        <w:spacing w:after="120" w:line="240" w:lineRule="auto"/>
        <w:ind w:left="624" w:right="113" w:hanging="284"/>
        <w:contextualSpacing w:val="0"/>
        <w:rPr>
          <w:rFonts w:cs="Arial"/>
          <w:color w:val="000000"/>
          <w:sz w:val="20"/>
          <w:szCs w:val="20"/>
          <w14:numForm w14:val="lining"/>
          <w14:numSpacing w14:val="proportional"/>
        </w:rPr>
      </w:pPr>
      <w:r w:rsidRPr="000C61DA">
        <w:rPr>
          <w:rFonts w:cs="Arial"/>
          <w:color w:val="000000"/>
          <w:sz w:val="20"/>
          <w:szCs w:val="20"/>
          <w14:numForm w14:val="lining"/>
          <w14:numSpacing w14:val="proportional"/>
        </w:rPr>
        <w:t xml:space="preserve">The </w:t>
      </w:r>
      <w:r w:rsidRPr="000C61DA">
        <w:rPr>
          <w:rFonts w:cs="Arial"/>
          <w:b/>
          <w:bCs/>
          <w:color w:val="000000"/>
          <w:sz w:val="20"/>
          <w:szCs w:val="20"/>
          <w14:numForm w14:val="lining"/>
          <w14:numSpacing w14:val="proportional"/>
        </w:rPr>
        <w:t>New Energy Apprenticeships Program</w:t>
      </w:r>
      <w:r w:rsidRPr="000C61DA">
        <w:rPr>
          <w:rFonts w:cs="Arial"/>
          <w:color w:val="000000"/>
          <w:sz w:val="20"/>
          <w:szCs w:val="20"/>
          <w14:numForm w14:val="lining"/>
          <w14:numSpacing w14:val="proportional"/>
        </w:rPr>
        <w:t xml:space="preserve"> was established in 2022-23 to encourage more Australians to consider careers in the clean energy sector. The program delivers direct financial assistance to eligible apprentices, with the aim of supporting 10,000 completions. It is complemented by the New Energy Skills Program which includes funds for specialist mentoring supports. Only apprentices who started on or after 1 January 2023 are eligible.</w:t>
      </w:r>
    </w:p>
    <w:p w14:paraId="40EB0A8F"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 xml:space="preserve">The </w:t>
      </w:r>
      <w:r w:rsidRPr="000C61DA">
        <w:rPr>
          <w:b/>
          <w:bCs/>
          <w:sz w:val="20"/>
          <w:szCs w:val="20"/>
          <w14:numForm w14:val="lining"/>
          <w14:numSpacing w14:val="proportional"/>
        </w:rPr>
        <w:t>Priority Wage Subsidy</w:t>
      </w:r>
      <w:r w:rsidRPr="000C61DA">
        <w:rPr>
          <w:b/>
          <w:bCs/>
          <w:i/>
          <w:iCs/>
          <w:sz w:val="20"/>
          <w:szCs w:val="20"/>
          <w14:numForm w14:val="lining"/>
          <w14:numSpacing w14:val="proportional"/>
        </w:rPr>
        <w:t xml:space="preserve"> </w:t>
      </w:r>
      <w:r w:rsidRPr="000C61DA">
        <w:rPr>
          <w:sz w:val="20"/>
          <w:szCs w:val="20"/>
          <w14:numForm w14:val="lining"/>
          <w14:numSpacing w14:val="proportional"/>
        </w:rPr>
        <w:t xml:space="preserve">aims to improve commencement and completion rates in priority occupations on the Australian Apprenticeships Priority List. Eligible employers can claim a subsidy of 10% of wages paid for the first and second year, and 5% of wages for the third year (up to a maximum of $15,000), to help offset the cost of taking on an apprentice. </w:t>
      </w:r>
    </w:p>
    <w:p w14:paraId="1400DD21"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 xml:space="preserve">The </w:t>
      </w:r>
      <w:r w:rsidRPr="000C61DA">
        <w:rPr>
          <w:b/>
          <w:bCs/>
          <w:sz w:val="20"/>
          <w:szCs w:val="20"/>
          <w14:numForm w14:val="lining"/>
          <w14:numSpacing w14:val="proportional"/>
        </w:rPr>
        <w:t>Australian Apprenticeship Training Support Payment</w:t>
      </w:r>
      <w:r w:rsidRPr="000C61DA">
        <w:rPr>
          <w:sz w:val="20"/>
          <w:szCs w:val="20"/>
          <w14:numForm w14:val="lining"/>
          <w14:numSpacing w14:val="proportional"/>
        </w:rPr>
        <w:t>, providing direct financial support to apprentices and trainees in priority occupations,</w:t>
      </w:r>
      <w:r w:rsidRPr="000C61DA">
        <w:rPr>
          <w:b/>
          <w:bCs/>
          <w:sz w:val="20"/>
          <w:szCs w:val="20"/>
          <w14:numForm w14:val="lining"/>
          <w14:numSpacing w14:val="proportional"/>
        </w:rPr>
        <w:t xml:space="preserve"> </w:t>
      </w:r>
      <w:r w:rsidRPr="000C61DA">
        <w:rPr>
          <w:sz w:val="20"/>
          <w:szCs w:val="20"/>
          <w14:numForm w14:val="lining"/>
          <w14:numSpacing w14:val="proportional"/>
        </w:rPr>
        <w:t xml:space="preserve">set at $1,250 and paid at every six-months for the first 2 years of the apprenticeship, up to a maximum of $5,000. </w:t>
      </w:r>
    </w:p>
    <w:p w14:paraId="002FF1EA"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b/>
          <w:bCs/>
          <w:sz w:val="20"/>
          <w:szCs w:val="20"/>
          <w14:numForm w14:val="lining"/>
          <w14:numSpacing w14:val="proportional"/>
        </w:rPr>
        <w:t xml:space="preserve">Australian Apprenticeship Support Loans </w:t>
      </w:r>
      <w:r w:rsidRPr="000C61DA">
        <w:rPr>
          <w:sz w:val="20"/>
          <w:szCs w:val="20"/>
          <w14:numForm w14:val="lining"/>
          <w14:numSpacing w14:val="proportional"/>
        </w:rPr>
        <w:t xml:space="preserve">of up to $24,492 over the course of an apprenticeship to cover everyday expenses. These loans are interest free but indexed annually. </w:t>
      </w:r>
    </w:p>
    <w:p w14:paraId="4A6056F4"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 xml:space="preserve">A </w:t>
      </w:r>
      <w:r w:rsidRPr="000C61DA">
        <w:rPr>
          <w:b/>
          <w:bCs/>
          <w:sz w:val="20"/>
          <w:szCs w:val="20"/>
          <w14:numForm w14:val="lining"/>
          <w14:numSpacing w14:val="proportional"/>
        </w:rPr>
        <w:t xml:space="preserve">Hiring Incentive </w:t>
      </w:r>
      <w:r w:rsidRPr="000C61DA">
        <w:rPr>
          <w:sz w:val="20"/>
          <w:szCs w:val="20"/>
          <w14:numForm w14:val="lining"/>
          <w14:numSpacing w14:val="proportional"/>
        </w:rPr>
        <w:t xml:space="preserve">of $3,500 for all employers of apprentices and trainees in occupations not listed on the Priority List paid in two six-month instalments. </w:t>
      </w:r>
    </w:p>
    <w:p w14:paraId="6CF4AA47" w14:textId="77777777" w:rsidR="00741A2D" w:rsidRPr="000C61DA" w:rsidRDefault="00741A2D" w:rsidP="00F25595">
      <w:pPr>
        <w:pStyle w:val="Default"/>
        <w:numPr>
          <w:ilvl w:val="0"/>
          <w:numId w:val="27"/>
        </w:numPr>
        <w:spacing w:after="120"/>
        <w:ind w:left="624" w:right="113" w:hanging="284"/>
        <w:rPr>
          <w:sz w:val="20"/>
          <w:szCs w:val="20"/>
          <w14:numForm w14:val="lining"/>
          <w14:numSpacing w14:val="proportional"/>
        </w:rPr>
      </w:pPr>
      <w:r w:rsidRPr="000C61DA">
        <w:rPr>
          <w:sz w:val="20"/>
          <w:szCs w:val="20"/>
          <w14:numForm w14:val="lining"/>
          <w14:numSpacing w14:val="proportional"/>
        </w:rPr>
        <w:t>Targeted financial support for both apprentices and employers, under the</w:t>
      </w:r>
      <w:r w:rsidRPr="000C61DA">
        <w:rPr>
          <w:b/>
          <w:bCs/>
          <w:sz w:val="20"/>
          <w:szCs w:val="20"/>
          <w14:numForm w14:val="lining"/>
          <w14:numSpacing w14:val="proportional"/>
        </w:rPr>
        <w:t xml:space="preserve"> Living Away from Home Allowance (LAHFA) </w:t>
      </w:r>
      <w:r w:rsidRPr="000C61DA">
        <w:rPr>
          <w:sz w:val="20"/>
          <w:szCs w:val="20"/>
          <w14:numForm w14:val="lining"/>
          <w14:numSpacing w14:val="proportional"/>
        </w:rPr>
        <w:t xml:space="preserve">for apprentices that move away from home to take up or remain in an apprenticeship, and the </w:t>
      </w:r>
      <w:r w:rsidRPr="000C61DA">
        <w:rPr>
          <w:b/>
          <w:bCs/>
          <w:sz w:val="20"/>
          <w:szCs w:val="20"/>
          <w14:numForm w14:val="lining"/>
          <w14:numSpacing w14:val="proportional"/>
        </w:rPr>
        <w:t>Disabled Australian Apprentice Wage Support (DAAWS) Program</w:t>
      </w:r>
      <w:r w:rsidRPr="000C61DA">
        <w:rPr>
          <w:sz w:val="20"/>
          <w:szCs w:val="20"/>
          <w14:numForm w14:val="lining"/>
          <w14:numSpacing w14:val="proportional"/>
        </w:rPr>
        <w:t xml:space="preserve">, for employers of apprentices with a disability. </w:t>
      </w:r>
    </w:p>
    <w:p w14:paraId="77A7C5A8" w14:textId="77777777" w:rsidR="007564A9" w:rsidRDefault="007564A9">
      <w:pPr>
        <w:rPr>
          <w:rFonts w:eastAsia="Arial" w:cs="Arial"/>
          <w:b/>
          <w:sz w:val="24"/>
          <w:szCs w:val="24"/>
          <w14:ligatures w14:val="standard"/>
          <w14:numForm w14:val="lining"/>
          <w14:numSpacing w14:val="proportional"/>
        </w:rPr>
      </w:pPr>
      <w:r>
        <w:rPr>
          <w:rFonts w:eastAsia="Arial" w:cs="Arial"/>
          <w:b/>
          <w:sz w:val="24"/>
          <w:szCs w:val="24"/>
          <w14:ligatures w14:val="standard"/>
          <w14:numForm w14:val="lining"/>
          <w14:numSpacing w14:val="proportional"/>
        </w:rPr>
        <w:br w:type="page"/>
      </w:r>
    </w:p>
    <w:p w14:paraId="1B23915F" w14:textId="70E76201" w:rsidR="002F6D7D" w:rsidRPr="00AC18B5" w:rsidRDefault="002F6D7D" w:rsidP="001A7532">
      <w:pPr>
        <w:spacing w:after="120" w:line="240" w:lineRule="auto"/>
        <w:rPr>
          <w:rFonts w:eastAsia="Arial" w:cs="Arial"/>
          <w:b/>
          <w:sz w:val="24"/>
          <w:szCs w:val="24"/>
          <w14:ligatures w14:val="standard"/>
          <w14:numForm w14:val="lining"/>
          <w14:numSpacing w14:val="proportional"/>
        </w:rPr>
      </w:pPr>
      <w:r w:rsidRPr="00E5087D">
        <w:rPr>
          <w:noProof/>
        </w:rPr>
        <w:lastRenderedPageBreak/>
        <mc:AlternateContent>
          <mc:Choice Requires="wpg">
            <w:drawing>
              <wp:anchor distT="0" distB="0" distL="114300" distR="114300" simplePos="0" relativeHeight="251658285" behindDoc="1" locked="0" layoutInCell="1" allowOverlap="1" wp14:anchorId="14827DCE" wp14:editId="11A29A77">
                <wp:simplePos x="0" y="0"/>
                <wp:positionH relativeFrom="column">
                  <wp:posOffset>-212651</wp:posOffset>
                </wp:positionH>
                <wp:positionV relativeFrom="page">
                  <wp:posOffset>836428</wp:posOffset>
                </wp:positionV>
                <wp:extent cx="6025115" cy="9143365"/>
                <wp:effectExtent l="0" t="0" r="0" b="635"/>
                <wp:wrapNone/>
                <wp:docPr id="1341085141" name="Group 1341085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5115" cy="9143365"/>
                          <a:chOff x="-133342" y="0"/>
                          <a:chExt cx="6211380" cy="3712021"/>
                        </a:xfrm>
                      </wpg:grpSpPr>
                      <wps:wsp>
                        <wps:cNvPr id="1341085142" name="Rectangle 1341085142"/>
                        <wps:cNvSpPr/>
                        <wps:spPr>
                          <a:xfrm>
                            <a:off x="-115608" y="0"/>
                            <a:ext cx="6193646" cy="3712021"/>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180AF80C" w14:textId="77777777" w:rsidR="00FE7A3D" w:rsidRDefault="00FE7A3D" w:rsidP="00274480">
                              <w:pPr>
                                <w:pStyle w:val="Default"/>
                                <w:spacing w:before="120"/>
                                <w:rPr>
                                  <w:b/>
                                  <w:bCs/>
                                  <w:sz w:val="20"/>
                                  <w:szCs w:val="20"/>
                                </w:rPr>
                              </w:pPr>
                            </w:p>
                            <w:p w14:paraId="49AAA1A4" w14:textId="5708DC05" w:rsidR="00274480" w:rsidRPr="002823DB" w:rsidRDefault="000C61DA" w:rsidP="00274480">
                              <w:pPr>
                                <w:pStyle w:val="Default"/>
                                <w:spacing w:before="120"/>
                                <w:rPr>
                                  <w:b/>
                                  <w:bCs/>
                                  <w:sz w:val="20"/>
                                  <w:szCs w:val="20"/>
                                </w:rPr>
                              </w:pPr>
                              <w:r>
                                <w:rPr>
                                  <w:b/>
                                  <w:bCs/>
                                  <w:sz w:val="20"/>
                                  <w:szCs w:val="20"/>
                                </w:rPr>
                                <w:t>`</w:t>
                              </w:r>
                            </w:p>
                          </w:txbxContent>
                        </wps:txbx>
                        <wps:bodyPr spcFirstLastPara="0" wrap="square" lIns="216000" tIns="72000" rIns="144000" bIns="72000" anchor="t">
                          <a:noAutofit/>
                        </wps:bodyPr>
                      </wps:wsp>
                      <wps:wsp>
                        <wps:cNvPr id="1341085143" name="Rectangle 1341085143"/>
                        <wps:cNvSpPr/>
                        <wps:spPr>
                          <a:xfrm>
                            <a:off x="-133342" y="0"/>
                            <a:ext cx="133350" cy="3712021"/>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4827DCE" id="Group 1341085141" o:spid="_x0000_s1061" alt="&quot;&quot;" style="position:absolute;margin-left:-16.75pt;margin-top:65.85pt;width:474.4pt;height:719.95pt;z-index:-251658195;mso-position-vertical-relative:page" coordorigin="-1333" coordsize="62113,3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">
                <v:rect id="Rectangle 1341085142" o:spid="_x0000_s1062" style="position:absolute;left:-1156;width:61936;height:37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" fillcolor="#f2f2f2" stroked="f" strokeweight="1pt">
                  <v:textbox inset="6mm,2mm,4mm,2mm">
                    <w:txbxContent>
                      <w:p w14:paraId="180AF80C" w14:textId="77777777" w:rsidR="00FE7A3D" w:rsidRDefault="00FE7A3D" w:rsidP="00274480">
                        <w:pPr>
                          <w:pStyle w:val="Default"/>
                          <w:spacing w:before="120"/>
                          <w:rPr>
                            <w:b/>
                            <w:bCs/>
                            <w:sz w:val="20"/>
                            <w:szCs w:val="20"/>
                          </w:rPr>
                        </w:pPr>
                      </w:p>
                      <w:p w14:paraId="49AAA1A4" w14:textId="5708DC05" w:rsidR="00274480" w:rsidRPr="002823DB" w:rsidRDefault="000C61DA" w:rsidP="00274480">
                        <w:pPr>
                          <w:pStyle w:val="Default"/>
                          <w:spacing w:before="120"/>
                          <w:rPr>
                            <w:b/>
                            <w:bCs/>
                            <w:sz w:val="20"/>
                            <w:szCs w:val="20"/>
                          </w:rPr>
                        </w:pPr>
                        <w:r>
                          <w:rPr>
                            <w:b/>
                            <w:bCs/>
                            <w:sz w:val="20"/>
                            <w:szCs w:val="20"/>
                          </w:rPr>
                          <w:t>`</w:t>
                        </w:r>
                      </w:p>
                    </w:txbxContent>
                  </v:textbox>
                </v:rect>
                <v:rect id="Rectangle 1341085143" o:spid="_x0000_s1063" style="position:absolute;left:-1333;width:1333;height:37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" fillcolor="#dae3f5" stroked="f" strokeweight="1pt"/>
                <w10:wrap anchory="page"/>
              </v:group>
            </w:pict>
          </mc:Fallback>
        </mc:AlternateContent>
      </w:r>
      <w:r w:rsidRPr="00AC18B5">
        <w:rPr>
          <w:rFonts w:eastAsia="Arial" w:cs="Arial"/>
          <w:b/>
          <w:sz w:val="24"/>
          <w:szCs w:val="24"/>
          <w14:ligatures w14:val="standard"/>
          <w14:numForm w14:val="lining"/>
          <w14:numSpacing w14:val="proportional"/>
        </w:rPr>
        <w:t>BOX 2: Who employs clean energy apprentices?</w:t>
      </w:r>
    </w:p>
    <w:p w14:paraId="3E8CBCC2" w14:textId="77777777" w:rsidR="002F6D7D" w:rsidRDefault="002F6D7D" w:rsidP="002F6D7D">
      <w:pPr>
        <w:pStyle w:val="Default"/>
        <w:rPr>
          <w:sz w:val="20"/>
          <w:szCs w:val="20"/>
        </w:rPr>
      </w:pPr>
      <w:r>
        <w:rPr>
          <w:sz w:val="20"/>
          <w:szCs w:val="20"/>
        </w:rPr>
        <w:t>The vast majority of trade apprentices in clean energy are now employed by the private sector. This has changed over time, as the number of clean energy apprentices employed by government enterprises has declined. Around 10% are employed directly by state and territory governments (Figure 4.5).</w:t>
      </w:r>
    </w:p>
    <w:p w14:paraId="383230C0" w14:textId="77777777" w:rsidR="002F6D7D" w:rsidRDefault="002F6D7D" w:rsidP="002F6D7D">
      <w:pPr>
        <w:pStyle w:val="Default"/>
        <w:spacing w:before="160"/>
        <w:rPr>
          <w:b/>
          <w:bCs/>
          <w:sz w:val="20"/>
          <w:szCs w:val="20"/>
        </w:rPr>
      </w:pPr>
      <w:r>
        <w:rPr>
          <w:b/>
          <w:bCs/>
          <w:sz w:val="20"/>
          <w:szCs w:val="20"/>
        </w:rPr>
        <w:t>Figure</w:t>
      </w:r>
      <w:r w:rsidRPr="008A74D7">
        <w:rPr>
          <w:b/>
          <w:bCs/>
          <w:sz w:val="20"/>
          <w:szCs w:val="20"/>
        </w:rPr>
        <w:t xml:space="preserve"> </w:t>
      </w:r>
      <w:r>
        <w:rPr>
          <w:b/>
          <w:bCs/>
          <w:sz w:val="20"/>
          <w:szCs w:val="20"/>
        </w:rPr>
        <w:t>4.5.</w:t>
      </w:r>
      <w:r w:rsidRPr="008A74D7">
        <w:rPr>
          <w:b/>
          <w:bCs/>
          <w:sz w:val="20"/>
          <w:szCs w:val="20"/>
        </w:rPr>
        <w:t xml:space="preserve"> In-training </w:t>
      </w:r>
      <w:r>
        <w:rPr>
          <w:b/>
          <w:bCs/>
          <w:sz w:val="20"/>
          <w:szCs w:val="20"/>
        </w:rPr>
        <w:t xml:space="preserve">trade </w:t>
      </w:r>
      <w:r w:rsidRPr="008A74D7">
        <w:rPr>
          <w:b/>
          <w:bCs/>
          <w:sz w:val="20"/>
          <w:szCs w:val="20"/>
        </w:rPr>
        <w:t>apprentices by employer type</w:t>
      </w:r>
      <w:r>
        <w:rPr>
          <w:b/>
          <w:bCs/>
          <w:sz w:val="20"/>
          <w:szCs w:val="20"/>
        </w:rPr>
        <w:t xml:space="preserve"> (clean energy supply)</w:t>
      </w:r>
    </w:p>
    <w:p w14:paraId="7884FA28" w14:textId="77777777" w:rsidR="002F6D7D" w:rsidRDefault="002F6D7D" w:rsidP="002F6D7D">
      <w:pPr>
        <w:pStyle w:val="Default"/>
        <w:rPr>
          <w:b/>
          <w:bCs/>
          <w:sz w:val="20"/>
          <w:szCs w:val="20"/>
        </w:rPr>
      </w:pPr>
      <w:r>
        <w:rPr>
          <w:noProof/>
        </w:rPr>
        <w:drawing>
          <wp:inline distT="0" distB="0" distL="0" distR="0" wp14:anchorId="7B97405B" wp14:editId="62B488DA">
            <wp:extent cx="5295014" cy="1903653"/>
            <wp:effectExtent l="0" t="0" r="1270" b="1905"/>
            <wp:docPr id="1318315936" name="Picture 1318315936" descr="This figure captures in-training trade apprentices by employer type (clean energy supply) for the third quarter of 2007, 2012, 2017 and 2022. The figure shows that private sector employers are currently make up the largest proportion of employers of  apprentices in 202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15936" name="Picture 1318315936" descr="This figure captures in-training trade apprentices by employer type (clean energy supply) for the third quarter of 2007, 2012, 2017 and 2022. The figure shows that private sector employers are currently make up the largest proportion of employers of  apprentices in 2022. &#10;"/>
                    <pic:cNvPicPr/>
                  </pic:nvPicPr>
                  <pic:blipFill>
                    <a:blip r:embed="rId115"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5309093" cy="1908714"/>
                    </a:xfrm>
                    <a:prstGeom prst="rect">
                      <a:avLst/>
                    </a:prstGeom>
                  </pic:spPr>
                </pic:pic>
              </a:graphicData>
            </a:graphic>
          </wp:inline>
        </w:drawing>
      </w:r>
    </w:p>
    <w:p w14:paraId="207DCA84" w14:textId="77777777" w:rsidR="002F6D7D" w:rsidRDefault="002F6D7D" w:rsidP="002F6D7D">
      <w:pPr>
        <w:pStyle w:val="Default"/>
        <w:rPr>
          <w:sz w:val="16"/>
          <w:szCs w:val="16"/>
        </w:rPr>
      </w:pPr>
      <w:r w:rsidRPr="00741D12">
        <w:rPr>
          <w:sz w:val="16"/>
          <w:szCs w:val="16"/>
        </w:rPr>
        <w:t>Source: NCVER apprentices and trainees, September 2022</w:t>
      </w:r>
      <w:r w:rsidRPr="00FC36FC">
        <w:rPr>
          <w:sz w:val="16"/>
          <w:szCs w:val="16"/>
        </w:rPr>
        <w:t xml:space="preserve">. Data is for trade apprentices employed in a clean energy </w:t>
      </w:r>
      <w:r>
        <w:rPr>
          <w:sz w:val="16"/>
          <w:szCs w:val="16"/>
        </w:rPr>
        <w:t xml:space="preserve">supply </w:t>
      </w:r>
      <w:r w:rsidRPr="00FC36FC">
        <w:rPr>
          <w:sz w:val="16"/>
          <w:szCs w:val="16"/>
        </w:rPr>
        <w:t>industr</w:t>
      </w:r>
      <w:r>
        <w:rPr>
          <w:sz w:val="16"/>
          <w:szCs w:val="16"/>
        </w:rPr>
        <w:t>ies</w:t>
      </w:r>
      <w:r w:rsidRPr="00FC36FC">
        <w:rPr>
          <w:sz w:val="16"/>
          <w:szCs w:val="16"/>
        </w:rPr>
        <w:t>.</w:t>
      </w:r>
      <w:r>
        <w:rPr>
          <w:sz w:val="16"/>
          <w:szCs w:val="16"/>
        </w:rPr>
        <w:t xml:space="preserve"> A small proportion (less than 1%) are employed by local governments.</w:t>
      </w:r>
    </w:p>
    <w:p w14:paraId="14CEF8B5" w14:textId="77777777" w:rsidR="002F6D7D" w:rsidRDefault="002F6D7D" w:rsidP="002F6D7D">
      <w:pPr>
        <w:pStyle w:val="Default"/>
        <w:spacing w:before="120"/>
        <w:rPr>
          <w:sz w:val="20"/>
          <w:szCs w:val="20"/>
        </w:rPr>
      </w:pPr>
      <w:r w:rsidRPr="00C361DD">
        <w:rPr>
          <w:sz w:val="20"/>
          <w:szCs w:val="20"/>
        </w:rPr>
        <w:t>GTO</w:t>
      </w:r>
      <w:r w:rsidRPr="00162248">
        <w:rPr>
          <w:sz w:val="20"/>
          <w:szCs w:val="20"/>
        </w:rPr>
        <w:t xml:space="preserve">s also employ a large number of apprentices, although this has declined overtime. In Q3 2022, almost 11% of all electrical apprentices (not just in clean energy) were employed by a </w:t>
      </w:r>
      <w:r w:rsidRPr="00C361DD">
        <w:rPr>
          <w:sz w:val="20"/>
          <w:szCs w:val="20"/>
        </w:rPr>
        <w:t>GTO</w:t>
      </w:r>
      <w:r w:rsidRPr="00162248">
        <w:rPr>
          <w:sz w:val="20"/>
          <w:szCs w:val="20"/>
        </w:rPr>
        <w:t>. This is higher than the all-trade average of 7.5%</w:t>
      </w:r>
      <w:r>
        <w:rPr>
          <w:sz w:val="20"/>
          <w:szCs w:val="20"/>
        </w:rPr>
        <w:t xml:space="preserve"> (Figure 4.6)</w:t>
      </w:r>
      <w:r w:rsidRPr="00162248">
        <w:rPr>
          <w:sz w:val="20"/>
          <w:szCs w:val="20"/>
        </w:rPr>
        <w:t>.</w:t>
      </w:r>
    </w:p>
    <w:p w14:paraId="6327E78E" w14:textId="77777777" w:rsidR="002F6D7D" w:rsidRDefault="002F6D7D" w:rsidP="002F6D7D">
      <w:pPr>
        <w:pStyle w:val="Default"/>
        <w:spacing w:before="120"/>
        <w:rPr>
          <w:b/>
          <w:bCs/>
          <w:sz w:val="20"/>
          <w:szCs w:val="20"/>
        </w:rPr>
      </w:pPr>
      <w:r>
        <w:rPr>
          <w:b/>
          <w:bCs/>
          <w:sz w:val="20"/>
          <w:szCs w:val="20"/>
        </w:rPr>
        <w:t>Figure 4.6. In-training trade apprentices employed by GTOs</w:t>
      </w:r>
      <w:r>
        <w:rPr>
          <w:noProof/>
        </w:rPr>
        <w:drawing>
          <wp:inline distT="0" distB="0" distL="0" distR="0" wp14:anchorId="5CDD48BD" wp14:editId="11BB8A47">
            <wp:extent cx="4919330" cy="1837973"/>
            <wp:effectExtent l="0" t="0" r="0" b="0"/>
            <wp:docPr id="1850755190" name="Picture 1850755190" descr="This figure captures a decline in the in-training trade apprentices employed by GTOs between the third quarter of 2007 to the third quarter of 2022 for both electrical and all trad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55190" name="Picture 1850755190" descr="This figure captures a decline in the in-training trade apprentices employed by GTOs between the third quarter of 2007 to the third quarter of 2022 for both electrical and all trades. &#10;"/>
                    <pic:cNvPicPr/>
                  </pic:nvPicPr>
                  <pic:blipFill>
                    <a:blip r:embed="rId116"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939313" cy="1845439"/>
                    </a:xfrm>
                    <a:prstGeom prst="rect">
                      <a:avLst/>
                    </a:prstGeom>
                  </pic:spPr>
                </pic:pic>
              </a:graphicData>
            </a:graphic>
          </wp:inline>
        </w:drawing>
      </w:r>
    </w:p>
    <w:p w14:paraId="0CEB2E72" w14:textId="77777777" w:rsidR="002F6D7D" w:rsidRDefault="002F6D7D" w:rsidP="002F6D7D">
      <w:pPr>
        <w:pStyle w:val="Default"/>
        <w:rPr>
          <w:sz w:val="16"/>
          <w:szCs w:val="16"/>
        </w:rPr>
      </w:pPr>
      <w:r w:rsidRPr="00FE7A3D">
        <w:rPr>
          <w:sz w:val="16"/>
          <w:szCs w:val="16"/>
        </w:rPr>
        <w:t>Source: NCVER apprentices and trainees, September 2022.</w:t>
      </w:r>
    </w:p>
    <w:p w14:paraId="3561888E" w14:textId="77777777" w:rsidR="002F6D7D" w:rsidRDefault="002F6D7D" w:rsidP="002F6D7D">
      <w:pPr>
        <w:pStyle w:val="Default"/>
        <w:spacing w:before="120"/>
        <w:rPr>
          <w:sz w:val="20"/>
          <w:szCs w:val="20"/>
        </w:rPr>
      </w:pPr>
      <w:r w:rsidRPr="00AD6296">
        <w:rPr>
          <w:sz w:val="20"/>
          <w:szCs w:val="20"/>
        </w:rPr>
        <w:t xml:space="preserve">Unlike most other industries, apprentices </w:t>
      </w:r>
      <w:r>
        <w:rPr>
          <w:sz w:val="20"/>
          <w:szCs w:val="20"/>
        </w:rPr>
        <w:t xml:space="preserve">in clean energy supply </w:t>
      </w:r>
      <w:r w:rsidRPr="00AD6296">
        <w:rPr>
          <w:sz w:val="20"/>
          <w:szCs w:val="20"/>
        </w:rPr>
        <w:t>are predominantly employed by very large employers</w:t>
      </w:r>
      <w:r>
        <w:rPr>
          <w:sz w:val="20"/>
          <w:szCs w:val="20"/>
        </w:rPr>
        <w:t xml:space="preserve"> (Figure 4.7)</w:t>
      </w:r>
      <w:r w:rsidRPr="00AD6296">
        <w:rPr>
          <w:sz w:val="20"/>
          <w:szCs w:val="20"/>
        </w:rPr>
        <w:t xml:space="preserve">. </w:t>
      </w:r>
      <w:r>
        <w:rPr>
          <w:sz w:val="20"/>
          <w:szCs w:val="20"/>
        </w:rPr>
        <w:t>However, this most likely excludes a large number of smaller employers that work across electrical services, like rooftop solar, that are not captured as renewable generation businesses. For example, according to DEWR’s program data, over half of New Energy Apprentice Support Payment recipients work for a small business, mostly in the Electrical Services industry, which includes rooftop solar.</w:t>
      </w:r>
    </w:p>
    <w:p w14:paraId="79C091D0" w14:textId="77777777" w:rsidR="002F6D7D" w:rsidRDefault="002F6D7D" w:rsidP="002F6D7D">
      <w:pPr>
        <w:pStyle w:val="Default"/>
        <w:spacing w:before="120"/>
        <w:rPr>
          <w:noProof/>
        </w:rPr>
      </w:pPr>
      <w:r>
        <w:rPr>
          <w:b/>
          <w:bCs/>
          <w:sz w:val="20"/>
          <w:szCs w:val="20"/>
        </w:rPr>
        <w:t>Figure</w:t>
      </w:r>
      <w:r w:rsidRPr="002823DB">
        <w:rPr>
          <w:b/>
          <w:bCs/>
          <w:sz w:val="20"/>
          <w:szCs w:val="20"/>
        </w:rPr>
        <w:t xml:space="preserve"> </w:t>
      </w:r>
      <w:r>
        <w:rPr>
          <w:b/>
          <w:bCs/>
          <w:sz w:val="20"/>
          <w:szCs w:val="20"/>
        </w:rPr>
        <w:t>4.7.</w:t>
      </w:r>
      <w:r w:rsidRPr="002823DB">
        <w:rPr>
          <w:b/>
          <w:bCs/>
          <w:sz w:val="20"/>
          <w:szCs w:val="20"/>
        </w:rPr>
        <w:t xml:space="preserve"> In-</w:t>
      </w:r>
      <w:r>
        <w:rPr>
          <w:b/>
          <w:bCs/>
          <w:sz w:val="20"/>
          <w:szCs w:val="20"/>
        </w:rPr>
        <w:t>training</w:t>
      </w:r>
      <w:r w:rsidRPr="002823DB">
        <w:rPr>
          <w:b/>
          <w:bCs/>
          <w:sz w:val="20"/>
          <w:szCs w:val="20"/>
        </w:rPr>
        <w:t xml:space="preserve"> </w:t>
      </w:r>
      <w:r>
        <w:rPr>
          <w:b/>
          <w:bCs/>
          <w:sz w:val="20"/>
          <w:szCs w:val="20"/>
        </w:rPr>
        <w:t xml:space="preserve">trade </w:t>
      </w:r>
      <w:r w:rsidRPr="002823DB">
        <w:rPr>
          <w:b/>
          <w:bCs/>
          <w:sz w:val="20"/>
          <w:szCs w:val="20"/>
        </w:rPr>
        <w:t>apprentices by employer size</w:t>
      </w:r>
      <w:r>
        <w:rPr>
          <w:b/>
          <w:bCs/>
          <w:sz w:val="20"/>
          <w:szCs w:val="20"/>
        </w:rPr>
        <w:t xml:space="preserve"> (clean energy supply)</w:t>
      </w:r>
      <w:r w:rsidRPr="006434FE">
        <w:rPr>
          <w:noProof/>
        </w:rPr>
        <w:t xml:space="preserve"> </w:t>
      </w:r>
      <w:r w:rsidRPr="006434FE">
        <w:rPr>
          <w:noProof/>
        </w:rPr>
        <w:drawing>
          <wp:inline distT="0" distB="0" distL="0" distR="0" wp14:anchorId="18D55DE5" wp14:editId="7CFD0526">
            <wp:extent cx="4966328" cy="1634846"/>
            <wp:effectExtent l="0" t="0" r="6350" b="3810"/>
            <wp:docPr id="1663640947" name="Picture 1663640947" descr="This figure captures the number of in-training trade apprentices by employer size within clean energy supply. It shows that apprentices in clean energy supply are predominantly employed by very large emplo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40947" name="Picture 1663640947" descr="This figure captures the number of in-training trade apprentices by employer size within clean energy supply. It shows that apprentices in clean energy supply are predominantly employed by very large employers."/>
                    <pic:cNvPicPr/>
                  </pic:nvPicPr>
                  <pic:blipFill>
                    <a:blip r:embed="rId117"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981083" cy="1639703"/>
                    </a:xfrm>
                    <a:prstGeom prst="rect">
                      <a:avLst/>
                    </a:prstGeom>
                  </pic:spPr>
                </pic:pic>
              </a:graphicData>
            </a:graphic>
          </wp:inline>
        </w:drawing>
      </w:r>
    </w:p>
    <w:p w14:paraId="6BA6DDC8" w14:textId="77777777" w:rsidR="002F6D7D" w:rsidRDefault="002F6D7D" w:rsidP="001A7532">
      <w:pPr>
        <w:pStyle w:val="Default"/>
        <w:rPr>
          <w:sz w:val="16"/>
          <w:szCs w:val="16"/>
        </w:rPr>
      </w:pPr>
      <w:r w:rsidRPr="00FE7A3D">
        <w:rPr>
          <w:sz w:val="16"/>
          <w:szCs w:val="16"/>
        </w:rPr>
        <w:t>Source: NCVER apprentices and trainees, September 2022.</w:t>
      </w:r>
    </w:p>
    <w:p w14:paraId="68721E1D" w14:textId="0237551B" w:rsidR="001D6ADD" w:rsidRPr="00E5087D" w:rsidRDefault="001D6ADD" w:rsidP="001D6ADD">
      <w:pPr>
        <w:rPr>
          <w:b/>
          <w:bCs/>
          <w:color w:val="0C6DAD" w:themeColor="accent3" w:themeShade="BF"/>
          <w:sz w:val="24"/>
          <w:szCs w:val="24"/>
        </w:rPr>
      </w:pPr>
      <w:r w:rsidRPr="00E5087D">
        <w:rPr>
          <w:b/>
          <w:bCs/>
          <w:color w:val="0C6DAD" w:themeColor="accent3" w:themeShade="BF"/>
          <w:sz w:val="24"/>
          <w:szCs w:val="24"/>
        </w:rPr>
        <w:lastRenderedPageBreak/>
        <w:t>Dual qualifications</w:t>
      </w:r>
    </w:p>
    <w:p w14:paraId="7CFA1DC4" w14:textId="77777777" w:rsidR="001D6ADD" w:rsidRPr="00E5087D" w:rsidRDefault="001D6ADD" w:rsidP="001D6ADD">
      <w:pPr>
        <w:spacing w:after="120" w:line="276" w:lineRule="auto"/>
        <w:rPr>
          <w:color w:val="FF0000"/>
        </w:rPr>
      </w:pPr>
      <w:r w:rsidRPr="00E5087D">
        <w:t>The increasing popularity of double degrees through a multidisciplinary approach has led to universities offering flexibility for students to be qualified in different academic disciplines. The perspective of developing a multidisciplinary approach is related to the ever-fluctuating market conditions and transferrable job skills as prospective students seek to diversify themselves prior to entering the workforce. For example, RMIT offers a Bachelor of Environmental Science and Bachelor of Engineering as a double degree: “</w:t>
      </w:r>
      <w:r w:rsidRPr="00EE68FD">
        <w:rPr>
          <w:color w:val="auto"/>
        </w:rPr>
        <w:t>a</w:t>
      </w:r>
      <w:r w:rsidRPr="00EE68FD">
        <w:rPr>
          <w:rFonts w:cs="Arial"/>
          <w:color w:val="auto"/>
          <w:shd w:val="clear" w:color="auto" w:fill="FFFFFF"/>
        </w:rPr>
        <w:t>s a double degree graduate, you will be uniquely placed to work in a variety of industries and roles, with a combined understanding of the science and the ability to design technical solutions”.</w:t>
      </w:r>
      <w:r w:rsidRPr="00EE68FD">
        <w:rPr>
          <w:rStyle w:val="EndnoteReference"/>
          <w:rFonts w:cs="Arial"/>
          <w:color w:val="auto"/>
          <w:shd w:val="clear" w:color="auto" w:fill="FFFFFF"/>
        </w:rPr>
        <w:endnoteReference w:id="60"/>
      </w:r>
    </w:p>
    <w:p w14:paraId="2254E33D" w14:textId="3693C90B" w:rsidR="001D6ADD" w:rsidRPr="00E5087D" w:rsidRDefault="001D6ADD" w:rsidP="001D6ADD">
      <w:pPr>
        <w:spacing w:after="120" w:line="276" w:lineRule="auto"/>
      </w:pPr>
      <w:r w:rsidRPr="00E5087D">
        <w:t xml:space="preserve">Dual-trade apprenticeships are a recent concept that allows apprentices to train for two trade qualifications concurrently. </w:t>
      </w:r>
      <w:r w:rsidR="00492A1E">
        <w:t xml:space="preserve">The National Electrical and Communications Association (NECA) established </w:t>
      </w:r>
      <w:r w:rsidRPr="00E5087D">
        <w:t xml:space="preserve">Australia’s first pilot program in 2021, combining electrical and refrigeration/air conditioning qualifications, to meet the sector’s demand for technicians with broader skill sets and to increase job security for apprentices. </w:t>
      </w:r>
    </w:p>
    <w:p w14:paraId="2D9E5887" w14:textId="77777777" w:rsidR="001D6ADD" w:rsidRPr="00E5087D" w:rsidRDefault="001D6ADD" w:rsidP="001D6ADD">
      <w:pPr>
        <w:spacing w:after="120" w:line="276" w:lineRule="auto"/>
      </w:pPr>
      <w:r w:rsidRPr="00E5087D">
        <w:t xml:space="preserve">Students in this pilot will complete two apprenticeships within five years, reducing the time required for completing both apprenticeships separately (up to eight years). To develop the program, experts identified overlapping units from both qualifications, and then streamlined the units into a single pilot program. </w:t>
      </w:r>
    </w:p>
    <w:p w14:paraId="53C18F20" w14:textId="0A45989B" w:rsidR="001D6ADD" w:rsidRDefault="00EC537B" w:rsidP="00E90965">
      <w:pPr>
        <w:spacing w:before="120" w:after="360" w:line="276" w:lineRule="auto"/>
      </w:pPr>
      <w:r w:rsidRPr="00E5087D">
        <w:rPr>
          <w:noProof/>
        </w:rPr>
        <mc:AlternateContent>
          <mc:Choice Requires="wpg">
            <w:drawing>
              <wp:anchor distT="0" distB="0" distL="114300" distR="114300" simplePos="0" relativeHeight="251658287" behindDoc="1" locked="0" layoutInCell="1" allowOverlap="1" wp14:anchorId="56C6820B" wp14:editId="7ABFCD93">
                <wp:simplePos x="0" y="0"/>
                <wp:positionH relativeFrom="column">
                  <wp:posOffset>0</wp:posOffset>
                </wp:positionH>
                <wp:positionV relativeFrom="page">
                  <wp:posOffset>5706140</wp:posOffset>
                </wp:positionV>
                <wp:extent cx="5731510" cy="1084520"/>
                <wp:effectExtent l="0" t="0" r="21590" b="20955"/>
                <wp:wrapNone/>
                <wp:docPr id="87" name="Group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84520"/>
                          <a:chOff x="0" y="0"/>
                          <a:chExt cx="5880735" cy="1113559"/>
                        </a:xfrm>
                      </wpg:grpSpPr>
                      <wps:wsp>
                        <wps:cNvPr id="88" name="Rectangle: Top Corners Rounded 88"/>
                        <wps:cNvSpPr/>
                        <wps:spPr>
                          <a:xfrm>
                            <a:off x="0" y="0"/>
                            <a:ext cx="1736053"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474C06" w14:textId="225CBF4E" w:rsidR="00E90965" w:rsidRPr="006E07A7" w:rsidRDefault="00E90965" w:rsidP="00E90965">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3" name="Rectangle 183"/>
                        <wps:cNvSpPr/>
                        <wps:spPr>
                          <a:xfrm>
                            <a:off x="0" y="230592"/>
                            <a:ext cx="5880735" cy="882967"/>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DF630" w14:textId="670ED8ED" w:rsidR="00E90965" w:rsidRPr="00A90F3C" w:rsidRDefault="00E90965" w:rsidP="00656734">
                              <w:pPr>
                                <w:spacing w:after="0" w:line="240"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6C6820B" id="Group 87" o:spid="_x0000_s1064" alt="&quot;&quot;" style="position:absolute;margin-left:0;margin-top:449.3pt;width:451.3pt;height:85.4pt;z-index:-251658193;mso-position-vertical-relative:page" coordsize="58807,1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">
                <v:shape id="Rectangle: Top Corners Rounded 88" o:spid="_x0000_s1065"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" adj="-11796480,,5400" path="m38799,l1697254,v21428,,38799,17371,38799,38799l1736053,232792r,l,232792r,l,38799c,17371,17371,,38799,xe" fillcolor="#dae3f5" strokecolor="#dae3f5" strokeweight="1pt">
                  <v:stroke joinstyle="miter"/>
                  <v:formulas/>
                  <v:path arrowok="t" o:connecttype="custom" o:connectlocs="38799,0;1697254,0;1736053,38799;1736053,232792;1736053,232792;0,232792;0,232792;0,38799;38799,0" o:connectangles="0,0,0,0,0,0,0,0,0" textboxrect="0,0,1736053,232792"/>
                  <v:textbox inset=",0,,0">
                    <w:txbxContent>
                      <w:p w14:paraId="4D474C06" w14:textId="225CBF4E" w:rsidR="00E90965" w:rsidRPr="006E07A7" w:rsidRDefault="00E90965" w:rsidP="00E90965">
                        <w:pPr>
                          <w:spacing w:after="0" w:line="240" w:lineRule="auto"/>
                          <w:rPr>
                            <w:b/>
                            <w:bCs/>
                            <w14:numForm w14:val="lining"/>
                            <w14:numSpacing w14:val="proportional"/>
                          </w:rPr>
                        </w:pPr>
                      </w:p>
                    </w:txbxContent>
                  </v:textbox>
                </v:shape>
                <v:rect id="Rectangle 183" o:spid="_x0000_s1066" style="position:absolute;top:2305;width:58807;height:8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" fillcolor="#f2f2f2" strokecolor="#dae3f5" strokeweight="1pt">
                  <v:textbox inset="2mm,1mm,2mm,1mm">
                    <w:txbxContent>
                      <w:p w14:paraId="7B7DF630" w14:textId="670ED8ED" w:rsidR="00E90965" w:rsidRPr="00A90F3C" w:rsidRDefault="00E90965" w:rsidP="00656734">
                        <w:pPr>
                          <w:spacing w:after="0" w:line="240" w:lineRule="auto"/>
                          <w:ind w:left="113" w:right="113"/>
                          <w:rPr>
                            <w:lang w:val="en-US"/>
                          </w:rPr>
                        </w:pPr>
                      </w:p>
                    </w:txbxContent>
                  </v:textbox>
                </v:rect>
                <w10:wrap anchory="page"/>
              </v:group>
            </w:pict>
          </mc:Fallback>
        </mc:AlternateContent>
      </w:r>
      <w:r w:rsidR="001D6ADD" w:rsidRPr="00E5087D">
        <w:t xml:space="preserve">The automotive industry </w:t>
      </w:r>
      <w:r w:rsidR="00A501D6" w:rsidRPr="00E5087D">
        <w:t xml:space="preserve">may </w:t>
      </w:r>
      <w:r w:rsidR="001D6ADD" w:rsidRPr="00E5087D">
        <w:t xml:space="preserve">also benefit from dual trade apprenticeships as the industry goes through rapid technological advancement. BMW Group developed a dual apprenticeship program in 2021, offering students to undertake light vehicle mechanical technology and automotive electrical apprenticeships within four years. Under this program, apprentices will be trained on all types of vehicles, from petrol fuelled to </w:t>
      </w:r>
      <w:r w:rsidR="006C66CE">
        <w:rPr>
          <w:rFonts w:cs="Arial"/>
          <w14:numForm w14:val="lining"/>
          <w14:numSpacing w14:val="proportional"/>
        </w:rPr>
        <w:t>EV</w:t>
      </w:r>
      <w:r w:rsidR="001D6ADD" w:rsidRPr="00E5087D">
        <w:t>s.</w:t>
      </w:r>
    </w:p>
    <w:p w14:paraId="72D0A70B" w14:textId="21CAB17E" w:rsidR="00EC537B" w:rsidRPr="006E07A7" w:rsidRDefault="00EC537B" w:rsidP="00EC537B">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4.1</w:t>
      </w:r>
    </w:p>
    <w:p w14:paraId="3FA4EC0A" w14:textId="6ACDA976" w:rsidR="00EC537B" w:rsidRPr="00A90F3C" w:rsidRDefault="00EC537B" w:rsidP="00EC537B">
      <w:pPr>
        <w:spacing w:before="200" w:after="0" w:line="240" w:lineRule="auto"/>
        <w:ind w:left="170" w:right="113"/>
        <w:rPr>
          <w:lang w:val="en-US"/>
        </w:rPr>
      </w:pPr>
      <w:r w:rsidRPr="00065A48">
        <w:rPr>
          <w:lang w:val="en-US"/>
        </w:rPr>
        <w:t>Jobs and Skills Councils should explore and advise on mechanisms for dual-trade pathways that harness existing training packages and training capacity for emerging roles. Delivery models will need to be sustainable for employers, apprentices and RTOs, which may require funding changes by governments.</w:t>
      </w:r>
    </w:p>
    <w:p w14:paraId="18E0661A" w14:textId="2ADCB7EB" w:rsidR="00EC537B" w:rsidRPr="006E07A7" w:rsidRDefault="00EC537B" w:rsidP="00EC537B">
      <w:pPr>
        <w:spacing w:before="600" w:after="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88" behindDoc="1" locked="0" layoutInCell="1" allowOverlap="1" wp14:anchorId="6624D2DB" wp14:editId="2B3E67F4">
                <wp:simplePos x="0" y="0"/>
                <wp:positionH relativeFrom="column">
                  <wp:posOffset>0</wp:posOffset>
                </wp:positionH>
                <wp:positionV relativeFrom="page">
                  <wp:posOffset>7003312</wp:posOffset>
                </wp:positionV>
                <wp:extent cx="5731510" cy="822251"/>
                <wp:effectExtent l="0" t="0" r="21590" b="16510"/>
                <wp:wrapNone/>
                <wp:docPr id="1341085159" name="Group 1341085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22251"/>
                          <a:chOff x="0" y="0"/>
                          <a:chExt cx="5880735" cy="845709"/>
                        </a:xfrm>
                      </wpg:grpSpPr>
                      <wps:wsp>
                        <wps:cNvPr id="1341085160" name="Rectangle: Top Corners Rounded 1341085160"/>
                        <wps:cNvSpPr/>
                        <wps:spPr>
                          <a:xfrm>
                            <a:off x="0" y="0"/>
                            <a:ext cx="1736053"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10E99F" w14:textId="38E734C6" w:rsidR="00D579C6" w:rsidRPr="006E07A7" w:rsidRDefault="00D579C6" w:rsidP="00D579C6">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61" name="Rectangle 1341085161"/>
                        <wps:cNvSpPr/>
                        <wps:spPr>
                          <a:xfrm>
                            <a:off x="0" y="230539"/>
                            <a:ext cx="5880735" cy="615170"/>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7D3429" w14:textId="339EC4E8" w:rsidR="00D579C6" w:rsidRPr="00A90F3C" w:rsidRDefault="00D579C6" w:rsidP="000819B2">
                              <w:pPr>
                                <w:spacing w:after="0" w:line="240"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624D2DB" id="Group 1341085159" o:spid="_x0000_s1067" alt="&quot;&quot;" style="position:absolute;left:0;text-align:left;margin-left:0;margin-top:551.45pt;width:451.3pt;height:64.75pt;z-index:-251658192;mso-position-vertical-relative:page" coordsize="58807,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">
                <v:shape id="Rectangle: Top Corners Rounded 1341085160" o:spid="_x0000_s1068"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" adj="-11796480,,5400" path="m38799,l1697254,v21428,,38799,17371,38799,38799l1736053,232792r,l,232792r,l,38799c,17371,17371,,38799,xe" fillcolor="#dae3f5" strokecolor="#dae3f5" strokeweight="1pt">
                  <v:stroke joinstyle="miter"/>
                  <v:formulas/>
                  <v:path arrowok="t" o:connecttype="custom" o:connectlocs="38799,0;1697254,0;1736053,38799;1736053,232792;1736053,232792;0,232792;0,232792;0,38799;38799,0" o:connectangles="0,0,0,0,0,0,0,0,0" textboxrect="0,0,1736053,232792"/>
                  <v:textbox inset=",0,,0">
                    <w:txbxContent>
                      <w:p w14:paraId="1710E99F" w14:textId="38E734C6" w:rsidR="00D579C6" w:rsidRPr="006E07A7" w:rsidRDefault="00D579C6" w:rsidP="00D579C6">
                        <w:pPr>
                          <w:spacing w:after="0" w:line="240" w:lineRule="auto"/>
                          <w:rPr>
                            <w:b/>
                            <w:bCs/>
                            <w14:numForm w14:val="lining"/>
                            <w14:numSpacing w14:val="proportional"/>
                          </w:rPr>
                        </w:pPr>
                      </w:p>
                    </w:txbxContent>
                  </v:textbox>
                </v:shape>
                <v:rect id="Rectangle 1341085161" o:spid="_x0000_s1069" style="position:absolute;top:2305;width:58807;height:6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" fillcolor="#f2f2f2" strokecolor="#dae3f5" strokeweight="1pt">
                  <v:textbox inset="2mm,1mm,2mm,1mm">
                    <w:txbxContent>
                      <w:p w14:paraId="527D3429" w14:textId="339EC4E8" w:rsidR="00D579C6" w:rsidRPr="00A90F3C" w:rsidRDefault="00D579C6" w:rsidP="000819B2">
                        <w:pPr>
                          <w:spacing w:after="0" w:line="240" w:lineRule="auto"/>
                          <w:ind w:left="113" w:right="113"/>
                          <w:rPr>
                            <w:lang w:val="en-US"/>
                          </w:rPr>
                        </w:pPr>
                      </w:p>
                    </w:txbxContent>
                  </v:textbox>
                </v:rect>
                <w10:wrap anchory="page"/>
              </v:group>
            </w:pict>
          </mc:Fallback>
        </mc:AlternateContent>
      </w:r>
      <w:r w:rsidRPr="006E07A7">
        <w:rPr>
          <w:b/>
          <w:bCs/>
          <w14:numForm w14:val="lining"/>
          <w14:numSpacing w14:val="proportional"/>
        </w:rPr>
        <w:t xml:space="preserve">Recommendation </w:t>
      </w:r>
      <w:r>
        <w:rPr>
          <w:b/>
          <w:bCs/>
          <w14:numForm w14:val="lining"/>
          <w14:numSpacing w14:val="proportional"/>
        </w:rPr>
        <w:t>4.2</w:t>
      </w:r>
    </w:p>
    <w:p w14:paraId="6CF4DA83" w14:textId="36924A46" w:rsidR="00EC537B" w:rsidRPr="00A90F3C" w:rsidRDefault="00EC537B" w:rsidP="00EC537B">
      <w:pPr>
        <w:spacing w:before="200" w:after="0" w:line="240" w:lineRule="auto"/>
        <w:ind w:left="170" w:right="113"/>
        <w:rPr>
          <w:lang w:val="en-US"/>
        </w:rPr>
      </w:pPr>
      <w:r w:rsidRPr="007B1CD5">
        <w:rPr>
          <w:lang w:val="en-US"/>
        </w:rPr>
        <w:t>Explore funding, incentives and support mechanisms for the tertiary sector to develop, and students to complete, higher and dual sector apprenticeships in clean energy.</w:t>
      </w:r>
    </w:p>
    <w:p w14:paraId="5B61AD6E" w14:textId="392DBDF2" w:rsidR="00E90965" w:rsidRPr="00E5087D" w:rsidRDefault="00E90965">
      <w:pPr>
        <w:rPr>
          <w:rFonts w:eastAsiaTheme="majorEastAsia" w:cstheme="majorBidi"/>
          <w:b/>
          <w:sz w:val="32"/>
          <w:szCs w:val="24"/>
        </w:rPr>
      </w:pPr>
      <w:r w:rsidRPr="00E5087D">
        <w:br w:type="page"/>
      </w:r>
    </w:p>
    <w:p w14:paraId="49A7D5D0" w14:textId="434F7C55" w:rsidR="00EE37C8" w:rsidRPr="00E5087D" w:rsidRDefault="00EE37C8" w:rsidP="00EE37C8">
      <w:pPr>
        <w:pStyle w:val="Heading3"/>
      </w:pPr>
      <w:r w:rsidRPr="00E5087D">
        <w:lastRenderedPageBreak/>
        <w:t>Electives and top-up skilling</w:t>
      </w:r>
    </w:p>
    <w:p w14:paraId="46C275C3" w14:textId="77777777" w:rsidR="00EE37C8" w:rsidRPr="00E5087D" w:rsidRDefault="00EE37C8" w:rsidP="00EE37C8">
      <w:r w:rsidRPr="00E5087D">
        <w:t xml:space="preserve">Clean energy top-ups and electives, including post-trade and post-graduate courses, allow workers to build on their broad-based qualifications, gain specific clean energy skills and specialise. </w:t>
      </w:r>
    </w:p>
    <w:p w14:paraId="2D2C9494" w14:textId="77777777" w:rsidR="00EE37C8" w:rsidRPr="00E5087D" w:rsidRDefault="00EE37C8" w:rsidP="00EE37C8">
      <w:pPr>
        <w:spacing w:after="120"/>
        <w:rPr>
          <w:b/>
          <w:bCs/>
          <w:color w:val="0C6DAD" w:themeColor="accent3" w:themeShade="BF"/>
          <w:sz w:val="24"/>
          <w:szCs w:val="24"/>
        </w:rPr>
      </w:pPr>
      <w:r w:rsidRPr="00E5087D">
        <w:rPr>
          <w:b/>
          <w:bCs/>
          <w:color w:val="0C6DAD" w:themeColor="accent3" w:themeShade="BF"/>
          <w:sz w:val="24"/>
          <w:szCs w:val="24"/>
        </w:rPr>
        <w:t>Electives</w:t>
      </w:r>
    </w:p>
    <w:p w14:paraId="224CCA55" w14:textId="48553F51" w:rsidR="00EE37C8" w:rsidRPr="00E5087D" w:rsidRDefault="00EE37C8" w:rsidP="00EE37C8">
      <w:r>
        <w:t xml:space="preserve">Training package electives are nationally recognised and can be delivered by many RTOs. Several training package electives are already available for electrical apprentices to gain skills in areas like solar and battery installation during their apprenticeship. However, the availability of these electives is not always widespread, particularly for emerging technologies. Table </w:t>
      </w:r>
      <w:r w:rsidR="004A3CD5">
        <w:t>4.3</w:t>
      </w:r>
      <w:r>
        <w:t xml:space="preserve"> lists a wide range of electives in the Electrotechnology Training Package that are particularly relevant to </w:t>
      </w:r>
      <w:r w:rsidRPr="008D2C31">
        <w:t xml:space="preserve">renewables (a complete list is at Attachment </w:t>
      </w:r>
      <w:r w:rsidR="00590C5A">
        <w:t>B</w:t>
      </w:r>
      <w:r w:rsidRPr="008D2C31">
        <w:t>).</w:t>
      </w:r>
    </w:p>
    <w:p w14:paraId="76FAED2D" w14:textId="69E0C072" w:rsidR="00EE37C8" w:rsidRPr="00E5087D" w:rsidRDefault="00EE37C8" w:rsidP="00EE37C8">
      <w:pPr>
        <w:spacing w:after="80"/>
        <w:rPr>
          <w:b/>
          <w:bCs/>
        </w:rPr>
      </w:pPr>
      <w:r w:rsidRPr="00E5087D">
        <w:rPr>
          <w:b/>
          <w:bCs/>
        </w:rPr>
        <w:t xml:space="preserve">Table </w:t>
      </w:r>
      <w:r w:rsidR="00691A79">
        <w:rPr>
          <w:b/>
          <w:bCs/>
        </w:rPr>
        <w:t>4.3</w:t>
      </w:r>
      <w:r w:rsidR="00323AA8">
        <w:rPr>
          <w:b/>
          <w:bCs/>
        </w:rPr>
        <w:t>.</w:t>
      </w:r>
      <w:r w:rsidRPr="00E5087D">
        <w:rPr>
          <w:b/>
          <w:bCs/>
        </w:rPr>
        <w:t xml:space="preserve"> Electrician Training Package electives relevant to renewables, 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1"/>
        <w:gridCol w:w="751"/>
        <w:gridCol w:w="1425"/>
        <w:gridCol w:w="1789"/>
      </w:tblGrid>
      <w:tr w:rsidR="00EE37C8" w:rsidRPr="00E5087D" w14:paraId="09E717C3" w14:textId="77777777" w:rsidTr="00176C3C">
        <w:trPr>
          <w:trHeight w:val="315"/>
        </w:trPr>
        <w:tc>
          <w:tcPr>
            <w:tcW w:w="5061" w:type="dxa"/>
            <w:tcBorders>
              <w:top w:val="single" w:sz="4" w:space="0" w:color="auto"/>
              <w:bottom w:val="single" w:sz="4" w:space="0" w:color="auto"/>
            </w:tcBorders>
            <w:shd w:val="clear" w:color="auto" w:fill="DAE3F5"/>
            <w:noWrap/>
            <w:vAlign w:val="center"/>
            <w:hideMark/>
          </w:tcPr>
          <w:p w14:paraId="1369D06F" w14:textId="77777777" w:rsidR="00EE37C8" w:rsidRPr="00E5087D" w:rsidRDefault="00EE37C8">
            <w:pPr>
              <w:spacing w:before="60" w:after="60"/>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Training Package elective</w:t>
            </w:r>
          </w:p>
        </w:tc>
        <w:tc>
          <w:tcPr>
            <w:tcW w:w="751" w:type="dxa"/>
            <w:tcBorders>
              <w:top w:val="single" w:sz="4" w:space="0" w:color="auto"/>
              <w:bottom w:val="single" w:sz="4" w:space="0" w:color="auto"/>
            </w:tcBorders>
            <w:shd w:val="clear" w:color="auto" w:fill="DAE3F5"/>
            <w:noWrap/>
            <w:vAlign w:val="center"/>
            <w:hideMark/>
          </w:tcPr>
          <w:p w14:paraId="5D6DFA2E" w14:textId="77777777" w:rsidR="00EE37C8" w:rsidRPr="00E5087D" w:rsidRDefault="00EE37C8">
            <w:pPr>
              <w:spacing w:before="60" w:after="60"/>
              <w:jc w:val="center"/>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RTOs</w:t>
            </w:r>
          </w:p>
        </w:tc>
        <w:tc>
          <w:tcPr>
            <w:tcW w:w="1425" w:type="dxa"/>
            <w:tcBorders>
              <w:top w:val="single" w:sz="4" w:space="0" w:color="auto"/>
              <w:bottom w:val="single" w:sz="4" w:space="0" w:color="auto"/>
            </w:tcBorders>
            <w:shd w:val="clear" w:color="auto" w:fill="DAE3F5"/>
            <w:noWrap/>
            <w:vAlign w:val="center"/>
            <w:hideMark/>
          </w:tcPr>
          <w:p w14:paraId="5F2397F7" w14:textId="77777777" w:rsidR="00EE37C8" w:rsidRPr="00E5087D" w:rsidRDefault="00EE37C8">
            <w:pPr>
              <w:spacing w:before="60" w:after="60"/>
              <w:jc w:val="right"/>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Enrolments</w:t>
            </w:r>
          </w:p>
        </w:tc>
        <w:tc>
          <w:tcPr>
            <w:tcW w:w="1789" w:type="dxa"/>
            <w:tcBorders>
              <w:top w:val="single" w:sz="4" w:space="0" w:color="auto"/>
              <w:bottom w:val="single" w:sz="4" w:space="0" w:color="auto"/>
            </w:tcBorders>
            <w:shd w:val="clear" w:color="auto" w:fill="DAE3F5"/>
            <w:noWrap/>
            <w:hideMark/>
          </w:tcPr>
          <w:p w14:paraId="7389D617" w14:textId="77777777" w:rsidR="00EE37C8" w:rsidRPr="00E5087D" w:rsidRDefault="00EE37C8">
            <w:pPr>
              <w:spacing w:before="60" w:after="60"/>
              <w:rPr>
                <w:b/>
                <w:bCs/>
                <w:sz w:val="20"/>
                <w:szCs w:val="20"/>
                <w14:ligatures w14:val="standard"/>
                <w14:numForm w14:val="lining"/>
                <w14:numSpacing w14:val="proportional"/>
              </w:rPr>
            </w:pPr>
            <w:r w:rsidRPr="00E5087D">
              <w:rPr>
                <w:b/>
                <w:bCs/>
                <w:sz w:val="20"/>
                <w:szCs w:val="20"/>
                <w14:ligatures w14:val="standard"/>
                <w14:numForm w14:val="lining"/>
                <w14:numSpacing w14:val="proportional"/>
              </w:rPr>
              <w:t>Superseded</w:t>
            </w:r>
          </w:p>
        </w:tc>
      </w:tr>
      <w:tr w:rsidR="00EE37C8" w:rsidRPr="00E5087D" w14:paraId="05BE3794" w14:textId="77777777">
        <w:trPr>
          <w:trHeight w:val="315"/>
        </w:trPr>
        <w:tc>
          <w:tcPr>
            <w:tcW w:w="5061" w:type="dxa"/>
            <w:tcBorders>
              <w:top w:val="single" w:sz="4" w:space="0" w:color="auto"/>
            </w:tcBorders>
            <w:shd w:val="clear" w:color="auto" w:fill="F2F2F2"/>
            <w:noWrap/>
            <w:vAlign w:val="center"/>
            <w:hideMark/>
          </w:tcPr>
          <w:p w14:paraId="01873A6F"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UEEEL0069 - Select and arrange equipment for special LV electrical installations</w:t>
            </w:r>
          </w:p>
        </w:tc>
        <w:tc>
          <w:tcPr>
            <w:tcW w:w="751" w:type="dxa"/>
            <w:tcBorders>
              <w:top w:val="single" w:sz="4" w:space="0" w:color="auto"/>
            </w:tcBorders>
            <w:shd w:val="clear" w:color="auto" w:fill="F2F2F2"/>
            <w:noWrap/>
            <w:vAlign w:val="center"/>
            <w:hideMark/>
          </w:tcPr>
          <w:p w14:paraId="3BD95658" w14:textId="0960976D" w:rsidR="00EE37C8" w:rsidRPr="00E5087D" w:rsidRDefault="00B84774">
            <w:pPr>
              <w:spacing w:beforeLines="30" w:before="72" w:afterLines="30" w:after="72"/>
              <w:jc w:val="center"/>
              <w:rPr>
                <w:rFonts w:asciiTheme="minorHAnsi" w:hAnsiTheme="minorHAnsi" w:cstheme="minorHAnsi"/>
                <w:sz w:val="18"/>
                <w:szCs w:val="18"/>
              </w:rPr>
            </w:pPr>
            <w:r>
              <w:rPr>
                <w:rFonts w:asciiTheme="minorHAnsi" w:hAnsiTheme="minorHAnsi" w:cstheme="minorHAnsi"/>
                <w:sz w:val="18"/>
                <w:szCs w:val="18"/>
              </w:rPr>
              <w:t>70</w:t>
            </w:r>
          </w:p>
        </w:tc>
        <w:tc>
          <w:tcPr>
            <w:tcW w:w="1425" w:type="dxa"/>
            <w:tcBorders>
              <w:top w:val="single" w:sz="4" w:space="0" w:color="auto"/>
            </w:tcBorders>
            <w:shd w:val="clear" w:color="auto" w:fill="F2F2F2"/>
            <w:noWrap/>
            <w:vAlign w:val="center"/>
            <w:hideMark/>
          </w:tcPr>
          <w:p w14:paraId="1BD23348" w14:textId="77777777" w:rsidR="00EE37C8" w:rsidRPr="00E5087D" w:rsidRDefault="00EE37C8">
            <w:pPr>
              <w:spacing w:beforeLines="30" w:before="72" w:afterLines="30" w:after="72"/>
              <w:jc w:val="right"/>
              <w:rPr>
                <w:rFonts w:asciiTheme="minorHAnsi" w:hAnsiTheme="minorHAnsi" w:cstheme="minorHAnsi"/>
                <w:sz w:val="18"/>
                <w:szCs w:val="18"/>
              </w:rPr>
            </w:pPr>
            <w:r w:rsidRPr="00E5087D">
              <w:rPr>
                <w:rFonts w:asciiTheme="minorHAnsi" w:hAnsiTheme="minorHAnsi" w:cstheme="minorHAnsi"/>
                <w:sz w:val="18"/>
                <w:szCs w:val="18"/>
              </w:rPr>
              <w:t>19</w:t>
            </w:r>
          </w:p>
        </w:tc>
        <w:tc>
          <w:tcPr>
            <w:tcW w:w="1789" w:type="dxa"/>
            <w:tcBorders>
              <w:top w:val="single" w:sz="4" w:space="0" w:color="auto"/>
            </w:tcBorders>
            <w:shd w:val="clear" w:color="auto" w:fill="F2F2F2"/>
            <w:noWrap/>
            <w:vAlign w:val="center"/>
            <w:hideMark/>
          </w:tcPr>
          <w:p w14:paraId="6A0610C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UEENEEG120A</w:t>
            </w:r>
          </w:p>
        </w:tc>
      </w:tr>
      <w:tr w:rsidR="00EE37C8" w:rsidRPr="00E5087D" w14:paraId="2A0588DF" w14:textId="77777777">
        <w:trPr>
          <w:trHeight w:val="315"/>
        </w:trPr>
        <w:tc>
          <w:tcPr>
            <w:tcW w:w="5061" w:type="dxa"/>
            <w:noWrap/>
            <w:vAlign w:val="center"/>
            <w:hideMark/>
          </w:tcPr>
          <w:p w14:paraId="6D66CC5B"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UEERE0081- Install photovoltaic systems to power conversion equipment</w:t>
            </w:r>
          </w:p>
        </w:tc>
        <w:tc>
          <w:tcPr>
            <w:tcW w:w="751" w:type="dxa"/>
            <w:noWrap/>
            <w:vAlign w:val="center"/>
            <w:hideMark/>
          </w:tcPr>
          <w:p w14:paraId="1BBAA39D" w14:textId="37D90E39" w:rsidR="00EE37C8" w:rsidRPr="005F5E1E" w:rsidRDefault="00EE37C8">
            <w:pPr>
              <w:spacing w:beforeLines="30" w:before="72" w:afterLines="30" w:after="72"/>
              <w:jc w:val="center"/>
              <w:rPr>
                <w:rFonts w:asciiTheme="minorHAnsi" w:hAnsiTheme="minorHAnsi" w:cstheme="minorHAnsi"/>
                <w:sz w:val="18"/>
                <w:szCs w:val="18"/>
              </w:rPr>
            </w:pPr>
            <w:r w:rsidRPr="005F5E1E">
              <w:rPr>
                <w:rFonts w:asciiTheme="minorHAnsi" w:hAnsiTheme="minorHAnsi" w:cstheme="minorHAnsi"/>
                <w:sz w:val="18"/>
                <w:szCs w:val="18"/>
              </w:rPr>
              <w:t>7</w:t>
            </w:r>
            <w:r w:rsidR="005F5E1E" w:rsidRPr="005F5E1E">
              <w:rPr>
                <w:rFonts w:asciiTheme="minorHAnsi" w:hAnsiTheme="minorHAnsi" w:cstheme="minorHAnsi"/>
                <w:sz w:val="18"/>
                <w:szCs w:val="18"/>
              </w:rPr>
              <w:t>2</w:t>
            </w:r>
          </w:p>
        </w:tc>
        <w:tc>
          <w:tcPr>
            <w:tcW w:w="1425" w:type="dxa"/>
            <w:noWrap/>
            <w:vAlign w:val="center"/>
            <w:hideMark/>
          </w:tcPr>
          <w:p w14:paraId="62238EE2" w14:textId="3A9EA623" w:rsidR="00EE37C8" w:rsidRPr="005F5E1E" w:rsidRDefault="00EE37C8">
            <w:pPr>
              <w:spacing w:beforeLines="30" w:before="72" w:afterLines="30" w:after="72"/>
              <w:jc w:val="right"/>
              <w:rPr>
                <w:rFonts w:asciiTheme="minorHAnsi" w:hAnsiTheme="minorHAnsi" w:cstheme="minorHAnsi"/>
                <w:sz w:val="18"/>
                <w:szCs w:val="18"/>
              </w:rPr>
            </w:pPr>
            <w:r w:rsidRPr="005F5E1E">
              <w:rPr>
                <w:rFonts w:asciiTheme="minorHAnsi" w:hAnsiTheme="minorHAnsi" w:cstheme="minorHAnsi"/>
                <w:sz w:val="18"/>
                <w:szCs w:val="18"/>
              </w:rPr>
              <w:t>1,</w:t>
            </w:r>
            <w:r w:rsidR="005F5E1E" w:rsidRPr="005F5E1E">
              <w:rPr>
                <w:rFonts w:asciiTheme="minorHAnsi" w:hAnsiTheme="minorHAnsi" w:cstheme="minorHAnsi"/>
                <w:sz w:val="18"/>
                <w:szCs w:val="18"/>
              </w:rPr>
              <w:t>766</w:t>
            </w:r>
            <w:r w:rsidRPr="005F5E1E">
              <w:rPr>
                <w:rFonts w:asciiTheme="minorHAnsi" w:hAnsiTheme="minorHAnsi" w:cstheme="minorHAnsi"/>
                <w:sz w:val="18"/>
                <w:szCs w:val="18"/>
              </w:rPr>
              <w:t>*</w:t>
            </w:r>
          </w:p>
        </w:tc>
        <w:tc>
          <w:tcPr>
            <w:tcW w:w="1789" w:type="dxa"/>
            <w:noWrap/>
            <w:vAlign w:val="center"/>
            <w:hideMark/>
          </w:tcPr>
          <w:p w14:paraId="092D4D92"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UEERE0016</w:t>
            </w:r>
          </w:p>
        </w:tc>
      </w:tr>
      <w:tr w:rsidR="00EE37C8" w:rsidRPr="00E5087D" w14:paraId="0360B403" w14:textId="77777777">
        <w:trPr>
          <w:trHeight w:val="315"/>
        </w:trPr>
        <w:tc>
          <w:tcPr>
            <w:tcW w:w="5061" w:type="dxa"/>
            <w:shd w:val="clear" w:color="auto" w:fill="F2F2F2"/>
            <w:noWrap/>
            <w:vAlign w:val="center"/>
            <w:hideMark/>
          </w:tcPr>
          <w:p w14:paraId="31609AA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UEEEC0075- Troubleshoot single phase input d.c power supplies</w:t>
            </w:r>
          </w:p>
        </w:tc>
        <w:tc>
          <w:tcPr>
            <w:tcW w:w="751" w:type="dxa"/>
            <w:shd w:val="clear" w:color="auto" w:fill="F2F2F2"/>
            <w:noWrap/>
            <w:vAlign w:val="center"/>
            <w:hideMark/>
          </w:tcPr>
          <w:p w14:paraId="6219784B" w14:textId="567F8FBA" w:rsidR="00EE37C8" w:rsidRPr="005F5E1E" w:rsidRDefault="00EE37C8">
            <w:pPr>
              <w:spacing w:beforeLines="30" w:before="72" w:afterLines="30" w:after="72"/>
              <w:jc w:val="center"/>
              <w:rPr>
                <w:rFonts w:asciiTheme="minorHAnsi" w:hAnsiTheme="minorHAnsi" w:cstheme="minorHAnsi"/>
                <w:sz w:val="18"/>
                <w:szCs w:val="18"/>
              </w:rPr>
            </w:pPr>
            <w:r w:rsidRPr="005F5E1E">
              <w:rPr>
                <w:rFonts w:asciiTheme="minorHAnsi" w:hAnsiTheme="minorHAnsi" w:cstheme="minorHAnsi"/>
                <w:sz w:val="18"/>
                <w:szCs w:val="18"/>
              </w:rPr>
              <w:t>8</w:t>
            </w:r>
            <w:r w:rsidR="005F5E1E" w:rsidRPr="005F5E1E">
              <w:rPr>
                <w:rFonts w:asciiTheme="minorHAnsi" w:hAnsiTheme="minorHAnsi" w:cstheme="minorHAnsi"/>
                <w:sz w:val="18"/>
                <w:szCs w:val="18"/>
              </w:rPr>
              <w:t>4</w:t>
            </w:r>
          </w:p>
        </w:tc>
        <w:tc>
          <w:tcPr>
            <w:tcW w:w="1425" w:type="dxa"/>
            <w:shd w:val="clear" w:color="auto" w:fill="F2F2F2"/>
            <w:noWrap/>
            <w:vAlign w:val="center"/>
            <w:hideMark/>
          </w:tcPr>
          <w:p w14:paraId="0628B29C" w14:textId="2BF439B2" w:rsidR="00EE37C8" w:rsidRPr="005F5E1E" w:rsidRDefault="00EE37C8">
            <w:pPr>
              <w:spacing w:beforeLines="30" w:before="72" w:afterLines="30" w:after="72"/>
              <w:jc w:val="right"/>
              <w:rPr>
                <w:rFonts w:asciiTheme="minorHAnsi" w:hAnsiTheme="minorHAnsi" w:cstheme="minorHAnsi"/>
                <w:sz w:val="18"/>
                <w:szCs w:val="18"/>
              </w:rPr>
            </w:pPr>
            <w:r w:rsidRPr="005F5E1E">
              <w:rPr>
                <w:rFonts w:asciiTheme="minorHAnsi" w:hAnsiTheme="minorHAnsi" w:cstheme="minorHAnsi"/>
                <w:sz w:val="18"/>
                <w:szCs w:val="18"/>
              </w:rPr>
              <w:t>1</w:t>
            </w:r>
            <w:r w:rsidR="005F5E1E" w:rsidRPr="005F5E1E">
              <w:rPr>
                <w:rFonts w:asciiTheme="minorHAnsi" w:hAnsiTheme="minorHAnsi" w:cstheme="minorHAnsi"/>
                <w:sz w:val="18"/>
                <w:szCs w:val="18"/>
              </w:rPr>
              <w:t>91</w:t>
            </w:r>
          </w:p>
        </w:tc>
        <w:tc>
          <w:tcPr>
            <w:tcW w:w="1789" w:type="dxa"/>
            <w:shd w:val="clear" w:color="auto" w:fill="F2F2F2"/>
            <w:noWrap/>
            <w:vAlign w:val="center"/>
            <w:hideMark/>
          </w:tcPr>
          <w:p w14:paraId="6258CA9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UEENEEH111A</w:t>
            </w:r>
          </w:p>
        </w:tc>
      </w:tr>
      <w:tr w:rsidR="00EE37C8" w:rsidRPr="00E5087D" w14:paraId="422F1399" w14:textId="77777777">
        <w:trPr>
          <w:trHeight w:val="315"/>
        </w:trPr>
        <w:tc>
          <w:tcPr>
            <w:tcW w:w="5061" w:type="dxa"/>
            <w:shd w:val="clear" w:color="auto" w:fill="FFFFFF" w:themeFill="background1"/>
            <w:noWrap/>
            <w:vAlign w:val="center"/>
            <w:hideMark/>
          </w:tcPr>
          <w:p w14:paraId="2FE69090"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UEEAS0007- Assemble, mount and connect control gear and switchgear</w:t>
            </w:r>
          </w:p>
        </w:tc>
        <w:tc>
          <w:tcPr>
            <w:tcW w:w="751" w:type="dxa"/>
            <w:shd w:val="clear" w:color="auto" w:fill="FFFFFF" w:themeFill="background1"/>
            <w:noWrap/>
            <w:vAlign w:val="center"/>
            <w:hideMark/>
          </w:tcPr>
          <w:p w14:paraId="3B44A401" w14:textId="408BAAAB" w:rsidR="00EE37C8" w:rsidRPr="005F5E1E" w:rsidRDefault="00EE37C8">
            <w:pPr>
              <w:spacing w:beforeLines="30" w:before="72" w:afterLines="30" w:after="72"/>
              <w:jc w:val="center"/>
              <w:rPr>
                <w:rFonts w:asciiTheme="minorHAnsi" w:hAnsiTheme="minorHAnsi" w:cstheme="minorHAnsi"/>
                <w:sz w:val="18"/>
                <w:szCs w:val="18"/>
              </w:rPr>
            </w:pPr>
            <w:r w:rsidRPr="005F5E1E">
              <w:rPr>
                <w:rFonts w:asciiTheme="minorHAnsi" w:hAnsiTheme="minorHAnsi" w:cstheme="minorHAnsi"/>
                <w:sz w:val="18"/>
                <w:szCs w:val="18"/>
              </w:rPr>
              <w:t>6</w:t>
            </w:r>
            <w:r w:rsidR="005F5E1E" w:rsidRPr="005F5E1E">
              <w:rPr>
                <w:rFonts w:asciiTheme="minorHAnsi" w:hAnsiTheme="minorHAnsi" w:cstheme="minorHAnsi"/>
                <w:sz w:val="18"/>
                <w:szCs w:val="18"/>
              </w:rPr>
              <w:t>8</w:t>
            </w:r>
          </w:p>
        </w:tc>
        <w:tc>
          <w:tcPr>
            <w:tcW w:w="1425" w:type="dxa"/>
            <w:shd w:val="clear" w:color="auto" w:fill="FFFFFF" w:themeFill="background1"/>
            <w:noWrap/>
            <w:vAlign w:val="center"/>
            <w:hideMark/>
          </w:tcPr>
          <w:p w14:paraId="53547CF9" w14:textId="77777777" w:rsidR="00EE37C8" w:rsidRPr="005F5E1E" w:rsidRDefault="00EE37C8">
            <w:pPr>
              <w:spacing w:beforeLines="30" w:before="72" w:afterLines="30" w:after="72"/>
              <w:jc w:val="right"/>
              <w:rPr>
                <w:rFonts w:asciiTheme="minorHAnsi" w:hAnsiTheme="minorHAnsi" w:cstheme="minorHAnsi"/>
                <w:sz w:val="18"/>
                <w:szCs w:val="18"/>
              </w:rPr>
            </w:pPr>
            <w:r w:rsidRPr="005F5E1E">
              <w:rPr>
                <w:rFonts w:asciiTheme="minorHAnsi" w:hAnsiTheme="minorHAnsi" w:cstheme="minorHAnsi"/>
                <w:sz w:val="18"/>
                <w:szCs w:val="18"/>
              </w:rPr>
              <w:t>36</w:t>
            </w:r>
          </w:p>
        </w:tc>
        <w:tc>
          <w:tcPr>
            <w:tcW w:w="1789" w:type="dxa"/>
            <w:shd w:val="clear" w:color="auto" w:fill="FFFFFF" w:themeFill="background1"/>
            <w:noWrap/>
            <w:vAlign w:val="center"/>
            <w:hideMark/>
          </w:tcPr>
          <w:p w14:paraId="6B4B48A7"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UEENEEA110A</w:t>
            </w:r>
          </w:p>
        </w:tc>
      </w:tr>
      <w:tr w:rsidR="00EE37C8" w:rsidRPr="00E5087D" w14:paraId="5941D2E1" w14:textId="77777777">
        <w:trPr>
          <w:trHeight w:val="315"/>
        </w:trPr>
        <w:tc>
          <w:tcPr>
            <w:tcW w:w="5061" w:type="dxa"/>
            <w:shd w:val="clear" w:color="auto" w:fill="F2F2F2"/>
            <w:noWrap/>
            <w:vAlign w:val="center"/>
            <w:hideMark/>
          </w:tcPr>
          <w:p w14:paraId="230FA1D6"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UEEEL0055 - Overhaul and repair major switchgear and control gear</w:t>
            </w:r>
          </w:p>
        </w:tc>
        <w:tc>
          <w:tcPr>
            <w:tcW w:w="751" w:type="dxa"/>
            <w:shd w:val="clear" w:color="auto" w:fill="F2F2F2"/>
            <w:noWrap/>
            <w:vAlign w:val="center"/>
            <w:hideMark/>
          </w:tcPr>
          <w:p w14:paraId="29C04CA2" w14:textId="45C0B84B" w:rsidR="00EE37C8" w:rsidRPr="00E81919" w:rsidRDefault="00EE37C8">
            <w:pPr>
              <w:spacing w:beforeLines="30" w:before="72" w:afterLines="30" w:after="72"/>
              <w:jc w:val="center"/>
              <w:rPr>
                <w:rFonts w:asciiTheme="minorHAnsi" w:hAnsiTheme="minorHAnsi" w:cstheme="minorHAnsi"/>
                <w:sz w:val="18"/>
                <w:szCs w:val="18"/>
              </w:rPr>
            </w:pPr>
            <w:r w:rsidRPr="00E81919">
              <w:rPr>
                <w:rFonts w:asciiTheme="minorHAnsi" w:hAnsiTheme="minorHAnsi" w:cstheme="minorHAnsi"/>
                <w:sz w:val="18"/>
                <w:szCs w:val="18"/>
              </w:rPr>
              <w:t>6</w:t>
            </w:r>
            <w:r w:rsidR="00E81919" w:rsidRPr="00E81919">
              <w:rPr>
                <w:rFonts w:asciiTheme="minorHAnsi" w:hAnsiTheme="minorHAnsi" w:cstheme="minorHAnsi"/>
                <w:sz w:val="18"/>
                <w:szCs w:val="18"/>
              </w:rPr>
              <w:t>8</w:t>
            </w:r>
          </w:p>
        </w:tc>
        <w:tc>
          <w:tcPr>
            <w:tcW w:w="1425" w:type="dxa"/>
            <w:shd w:val="clear" w:color="auto" w:fill="F2F2F2"/>
            <w:noWrap/>
            <w:vAlign w:val="center"/>
            <w:hideMark/>
          </w:tcPr>
          <w:p w14:paraId="5148BE0A" w14:textId="304BFAFB" w:rsidR="00EE37C8" w:rsidRPr="00E81919" w:rsidRDefault="00E81919">
            <w:pPr>
              <w:spacing w:beforeLines="30" w:before="72" w:afterLines="30" w:after="72"/>
              <w:jc w:val="right"/>
              <w:rPr>
                <w:rFonts w:asciiTheme="minorHAnsi" w:hAnsiTheme="minorHAnsi" w:cstheme="minorHAnsi"/>
                <w:sz w:val="18"/>
                <w:szCs w:val="18"/>
              </w:rPr>
            </w:pPr>
            <w:r w:rsidRPr="00E81919">
              <w:rPr>
                <w:rFonts w:asciiTheme="minorHAnsi" w:hAnsiTheme="minorHAnsi" w:cstheme="minorHAnsi"/>
                <w:sz w:val="18"/>
                <w:szCs w:val="18"/>
              </w:rPr>
              <w:t>11</w:t>
            </w:r>
            <w:r w:rsidR="00EE37C8" w:rsidRPr="00E81919">
              <w:rPr>
                <w:rFonts w:asciiTheme="minorHAnsi" w:hAnsiTheme="minorHAnsi" w:cstheme="minorHAnsi"/>
                <w:sz w:val="18"/>
                <w:szCs w:val="18"/>
              </w:rPr>
              <w:t>2*</w:t>
            </w:r>
          </w:p>
        </w:tc>
        <w:tc>
          <w:tcPr>
            <w:tcW w:w="1789" w:type="dxa"/>
            <w:shd w:val="clear" w:color="auto" w:fill="F2F2F2"/>
            <w:noWrap/>
            <w:vAlign w:val="center"/>
            <w:hideMark/>
          </w:tcPr>
          <w:p w14:paraId="6EAF61A4"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UEENEEG129A</w:t>
            </w:r>
          </w:p>
        </w:tc>
      </w:tr>
      <w:tr w:rsidR="00EE37C8" w:rsidRPr="00E5087D" w14:paraId="765D46E8" w14:textId="77777777">
        <w:trPr>
          <w:trHeight w:val="315"/>
        </w:trPr>
        <w:tc>
          <w:tcPr>
            <w:tcW w:w="5061" w:type="dxa"/>
            <w:shd w:val="clear" w:color="auto" w:fill="FFFFFF" w:themeFill="background1"/>
            <w:noWrap/>
            <w:vAlign w:val="center"/>
            <w:hideMark/>
          </w:tcPr>
          <w:p w14:paraId="4D43D6C8"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UETDRIS033 - Solve problems in network protection</w:t>
            </w:r>
          </w:p>
        </w:tc>
        <w:tc>
          <w:tcPr>
            <w:tcW w:w="751" w:type="dxa"/>
            <w:shd w:val="clear" w:color="auto" w:fill="FFFFFF" w:themeFill="background1"/>
            <w:noWrap/>
            <w:vAlign w:val="center"/>
            <w:hideMark/>
          </w:tcPr>
          <w:p w14:paraId="3E9396B7" w14:textId="22D9BE66" w:rsidR="00EE37C8" w:rsidRPr="00076964" w:rsidRDefault="00E81919">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70</w:t>
            </w:r>
          </w:p>
        </w:tc>
        <w:tc>
          <w:tcPr>
            <w:tcW w:w="1425" w:type="dxa"/>
            <w:shd w:val="clear" w:color="auto" w:fill="FFFFFF" w:themeFill="background1"/>
            <w:noWrap/>
            <w:vAlign w:val="center"/>
            <w:hideMark/>
          </w:tcPr>
          <w:p w14:paraId="3F09BF13" w14:textId="78A5EE4E" w:rsidR="00EE37C8" w:rsidRPr="00076964" w:rsidRDefault="00E81919">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4,222</w:t>
            </w:r>
            <w:r w:rsidR="00EE37C8" w:rsidRPr="00076964">
              <w:rPr>
                <w:rFonts w:asciiTheme="minorHAnsi" w:hAnsiTheme="minorHAnsi" w:cstheme="minorHAnsi"/>
                <w:sz w:val="18"/>
                <w:szCs w:val="18"/>
              </w:rPr>
              <w:t>*</w:t>
            </w:r>
          </w:p>
        </w:tc>
        <w:tc>
          <w:tcPr>
            <w:tcW w:w="1789" w:type="dxa"/>
            <w:shd w:val="clear" w:color="auto" w:fill="FFFFFF" w:themeFill="background1"/>
            <w:noWrap/>
            <w:vAlign w:val="center"/>
            <w:hideMark/>
          </w:tcPr>
          <w:p w14:paraId="73F41883"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UETTDRIS68</w:t>
            </w:r>
          </w:p>
        </w:tc>
      </w:tr>
      <w:tr w:rsidR="00EE37C8" w:rsidRPr="00E5087D" w14:paraId="463CDEFA" w14:textId="77777777">
        <w:trPr>
          <w:trHeight w:val="315"/>
        </w:trPr>
        <w:tc>
          <w:tcPr>
            <w:tcW w:w="5061" w:type="dxa"/>
            <w:shd w:val="clear" w:color="auto" w:fill="F2F2F2"/>
            <w:noWrap/>
            <w:vAlign w:val="center"/>
            <w:hideMark/>
          </w:tcPr>
          <w:p w14:paraId="7376331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UEERE0077- Install battery storage equipment power conversion equipment to grid</w:t>
            </w:r>
          </w:p>
        </w:tc>
        <w:tc>
          <w:tcPr>
            <w:tcW w:w="751" w:type="dxa"/>
            <w:shd w:val="clear" w:color="auto" w:fill="F2F2F2"/>
            <w:noWrap/>
            <w:vAlign w:val="center"/>
            <w:hideMark/>
          </w:tcPr>
          <w:p w14:paraId="18928FC3" w14:textId="430BA05E" w:rsidR="00EE37C8" w:rsidRPr="00076964" w:rsidRDefault="00076964">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70</w:t>
            </w:r>
          </w:p>
        </w:tc>
        <w:tc>
          <w:tcPr>
            <w:tcW w:w="1425" w:type="dxa"/>
            <w:shd w:val="clear" w:color="auto" w:fill="F2F2F2"/>
            <w:noWrap/>
            <w:vAlign w:val="center"/>
            <w:hideMark/>
          </w:tcPr>
          <w:p w14:paraId="49A1EB4E" w14:textId="71B5CAA7" w:rsidR="00EE37C8" w:rsidRPr="00076964" w:rsidRDefault="00076964">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4,905*</w:t>
            </w:r>
          </w:p>
        </w:tc>
        <w:tc>
          <w:tcPr>
            <w:tcW w:w="1789" w:type="dxa"/>
            <w:shd w:val="clear" w:color="auto" w:fill="F2F2F2"/>
            <w:noWrap/>
            <w:vAlign w:val="center"/>
            <w:hideMark/>
          </w:tcPr>
          <w:p w14:paraId="63CCE367"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UEERE4001</w:t>
            </w:r>
          </w:p>
        </w:tc>
      </w:tr>
      <w:tr w:rsidR="00EE37C8" w:rsidRPr="00E5087D" w14:paraId="636D91BF" w14:textId="77777777">
        <w:trPr>
          <w:trHeight w:val="315"/>
        </w:trPr>
        <w:tc>
          <w:tcPr>
            <w:tcW w:w="5061" w:type="dxa"/>
            <w:shd w:val="clear" w:color="auto" w:fill="FFFFFF" w:themeFill="background1"/>
            <w:noWrap/>
            <w:vAlign w:val="center"/>
            <w:hideMark/>
          </w:tcPr>
          <w:p w14:paraId="284300A0"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UEEAS0009 - Mount and wire control panel equipment</w:t>
            </w:r>
          </w:p>
        </w:tc>
        <w:tc>
          <w:tcPr>
            <w:tcW w:w="751" w:type="dxa"/>
            <w:shd w:val="clear" w:color="auto" w:fill="FFFFFF" w:themeFill="background1"/>
            <w:noWrap/>
            <w:vAlign w:val="center"/>
            <w:hideMark/>
          </w:tcPr>
          <w:p w14:paraId="2D7BD1DE" w14:textId="4D6A4B3E" w:rsidR="00EE37C8" w:rsidRPr="00076964" w:rsidRDefault="00EE37C8">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6</w:t>
            </w:r>
            <w:r w:rsidR="00076964" w:rsidRPr="00076964">
              <w:rPr>
                <w:rFonts w:asciiTheme="minorHAnsi" w:hAnsiTheme="minorHAnsi" w:cstheme="minorHAnsi"/>
                <w:sz w:val="18"/>
                <w:szCs w:val="18"/>
              </w:rPr>
              <w:t>8</w:t>
            </w:r>
          </w:p>
        </w:tc>
        <w:tc>
          <w:tcPr>
            <w:tcW w:w="1425" w:type="dxa"/>
            <w:shd w:val="clear" w:color="auto" w:fill="FFFFFF" w:themeFill="background1"/>
            <w:noWrap/>
            <w:vAlign w:val="center"/>
            <w:hideMark/>
          </w:tcPr>
          <w:p w14:paraId="022F0007" w14:textId="77777777" w:rsidR="00EE37C8" w:rsidRPr="00076964" w:rsidRDefault="00EE37C8">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489</w:t>
            </w:r>
          </w:p>
        </w:tc>
        <w:tc>
          <w:tcPr>
            <w:tcW w:w="1789" w:type="dxa"/>
            <w:shd w:val="clear" w:color="auto" w:fill="FFFFFF" w:themeFill="background1"/>
            <w:noWrap/>
            <w:vAlign w:val="center"/>
            <w:hideMark/>
          </w:tcPr>
          <w:p w14:paraId="6020BFDE"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UEENEEA113A</w:t>
            </w:r>
          </w:p>
        </w:tc>
      </w:tr>
      <w:tr w:rsidR="00EE37C8" w:rsidRPr="00E5087D" w14:paraId="54A20899" w14:textId="77777777">
        <w:trPr>
          <w:trHeight w:val="315"/>
        </w:trPr>
        <w:tc>
          <w:tcPr>
            <w:tcW w:w="5061" w:type="dxa"/>
            <w:shd w:val="clear" w:color="auto" w:fill="F2F2F2"/>
            <w:noWrap/>
            <w:vAlign w:val="center"/>
            <w:hideMark/>
          </w:tcPr>
          <w:p w14:paraId="7D7D4505"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UEERE0049 - Apply safe work practices in the rooftop solar industry</w:t>
            </w:r>
          </w:p>
        </w:tc>
        <w:tc>
          <w:tcPr>
            <w:tcW w:w="751" w:type="dxa"/>
            <w:shd w:val="clear" w:color="auto" w:fill="F2F2F2"/>
            <w:noWrap/>
            <w:vAlign w:val="center"/>
            <w:hideMark/>
          </w:tcPr>
          <w:p w14:paraId="49CDBB97" w14:textId="32B8C280" w:rsidR="00EE37C8" w:rsidRPr="00076964" w:rsidRDefault="00EE37C8">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6</w:t>
            </w:r>
            <w:r w:rsidR="00076964" w:rsidRPr="00076964">
              <w:rPr>
                <w:rFonts w:asciiTheme="minorHAnsi" w:hAnsiTheme="minorHAnsi" w:cstheme="minorHAnsi"/>
                <w:sz w:val="18"/>
                <w:szCs w:val="18"/>
              </w:rPr>
              <w:t>9</w:t>
            </w:r>
          </w:p>
        </w:tc>
        <w:tc>
          <w:tcPr>
            <w:tcW w:w="1425" w:type="dxa"/>
            <w:shd w:val="clear" w:color="auto" w:fill="F2F2F2"/>
            <w:noWrap/>
            <w:vAlign w:val="center"/>
            <w:hideMark/>
          </w:tcPr>
          <w:p w14:paraId="74A2638C" w14:textId="77777777" w:rsidR="00EE37C8" w:rsidRPr="00076964" w:rsidRDefault="00EE37C8">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14</w:t>
            </w:r>
          </w:p>
        </w:tc>
        <w:tc>
          <w:tcPr>
            <w:tcW w:w="1789" w:type="dxa"/>
            <w:shd w:val="clear" w:color="auto" w:fill="F2F2F2"/>
            <w:noWrap/>
            <w:vAlign w:val="center"/>
            <w:hideMark/>
          </w:tcPr>
          <w:p w14:paraId="14D1EDF2"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New</w:t>
            </w:r>
          </w:p>
        </w:tc>
      </w:tr>
      <w:tr w:rsidR="00EE37C8" w:rsidRPr="00E5087D" w14:paraId="59DB6363" w14:textId="77777777">
        <w:trPr>
          <w:trHeight w:val="315"/>
        </w:trPr>
        <w:tc>
          <w:tcPr>
            <w:tcW w:w="5061" w:type="dxa"/>
            <w:shd w:val="clear" w:color="auto" w:fill="FFFFFF" w:themeFill="background1"/>
            <w:noWrap/>
            <w:vAlign w:val="center"/>
            <w:hideMark/>
          </w:tcPr>
          <w:p w14:paraId="6730AB73"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UEEEL0016 - Provide advice on effective and energy efficient lighting products</w:t>
            </w:r>
          </w:p>
        </w:tc>
        <w:tc>
          <w:tcPr>
            <w:tcW w:w="751" w:type="dxa"/>
            <w:shd w:val="clear" w:color="auto" w:fill="FFFFFF" w:themeFill="background1"/>
            <w:noWrap/>
            <w:vAlign w:val="center"/>
            <w:hideMark/>
          </w:tcPr>
          <w:p w14:paraId="512E3AC2" w14:textId="2D17CDB9" w:rsidR="00EE37C8" w:rsidRPr="00076964" w:rsidRDefault="00EE37C8">
            <w:pPr>
              <w:spacing w:beforeLines="30" w:before="72" w:afterLines="30" w:after="72"/>
              <w:jc w:val="center"/>
              <w:rPr>
                <w:rFonts w:asciiTheme="minorHAnsi" w:hAnsiTheme="minorHAnsi" w:cstheme="minorHAnsi"/>
                <w:sz w:val="18"/>
                <w:szCs w:val="18"/>
              </w:rPr>
            </w:pPr>
            <w:r w:rsidRPr="00076964">
              <w:rPr>
                <w:rFonts w:asciiTheme="minorHAnsi" w:hAnsiTheme="minorHAnsi" w:cstheme="minorHAnsi"/>
                <w:sz w:val="18"/>
                <w:szCs w:val="18"/>
              </w:rPr>
              <w:t>6</w:t>
            </w:r>
            <w:r w:rsidR="00076964" w:rsidRPr="00076964">
              <w:rPr>
                <w:rFonts w:asciiTheme="minorHAnsi" w:hAnsiTheme="minorHAnsi" w:cstheme="minorHAnsi"/>
                <w:sz w:val="18"/>
                <w:szCs w:val="18"/>
              </w:rPr>
              <w:t>9</w:t>
            </w:r>
          </w:p>
        </w:tc>
        <w:tc>
          <w:tcPr>
            <w:tcW w:w="1425" w:type="dxa"/>
            <w:shd w:val="clear" w:color="auto" w:fill="FFFFFF" w:themeFill="background1"/>
            <w:noWrap/>
            <w:vAlign w:val="center"/>
            <w:hideMark/>
          </w:tcPr>
          <w:p w14:paraId="75911876" w14:textId="77777777" w:rsidR="00EE37C8" w:rsidRPr="00076964" w:rsidRDefault="00EE37C8">
            <w:pPr>
              <w:spacing w:beforeLines="30" w:before="72" w:afterLines="30" w:after="72"/>
              <w:jc w:val="right"/>
              <w:rPr>
                <w:rFonts w:asciiTheme="minorHAnsi" w:hAnsiTheme="minorHAnsi" w:cstheme="minorHAnsi"/>
                <w:sz w:val="18"/>
                <w:szCs w:val="18"/>
              </w:rPr>
            </w:pPr>
            <w:r w:rsidRPr="00076964">
              <w:rPr>
                <w:rFonts w:asciiTheme="minorHAnsi" w:hAnsiTheme="minorHAnsi" w:cstheme="minorHAnsi"/>
                <w:sz w:val="18"/>
                <w:szCs w:val="18"/>
              </w:rPr>
              <w:t>57</w:t>
            </w:r>
          </w:p>
        </w:tc>
        <w:tc>
          <w:tcPr>
            <w:tcW w:w="1789" w:type="dxa"/>
            <w:shd w:val="clear" w:color="auto" w:fill="FFFFFF" w:themeFill="background1"/>
            <w:noWrap/>
            <w:vAlign w:val="center"/>
            <w:hideMark/>
          </w:tcPr>
          <w:p w14:paraId="5A646DF6"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UEENEEG181A</w:t>
            </w:r>
          </w:p>
        </w:tc>
      </w:tr>
      <w:tr w:rsidR="00EE37C8" w:rsidRPr="00E5087D" w14:paraId="7B950A1E" w14:textId="77777777">
        <w:trPr>
          <w:trHeight w:val="315"/>
        </w:trPr>
        <w:tc>
          <w:tcPr>
            <w:tcW w:w="5061" w:type="dxa"/>
            <w:shd w:val="clear" w:color="auto" w:fill="F2F2F2"/>
            <w:noWrap/>
            <w:vAlign w:val="center"/>
            <w:hideMark/>
          </w:tcPr>
          <w:p w14:paraId="5080B1D1"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UEERE0078 - Install battery storage to power conversion equipment</w:t>
            </w:r>
          </w:p>
        </w:tc>
        <w:tc>
          <w:tcPr>
            <w:tcW w:w="751" w:type="dxa"/>
            <w:shd w:val="clear" w:color="auto" w:fill="F2F2F2"/>
            <w:noWrap/>
            <w:vAlign w:val="center"/>
            <w:hideMark/>
          </w:tcPr>
          <w:p w14:paraId="74328B7E" w14:textId="55B36232" w:rsidR="00EE37C8" w:rsidRPr="007F57FD" w:rsidRDefault="007F57FD">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70</w:t>
            </w:r>
          </w:p>
        </w:tc>
        <w:tc>
          <w:tcPr>
            <w:tcW w:w="1425" w:type="dxa"/>
            <w:shd w:val="clear" w:color="auto" w:fill="F2F2F2"/>
            <w:noWrap/>
            <w:vAlign w:val="center"/>
            <w:hideMark/>
          </w:tcPr>
          <w:p w14:paraId="521E688B" w14:textId="59580AEC" w:rsidR="00EE37C8" w:rsidRPr="007F57FD" w:rsidRDefault="007F57FD">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4,905</w:t>
            </w:r>
            <w:r w:rsidR="00EE37C8" w:rsidRPr="007F57FD">
              <w:rPr>
                <w:rFonts w:asciiTheme="minorHAnsi" w:hAnsiTheme="minorHAnsi" w:cstheme="minorHAnsi"/>
                <w:sz w:val="18"/>
                <w:szCs w:val="18"/>
              </w:rPr>
              <w:t>*</w:t>
            </w:r>
          </w:p>
        </w:tc>
        <w:tc>
          <w:tcPr>
            <w:tcW w:w="1789" w:type="dxa"/>
            <w:shd w:val="clear" w:color="auto" w:fill="F2F2F2"/>
            <w:noWrap/>
            <w:vAlign w:val="center"/>
            <w:hideMark/>
          </w:tcPr>
          <w:p w14:paraId="739D7B6D"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UEERE4001</w:t>
            </w:r>
          </w:p>
        </w:tc>
      </w:tr>
      <w:tr w:rsidR="00EE37C8" w:rsidRPr="00E5087D" w14:paraId="2B188017" w14:textId="77777777">
        <w:trPr>
          <w:trHeight w:val="315"/>
        </w:trPr>
        <w:tc>
          <w:tcPr>
            <w:tcW w:w="5061" w:type="dxa"/>
            <w:shd w:val="clear" w:color="auto" w:fill="FFFFFF" w:themeFill="background1"/>
            <w:noWrap/>
            <w:vAlign w:val="center"/>
            <w:hideMark/>
          </w:tcPr>
          <w:p w14:paraId="1FB2151D"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UETDRSB007 - Install and maintain substation direct current systems</w:t>
            </w:r>
          </w:p>
        </w:tc>
        <w:tc>
          <w:tcPr>
            <w:tcW w:w="751" w:type="dxa"/>
            <w:shd w:val="clear" w:color="auto" w:fill="FFFFFF" w:themeFill="background1"/>
            <w:noWrap/>
            <w:vAlign w:val="center"/>
            <w:hideMark/>
          </w:tcPr>
          <w:p w14:paraId="0DE0C8E3" w14:textId="48150DF3"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6</w:t>
            </w:r>
            <w:r w:rsidR="007F57FD" w:rsidRPr="007F57FD">
              <w:rPr>
                <w:rFonts w:asciiTheme="minorHAnsi" w:hAnsiTheme="minorHAnsi" w:cstheme="minorHAnsi"/>
                <w:sz w:val="18"/>
                <w:szCs w:val="18"/>
              </w:rPr>
              <w:t>6</w:t>
            </w:r>
          </w:p>
        </w:tc>
        <w:tc>
          <w:tcPr>
            <w:tcW w:w="1425" w:type="dxa"/>
            <w:shd w:val="clear" w:color="auto" w:fill="FFFFFF" w:themeFill="background1"/>
            <w:noWrap/>
            <w:vAlign w:val="center"/>
            <w:hideMark/>
          </w:tcPr>
          <w:p w14:paraId="03876DA8" w14:textId="77777777" w:rsidR="00EE37C8" w:rsidRPr="007F57FD" w:rsidRDefault="00EE37C8">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4</w:t>
            </w:r>
          </w:p>
        </w:tc>
        <w:tc>
          <w:tcPr>
            <w:tcW w:w="1789" w:type="dxa"/>
            <w:shd w:val="clear" w:color="auto" w:fill="FFFFFF" w:themeFill="background1"/>
            <w:noWrap/>
            <w:vAlign w:val="center"/>
            <w:hideMark/>
          </w:tcPr>
          <w:p w14:paraId="7D867A8D"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UETTDRSB23</w:t>
            </w:r>
          </w:p>
        </w:tc>
      </w:tr>
      <w:tr w:rsidR="00EE37C8" w:rsidRPr="00E5087D" w14:paraId="245B081B" w14:textId="77777777">
        <w:trPr>
          <w:trHeight w:val="315"/>
        </w:trPr>
        <w:tc>
          <w:tcPr>
            <w:tcW w:w="5061" w:type="dxa"/>
            <w:shd w:val="clear" w:color="auto" w:fill="F2F2F2"/>
            <w:noWrap/>
            <w:vAlign w:val="center"/>
            <w:hideMark/>
          </w:tcPr>
          <w:p w14:paraId="65F6B869"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UEERA0049 - Install and start up single head split air conditioning and water heating heat pump systems</w:t>
            </w:r>
          </w:p>
        </w:tc>
        <w:tc>
          <w:tcPr>
            <w:tcW w:w="751" w:type="dxa"/>
            <w:shd w:val="clear" w:color="auto" w:fill="F2F2F2"/>
            <w:noWrap/>
            <w:vAlign w:val="center"/>
            <w:hideMark/>
          </w:tcPr>
          <w:p w14:paraId="450D8DFA" w14:textId="21DBDD53"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8</w:t>
            </w:r>
            <w:r w:rsidR="007F57FD" w:rsidRPr="007F57FD">
              <w:rPr>
                <w:rFonts w:asciiTheme="minorHAnsi" w:hAnsiTheme="minorHAnsi" w:cstheme="minorHAnsi"/>
                <w:sz w:val="18"/>
                <w:szCs w:val="18"/>
              </w:rPr>
              <w:t>6</w:t>
            </w:r>
          </w:p>
        </w:tc>
        <w:tc>
          <w:tcPr>
            <w:tcW w:w="1425" w:type="dxa"/>
            <w:shd w:val="clear" w:color="auto" w:fill="F2F2F2"/>
            <w:noWrap/>
            <w:vAlign w:val="center"/>
            <w:hideMark/>
          </w:tcPr>
          <w:p w14:paraId="340C96FF" w14:textId="791B48E4" w:rsidR="00EE37C8" w:rsidRPr="007F57FD" w:rsidRDefault="00EE37C8">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1,</w:t>
            </w:r>
            <w:r w:rsidR="007F57FD" w:rsidRPr="007F57FD">
              <w:rPr>
                <w:rFonts w:asciiTheme="minorHAnsi" w:hAnsiTheme="minorHAnsi" w:cstheme="minorHAnsi"/>
                <w:sz w:val="18"/>
                <w:szCs w:val="18"/>
              </w:rPr>
              <w:t>239</w:t>
            </w:r>
          </w:p>
        </w:tc>
        <w:tc>
          <w:tcPr>
            <w:tcW w:w="1789" w:type="dxa"/>
            <w:shd w:val="clear" w:color="auto" w:fill="F2F2F2"/>
            <w:noWrap/>
            <w:vAlign w:val="center"/>
            <w:hideMark/>
          </w:tcPr>
          <w:p w14:paraId="6209930B"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UEENEEJ105A</w:t>
            </w:r>
          </w:p>
        </w:tc>
      </w:tr>
      <w:tr w:rsidR="00EE37C8" w:rsidRPr="00E5087D" w14:paraId="13D8DB96" w14:textId="77777777">
        <w:trPr>
          <w:trHeight w:val="315"/>
        </w:trPr>
        <w:tc>
          <w:tcPr>
            <w:tcW w:w="5061" w:type="dxa"/>
            <w:shd w:val="clear" w:color="auto" w:fill="FFFFFF" w:themeFill="background1"/>
            <w:noWrap/>
            <w:vAlign w:val="center"/>
            <w:hideMark/>
          </w:tcPr>
          <w:p w14:paraId="5352B7FE"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UEERE0080 - Install photovoltaic power conversion equipment to grid</w:t>
            </w:r>
          </w:p>
        </w:tc>
        <w:tc>
          <w:tcPr>
            <w:tcW w:w="751" w:type="dxa"/>
            <w:shd w:val="clear" w:color="auto" w:fill="FFFFFF" w:themeFill="background1"/>
            <w:noWrap/>
            <w:vAlign w:val="center"/>
            <w:hideMark/>
          </w:tcPr>
          <w:p w14:paraId="2769705B" w14:textId="6D2C16D4"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w:t>
            </w:r>
            <w:r w:rsidR="007F57FD" w:rsidRPr="007F57FD">
              <w:rPr>
                <w:rFonts w:asciiTheme="minorHAnsi" w:hAnsiTheme="minorHAnsi" w:cstheme="minorHAnsi"/>
                <w:sz w:val="18"/>
                <w:szCs w:val="18"/>
              </w:rPr>
              <w:t>2</w:t>
            </w:r>
          </w:p>
        </w:tc>
        <w:tc>
          <w:tcPr>
            <w:tcW w:w="1425" w:type="dxa"/>
            <w:shd w:val="clear" w:color="auto" w:fill="FFFFFF" w:themeFill="background1"/>
            <w:noWrap/>
            <w:vAlign w:val="center"/>
            <w:hideMark/>
          </w:tcPr>
          <w:p w14:paraId="130807D0" w14:textId="77777777" w:rsidR="00EE37C8" w:rsidRPr="007F57FD" w:rsidRDefault="00EE37C8">
            <w:pPr>
              <w:spacing w:beforeLines="30" w:before="72" w:afterLines="30" w:after="72"/>
              <w:jc w:val="right"/>
              <w:rPr>
                <w:rFonts w:asciiTheme="minorHAnsi" w:hAnsiTheme="minorHAnsi" w:cstheme="minorHAnsi"/>
                <w:sz w:val="18"/>
                <w:szCs w:val="18"/>
              </w:rPr>
            </w:pPr>
          </w:p>
        </w:tc>
        <w:tc>
          <w:tcPr>
            <w:tcW w:w="1789" w:type="dxa"/>
            <w:shd w:val="clear" w:color="auto" w:fill="FFFFFF" w:themeFill="background1"/>
            <w:noWrap/>
            <w:vAlign w:val="center"/>
            <w:hideMark/>
          </w:tcPr>
          <w:p w14:paraId="3620653E"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New</w:t>
            </w:r>
          </w:p>
        </w:tc>
      </w:tr>
      <w:tr w:rsidR="00EE37C8" w:rsidRPr="00E5087D" w14:paraId="16DF458E" w14:textId="77777777">
        <w:trPr>
          <w:trHeight w:val="315"/>
        </w:trPr>
        <w:tc>
          <w:tcPr>
            <w:tcW w:w="5061" w:type="dxa"/>
            <w:shd w:val="clear" w:color="auto" w:fill="F2F2F2"/>
            <w:noWrap/>
            <w:vAlign w:val="center"/>
            <w:hideMark/>
          </w:tcPr>
          <w:p w14:paraId="016CB7BA"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UEERE0054 - Conduct site survey for grid-connected photovoltaic and battery storage systems</w:t>
            </w:r>
          </w:p>
        </w:tc>
        <w:tc>
          <w:tcPr>
            <w:tcW w:w="751" w:type="dxa"/>
            <w:shd w:val="clear" w:color="auto" w:fill="F2F2F2"/>
            <w:noWrap/>
            <w:vAlign w:val="center"/>
            <w:hideMark/>
          </w:tcPr>
          <w:p w14:paraId="42D110D2" w14:textId="499DD944"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w:t>
            </w:r>
            <w:r w:rsidR="007F57FD" w:rsidRPr="007F57FD">
              <w:rPr>
                <w:rFonts w:asciiTheme="minorHAnsi" w:hAnsiTheme="minorHAnsi" w:cstheme="minorHAnsi"/>
                <w:sz w:val="18"/>
                <w:szCs w:val="18"/>
              </w:rPr>
              <w:t>3</w:t>
            </w:r>
          </w:p>
        </w:tc>
        <w:tc>
          <w:tcPr>
            <w:tcW w:w="1425" w:type="dxa"/>
            <w:shd w:val="clear" w:color="auto" w:fill="F2F2F2"/>
            <w:noWrap/>
            <w:vAlign w:val="center"/>
            <w:hideMark/>
          </w:tcPr>
          <w:p w14:paraId="697F0F3F" w14:textId="77777777" w:rsidR="00EE37C8" w:rsidRPr="007F57FD" w:rsidRDefault="00EE37C8">
            <w:pPr>
              <w:spacing w:beforeLines="30" w:before="72" w:afterLines="30" w:after="72"/>
              <w:jc w:val="right"/>
              <w:rPr>
                <w:rFonts w:asciiTheme="minorHAnsi" w:hAnsiTheme="minorHAnsi" w:cstheme="minorHAnsi"/>
                <w:sz w:val="18"/>
                <w:szCs w:val="18"/>
              </w:rPr>
            </w:pPr>
          </w:p>
        </w:tc>
        <w:tc>
          <w:tcPr>
            <w:tcW w:w="1789" w:type="dxa"/>
            <w:shd w:val="clear" w:color="auto" w:fill="F2F2F2"/>
            <w:noWrap/>
            <w:vAlign w:val="center"/>
            <w:hideMark/>
          </w:tcPr>
          <w:p w14:paraId="4A78C9B7"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New</w:t>
            </w:r>
          </w:p>
        </w:tc>
      </w:tr>
      <w:tr w:rsidR="00EE37C8" w:rsidRPr="00E5087D" w14:paraId="425EC81F" w14:textId="77777777">
        <w:trPr>
          <w:trHeight w:val="315"/>
        </w:trPr>
        <w:tc>
          <w:tcPr>
            <w:tcW w:w="5061" w:type="dxa"/>
            <w:tcBorders>
              <w:bottom w:val="single" w:sz="4" w:space="0" w:color="auto"/>
            </w:tcBorders>
            <w:shd w:val="clear" w:color="auto" w:fill="FFFFFF" w:themeFill="background1"/>
            <w:noWrap/>
            <w:vAlign w:val="center"/>
            <w:hideMark/>
          </w:tcPr>
          <w:p w14:paraId="0E7C046C" w14:textId="77777777" w:rsidR="00EE37C8" w:rsidRPr="00E5087D" w:rsidRDefault="00EE37C8">
            <w:pPr>
              <w:spacing w:beforeLines="30" w:before="72" w:afterLines="30" w:after="72"/>
              <w:rPr>
                <w:rFonts w:asciiTheme="minorHAnsi" w:hAnsiTheme="minorHAnsi" w:cstheme="minorHAnsi"/>
                <w:sz w:val="18"/>
                <w:szCs w:val="18"/>
              </w:rPr>
            </w:pPr>
            <w:r w:rsidRPr="00E5087D">
              <w:rPr>
                <w:rFonts w:asciiTheme="minorHAnsi" w:hAnsiTheme="minorHAnsi" w:cstheme="minorHAnsi"/>
                <w:sz w:val="18"/>
                <w:szCs w:val="18"/>
              </w:rPr>
              <w:t>UEEIC0024 - Plan the electrical installation of integrated systems</w:t>
            </w:r>
          </w:p>
        </w:tc>
        <w:tc>
          <w:tcPr>
            <w:tcW w:w="751" w:type="dxa"/>
            <w:tcBorders>
              <w:bottom w:val="single" w:sz="4" w:space="0" w:color="auto"/>
            </w:tcBorders>
            <w:shd w:val="clear" w:color="auto" w:fill="FFFFFF" w:themeFill="background1"/>
            <w:noWrap/>
            <w:vAlign w:val="center"/>
            <w:hideMark/>
          </w:tcPr>
          <w:p w14:paraId="46C260AD" w14:textId="1B06CA56" w:rsidR="00EE37C8" w:rsidRPr="007F57FD" w:rsidRDefault="00EE37C8">
            <w:pPr>
              <w:spacing w:beforeLines="30" w:before="72" w:afterLines="30" w:after="72"/>
              <w:jc w:val="center"/>
              <w:rPr>
                <w:rFonts w:asciiTheme="minorHAnsi" w:hAnsiTheme="minorHAnsi" w:cstheme="minorHAnsi"/>
                <w:sz w:val="18"/>
                <w:szCs w:val="18"/>
              </w:rPr>
            </w:pPr>
            <w:r w:rsidRPr="007F57FD">
              <w:rPr>
                <w:rFonts w:asciiTheme="minorHAnsi" w:hAnsiTheme="minorHAnsi" w:cstheme="minorHAnsi"/>
                <w:sz w:val="18"/>
                <w:szCs w:val="18"/>
              </w:rPr>
              <w:t>7</w:t>
            </w:r>
            <w:r w:rsidR="007F57FD" w:rsidRPr="007F57FD">
              <w:rPr>
                <w:rFonts w:asciiTheme="minorHAnsi" w:hAnsiTheme="minorHAnsi" w:cstheme="minorHAnsi"/>
                <w:sz w:val="18"/>
                <w:szCs w:val="18"/>
              </w:rPr>
              <w:t>9</w:t>
            </w:r>
          </w:p>
        </w:tc>
        <w:tc>
          <w:tcPr>
            <w:tcW w:w="1425" w:type="dxa"/>
            <w:tcBorders>
              <w:bottom w:val="single" w:sz="4" w:space="0" w:color="auto"/>
            </w:tcBorders>
            <w:shd w:val="clear" w:color="auto" w:fill="FFFFFF" w:themeFill="background1"/>
            <w:noWrap/>
            <w:vAlign w:val="center"/>
            <w:hideMark/>
          </w:tcPr>
          <w:p w14:paraId="2A03A497" w14:textId="30EC5F7E" w:rsidR="00EE37C8" w:rsidRPr="007F57FD" w:rsidRDefault="007F57FD">
            <w:pPr>
              <w:spacing w:beforeLines="30" w:before="72" w:afterLines="30" w:after="72"/>
              <w:jc w:val="right"/>
              <w:rPr>
                <w:rFonts w:asciiTheme="minorHAnsi" w:hAnsiTheme="minorHAnsi" w:cstheme="minorHAnsi"/>
                <w:sz w:val="18"/>
                <w:szCs w:val="18"/>
              </w:rPr>
            </w:pPr>
            <w:r w:rsidRPr="007F57FD">
              <w:rPr>
                <w:rFonts w:asciiTheme="minorHAnsi" w:hAnsiTheme="minorHAnsi" w:cstheme="minorHAnsi"/>
                <w:sz w:val="18"/>
                <w:szCs w:val="18"/>
              </w:rPr>
              <w:t>5</w:t>
            </w:r>
          </w:p>
        </w:tc>
        <w:tc>
          <w:tcPr>
            <w:tcW w:w="1789" w:type="dxa"/>
            <w:tcBorders>
              <w:bottom w:val="single" w:sz="4" w:space="0" w:color="auto"/>
            </w:tcBorders>
            <w:shd w:val="clear" w:color="auto" w:fill="FFFFFF" w:themeFill="background1"/>
            <w:noWrap/>
            <w:vAlign w:val="center"/>
            <w:hideMark/>
          </w:tcPr>
          <w:p w14:paraId="68CE033A" w14:textId="750D8266" w:rsidR="00EE37C8" w:rsidRPr="00E5087D" w:rsidRDefault="00EE37C8">
            <w:pPr>
              <w:spacing w:beforeLines="30" w:before="72" w:afterLines="30" w:after="72"/>
              <w:rPr>
                <w:rFonts w:asciiTheme="minorHAnsi" w:hAnsiTheme="minorHAnsi" w:cstheme="minorHAnsi"/>
                <w:sz w:val="18"/>
                <w:szCs w:val="18"/>
              </w:rPr>
            </w:pPr>
            <w:r w:rsidRPr="007F57FD">
              <w:rPr>
                <w:rFonts w:asciiTheme="minorHAnsi" w:hAnsiTheme="minorHAnsi" w:cstheme="minorHAnsi"/>
                <w:sz w:val="18"/>
                <w:szCs w:val="18"/>
              </w:rPr>
              <w:t>UEENEE</w:t>
            </w:r>
            <w:r w:rsidR="007F57FD" w:rsidRPr="007F57FD">
              <w:rPr>
                <w:rFonts w:asciiTheme="minorHAnsi" w:hAnsiTheme="minorHAnsi" w:cstheme="minorHAnsi"/>
                <w:sz w:val="18"/>
                <w:szCs w:val="18"/>
              </w:rPr>
              <w:t>I</w:t>
            </w:r>
            <w:r w:rsidRPr="007F57FD">
              <w:rPr>
                <w:rFonts w:asciiTheme="minorHAnsi" w:hAnsiTheme="minorHAnsi" w:cstheme="minorHAnsi"/>
                <w:sz w:val="18"/>
                <w:szCs w:val="18"/>
              </w:rPr>
              <w:t>140A</w:t>
            </w:r>
          </w:p>
        </w:tc>
      </w:tr>
    </w:tbl>
    <w:p w14:paraId="4930375C" w14:textId="14796955" w:rsidR="00EE37C8" w:rsidRPr="00E5087D" w:rsidRDefault="00EE37C8" w:rsidP="00EE37C8">
      <w:pPr>
        <w:spacing w:before="40" w:after="0" w:line="240"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Source: Training.gov.au; NCVER 2023 Total VET Activity Data</w:t>
      </w:r>
      <w:r w:rsidR="009639ED">
        <w:rPr>
          <w:spacing w:val="2"/>
          <w:sz w:val="18"/>
          <w:szCs w:val="18"/>
          <w14:ligatures w14:val="standard"/>
          <w14:numForm w14:val="lining"/>
          <w14:numSpacing w14:val="proportional"/>
        </w:rPr>
        <w:t xml:space="preserve"> on </w:t>
      </w:r>
      <w:r w:rsidR="00D6729B">
        <w:rPr>
          <w:spacing w:val="2"/>
          <w:sz w:val="18"/>
          <w:szCs w:val="18"/>
          <w14:ligatures w14:val="standard"/>
          <w14:numForm w14:val="lining"/>
          <w14:numSpacing w14:val="proportional"/>
        </w:rPr>
        <w:t>13</w:t>
      </w:r>
      <w:r w:rsidR="009639ED">
        <w:rPr>
          <w:spacing w:val="2"/>
          <w:sz w:val="18"/>
          <w:szCs w:val="18"/>
          <w14:ligatures w14:val="standard"/>
          <w14:numForm w14:val="lining"/>
          <w14:numSpacing w14:val="proportional"/>
        </w:rPr>
        <w:t xml:space="preserve"> September 2023</w:t>
      </w:r>
      <w:r w:rsidRPr="00E5087D">
        <w:rPr>
          <w:spacing w:val="2"/>
          <w:sz w:val="18"/>
          <w:szCs w:val="18"/>
          <w14:ligatures w14:val="standard"/>
          <w14:numForm w14:val="lining"/>
          <w14:numSpacing w14:val="proportional"/>
        </w:rPr>
        <w:t>. *indicates that enrolment numbers are for superseded course.</w:t>
      </w:r>
    </w:p>
    <w:p w14:paraId="59C8A60D" w14:textId="0F44D31E" w:rsidR="00EE37C8" w:rsidRPr="00E5087D" w:rsidRDefault="00EE37C8" w:rsidP="00EE37C8">
      <w:pPr>
        <w:spacing w:before="360" w:after="0" w:line="276" w:lineRule="auto"/>
      </w:pPr>
      <w:r w:rsidRPr="00E5087D">
        <w:rPr>
          <w:spacing w:val="2"/>
          <w14:ligatures w14:val="standard"/>
          <w14:numForm w14:val="lining"/>
          <w14:numSpacing w14:val="proportional"/>
        </w:rPr>
        <w:lastRenderedPageBreak/>
        <w:t xml:space="preserve">There are now several new electives for automotive apprentices to gain competencies in maintaining </w:t>
      </w:r>
      <w:r w:rsidR="006C66CE">
        <w:rPr>
          <w:rFonts w:cs="Arial"/>
          <w14:numForm w14:val="lining"/>
          <w14:numSpacing w14:val="proportional"/>
        </w:rPr>
        <w:t>EV</w:t>
      </w:r>
      <w:r w:rsidRPr="00E5087D">
        <w:rPr>
          <w:spacing w:val="2"/>
          <w14:ligatures w14:val="standard"/>
          <w14:numForm w14:val="lining"/>
          <w14:numSpacing w14:val="proportional"/>
        </w:rPr>
        <w:t xml:space="preserve">s (Table </w:t>
      </w:r>
      <w:r w:rsidR="004A3CD5">
        <w:rPr>
          <w:spacing w:val="2"/>
          <w14:ligatures w14:val="standard"/>
          <w14:numForm w14:val="lining"/>
          <w14:numSpacing w14:val="proportional"/>
        </w:rPr>
        <w:t>4.4</w:t>
      </w:r>
      <w:r w:rsidRPr="00E5087D">
        <w:rPr>
          <w:spacing w:val="2"/>
          <w14:ligatures w14:val="standard"/>
          <w14:numForm w14:val="lining"/>
          <w14:numSpacing w14:val="proportional"/>
        </w:rPr>
        <w:t>). These electives are starting to grow in scale, with almost 3,000 subject enrolments in 2022. However, this only accounted for 0.33% of all automotive enrolments that year, indicating there is still substantial growth needed.</w:t>
      </w:r>
    </w:p>
    <w:tbl>
      <w:tblPr>
        <w:tblStyle w:val="TableGrid"/>
        <w:tblpPr w:leftFromText="180" w:rightFromText="180" w:vertAnchor="page" w:horzAnchor="margin" w:tblpY="31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5"/>
        <w:gridCol w:w="1488"/>
        <w:gridCol w:w="1447"/>
        <w:gridCol w:w="1324"/>
        <w:gridCol w:w="1022"/>
      </w:tblGrid>
      <w:tr w:rsidR="00EE37C8" w:rsidRPr="00E5087D" w14:paraId="2D77EB01" w14:textId="77777777" w:rsidTr="00176C3C">
        <w:tc>
          <w:tcPr>
            <w:tcW w:w="3745" w:type="dxa"/>
            <w:tcBorders>
              <w:top w:val="single" w:sz="4" w:space="0" w:color="auto"/>
              <w:left w:val="nil"/>
            </w:tcBorders>
            <w:shd w:val="clear" w:color="auto" w:fill="DAE3F5"/>
            <w:vAlign w:val="center"/>
          </w:tcPr>
          <w:p w14:paraId="01973491" w14:textId="77777777" w:rsidR="00EE37C8" w:rsidRPr="00E5087D" w:rsidRDefault="00EE37C8">
            <w:pPr>
              <w:spacing w:before="40" w:after="40" w:line="276" w:lineRule="auto"/>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Unit description</w:t>
            </w:r>
          </w:p>
        </w:tc>
        <w:tc>
          <w:tcPr>
            <w:tcW w:w="1488" w:type="dxa"/>
            <w:tcBorders>
              <w:top w:val="single" w:sz="4" w:space="0" w:color="auto"/>
            </w:tcBorders>
            <w:shd w:val="clear" w:color="auto" w:fill="DAE3F5"/>
            <w:vAlign w:val="center"/>
          </w:tcPr>
          <w:p w14:paraId="20C84B1C"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Enrolments</w:t>
            </w:r>
          </w:p>
        </w:tc>
        <w:tc>
          <w:tcPr>
            <w:tcW w:w="1447" w:type="dxa"/>
            <w:tcBorders>
              <w:top w:val="single" w:sz="4" w:space="0" w:color="auto"/>
            </w:tcBorders>
            <w:shd w:val="clear" w:color="auto" w:fill="DAE3F5"/>
            <w:vAlign w:val="center"/>
          </w:tcPr>
          <w:p w14:paraId="3EF63FFF"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Automotive electrician</w:t>
            </w:r>
          </w:p>
        </w:tc>
        <w:tc>
          <w:tcPr>
            <w:tcW w:w="1324" w:type="dxa"/>
            <w:tcBorders>
              <w:top w:val="single" w:sz="4" w:space="0" w:color="auto"/>
            </w:tcBorders>
            <w:shd w:val="clear" w:color="auto" w:fill="DAE3F5"/>
          </w:tcPr>
          <w:p w14:paraId="08020247"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Motor Mechanic</w:t>
            </w:r>
          </w:p>
        </w:tc>
        <w:tc>
          <w:tcPr>
            <w:tcW w:w="1022" w:type="dxa"/>
            <w:tcBorders>
              <w:top w:val="single" w:sz="4" w:space="0" w:color="auto"/>
            </w:tcBorders>
            <w:shd w:val="clear" w:color="auto" w:fill="DAE3F5"/>
            <w:vAlign w:val="center"/>
          </w:tcPr>
          <w:p w14:paraId="501E177D" w14:textId="77777777" w:rsidR="00EE37C8" w:rsidRPr="00E5087D" w:rsidRDefault="00EE37C8">
            <w:pPr>
              <w:spacing w:before="40" w:after="40" w:line="276" w:lineRule="auto"/>
              <w:jc w:val="center"/>
              <w:rPr>
                <w:b/>
                <w:bCs/>
                <w:spacing w:val="2"/>
                <w:sz w:val="20"/>
                <w:szCs w:val="20"/>
                <w14:ligatures w14:val="standard"/>
                <w14:numForm w14:val="lining"/>
                <w14:numSpacing w14:val="proportional"/>
              </w:rPr>
            </w:pPr>
            <w:r w:rsidRPr="00E5087D">
              <w:rPr>
                <w:b/>
                <w:bCs/>
                <w:spacing w:val="2"/>
                <w:sz w:val="20"/>
                <w:szCs w:val="20"/>
                <w14:ligatures w14:val="standard"/>
                <w14:numForm w14:val="lining"/>
                <w14:numSpacing w14:val="proportional"/>
              </w:rPr>
              <w:t>RTOs</w:t>
            </w:r>
          </w:p>
        </w:tc>
      </w:tr>
      <w:tr w:rsidR="00EE37C8" w:rsidRPr="00E5087D" w14:paraId="2AE3ADC7" w14:textId="77777777">
        <w:tc>
          <w:tcPr>
            <w:tcW w:w="3745" w:type="dxa"/>
            <w:tcBorders>
              <w:top w:val="single" w:sz="4" w:space="0" w:color="auto"/>
              <w:left w:val="nil"/>
            </w:tcBorders>
            <w:shd w:val="clear" w:color="auto" w:fill="F2F2F2"/>
            <w:vAlign w:val="center"/>
          </w:tcPr>
          <w:p w14:paraId="6C7F61F9" w14:textId="77777777" w:rsidR="00EE37C8" w:rsidRPr="00E5087D" w:rsidRDefault="00EE37C8">
            <w:pPr>
              <w:spacing w:before="80" w:after="80"/>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AURETH102 - Inspect and maintain battery electric vehicles</w:t>
            </w:r>
          </w:p>
        </w:tc>
        <w:tc>
          <w:tcPr>
            <w:tcW w:w="1488" w:type="dxa"/>
            <w:tcBorders>
              <w:top w:val="single" w:sz="4" w:space="0" w:color="auto"/>
            </w:tcBorders>
            <w:shd w:val="clear" w:color="auto" w:fill="F2F2F2"/>
            <w:vAlign w:val="center"/>
          </w:tcPr>
          <w:p w14:paraId="6DDE7AC6" w14:textId="77777777" w:rsidR="00EE37C8" w:rsidRPr="0043668A" w:rsidRDefault="00EE37C8">
            <w:pPr>
              <w:spacing w:before="80" w:after="80"/>
              <w:jc w:val="center"/>
              <w:rPr>
                <w:spacing w:val="2"/>
                <w:sz w:val="20"/>
                <w:szCs w:val="20"/>
                <w14:ligatures w14:val="standard"/>
                <w14:numForm w14:val="lining"/>
                <w14:numSpacing w14:val="proportional"/>
              </w:rPr>
            </w:pPr>
            <w:r w:rsidRPr="0043668A">
              <w:rPr>
                <w:spacing w:val="2"/>
                <w:sz w:val="20"/>
                <w:szCs w:val="20"/>
                <w14:ligatures w14:val="standard"/>
                <w14:numForm w14:val="lining"/>
                <w14:numSpacing w14:val="proportional"/>
              </w:rPr>
              <w:t>672</w:t>
            </w:r>
          </w:p>
        </w:tc>
        <w:tc>
          <w:tcPr>
            <w:tcW w:w="1447" w:type="dxa"/>
            <w:tcBorders>
              <w:top w:val="single" w:sz="4" w:space="0" w:color="auto"/>
            </w:tcBorders>
            <w:shd w:val="clear" w:color="auto" w:fill="F2F2F2"/>
            <w:vAlign w:val="center"/>
          </w:tcPr>
          <w:p w14:paraId="0B18FEBC"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324" w:type="dxa"/>
            <w:tcBorders>
              <w:top w:val="single" w:sz="4" w:space="0" w:color="auto"/>
            </w:tcBorders>
            <w:shd w:val="clear" w:color="auto" w:fill="F2F2F2"/>
            <w:vAlign w:val="center"/>
          </w:tcPr>
          <w:p w14:paraId="58F12F10"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022" w:type="dxa"/>
            <w:tcBorders>
              <w:top w:val="single" w:sz="4" w:space="0" w:color="auto"/>
            </w:tcBorders>
            <w:shd w:val="clear" w:color="auto" w:fill="F2F2F2"/>
            <w:vAlign w:val="center"/>
          </w:tcPr>
          <w:p w14:paraId="37A75E91" w14:textId="0009C821"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1</w:t>
            </w:r>
            <w:r w:rsidR="00C31B31">
              <w:rPr>
                <w:spacing w:val="2"/>
                <w:sz w:val="20"/>
                <w:szCs w:val="20"/>
                <w14:ligatures w14:val="standard"/>
                <w14:numForm w14:val="lining"/>
                <w14:numSpacing w14:val="proportional"/>
              </w:rPr>
              <w:t>85</w:t>
            </w:r>
          </w:p>
        </w:tc>
      </w:tr>
      <w:tr w:rsidR="00EE37C8" w:rsidRPr="00E5087D" w14:paraId="41B43515" w14:textId="77777777">
        <w:tc>
          <w:tcPr>
            <w:tcW w:w="3745" w:type="dxa"/>
            <w:tcBorders>
              <w:left w:val="nil"/>
            </w:tcBorders>
            <w:vAlign w:val="center"/>
          </w:tcPr>
          <w:p w14:paraId="7B8E819B" w14:textId="77777777" w:rsidR="00EE37C8" w:rsidRPr="00E5087D" w:rsidRDefault="00EE37C8">
            <w:pPr>
              <w:spacing w:before="80" w:after="80"/>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AURETH101 - Depower and reinitialise battery electric vehicles</w:t>
            </w:r>
          </w:p>
        </w:tc>
        <w:tc>
          <w:tcPr>
            <w:tcW w:w="1488" w:type="dxa"/>
            <w:vAlign w:val="center"/>
          </w:tcPr>
          <w:p w14:paraId="250F211B" w14:textId="6A2BE8C0" w:rsidR="00EE37C8" w:rsidRPr="0043668A" w:rsidRDefault="00EE37C8">
            <w:pPr>
              <w:spacing w:before="80" w:after="80"/>
              <w:jc w:val="center"/>
              <w:rPr>
                <w:spacing w:val="2"/>
                <w:sz w:val="20"/>
                <w:szCs w:val="20"/>
                <w14:ligatures w14:val="standard"/>
                <w14:numForm w14:val="lining"/>
                <w14:numSpacing w14:val="proportional"/>
              </w:rPr>
            </w:pPr>
            <w:r w:rsidRPr="0043668A">
              <w:rPr>
                <w:spacing w:val="2"/>
                <w:sz w:val="20"/>
                <w:szCs w:val="20"/>
                <w14:ligatures w14:val="standard"/>
                <w14:numForm w14:val="lining"/>
                <w14:numSpacing w14:val="proportional"/>
              </w:rPr>
              <w:t>2,</w:t>
            </w:r>
            <w:r w:rsidR="0043668A" w:rsidRPr="0043668A">
              <w:rPr>
                <w:spacing w:val="2"/>
                <w:sz w:val="20"/>
                <w:szCs w:val="20"/>
                <w14:ligatures w14:val="standard"/>
                <w14:numForm w14:val="lining"/>
                <w14:numSpacing w14:val="proportional"/>
              </w:rPr>
              <w:t>33</w:t>
            </w:r>
            <w:r w:rsidRPr="0043668A">
              <w:rPr>
                <w:spacing w:val="2"/>
                <w:sz w:val="20"/>
                <w:szCs w:val="20"/>
                <w14:ligatures w14:val="standard"/>
                <w14:numForm w14:val="lining"/>
                <w14:numSpacing w14:val="proportional"/>
              </w:rPr>
              <w:t>2</w:t>
            </w:r>
          </w:p>
        </w:tc>
        <w:tc>
          <w:tcPr>
            <w:tcW w:w="1447" w:type="dxa"/>
            <w:vAlign w:val="center"/>
          </w:tcPr>
          <w:p w14:paraId="5075BDC8"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324" w:type="dxa"/>
            <w:vAlign w:val="center"/>
          </w:tcPr>
          <w:p w14:paraId="4FFE8B9B"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022" w:type="dxa"/>
            <w:vAlign w:val="center"/>
          </w:tcPr>
          <w:p w14:paraId="733E8D00" w14:textId="4F9CFEB3"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18</w:t>
            </w:r>
            <w:r w:rsidR="007C3CD2">
              <w:rPr>
                <w:spacing w:val="2"/>
                <w:sz w:val="20"/>
                <w:szCs w:val="20"/>
                <w14:ligatures w14:val="standard"/>
                <w14:numForm w14:val="lining"/>
                <w14:numSpacing w14:val="proportional"/>
              </w:rPr>
              <w:t>8</w:t>
            </w:r>
          </w:p>
        </w:tc>
      </w:tr>
      <w:tr w:rsidR="00EE37C8" w:rsidRPr="00E5087D" w14:paraId="29BBFFB9" w14:textId="77777777">
        <w:tc>
          <w:tcPr>
            <w:tcW w:w="3745" w:type="dxa"/>
            <w:tcBorders>
              <w:left w:val="nil"/>
              <w:bottom w:val="single" w:sz="4" w:space="0" w:color="auto"/>
            </w:tcBorders>
            <w:shd w:val="clear" w:color="auto" w:fill="F2F2F2"/>
            <w:vAlign w:val="center"/>
          </w:tcPr>
          <w:p w14:paraId="396538AD" w14:textId="77777777" w:rsidR="00EE37C8" w:rsidRPr="00E5087D" w:rsidRDefault="00EE37C8">
            <w:pPr>
              <w:spacing w:before="80" w:after="80"/>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AURETH015 - Diagnose, remove and replace heavy electric vehicle rechargeable energy storage systems</w:t>
            </w:r>
          </w:p>
        </w:tc>
        <w:tc>
          <w:tcPr>
            <w:tcW w:w="1488" w:type="dxa"/>
            <w:tcBorders>
              <w:bottom w:val="single" w:sz="4" w:space="0" w:color="auto"/>
            </w:tcBorders>
            <w:shd w:val="clear" w:color="auto" w:fill="F2F2F2"/>
            <w:vAlign w:val="center"/>
          </w:tcPr>
          <w:p w14:paraId="7B3C1AB6" w14:textId="1BDB3741" w:rsidR="00EE37C8" w:rsidRPr="0043668A" w:rsidRDefault="00EE37C8">
            <w:pPr>
              <w:spacing w:before="80" w:after="80"/>
              <w:jc w:val="center"/>
              <w:rPr>
                <w:spacing w:val="2"/>
                <w:sz w:val="20"/>
                <w:szCs w:val="20"/>
                <w14:ligatures w14:val="standard"/>
                <w14:numForm w14:val="lining"/>
                <w14:numSpacing w14:val="proportional"/>
              </w:rPr>
            </w:pPr>
            <w:r w:rsidRPr="0043668A">
              <w:rPr>
                <w:spacing w:val="2"/>
                <w:sz w:val="20"/>
                <w:szCs w:val="20"/>
                <w14:ligatures w14:val="standard"/>
                <w14:numForm w14:val="lining"/>
                <w14:numSpacing w14:val="proportional"/>
              </w:rPr>
              <w:t>2</w:t>
            </w:r>
            <w:r w:rsidR="00FF2EB1" w:rsidRPr="0043668A">
              <w:rPr>
                <w:spacing w:val="2"/>
                <w:sz w:val="20"/>
                <w:szCs w:val="20"/>
                <w14:ligatures w14:val="standard"/>
                <w14:numForm w14:val="lining"/>
                <w14:numSpacing w14:val="proportional"/>
              </w:rPr>
              <w:t>7</w:t>
            </w:r>
          </w:p>
        </w:tc>
        <w:tc>
          <w:tcPr>
            <w:tcW w:w="1447" w:type="dxa"/>
            <w:tcBorders>
              <w:bottom w:val="single" w:sz="4" w:space="0" w:color="auto"/>
            </w:tcBorders>
            <w:shd w:val="clear" w:color="auto" w:fill="F2F2F2"/>
            <w:vAlign w:val="center"/>
          </w:tcPr>
          <w:p w14:paraId="4BD9BE77"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Training package elective</w:t>
            </w:r>
          </w:p>
        </w:tc>
        <w:tc>
          <w:tcPr>
            <w:tcW w:w="1324" w:type="dxa"/>
            <w:tcBorders>
              <w:bottom w:val="single" w:sz="4" w:space="0" w:color="auto"/>
            </w:tcBorders>
            <w:shd w:val="clear" w:color="auto" w:fill="F2F2F2"/>
            <w:vAlign w:val="center"/>
          </w:tcPr>
          <w:p w14:paraId="7B6CA8EE" w14:textId="77777777" w:rsidR="00EE37C8" w:rsidRPr="00E5087D" w:rsidRDefault="00EE37C8">
            <w:pPr>
              <w:spacing w:before="80" w:after="80"/>
              <w:jc w:val="cente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t>-</w:t>
            </w:r>
          </w:p>
        </w:tc>
        <w:tc>
          <w:tcPr>
            <w:tcW w:w="1022" w:type="dxa"/>
            <w:tcBorders>
              <w:bottom w:val="single" w:sz="4" w:space="0" w:color="auto"/>
            </w:tcBorders>
            <w:shd w:val="clear" w:color="auto" w:fill="F2F2F2"/>
            <w:vAlign w:val="center"/>
          </w:tcPr>
          <w:p w14:paraId="12999A2A" w14:textId="1F4A51AC" w:rsidR="00EE37C8" w:rsidRPr="00E5087D" w:rsidRDefault="00C169FE">
            <w:pPr>
              <w:spacing w:before="80" w:after="80"/>
              <w:jc w:val="center"/>
              <w:rPr>
                <w:spacing w:val="2"/>
                <w:sz w:val="20"/>
                <w:szCs w:val="20"/>
                <w14:ligatures w14:val="standard"/>
                <w14:numForm w14:val="lining"/>
                <w14:numSpacing w14:val="proportional"/>
              </w:rPr>
            </w:pPr>
            <w:r>
              <w:rPr>
                <w:spacing w:val="2"/>
                <w:sz w:val="20"/>
                <w:szCs w:val="20"/>
                <w14:ligatures w14:val="standard"/>
                <w14:numForm w14:val="lining"/>
                <w14:numSpacing w14:val="proportional"/>
              </w:rPr>
              <w:t>70</w:t>
            </w:r>
          </w:p>
        </w:tc>
      </w:tr>
    </w:tbl>
    <w:p w14:paraId="2C4E141B" w14:textId="04501236" w:rsidR="00EE37C8" w:rsidRPr="00E5087D" w:rsidRDefault="00EE37C8" w:rsidP="00EE37C8">
      <w:pPr>
        <w:spacing w:before="160" w:after="0" w:line="276" w:lineRule="auto"/>
        <w:rPr>
          <w:b/>
          <w:bCs/>
          <w:spacing w:val="2"/>
          <w14:ligatures w14:val="standard"/>
          <w14:numForm w14:val="lining"/>
          <w14:numSpacing w14:val="proportional"/>
        </w:rPr>
      </w:pPr>
      <w:r w:rsidRPr="00E5087D">
        <w:rPr>
          <w:b/>
          <w:bCs/>
          <w:spacing w:val="2"/>
          <w14:ligatures w14:val="standard"/>
          <w14:numForm w14:val="lining"/>
          <w14:numSpacing w14:val="proportional"/>
        </w:rPr>
        <w:t xml:space="preserve">Table </w:t>
      </w:r>
      <w:r w:rsidR="00691A79">
        <w:rPr>
          <w:b/>
          <w:bCs/>
          <w:spacing w:val="2"/>
          <w14:ligatures w14:val="standard"/>
          <w14:numForm w14:val="lining"/>
          <w14:numSpacing w14:val="proportional"/>
        </w:rPr>
        <w:t>4.4</w:t>
      </w:r>
      <w:r w:rsidR="00323AA8">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Electric vehicle electives in traditional automotive apprenticeships</w:t>
      </w:r>
    </w:p>
    <w:p w14:paraId="4A66169E" w14:textId="2FC3A476" w:rsidR="00EE37C8" w:rsidRPr="00E5087D" w:rsidRDefault="00EE37C8" w:rsidP="00EE37C8">
      <w:pPr>
        <w:spacing w:before="80" w:after="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Source: </w:t>
      </w:r>
      <w:r w:rsidR="007423D2">
        <w:rPr>
          <w:spacing w:val="2"/>
          <w:sz w:val="18"/>
          <w:szCs w:val="18"/>
          <w14:ligatures w14:val="standard"/>
          <w14:numForm w14:val="lining"/>
          <w14:numSpacing w14:val="proportional"/>
        </w:rPr>
        <w:t>T</w:t>
      </w:r>
      <w:r w:rsidRPr="00E5087D">
        <w:rPr>
          <w:spacing w:val="2"/>
          <w:sz w:val="18"/>
          <w:szCs w:val="18"/>
          <w14:ligatures w14:val="standard"/>
          <w14:numForm w14:val="lining"/>
          <w14:numSpacing w14:val="proportional"/>
        </w:rPr>
        <w:t xml:space="preserve">raining.gov.au; Certificate III in Automotive Electrical Technology and Certificate III in Light Vehicle Mechanic on </w:t>
      </w:r>
      <w:r w:rsidR="00D6729B">
        <w:rPr>
          <w:spacing w:val="2"/>
          <w:sz w:val="18"/>
          <w:szCs w:val="18"/>
          <w14:ligatures w14:val="standard"/>
          <w14:numForm w14:val="lining"/>
          <w14:numSpacing w14:val="proportional"/>
        </w:rPr>
        <w:t>13</w:t>
      </w:r>
      <w:r w:rsidRPr="00E5087D">
        <w:rPr>
          <w:spacing w:val="2"/>
          <w:sz w:val="18"/>
          <w:szCs w:val="18"/>
          <w14:ligatures w14:val="standard"/>
          <w14:numForm w14:val="lining"/>
          <w14:numSpacing w14:val="proportional"/>
        </w:rPr>
        <w:t xml:space="preserve"> </w:t>
      </w:r>
      <w:r w:rsidR="00C169FE">
        <w:rPr>
          <w:spacing w:val="2"/>
          <w:sz w:val="18"/>
          <w:szCs w:val="18"/>
          <w14:ligatures w14:val="standard"/>
          <w14:numForm w14:val="lining"/>
          <w14:numSpacing w14:val="proportional"/>
        </w:rPr>
        <w:t>September</w:t>
      </w:r>
      <w:r w:rsidRPr="00E5087D">
        <w:rPr>
          <w:spacing w:val="2"/>
          <w:sz w:val="18"/>
          <w:szCs w:val="18"/>
          <w14:ligatures w14:val="standard"/>
          <w14:numForm w14:val="lining"/>
          <w14:numSpacing w14:val="proportional"/>
        </w:rPr>
        <w:t xml:space="preserve"> 2023.</w:t>
      </w:r>
    </w:p>
    <w:p w14:paraId="497E77D3" w14:textId="502EFA9A" w:rsidR="00EE37C8" w:rsidRPr="00E5087D" w:rsidRDefault="00EE37C8" w:rsidP="00EE37C8">
      <w:pPr>
        <w:spacing w:before="80" w:after="0" w:line="276" w:lineRule="auto"/>
        <w:rPr>
          <w:spacing w:val="2"/>
          <w:sz w:val="18"/>
          <w:szCs w:val="18"/>
          <w14:ligatures w14:val="standard"/>
          <w14:numForm w14:val="lining"/>
          <w14:numSpacing w14:val="proportional"/>
        </w:rPr>
      </w:pPr>
      <w:r w:rsidRPr="00E5087D">
        <w:rPr>
          <w:spacing w:val="2"/>
          <w:sz w:val="18"/>
          <w:szCs w:val="18"/>
          <w14:ligatures w14:val="standard"/>
          <w14:numForm w14:val="lining"/>
          <w14:numSpacing w14:val="proportional"/>
        </w:rPr>
        <w:t xml:space="preserve">Note: “RTOs” indicates </w:t>
      </w:r>
      <w:r w:rsidR="00D865AB">
        <w:rPr>
          <w:spacing w:val="2"/>
          <w:sz w:val="18"/>
          <w:szCs w:val="18"/>
          <w14:ligatures w14:val="standard"/>
          <w14:numForm w14:val="lining"/>
          <w14:numSpacing w14:val="proportional"/>
        </w:rPr>
        <w:t>the number of</w:t>
      </w:r>
      <w:r w:rsidRPr="00E5087D">
        <w:rPr>
          <w:spacing w:val="2"/>
          <w:sz w:val="18"/>
          <w:szCs w:val="18"/>
          <w14:ligatures w14:val="standard"/>
          <w14:numForm w14:val="lining"/>
          <w14:numSpacing w14:val="proportional"/>
        </w:rPr>
        <w:t xml:space="preserve"> RTOs with the units of competency on their scope of delivery. This does not imply active enrolments in these courses at all of these RTOs. </w:t>
      </w:r>
    </w:p>
    <w:p w14:paraId="13C7BDFC" w14:textId="77777777" w:rsidR="00EE37C8" w:rsidRPr="00E5087D" w:rsidRDefault="00EE37C8" w:rsidP="00EE37C8">
      <w:pPr>
        <w:spacing w:before="240" w:after="120"/>
        <w:rPr>
          <w:b/>
          <w:bCs/>
        </w:rPr>
      </w:pPr>
      <w:r w:rsidRPr="00E5087D">
        <w:rPr>
          <w:b/>
          <w:bCs/>
        </w:rPr>
        <w:t>Higher education</w:t>
      </w:r>
    </w:p>
    <w:p w14:paraId="70D02856" w14:textId="77777777" w:rsidR="00EE37C8" w:rsidRPr="00E5087D" w:rsidRDefault="00EE37C8" w:rsidP="00EE37C8">
      <w:pPr>
        <w:spacing w:before="120" w:after="120"/>
      </w:pPr>
      <w:r w:rsidRPr="00E5087D">
        <w:t xml:space="preserve">Unlike the VET sector, higher education electives are designed by individual universities, meaning there is no consistent approach to their development or delivery. However, this enables respective universities to specialise their offerings and target particular technologies or industries at a more sustainable scale. </w:t>
      </w:r>
    </w:p>
    <w:p w14:paraId="7CA8697E" w14:textId="40B41A98" w:rsidR="00EE37C8" w:rsidRPr="00E5087D" w:rsidRDefault="00EE37C8" w:rsidP="00EE37C8">
      <w:pPr>
        <w:rPr>
          <w:rFonts w:cs="Arial"/>
        </w:rPr>
      </w:pPr>
      <w:r w:rsidRPr="00E5087D">
        <w:rPr>
          <w:rFonts w:cs="Arial"/>
        </w:rPr>
        <w:t xml:space="preserve">By enrolling in broad-based engineering qualifications, students can tailor their specialisations and select </w:t>
      </w:r>
      <w:r w:rsidR="00262481">
        <w:rPr>
          <w:rFonts w:cs="Arial"/>
        </w:rPr>
        <w:t>courses relevant to the</w:t>
      </w:r>
      <w:r w:rsidRPr="00E5087D">
        <w:rPr>
          <w:rFonts w:cs="Arial"/>
        </w:rPr>
        <w:t xml:space="preserve"> clean energy sector. Some of the qualifications that are being offered by </w:t>
      </w:r>
      <w:r w:rsidR="00753B95">
        <w:rPr>
          <w:rFonts w:cs="Arial"/>
        </w:rPr>
        <w:t>universities in Australia</w:t>
      </w:r>
      <w:r w:rsidRPr="00E5087D">
        <w:rPr>
          <w:rFonts w:cs="Arial"/>
        </w:rPr>
        <w:t xml:space="preserve"> to select a specialisation as part of their undergraduate programme </w:t>
      </w:r>
      <w:r w:rsidR="00310FC9">
        <w:rPr>
          <w:rFonts w:cs="Arial"/>
        </w:rPr>
        <w:t xml:space="preserve">are shown below. The full list of specialisation units for undergraduate and postgraduate pathways </w:t>
      </w:r>
      <w:r w:rsidR="00753B95">
        <w:rPr>
          <w:rFonts w:cs="Arial"/>
        </w:rPr>
        <w:t xml:space="preserve">can be found in </w:t>
      </w:r>
      <w:r w:rsidR="00753B95" w:rsidRPr="00310FC9">
        <w:rPr>
          <w:rFonts w:cs="Arial"/>
        </w:rPr>
        <w:t>Attachment B.</w:t>
      </w:r>
      <w:r w:rsidRPr="00E5087D">
        <w:rPr>
          <w:rFonts w:cs="Arial"/>
        </w:rPr>
        <w:t xml:space="preserve"> </w:t>
      </w:r>
    </w:p>
    <w:p w14:paraId="63E40985" w14:textId="349E2561" w:rsidR="00EE37C8" w:rsidRPr="00E5087D" w:rsidRDefault="00EE37C8" w:rsidP="00EE37C8">
      <w:pPr>
        <w:spacing w:after="120"/>
        <w:rPr>
          <w:rFonts w:cs="Arial"/>
          <w:b/>
          <w:bCs/>
        </w:rPr>
      </w:pPr>
      <w:bookmarkStart w:id="43" w:name="_Hlk140146444"/>
      <w:r w:rsidRPr="00E5087D">
        <w:rPr>
          <w:rFonts w:cs="Arial"/>
          <w:b/>
          <w:bCs/>
        </w:rPr>
        <w:t xml:space="preserve">Table </w:t>
      </w:r>
      <w:r w:rsidR="00691A79">
        <w:rPr>
          <w:rFonts w:cs="Arial"/>
          <w:b/>
          <w:bCs/>
        </w:rPr>
        <w:t>4.5</w:t>
      </w:r>
      <w:r w:rsidR="00323AA8">
        <w:rPr>
          <w:rFonts w:cs="Arial"/>
          <w:b/>
          <w:bCs/>
        </w:rPr>
        <w:t>.</w:t>
      </w:r>
      <w:r w:rsidRPr="00E5087D">
        <w:rPr>
          <w:rFonts w:cs="Arial"/>
          <w:b/>
          <w:bCs/>
        </w:rPr>
        <w:t xml:space="preserve"> Example of additional specialisation units delivered by Universities</w:t>
      </w:r>
    </w:p>
    <w:tbl>
      <w:tblPr>
        <w:tblStyle w:val="TableGrid"/>
        <w:tblW w:w="0" w:type="auto"/>
        <w:jc w:val="center"/>
        <w:tblLook w:val="04A0" w:firstRow="1" w:lastRow="0" w:firstColumn="1" w:lastColumn="0" w:noHBand="0" w:noVBand="1"/>
      </w:tblPr>
      <w:tblGrid>
        <w:gridCol w:w="1583"/>
        <w:gridCol w:w="2108"/>
        <w:gridCol w:w="3998"/>
        <w:gridCol w:w="1327"/>
      </w:tblGrid>
      <w:tr w:rsidR="00EE37C8" w:rsidRPr="00E5087D" w14:paraId="28B7BCA4" w14:textId="77777777" w:rsidTr="00BF06E9">
        <w:trPr>
          <w:jc w:val="center"/>
        </w:trPr>
        <w:tc>
          <w:tcPr>
            <w:tcW w:w="1583" w:type="dxa"/>
            <w:tcBorders>
              <w:top w:val="single" w:sz="4" w:space="0" w:color="auto"/>
              <w:left w:val="single" w:sz="4" w:space="0" w:color="auto"/>
              <w:bottom w:val="single" w:sz="2" w:space="0" w:color="000000" w:themeColor="text1"/>
              <w:right w:val="single" w:sz="4" w:space="0" w:color="auto"/>
            </w:tcBorders>
            <w:shd w:val="clear" w:color="auto" w:fill="DAE3F5"/>
            <w:hideMark/>
          </w:tcPr>
          <w:p w14:paraId="3E4E322C" w14:textId="2D767FE0" w:rsidR="00EE37C8" w:rsidRPr="00E5087D" w:rsidRDefault="00EE37C8">
            <w:pPr>
              <w:jc w:val="center"/>
              <w:rPr>
                <w:rFonts w:cs="Arial"/>
                <w:b/>
                <w:bCs/>
              </w:rPr>
            </w:pPr>
            <w:r w:rsidRPr="00E5087D">
              <w:rPr>
                <w:rFonts w:cs="Arial"/>
                <w:b/>
                <w:bCs/>
              </w:rPr>
              <w:t>Tech</w:t>
            </w:r>
          </w:p>
        </w:tc>
        <w:tc>
          <w:tcPr>
            <w:tcW w:w="2108" w:type="dxa"/>
            <w:tcBorders>
              <w:top w:val="single" w:sz="4" w:space="0" w:color="auto"/>
              <w:left w:val="single" w:sz="4" w:space="0" w:color="auto"/>
              <w:bottom w:val="single" w:sz="4" w:space="0" w:color="auto"/>
              <w:right w:val="single" w:sz="4" w:space="0" w:color="auto"/>
            </w:tcBorders>
            <w:shd w:val="clear" w:color="auto" w:fill="DAE3F5"/>
            <w:hideMark/>
          </w:tcPr>
          <w:p w14:paraId="58E78951" w14:textId="4BA0FCAC" w:rsidR="00EE37C8" w:rsidRPr="00E5087D" w:rsidRDefault="00EE37C8">
            <w:pPr>
              <w:jc w:val="center"/>
              <w:rPr>
                <w:rFonts w:cs="Arial"/>
                <w:b/>
                <w:bCs/>
              </w:rPr>
            </w:pPr>
            <w:r w:rsidRPr="00E5087D">
              <w:rPr>
                <w:rFonts w:cs="Arial"/>
                <w:b/>
                <w:bCs/>
              </w:rPr>
              <w:t>Unit name</w:t>
            </w:r>
          </w:p>
        </w:tc>
        <w:tc>
          <w:tcPr>
            <w:tcW w:w="3998" w:type="dxa"/>
            <w:tcBorders>
              <w:top w:val="single" w:sz="4" w:space="0" w:color="auto"/>
              <w:left w:val="single" w:sz="4" w:space="0" w:color="auto"/>
              <w:bottom w:val="single" w:sz="4" w:space="0" w:color="auto"/>
              <w:right w:val="single" w:sz="4" w:space="0" w:color="auto"/>
            </w:tcBorders>
            <w:shd w:val="clear" w:color="auto" w:fill="DAE3F5"/>
            <w:hideMark/>
          </w:tcPr>
          <w:p w14:paraId="458BBF45" w14:textId="73F43694" w:rsidR="00EE37C8" w:rsidRPr="00E5087D" w:rsidRDefault="00EE37C8">
            <w:pPr>
              <w:jc w:val="center"/>
              <w:rPr>
                <w:rFonts w:cs="Arial"/>
                <w:b/>
                <w:bCs/>
              </w:rPr>
            </w:pPr>
            <w:r w:rsidRPr="00E5087D">
              <w:rPr>
                <w:rFonts w:cs="Arial"/>
                <w:b/>
                <w:bCs/>
              </w:rPr>
              <w:t>Unit Description</w:t>
            </w:r>
          </w:p>
        </w:tc>
        <w:tc>
          <w:tcPr>
            <w:tcW w:w="1327" w:type="dxa"/>
            <w:tcBorders>
              <w:top w:val="single" w:sz="4" w:space="0" w:color="auto"/>
              <w:left w:val="single" w:sz="4" w:space="0" w:color="auto"/>
              <w:bottom w:val="single" w:sz="4" w:space="0" w:color="auto"/>
              <w:right w:val="single" w:sz="4" w:space="0" w:color="auto"/>
            </w:tcBorders>
            <w:shd w:val="clear" w:color="auto" w:fill="DAE3F5"/>
            <w:hideMark/>
          </w:tcPr>
          <w:p w14:paraId="1D35818D" w14:textId="50213C64" w:rsidR="00EE37C8" w:rsidRPr="00E5087D" w:rsidRDefault="00EE37C8">
            <w:pPr>
              <w:jc w:val="center"/>
              <w:rPr>
                <w:rFonts w:cs="Arial"/>
                <w:b/>
                <w:bCs/>
              </w:rPr>
            </w:pPr>
            <w:r w:rsidRPr="00E5087D">
              <w:rPr>
                <w:rFonts w:cs="Arial"/>
                <w:b/>
                <w:bCs/>
              </w:rPr>
              <w:t>University</w:t>
            </w:r>
          </w:p>
        </w:tc>
      </w:tr>
      <w:tr w:rsidR="00EE37C8" w:rsidRPr="00E5087D" w14:paraId="7AE7140E" w14:textId="77777777" w:rsidTr="00BF06E9">
        <w:trPr>
          <w:jc w:val="center"/>
        </w:trPr>
        <w:tc>
          <w:tcPr>
            <w:tcW w:w="1583" w:type="dxa"/>
            <w:vMerge w:val="restart"/>
            <w:tcBorders>
              <w:top w:val="single" w:sz="2" w:space="0" w:color="000000" w:themeColor="text1"/>
              <w:left w:val="single" w:sz="4" w:space="0" w:color="auto"/>
              <w:bottom w:val="single" w:sz="2" w:space="0" w:color="000000" w:themeColor="text1"/>
              <w:right w:val="single" w:sz="2" w:space="0" w:color="000000" w:themeColor="text1"/>
            </w:tcBorders>
            <w:shd w:val="clear" w:color="auto" w:fill="FFFFFF" w:themeFill="background1"/>
          </w:tcPr>
          <w:p w14:paraId="2BCC9ED2" w14:textId="71523DD4" w:rsidR="00EE37C8" w:rsidRPr="00E5087D" w:rsidRDefault="00EE37C8">
            <w:pPr>
              <w:rPr>
                <w:rFonts w:cs="Arial"/>
              </w:rPr>
            </w:pPr>
            <w:r w:rsidRPr="00E5087D">
              <w:rPr>
                <w:rFonts w:cs="Arial"/>
                <w:sz w:val="20"/>
                <w:szCs w:val="20"/>
              </w:rPr>
              <w:t>Solar</w:t>
            </w:r>
          </w:p>
        </w:tc>
        <w:tc>
          <w:tcPr>
            <w:tcW w:w="2108" w:type="dxa"/>
            <w:tcBorders>
              <w:top w:val="single" w:sz="4" w:space="0" w:color="auto"/>
              <w:left w:val="single" w:sz="2" w:space="0" w:color="000000" w:themeColor="text1"/>
              <w:bottom w:val="single" w:sz="2" w:space="0" w:color="000000" w:themeColor="text1"/>
              <w:right w:val="single" w:sz="4" w:space="0" w:color="auto"/>
            </w:tcBorders>
            <w:hideMark/>
          </w:tcPr>
          <w:p w14:paraId="63F59D74" w14:textId="53348BE3" w:rsidR="00EE37C8" w:rsidRPr="00E5087D" w:rsidRDefault="00EE37C8">
            <w:pPr>
              <w:ind w:left="720" w:hanging="720"/>
              <w:rPr>
                <w:rFonts w:cs="Arial"/>
                <w:sz w:val="20"/>
                <w:szCs w:val="20"/>
              </w:rPr>
            </w:pPr>
            <w:r w:rsidRPr="00E5087D">
              <w:rPr>
                <w:rFonts w:cs="Arial"/>
                <w:sz w:val="20"/>
                <w:szCs w:val="20"/>
              </w:rPr>
              <w:t>Solar Energy</w:t>
            </w:r>
          </w:p>
        </w:tc>
        <w:tc>
          <w:tcPr>
            <w:tcW w:w="3998" w:type="dxa"/>
            <w:tcBorders>
              <w:top w:val="single" w:sz="4" w:space="0" w:color="auto"/>
              <w:left w:val="single" w:sz="4" w:space="0" w:color="auto"/>
              <w:bottom w:val="single" w:sz="4" w:space="0" w:color="auto"/>
              <w:right w:val="single" w:sz="4" w:space="0" w:color="auto"/>
            </w:tcBorders>
            <w:hideMark/>
          </w:tcPr>
          <w:p w14:paraId="60A649B3" w14:textId="77CF633C" w:rsidR="00EE37C8" w:rsidRPr="00E5087D" w:rsidRDefault="00EE37C8">
            <w:pPr>
              <w:rPr>
                <w:rFonts w:cs="Arial"/>
                <w:sz w:val="20"/>
                <w:szCs w:val="20"/>
              </w:rPr>
            </w:pPr>
            <w:r w:rsidRPr="00E5087D">
              <w:rPr>
                <w:rFonts w:cs="Arial"/>
                <w:sz w:val="20"/>
                <w:szCs w:val="20"/>
              </w:rPr>
              <w:t>Provides concepts associated with the solar energy industry, including the characteristics of solar radiation and solar collectors</w:t>
            </w:r>
            <w:r w:rsidR="5FDBAB35" w:rsidRPr="259CC6D1">
              <w:rPr>
                <w:rFonts w:cs="Arial"/>
                <w:sz w:val="20"/>
                <w:szCs w:val="20"/>
              </w:rPr>
              <w:t>.</w:t>
            </w:r>
            <w:r w:rsidRPr="00E5087D">
              <w:rPr>
                <w:rFonts w:cs="Arial"/>
                <w:sz w:val="20"/>
                <w:szCs w:val="20"/>
              </w:rPr>
              <w:t xml:space="preserve"> </w:t>
            </w:r>
          </w:p>
        </w:tc>
        <w:tc>
          <w:tcPr>
            <w:tcW w:w="1327" w:type="dxa"/>
            <w:tcBorders>
              <w:top w:val="single" w:sz="4" w:space="0" w:color="auto"/>
              <w:left w:val="single" w:sz="4" w:space="0" w:color="auto"/>
              <w:bottom w:val="single" w:sz="4" w:space="0" w:color="auto"/>
              <w:right w:val="single" w:sz="4" w:space="0" w:color="auto"/>
            </w:tcBorders>
            <w:hideMark/>
          </w:tcPr>
          <w:p w14:paraId="66663AB5" w14:textId="3FE37BBF" w:rsidR="00EE37C8" w:rsidRPr="00E5087D" w:rsidRDefault="00EE37C8">
            <w:pPr>
              <w:rPr>
                <w:rFonts w:cs="Arial"/>
                <w:sz w:val="20"/>
                <w:szCs w:val="20"/>
              </w:rPr>
            </w:pPr>
            <w:r w:rsidRPr="00E5087D">
              <w:rPr>
                <w:rFonts w:cs="Arial"/>
                <w:sz w:val="20"/>
                <w:szCs w:val="20"/>
              </w:rPr>
              <w:t>Monash University</w:t>
            </w:r>
          </w:p>
        </w:tc>
      </w:tr>
      <w:tr w:rsidR="00EE37C8" w:rsidRPr="00E5087D" w14:paraId="4385295B" w14:textId="77777777" w:rsidTr="00BF06E9">
        <w:trPr>
          <w:jc w:val="center"/>
        </w:trPr>
        <w:tc>
          <w:tcPr>
            <w:tcW w:w="1583" w:type="dxa"/>
            <w:vMerge/>
            <w:tcBorders>
              <w:top w:val="single" w:sz="2" w:space="0" w:color="000000" w:themeColor="text1"/>
              <w:right w:val="single" w:sz="2" w:space="0" w:color="000000" w:themeColor="text1"/>
            </w:tcBorders>
            <w:vAlign w:val="center"/>
            <w:hideMark/>
          </w:tcPr>
          <w:p w14:paraId="0DF96948" w14:textId="002B3A65" w:rsidR="00EE37C8" w:rsidRPr="00E5087D" w:rsidRDefault="00EE37C8">
            <w:pPr>
              <w:rPr>
                <w:rFonts w:cs="Arial"/>
                <w:kern w:val="2"/>
                <w14:ligatures w14:val="standardContextual"/>
              </w:rPr>
            </w:pPr>
          </w:p>
        </w:tc>
        <w:tc>
          <w:tcPr>
            <w:tcW w:w="2108" w:type="dxa"/>
            <w:tcBorders>
              <w:top w:val="single" w:sz="2" w:space="0" w:color="000000" w:themeColor="text1"/>
              <w:left w:val="single" w:sz="2" w:space="0" w:color="000000" w:themeColor="text1"/>
              <w:bottom w:val="single" w:sz="4" w:space="0" w:color="auto"/>
              <w:right w:val="single" w:sz="4" w:space="0" w:color="auto"/>
            </w:tcBorders>
            <w:hideMark/>
          </w:tcPr>
          <w:p w14:paraId="34489CF0" w14:textId="67A26C33" w:rsidR="00EE37C8" w:rsidRPr="00E5087D" w:rsidRDefault="00EE37C8">
            <w:pPr>
              <w:rPr>
                <w:rFonts w:cs="Arial"/>
                <w:sz w:val="20"/>
                <w:szCs w:val="20"/>
                <w:shd w:val="clear" w:color="auto" w:fill="FFFFFF"/>
              </w:rPr>
            </w:pPr>
            <w:r w:rsidRPr="00E5087D">
              <w:rPr>
                <w:rFonts w:cs="Arial"/>
                <w:sz w:val="20"/>
                <w:szCs w:val="20"/>
              </w:rPr>
              <w:t>Solar Thermal Energy Design</w:t>
            </w:r>
          </w:p>
        </w:tc>
        <w:tc>
          <w:tcPr>
            <w:tcW w:w="3998" w:type="dxa"/>
            <w:tcBorders>
              <w:top w:val="single" w:sz="4" w:space="0" w:color="auto"/>
              <w:left w:val="single" w:sz="4" w:space="0" w:color="auto"/>
              <w:bottom w:val="single" w:sz="4" w:space="0" w:color="auto"/>
              <w:right w:val="single" w:sz="4" w:space="0" w:color="auto"/>
            </w:tcBorders>
            <w:hideMark/>
          </w:tcPr>
          <w:p w14:paraId="60B97C5A" w14:textId="158ECBBA" w:rsidR="00EE37C8" w:rsidRPr="00E5087D" w:rsidRDefault="00EE37C8">
            <w:pPr>
              <w:rPr>
                <w:rFonts w:cs="Arial"/>
                <w:sz w:val="20"/>
                <w:szCs w:val="20"/>
              </w:rPr>
            </w:pPr>
            <w:r w:rsidRPr="00E5087D">
              <w:rPr>
                <w:rFonts w:cs="Arial"/>
                <w:sz w:val="20"/>
                <w:szCs w:val="20"/>
                <w:shd w:val="clear" w:color="auto" w:fill="FFFFFF"/>
              </w:rPr>
              <w:t>Provides an engineering perspective of the solar technologies used to meet these demands and how the technologies can be integrated into systems including control, circulation and storage.</w:t>
            </w:r>
          </w:p>
        </w:tc>
        <w:tc>
          <w:tcPr>
            <w:tcW w:w="1327" w:type="dxa"/>
            <w:vMerge w:val="restart"/>
            <w:tcBorders>
              <w:top w:val="single" w:sz="4" w:space="0" w:color="auto"/>
              <w:left w:val="single" w:sz="4" w:space="0" w:color="auto"/>
              <w:bottom w:val="single" w:sz="4" w:space="0" w:color="auto"/>
              <w:right w:val="single" w:sz="4" w:space="0" w:color="auto"/>
            </w:tcBorders>
          </w:tcPr>
          <w:p w14:paraId="46E46861" w14:textId="4C91C86B" w:rsidR="00EE37C8" w:rsidRPr="00E5087D" w:rsidRDefault="00EE37C8">
            <w:pPr>
              <w:rPr>
                <w:rFonts w:cs="Arial"/>
                <w:sz w:val="20"/>
                <w:szCs w:val="20"/>
              </w:rPr>
            </w:pPr>
            <w:r w:rsidRPr="00E5087D">
              <w:rPr>
                <w:rFonts w:cs="Arial"/>
                <w:sz w:val="20"/>
                <w:szCs w:val="20"/>
              </w:rPr>
              <w:t>UNSW</w:t>
            </w:r>
          </w:p>
        </w:tc>
      </w:tr>
      <w:tr w:rsidR="00EE37C8" w:rsidRPr="00E5087D" w14:paraId="05AF83AD" w14:textId="77777777" w:rsidTr="00BF06E9">
        <w:trPr>
          <w:jc w:val="center"/>
        </w:trPr>
        <w:tc>
          <w:tcPr>
            <w:tcW w:w="1583" w:type="dxa"/>
            <w:vMerge/>
            <w:tcBorders>
              <w:right w:val="single" w:sz="2" w:space="0" w:color="000000" w:themeColor="text1"/>
            </w:tcBorders>
            <w:vAlign w:val="center"/>
            <w:hideMark/>
          </w:tcPr>
          <w:p w14:paraId="669052E9" w14:textId="3719453A" w:rsidR="00EE37C8" w:rsidRPr="00E5087D" w:rsidRDefault="00EE37C8">
            <w:pPr>
              <w:rPr>
                <w:rFonts w:cs="Arial"/>
                <w:kern w:val="2"/>
                <w14:ligatures w14:val="standardContextual"/>
              </w:rPr>
            </w:pPr>
          </w:p>
        </w:tc>
        <w:tc>
          <w:tcPr>
            <w:tcW w:w="2108" w:type="dxa"/>
            <w:tcBorders>
              <w:top w:val="single" w:sz="4" w:space="0" w:color="auto"/>
              <w:left w:val="single" w:sz="2" w:space="0" w:color="000000" w:themeColor="text1"/>
              <w:bottom w:val="single" w:sz="4" w:space="0" w:color="auto"/>
              <w:right w:val="single" w:sz="4" w:space="0" w:color="auto"/>
            </w:tcBorders>
            <w:hideMark/>
          </w:tcPr>
          <w:p w14:paraId="49C9A017" w14:textId="09BFF166" w:rsidR="00EE37C8" w:rsidRPr="00E5087D" w:rsidRDefault="00EE37C8">
            <w:pPr>
              <w:rPr>
                <w:rFonts w:cs="Arial"/>
                <w:sz w:val="20"/>
                <w:szCs w:val="20"/>
              </w:rPr>
            </w:pPr>
            <w:r w:rsidRPr="00E5087D">
              <w:rPr>
                <w:rFonts w:cs="Arial"/>
                <w:sz w:val="20"/>
                <w:szCs w:val="20"/>
              </w:rPr>
              <w:t>Photovoltaic Stand-alone System Design and Installation</w:t>
            </w:r>
          </w:p>
        </w:tc>
        <w:tc>
          <w:tcPr>
            <w:tcW w:w="3998" w:type="dxa"/>
            <w:tcBorders>
              <w:top w:val="single" w:sz="4" w:space="0" w:color="auto"/>
              <w:left w:val="single" w:sz="4" w:space="0" w:color="auto"/>
              <w:bottom w:val="single" w:sz="4" w:space="0" w:color="auto"/>
              <w:right w:val="single" w:sz="4" w:space="0" w:color="auto"/>
            </w:tcBorders>
            <w:hideMark/>
          </w:tcPr>
          <w:p w14:paraId="570F7E53" w14:textId="50F7CC94" w:rsidR="00EE37C8" w:rsidRPr="00E5087D" w:rsidRDefault="00EE37C8">
            <w:pPr>
              <w:rPr>
                <w:rFonts w:cs="Arial"/>
                <w:sz w:val="20"/>
                <w:szCs w:val="20"/>
              </w:rPr>
            </w:pPr>
            <w:r w:rsidRPr="00E5087D">
              <w:rPr>
                <w:rFonts w:cs="Arial"/>
                <w:sz w:val="20"/>
                <w:szCs w:val="20"/>
              </w:rPr>
              <w:t xml:space="preserve">Enables students to obtain their Business Council for Sustainable Energy (BSCE) provisional accreditation to design and install stand-alone power systems. </w:t>
            </w:r>
          </w:p>
        </w:tc>
        <w:tc>
          <w:tcPr>
            <w:tcW w:w="0" w:type="auto"/>
            <w:vMerge/>
            <w:vAlign w:val="center"/>
            <w:hideMark/>
          </w:tcPr>
          <w:p w14:paraId="086E2C8B" w14:textId="4D701F1C" w:rsidR="00EE37C8" w:rsidRPr="00E5087D" w:rsidRDefault="00EE37C8">
            <w:pPr>
              <w:rPr>
                <w:rFonts w:cs="Arial"/>
                <w:kern w:val="2"/>
                <w:sz w:val="20"/>
                <w:szCs w:val="20"/>
                <w14:ligatures w14:val="standardContextual"/>
              </w:rPr>
            </w:pPr>
          </w:p>
        </w:tc>
      </w:tr>
    </w:tbl>
    <w:p w14:paraId="7BF8E3FD" w14:textId="4C0D3976" w:rsidR="000C61DA" w:rsidRDefault="000C61DA">
      <w:r>
        <w:br w:type="page"/>
      </w:r>
    </w:p>
    <w:tbl>
      <w:tblPr>
        <w:tblStyle w:val="TableGrid"/>
        <w:tblW w:w="0" w:type="auto"/>
        <w:jc w:val="center"/>
        <w:tblLook w:val="04A0" w:firstRow="1" w:lastRow="0" w:firstColumn="1" w:lastColumn="0" w:noHBand="0" w:noVBand="1"/>
      </w:tblPr>
      <w:tblGrid>
        <w:gridCol w:w="1583"/>
        <w:gridCol w:w="2108"/>
        <w:gridCol w:w="3998"/>
        <w:gridCol w:w="1327"/>
      </w:tblGrid>
      <w:tr w:rsidR="00EE37C8" w:rsidRPr="00E5087D" w14:paraId="5068F2F9" w14:textId="77777777" w:rsidTr="000C61DA">
        <w:trPr>
          <w:jc w:val="center"/>
        </w:trPr>
        <w:tc>
          <w:tcPr>
            <w:tcW w:w="1583" w:type="dxa"/>
            <w:vAlign w:val="center"/>
            <w:hideMark/>
          </w:tcPr>
          <w:p w14:paraId="395B39A6" w14:textId="3262431A" w:rsidR="00EE37C8" w:rsidRPr="00E5087D" w:rsidRDefault="00EE37C8">
            <w:pPr>
              <w:rPr>
                <w:rFonts w:cs="Arial"/>
                <w:kern w:val="2"/>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7BBF58D0" w14:textId="035E691E" w:rsidR="00EE37C8" w:rsidRPr="00E5087D" w:rsidRDefault="00EE37C8">
            <w:pPr>
              <w:rPr>
                <w:rFonts w:cs="Arial"/>
                <w:sz w:val="20"/>
                <w:szCs w:val="20"/>
              </w:rPr>
            </w:pPr>
            <w:r w:rsidRPr="00E5087D">
              <w:rPr>
                <w:rFonts w:cs="Arial"/>
                <w:sz w:val="20"/>
                <w:szCs w:val="20"/>
              </w:rPr>
              <w:t xml:space="preserve">Photovoltaic Systems Design </w:t>
            </w:r>
          </w:p>
        </w:tc>
        <w:tc>
          <w:tcPr>
            <w:tcW w:w="3998" w:type="dxa"/>
            <w:tcBorders>
              <w:top w:val="single" w:sz="4" w:space="0" w:color="auto"/>
              <w:left w:val="single" w:sz="4" w:space="0" w:color="auto"/>
              <w:bottom w:val="single" w:sz="4" w:space="0" w:color="auto"/>
              <w:right w:val="single" w:sz="4" w:space="0" w:color="auto"/>
            </w:tcBorders>
            <w:hideMark/>
          </w:tcPr>
          <w:p w14:paraId="76BF16A6" w14:textId="2FBBF4E8" w:rsidR="00EE37C8" w:rsidRPr="00E5087D" w:rsidRDefault="00EE37C8">
            <w:pPr>
              <w:rPr>
                <w:rFonts w:cs="Arial"/>
                <w:sz w:val="20"/>
                <w:szCs w:val="20"/>
              </w:rPr>
            </w:pPr>
            <w:r w:rsidRPr="00E5087D">
              <w:rPr>
                <w:rFonts w:cs="Arial"/>
                <w:sz w:val="20"/>
                <w:szCs w:val="20"/>
              </w:rPr>
              <w:t xml:space="preserve">Provide an understanding on the technical and economic issues with respect to the design, installation and operation of photovoltaic energy systems. </w:t>
            </w:r>
          </w:p>
        </w:tc>
        <w:tc>
          <w:tcPr>
            <w:tcW w:w="0" w:type="auto"/>
            <w:vAlign w:val="center"/>
            <w:hideMark/>
          </w:tcPr>
          <w:p w14:paraId="1BD4DE82" w14:textId="58AF3CB9" w:rsidR="00EE37C8" w:rsidRPr="00E5087D" w:rsidRDefault="00EE37C8">
            <w:pPr>
              <w:rPr>
                <w:rFonts w:cs="Arial"/>
                <w:kern w:val="2"/>
                <w:sz w:val="20"/>
                <w:szCs w:val="20"/>
                <w14:ligatures w14:val="standardContextual"/>
              </w:rPr>
            </w:pPr>
          </w:p>
        </w:tc>
      </w:tr>
      <w:tr w:rsidR="00EE37C8" w:rsidRPr="00E5087D" w14:paraId="5256A5D9" w14:textId="77777777" w:rsidTr="000C61DA">
        <w:trPr>
          <w:jc w:val="center"/>
        </w:trPr>
        <w:tc>
          <w:tcPr>
            <w:tcW w:w="1583" w:type="dxa"/>
            <w:tcBorders>
              <w:top w:val="single" w:sz="4" w:space="0" w:color="auto"/>
              <w:left w:val="single" w:sz="4" w:space="0" w:color="auto"/>
              <w:bottom w:val="single" w:sz="4" w:space="0" w:color="auto"/>
              <w:right w:val="single" w:sz="4" w:space="0" w:color="auto"/>
            </w:tcBorders>
            <w:hideMark/>
          </w:tcPr>
          <w:p w14:paraId="653E1AD0" w14:textId="03582F9C" w:rsidR="00EE37C8" w:rsidRPr="00E5087D" w:rsidRDefault="00EE37C8">
            <w:pPr>
              <w:rPr>
                <w:rFonts w:cs="Arial"/>
                <w:sz w:val="20"/>
                <w:szCs w:val="20"/>
              </w:rPr>
            </w:pPr>
            <w:r w:rsidRPr="00E5087D">
              <w:rPr>
                <w:rFonts w:cs="Arial"/>
                <w:sz w:val="20"/>
                <w:szCs w:val="20"/>
              </w:rPr>
              <w:t xml:space="preserve">Battery </w:t>
            </w:r>
          </w:p>
        </w:tc>
        <w:tc>
          <w:tcPr>
            <w:tcW w:w="2108" w:type="dxa"/>
            <w:tcBorders>
              <w:top w:val="single" w:sz="4" w:space="0" w:color="auto"/>
              <w:left w:val="single" w:sz="4" w:space="0" w:color="auto"/>
              <w:bottom w:val="single" w:sz="4" w:space="0" w:color="auto"/>
              <w:right w:val="single" w:sz="4" w:space="0" w:color="auto"/>
            </w:tcBorders>
            <w:hideMark/>
          </w:tcPr>
          <w:p w14:paraId="1A978E08" w14:textId="1F7A1E71" w:rsidR="00EE37C8" w:rsidRPr="00E5087D" w:rsidRDefault="00EE37C8">
            <w:pPr>
              <w:rPr>
                <w:rFonts w:cs="Arial"/>
                <w:sz w:val="20"/>
                <w:szCs w:val="20"/>
              </w:rPr>
            </w:pPr>
            <w:r w:rsidRPr="00E5087D">
              <w:rPr>
                <w:rFonts w:cs="Arial"/>
                <w:sz w:val="20"/>
                <w:szCs w:val="20"/>
              </w:rPr>
              <w:t>Energy Storage</w:t>
            </w:r>
          </w:p>
        </w:tc>
        <w:tc>
          <w:tcPr>
            <w:tcW w:w="3998" w:type="dxa"/>
            <w:tcBorders>
              <w:top w:val="single" w:sz="4" w:space="0" w:color="auto"/>
              <w:left w:val="single" w:sz="4" w:space="0" w:color="auto"/>
              <w:bottom w:val="single" w:sz="4" w:space="0" w:color="auto"/>
              <w:right w:val="single" w:sz="4" w:space="0" w:color="auto"/>
            </w:tcBorders>
            <w:hideMark/>
          </w:tcPr>
          <w:p w14:paraId="43309509" w14:textId="4AB78395" w:rsidR="00EE37C8" w:rsidRPr="00E5087D" w:rsidRDefault="00EE37C8">
            <w:pPr>
              <w:rPr>
                <w:rFonts w:cs="Arial"/>
                <w:sz w:val="20"/>
                <w:szCs w:val="20"/>
              </w:rPr>
            </w:pPr>
            <w:r w:rsidRPr="00E5087D">
              <w:rPr>
                <w:rFonts w:cs="Arial"/>
                <w:sz w:val="20"/>
                <w:szCs w:val="20"/>
              </w:rPr>
              <w:t xml:space="preserve">Learn </w:t>
            </w:r>
            <w:r w:rsidRPr="00E5087D">
              <w:rPr>
                <w:rFonts w:cs="Arial"/>
                <w:sz w:val="20"/>
                <w:szCs w:val="20"/>
                <w:shd w:val="clear" w:color="auto" w:fill="FFFFFF"/>
              </w:rPr>
              <w:t>the basic principles of electrochemical technologies in energy storage engineering: rechargeable batteries, flow batteries, supercapacitors, fuel cells, electrolysers, photo-electrochemical reactions.</w:t>
            </w:r>
          </w:p>
        </w:tc>
        <w:tc>
          <w:tcPr>
            <w:tcW w:w="1327" w:type="dxa"/>
            <w:tcBorders>
              <w:top w:val="single" w:sz="4" w:space="0" w:color="auto"/>
              <w:left w:val="single" w:sz="4" w:space="0" w:color="auto"/>
              <w:bottom w:val="single" w:sz="4" w:space="0" w:color="auto"/>
              <w:right w:val="single" w:sz="4" w:space="0" w:color="auto"/>
            </w:tcBorders>
          </w:tcPr>
          <w:p w14:paraId="39D242BA" w14:textId="13D89FBB" w:rsidR="00EE37C8" w:rsidRPr="00E5087D" w:rsidRDefault="00EE37C8">
            <w:pPr>
              <w:rPr>
                <w:rFonts w:cs="Arial"/>
                <w:sz w:val="20"/>
                <w:szCs w:val="20"/>
              </w:rPr>
            </w:pPr>
            <w:r w:rsidRPr="00E5087D">
              <w:rPr>
                <w:rFonts w:cs="Arial"/>
                <w:sz w:val="20"/>
                <w:szCs w:val="20"/>
              </w:rPr>
              <w:t>UNSW</w:t>
            </w:r>
          </w:p>
        </w:tc>
      </w:tr>
      <w:tr w:rsidR="00EE37C8" w:rsidRPr="00E5087D" w14:paraId="2D74BB05" w14:textId="77777777" w:rsidTr="000C61DA">
        <w:trPr>
          <w:jc w:val="center"/>
        </w:trPr>
        <w:tc>
          <w:tcPr>
            <w:tcW w:w="158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254C39" w14:textId="77190ADA" w:rsidR="00EE37C8" w:rsidRPr="00E5087D" w:rsidRDefault="00353A4B">
            <w:pPr>
              <w:rPr>
                <w:rFonts w:cs="Arial"/>
                <w:sz w:val="20"/>
                <w:szCs w:val="20"/>
              </w:rPr>
            </w:pPr>
            <w:r>
              <w:rPr>
                <w:rFonts w:cs="Arial"/>
                <w:sz w:val="20"/>
                <w:szCs w:val="20"/>
              </w:rPr>
              <w:t>Hydroelectricity</w:t>
            </w:r>
          </w:p>
        </w:tc>
        <w:tc>
          <w:tcPr>
            <w:tcW w:w="2108" w:type="dxa"/>
            <w:tcBorders>
              <w:top w:val="single" w:sz="4" w:space="0" w:color="auto"/>
              <w:left w:val="single" w:sz="4" w:space="0" w:color="auto"/>
              <w:bottom w:val="single" w:sz="4" w:space="0" w:color="auto"/>
              <w:right w:val="single" w:sz="4" w:space="0" w:color="auto"/>
            </w:tcBorders>
            <w:hideMark/>
          </w:tcPr>
          <w:p w14:paraId="6EEA111A" w14:textId="74F6862C" w:rsidR="00EE37C8" w:rsidRPr="00E5087D" w:rsidRDefault="00EE37C8">
            <w:pPr>
              <w:rPr>
                <w:rFonts w:cs="Arial"/>
                <w:sz w:val="20"/>
                <w:szCs w:val="20"/>
              </w:rPr>
            </w:pPr>
            <w:r w:rsidRPr="00E5087D">
              <w:rPr>
                <w:rFonts w:cs="Arial"/>
                <w:sz w:val="20"/>
                <w:szCs w:val="20"/>
              </w:rPr>
              <w:t>Hydro</w:t>
            </w:r>
            <w:r w:rsidR="00353A4B">
              <w:rPr>
                <w:rFonts w:cs="Arial"/>
                <w:sz w:val="20"/>
                <w:szCs w:val="20"/>
              </w:rPr>
              <w:t>electricity</w:t>
            </w:r>
          </w:p>
        </w:tc>
        <w:tc>
          <w:tcPr>
            <w:tcW w:w="3998" w:type="dxa"/>
            <w:tcBorders>
              <w:top w:val="single" w:sz="4" w:space="0" w:color="auto"/>
              <w:left w:val="single" w:sz="4" w:space="0" w:color="auto"/>
              <w:bottom w:val="single" w:sz="4" w:space="0" w:color="auto"/>
              <w:right w:val="single" w:sz="4" w:space="0" w:color="auto"/>
            </w:tcBorders>
            <w:hideMark/>
          </w:tcPr>
          <w:p w14:paraId="249F0FF4" w14:textId="300973D5" w:rsidR="00EE37C8" w:rsidRPr="00E5087D" w:rsidRDefault="00EE37C8">
            <w:pPr>
              <w:rPr>
                <w:rFonts w:cs="Arial"/>
                <w:sz w:val="20"/>
                <w:szCs w:val="20"/>
              </w:rPr>
            </w:pPr>
            <w:r w:rsidRPr="00E5087D">
              <w:rPr>
                <w:rFonts w:cs="Arial"/>
                <w:sz w:val="20"/>
                <w:szCs w:val="20"/>
                <w:shd w:val="clear" w:color="auto" w:fill="FFFFFF"/>
              </w:rPr>
              <w:t>This unit covers all aspects of hydropower, including the fundamental physics behind energy storage in potential energy, design of hydropower systems (dam walls and reservoirs, penstock piping and tunnelling, powerhouse design (turbine and generator), tailrace and electrical connection).</w:t>
            </w:r>
          </w:p>
        </w:tc>
        <w:tc>
          <w:tcPr>
            <w:tcW w:w="1327" w:type="dxa"/>
            <w:vMerge w:val="restart"/>
            <w:tcBorders>
              <w:top w:val="single" w:sz="4" w:space="0" w:color="auto"/>
              <w:left w:val="single" w:sz="4" w:space="0" w:color="auto"/>
              <w:bottom w:val="single" w:sz="4" w:space="0" w:color="auto"/>
              <w:right w:val="single" w:sz="4" w:space="0" w:color="auto"/>
            </w:tcBorders>
          </w:tcPr>
          <w:p w14:paraId="0533C0B6" w14:textId="1B093320" w:rsidR="00EE37C8" w:rsidRPr="00E5087D" w:rsidRDefault="00EE37C8">
            <w:pPr>
              <w:rPr>
                <w:rFonts w:cs="Arial"/>
                <w:sz w:val="20"/>
                <w:szCs w:val="20"/>
              </w:rPr>
            </w:pPr>
            <w:r w:rsidRPr="00E5087D">
              <w:rPr>
                <w:rFonts w:cs="Arial"/>
                <w:sz w:val="20"/>
                <w:szCs w:val="20"/>
              </w:rPr>
              <w:t>Monash University</w:t>
            </w:r>
          </w:p>
        </w:tc>
      </w:tr>
      <w:tr w:rsidR="00EE37C8" w:rsidRPr="00E5087D" w14:paraId="479E5DF2" w14:textId="77777777" w:rsidTr="000C61DA">
        <w:trPr>
          <w:jc w:val="center"/>
        </w:trPr>
        <w:tc>
          <w:tcPr>
            <w:tcW w:w="1583" w:type="dxa"/>
            <w:vMerge w:val="restart"/>
            <w:tcBorders>
              <w:top w:val="single" w:sz="4" w:space="0" w:color="auto"/>
              <w:left w:val="single" w:sz="4" w:space="0" w:color="auto"/>
              <w:bottom w:val="single" w:sz="4" w:space="0" w:color="auto"/>
              <w:right w:val="single" w:sz="4" w:space="0" w:color="auto"/>
            </w:tcBorders>
            <w:hideMark/>
          </w:tcPr>
          <w:p w14:paraId="72376B6E" w14:textId="2523C5BD" w:rsidR="00EE37C8" w:rsidRPr="00E5087D" w:rsidRDefault="00EE37C8">
            <w:pPr>
              <w:rPr>
                <w:rFonts w:cs="Arial"/>
                <w:sz w:val="20"/>
                <w:szCs w:val="20"/>
              </w:rPr>
            </w:pPr>
            <w:r w:rsidRPr="00E5087D">
              <w:rPr>
                <w:rFonts w:cs="Arial"/>
                <w:sz w:val="20"/>
                <w:szCs w:val="20"/>
              </w:rPr>
              <w:t>Wind</w:t>
            </w:r>
          </w:p>
        </w:tc>
        <w:tc>
          <w:tcPr>
            <w:tcW w:w="2108" w:type="dxa"/>
            <w:tcBorders>
              <w:top w:val="single" w:sz="4" w:space="0" w:color="auto"/>
              <w:left w:val="single" w:sz="4" w:space="0" w:color="auto"/>
              <w:bottom w:val="single" w:sz="4" w:space="0" w:color="auto"/>
              <w:right w:val="single" w:sz="4" w:space="0" w:color="auto"/>
            </w:tcBorders>
            <w:hideMark/>
          </w:tcPr>
          <w:p w14:paraId="53215924" w14:textId="1D4CC0EA" w:rsidR="00EE37C8" w:rsidRPr="00E5087D" w:rsidRDefault="00EE37C8">
            <w:pPr>
              <w:rPr>
                <w:rFonts w:cs="Arial"/>
                <w:sz w:val="20"/>
                <w:szCs w:val="20"/>
              </w:rPr>
            </w:pPr>
            <w:r w:rsidRPr="00E5087D">
              <w:rPr>
                <w:rFonts w:cs="Arial"/>
                <w:sz w:val="20"/>
                <w:szCs w:val="20"/>
              </w:rPr>
              <w:t>Wind engineering*</w:t>
            </w:r>
          </w:p>
        </w:tc>
        <w:tc>
          <w:tcPr>
            <w:tcW w:w="3998" w:type="dxa"/>
            <w:tcBorders>
              <w:top w:val="single" w:sz="4" w:space="0" w:color="auto"/>
              <w:left w:val="single" w:sz="4" w:space="0" w:color="auto"/>
              <w:bottom w:val="single" w:sz="4" w:space="0" w:color="auto"/>
              <w:right w:val="single" w:sz="4" w:space="0" w:color="auto"/>
            </w:tcBorders>
            <w:hideMark/>
          </w:tcPr>
          <w:p w14:paraId="41658F6C" w14:textId="75C29B45" w:rsidR="00EE37C8" w:rsidRPr="00E5087D" w:rsidRDefault="00EE37C8">
            <w:pPr>
              <w:rPr>
                <w:rFonts w:cs="Arial"/>
                <w:sz w:val="20"/>
                <w:szCs w:val="20"/>
              </w:rPr>
            </w:pPr>
            <w:r w:rsidRPr="00E5087D">
              <w:rPr>
                <w:rFonts w:cs="Arial"/>
                <w:sz w:val="20"/>
                <w:szCs w:val="20"/>
              </w:rPr>
              <w:t xml:space="preserve">Introduction to the fundamentals of the wind environment, and how the wind interacts with both turbines to generate power, and structures to cause loads. Gain an understanding </w:t>
            </w:r>
            <w:r w:rsidRPr="00E5087D">
              <w:rPr>
                <w:rFonts w:cs="Arial"/>
                <w:sz w:val="20"/>
                <w:szCs w:val="20"/>
                <w:shd w:val="clear" w:color="auto" w:fill="FFFFFF"/>
              </w:rPr>
              <w:t>of wind turbines, including turbine performance, analysis methods, wind turbine siting, and blade/component loading</w:t>
            </w:r>
            <w:r w:rsidRPr="00E5087D">
              <w:rPr>
                <w:rFonts w:cs="Arial"/>
                <w:sz w:val="20"/>
                <w:szCs w:val="20"/>
              </w:rPr>
              <w:t xml:space="preserve"> aerodynamics of wind turbines</w:t>
            </w:r>
            <w:r w:rsidR="2CA4D3AB" w:rsidRPr="00E5087D">
              <w:rPr>
                <w:rFonts w:cs="Arial"/>
                <w:sz w:val="20"/>
                <w:szCs w:val="20"/>
              </w:rPr>
              <w:t>.</w:t>
            </w:r>
            <w:r w:rsidRPr="00E5087D">
              <w:rPr>
                <w:rFonts w:cs="Arial"/>
                <w:sz w:val="20"/>
                <w:szCs w:val="20"/>
              </w:rPr>
              <w:t xml:space="preserve"> </w:t>
            </w:r>
          </w:p>
        </w:tc>
        <w:tc>
          <w:tcPr>
            <w:tcW w:w="0" w:type="auto"/>
            <w:vMerge/>
            <w:vAlign w:val="center"/>
            <w:hideMark/>
          </w:tcPr>
          <w:p w14:paraId="703BF7CD" w14:textId="45CBAAB1" w:rsidR="00EE37C8" w:rsidRPr="00E5087D" w:rsidRDefault="00EE37C8">
            <w:pPr>
              <w:rPr>
                <w:rFonts w:cs="Arial"/>
                <w:kern w:val="2"/>
                <w:sz w:val="20"/>
                <w:szCs w:val="20"/>
                <w14:ligatures w14:val="standardContextual"/>
              </w:rPr>
            </w:pPr>
          </w:p>
        </w:tc>
      </w:tr>
      <w:tr w:rsidR="00EE37C8" w:rsidRPr="00E5087D" w14:paraId="175F24AB" w14:textId="77777777" w:rsidTr="000C61DA">
        <w:trPr>
          <w:jc w:val="center"/>
        </w:trPr>
        <w:tc>
          <w:tcPr>
            <w:tcW w:w="1583" w:type="dxa"/>
            <w:vMerge/>
            <w:vAlign w:val="center"/>
            <w:hideMark/>
          </w:tcPr>
          <w:p w14:paraId="2186EB1A" w14:textId="4D363157" w:rsidR="00EE37C8" w:rsidRPr="00E5087D" w:rsidRDefault="00EE37C8">
            <w:pPr>
              <w:rPr>
                <w:rFonts w:cs="Arial"/>
                <w:kern w:val="2"/>
                <w:sz w:val="20"/>
                <w:szCs w:val="20"/>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4FF60449" w14:textId="7C471334" w:rsidR="00EE37C8" w:rsidRPr="00E5087D" w:rsidRDefault="00EE37C8">
            <w:pPr>
              <w:rPr>
                <w:rFonts w:cs="Arial"/>
                <w:sz w:val="20"/>
                <w:szCs w:val="20"/>
              </w:rPr>
            </w:pPr>
            <w:r w:rsidRPr="00E5087D">
              <w:rPr>
                <w:rFonts w:cs="Arial"/>
                <w:sz w:val="20"/>
                <w:szCs w:val="20"/>
              </w:rPr>
              <w:t>Wind Energy</w:t>
            </w:r>
          </w:p>
        </w:tc>
        <w:tc>
          <w:tcPr>
            <w:tcW w:w="3998" w:type="dxa"/>
            <w:tcBorders>
              <w:top w:val="single" w:sz="4" w:space="0" w:color="auto"/>
              <w:left w:val="single" w:sz="4" w:space="0" w:color="auto"/>
              <w:bottom w:val="single" w:sz="4" w:space="0" w:color="auto"/>
              <w:right w:val="single" w:sz="4" w:space="0" w:color="auto"/>
            </w:tcBorders>
            <w:hideMark/>
          </w:tcPr>
          <w:p w14:paraId="2C0F3512" w14:textId="723447A0" w:rsidR="00EE37C8" w:rsidRPr="00E5087D" w:rsidRDefault="00EE37C8">
            <w:pPr>
              <w:rPr>
                <w:rFonts w:cs="Arial"/>
                <w:sz w:val="20"/>
                <w:szCs w:val="20"/>
              </w:rPr>
            </w:pPr>
            <w:r w:rsidRPr="00E5087D">
              <w:rPr>
                <w:rFonts w:cs="Arial"/>
                <w:sz w:val="20"/>
                <w:szCs w:val="20"/>
              </w:rPr>
              <w:t>The course covers the f</w:t>
            </w:r>
            <w:r w:rsidRPr="00E5087D">
              <w:rPr>
                <w:rFonts w:cs="Arial"/>
                <w:sz w:val="20"/>
                <w:szCs w:val="20"/>
                <w:shd w:val="clear" w:color="auto" w:fill="FDFDFD"/>
              </w:rPr>
              <w:t>ull spectrum of wind energy from the underlying physics of wind and wind generation technologies, delivered in collaboration between ANU Energy academics and Windlab</w:t>
            </w:r>
            <w:r w:rsidR="010B5400" w:rsidRPr="00E5087D">
              <w:rPr>
                <w:rFonts w:cs="Arial"/>
                <w:sz w:val="20"/>
                <w:szCs w:val="20"/>
                <w:shd w:val="clear" w:color="auto" w:fill="FDFDFD"/>
              </w:rPr>
              <w:t>.</w:t>
            </w:r>
          </w:p>
        </w:tc>
        <w:tc>
          <w:tcPr>
            <w:tcW w:w="1327" w:type="dxa"/>
            <w:tcBorders>
              <w:top w:val="single" w:sz="4" w:space="0" w:color="auto"/>
              <w:left w:val="single" w:sz="4" w:space="0" w:color="auto"/>
              <w:bottom w:val="single" w:sz="4" w:space="0" w:color="auto"/>
              <w:right w:val="single" w:sz="4" w:space="0" w:color="auto"/>
            </w:tcBorders>
            <w:hideMark/>
          </w:tcPr>
          <w:p w14:paraId="5E73B121" w14:textId="04E80F50" w:rsidR="00EE37C8" w:rsidRPr="00E5087D" w:rsidRDefault="00EE37C8">
            <w:pPr>
              <w:rPr>
                <w:rFonts w:cs="Arial"/>
                <w:sz w:val="20"/>
                <w:szCs w:val="20"/>
              </w:rPr>
            </w:pPr>
            <w:r w:rsidRPr="00E5087D">
              <w:rPr>
                <w:rFonts w:cs="Arial"/>
                <w:sz w:val="20"/>
                <w:szCs w:val="20"/>
              </w:rPr>
              <w:t>ANU</w:t>
            </w:r>
          </w:p>
        </w:tc>
      </w:tr>
      <w:tr w:rsidR="00EE37C8" w:rsidRPr="00E5087D" w14:paraId="39D6EC7D" w14:textId="77777777" w:rsidTr="000C61DA">
        <w:trPr>
          <w:jc w:val="center"/>
        </w:trPr>
        <w:tc>
          <w:tcPr>
            <w:tcW w:w="1583" w:type="dxa"/>
            <w:vMerge w:val="restart"/>
            <w:tcBorders>
              <w:top w:val="single" w:sz="4" w:space="0" w:color="auto"/>
              <w:left w:val="single" w:sz="4" w:space="0" w:color="auto"/>
              <w:bottom w:val="single" w:sz="4" w:space="0" w:color="auto"/>
              <w:right w:val="single" w:sz="4" w:space="0" w:color="auto"/>
            </w:tcBorders>
          </w:tcPr>
          <w:p w14:paraId="380E7A41" w14:textId="5752FAB3" w:rsidR="00EE37C8" w:rsidRPr="00E5087D" w:rsidRDefault="00EE37C8">
            <w:pPr>
              <w:rPr>
                <w:rFonts w:cs="Arial"/>
                <w:sz w:val="20"/>
                <w:szCs w:val="20"/>
              </w:rPr>
            </w:pPr>
            <w:r w:rsidRPr="00E5087D">
              <w:rPr>
                <w:rFonts w:cs="Arial"/>
                <w:sz w:val="20"/>
                <w:szCs w:val="20"/>
              </w:rPr>
              <w:t xml:space="preserve">Hydrogen </w:t>
            </w:r>
          </w:p>
        </w:tc>
        <w:tc>
          <w:tcPr>
            <w:tcW w:w="2108" w:type="dxa"/>
            <w:tcBorders>
              <w:top w:val="single" w:sz="4" w:space="0" w:color="auto"/>
              <w:left w:val="single" w:sz="4" w:space="0" w:color="auto"/>
              <w:bottom w:val="single" w:sz="4" w:space="0" w:color="auto"/>
              <w:right w:val="single" w:sz="4" w:space="0" w:color="auto"/>
            </w:tcBorders>
            <w:hideMark/>
          </w:tcPr>
          <w:p w14:paraId="1E74EA0E" w14:textId="387B326B" w:rsidR="00EE37C8" w:rsidRPr="00E5087D" w:rsidRDefault="00EE37C8">
            <w:pPr>
              <w:rPr>
                <w:rFonts w:cs="Arial"/>
                <w:sz w:val="20"/>
                <w:szCs w:val="20"/>
              </w:rPr>
            </w:pPr>
            <w:r w:rsidRPr="00E5087D">
              <w:rPr>
                <w:rFonts w:cs="Arial"/>
                <w:sz w:val="20"/>
                <w:szCs w:val="20"/>
              </w:rPr>
              <w:t>Renewable Energy and Hydrogen Technologies**</w:t>
            </w:r>
          </w:p>
        </w:tc>
        <w:tc>
          <w:tcPr>
            <w:tcW w:w="3998" w:type="dxa"/>
            <w:tcBorders>
              <w:top w:val="single" w:sz="4" w:space="0" w:color="auto"/>
              <w:left w:val="single" w:sz="4" w:space="0" w:color="auto"/>
              <w:bottom w:val="single" w:sz="4" w:space="0" w:color="auto"/>
              <w:right w:val="single" w:sz="4" w:space="0" w:color="auto"/>
            </w:tcBorders>
            <w:hideMark/>
          </w:tcPr>
          <w:p w14:paraId="0643D7C8" w14:textId="51B4FDF8" w:rsidR="00EE37C8" w:rsidRPr="00E5087D" w:rsidRDefault="00EE37C8">
            <w:pPr>
              <w:rPr>
                <w:rFonts w:cs="Arial"/>
                <w:sz w:val="20"/>
                <w:szCs w:val="20"/>
              </w:rPr>
            </w:pPr>
            <w:r w:rsidRPr="00E5087D">
              <w:rPr>
                <w:rFonts w:cs="Arial"/>
                <w:sz w:val="20"/>
                <w:szCs w:val="20"/>
              </w:rPr>
              <w:t>Introduction to the underlying fundamentals as well as application of various renewable and hydrogen-based energy technologies, with a particular focus on solar thermal, photovoltaic, wave energy, wind energy and hydrogen production and tech principles; as well as the design of these energy systems</w:t>
            </w:r>
            <w:r w:rsidR="3E849792" w:rsidRPr="259CC6D1">
              <w:rPr>
                <w:rFonts w:cs="Arial"/>
                <w:sz w:val="20"/>
                <w:szCs w:val="20"/>
              </w:rPr>
              <w:t>.</w:t>
            </w:r>
          </w:p>
        </w:tc>
        <w:tc>
          <w:tcPr>
            <w:tcW w:w="1327" w:type="dxa"/>
            <w:vMerge w:val="restart"/>
            <w:tcBorders>
              <w:top w:val="single" w:sz="4" w:space="0" w:color="auto"/>
              <w:left w:val="single" w:sz="4" w:space="0" w:color="auto"/>
              <w:bottom w:val="single" w:sz="4" w:space="0" w:color="auto"/>
              <w:right w:val="single" w:sz="4" w:space="0" w:color="auto"/>
            </w:tcBorders>
          </w:tcPr>
          <w:p w14:paraId="73B9CC13" w14:textId="72919468" w:rsidR="00EE37C8" w:rsidRPr="00E5087D" w:rsidRDefault="00EE37C8">
            <w:pPr>
              <w:rPr>
                <w:rFonts w:cs="Arial"/>
                <w:sz w:val="20"/>
                <w:szCs w:val="20"/>
              </w:rPr>
            </w:pPr>
            <w:r w:rsidRPr="00E5087D">
              <w:rPr>
                <w:rFonts w:cs="Arial"/>
                <w:sz w:val="20"/>
                <w:szCs w:val="20"/>
              </w:rPr>
              <w:t>Swinburne University of Technology</w:t>
            </w:r>
          </w:p>
        </w:tc>
      </w:tr>
      <w:tr w:rsidR="00EE37C8" w:rsidRPr="00E5087D" w14:paraId="32C6A4C3" w14:textId="77777777" w:rsidTr="000C61DA">
        <w:trPr>
          <w:jc w:val="center"/>
        </w:trPr>
        <w:tc>
          <w:tcPr>
            <w:tcW w:w="1583" w:type="dxa"/>
            <w:vMerge/>
            <w:vAlign w:val="center"/>
            <w:hideMark/>
          </w:tcPr>
          <w:p w14:paraId="053B4D5B" w14:textId="0B05042A" w:rsidR="00EE37C8" w:rsidRPr="00E5087D" w:rsidRDefault="00EE37C8">
            <w:pPr>
              <w:rPr>
                <w:rFonts w:cs="Arial"/>
                <w:kern w:val="2"/>
                <w14:ligatures w14:val="standardContextual"/>
              </w:rPr>
            </w:pPr>
          </w:p>
        </w:tc>
        <w:tc>
          <w:tcPr>
            <w:tcW w:w="2108" w:type="dxa"/>
            <w:tcBorders>
              <w:top w:val="single" w:sz="4" w:space="0" w:color="auto"/>
              <w:left w:val="single" w:sz="4" w:space="0" w:color="auto"/>
              <w:bottom w:val="single" w:sz="4" w:space="0" w:color="auto"/>
              <w:right w:val="single" w:sz="4" w:space="0" w:color="auto"/>
            </w:tcBorders>
            <w:hideMark/>
          </w:tcPr>
          <w:p w14:paraId="4F135CA5" w14:textId="17AA9EDD" w:rsidR="00EE37C8" w:rsidRPr="00E5087D" w:rsidRDefault="00EE37C8">
            <w:pPr>
              <w:rPr>
                <w:rFonts w:cs="Arial"/>
                <w:sz w:val="20"/>
                <w:szCs w:val="20"/>
              </w:rPr>
            </w:pPr>
            <w:r w:rsidRPr="00E5087D">
              <w:rPr>
                <w:rFonts w:cs="Arial"/>
                <w:sz w:val="20"/>
                <w:szCs w:val="20"/>
              </w:rPr>
              <w:t xml:space="preserve">Hydrogen and Energy Storage </w:t>
            </w:r>
          </w:p>
        </w:tc>
        <w:tc>
          <w:tcPr>
            <w:tcW w:w="3998" w:type="dxa"/>
            <w:tcBorders>
              <w:top w:val="single" w:sz="4" w:space="0" w:color="auto"/>
              <w:left w:val="single" w:sz="4" w:space="0" w:color="auto"/>
              <w:bottom w:val="single" w:sz="4" w:space="0" w:color="auto"/>
              <w:right w:val="single" w:sz="4" w:space="0" w:color="auto"/>
            </w:tcBorders>
            <w:hideMark/>
          </w:tcPr>
          <w:p w14:paraId="34D615CF" w14:textId="3573E562" w:rsidR="00EE37C8" w:rsidRPr="00E5087D" w:rsidRDefault="00EE37C8">
            <w:pPr>
              <w:rPr>
                <w:rFonts w:cs="Arial"/>
                <w:sz w:val="20"/>
                <w:szCs w:val="20"/>
              </w:rPr>
            </w:pPr>
            <w:r w:rsidRPr="00E5087D">
              <w:rPr>
                <w:rFonts w:cs="Arial"/>
                <w:sz w:val="20"/>
                <w:szCs w:val="20"/>
              </w:rPr>
              <w:t xml:space="preserve">Introduction to the principles of energy storage systems and in-depth knowledge on the operation and implementation of energy storage system in current power domain. </w:t>
            </w:r>
          </w:p>
        </w:tc>
        <w:tc>
          <w:tcPr>
            <w:tcW w:w="0" w:type="auto"/>
            <w:vMerge/>
            <w:vAlign w:val="center"/>
            <w:hideMark/>
          </w:tcPr>
          <w:p w14:paraId="140F874F" w14:textId="3A33B5DF" w:rsidR="00EE37C8" w:rsidRPr="00E5087D" w:rsidRDefault="00EE37C8">
            <w:pPr>
              <w:rPr>
                <w:rFonts w:cs="Arial"/>
                <w:kern w:val="2"/>
                <w14:ligatures w14:val="standardContextual"/>
              </w:rPr>
            </w:pPr>
          </w:p>
        </w:tc>
      </w:tr>
    </w:tbl>
    <w:bookmarkEnd w:id="43"/>
    <w:p w14:paraId="09AB9620" w14:textId="3AE61563" w:rsidR="00EE37C8" w:rsidRPr="00E5087D" w:rsidRDefault="00EE37C8" w:rsidP="00EE37C8">
      <w:pPr>
        <w:spacing w:after="0"/>
        <w:rPr>
          <w:rFonts w:cs="Arial"/>
          <w:kern w:val="2"/>
          <w:sz w:val="16"/>
          <w:szCs w:val="16"/>
          <w14:ligatures w14:val="standardContextual"/>
        </w:rPr>
      </w:pPr>
      <w:r w:rsidRPr="00E5087D">
        <w:rPr>
          <w:rFonts w:cs="Arial"/>
          <w:sz w:val="16"/>
          <w:szCs w:val="16"/>
        </w:rPr>
        <w:t xml:space="preserve">Source: Non-exhaustive list of specialisation units obtained from selected universities. Accurate as of </w:t>
      </w:r>
      <w:r w:rsidR="00310FC9">
        <w:rPr>
          <w:rFonts w:cs="Arial"/>
          <w:sz w:val="16"/>
          <w:szCs w:val="16"/>
        </w:rPr>
        <w:t>31 August</w:t>
      </w:r>
      <w:r w:rsidR="00BD5491">
        <w:rPr>
          <w:rFonts w:cs="Arial"/>
          <w:sz w:val="16"/>
          <w:szCs w:val="16"/>
        </w:rPr>
        <w:t xml:space="preserve"> 2023</w:t>
      </w:r>
      <w:r w:rsidRPr="00E5087D">
        <w:rPr>
          <w:rFonts w:cs="Arial"/>
          <w:sz w:val="16"/>
          <w:szCs w:val="16"/>
        </w:rPr>
        <w:t>.</w:t>
      </w:r>
    </w:p>
    <w:p w14:paraId="16AAEF77" w14:textId="2B009B34" w:rsidR="00EE37C8" w:rsidRPr="00E5087D" w:rsidRDefault="00EE37C8" w:rsidP="00EE37C8">
      <w:pPr>
        <w:spacing w:after="0"/>
        <w:rPr>
          <w:rFonts w:cs="Arial"/>
          <w:sz w:val="16"/>
          <w:szCs w:val="16"/>
        </w:rPr>
      </w:pPr>
      <w:r w:rsidRPr="00E5087D">
        <w:rPr>
          <w:rFonts w:cs="Arial"/>
          <w:sz w:val="16"/>
          <w:szCs w:val="16"/>
        </w:rPr>
        <w:t>* This unit is not being offered in 2023, but has been offered in previous years</w:t>
      </w:r>
    </w:p>
    <w:p w14:paraId="36B177A8" w14:textId="05EBA4F8" w:rsidR="00EE37C8" w:rsidRDefault="00554F8D" w:rsidP="00EE37C8">
      <w:pPr>
        <w:spacing w:after="360"/>
        <w:rPr>
          <w:rFonts w:cs="Arial"/>
          <w:sz w:val="16"/>
          <w:szCs w:val="16"/>
        </w:rPr>
      </w:pPr>
      <w:r w:rsidRPr="00BB2E09">
        <w:rPr>
          <w:noProof/>
        </w:rPr>
        <mc:AlternateContent>
          <mc:Choice Requires="wpg">
            <w:drawing>
              <wp:anchor distT="0" distB="0" distL="114300" distR="114300" simplePos="0" relativeHeight="251658289" behindDoc="1" locked="0" layoutInCell="1" allowOverlap="1" wp14:anchorId="1AC65546" wp14:editId="0C76BCB9">
                <wp:simplePos x="0" y="0"/>
                <wp:positionH relativeFrom="column">
                  <wp:posOffset>27940</wp:posOffset>
                </wp:positionH>
                <wp:positionV relativeFrom="paragraph">
                  <wp:posOffset>334113</wp:posOffset>
                </wp:positionV>
                <wp:extent cx="5651500" cy="956931"/>
                <wp:effectExtent l="0" t="0" r="25400" b="15240"/>
                <wp:wrapNone/>
                <wp:docPr id="2057877671" name="Group 20578776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1500" cy="956931"/>
                          <a:chOff x="0" y="97286"/>
                          <a:chExt cx="5798799" cy="984651"/>
                        </a:xfrm>
                      </wpg:grpSpPr>
                      <wps:wsp>
                        <wps:cNvPr id="2055085637" name="Rectangle: Top Corners Rounded 2055085637"/>
                        <wps:cNvSpPr/>
                        <wps:spPr>
                          <a:xfrm>
                            <a:off x="0" y="97286"/>
                            <a:ext cx="1700501" cy="196556"/>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85D3D1" w14:textId="77777777" w:rsidR="00554F8D" w:rsidRPr="006E07A7" w:rsidRDefault="00554F8D" w:rsidP="00554F8D">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22608918" name="Rectangle 722608918"/>
                        <wps:cNvSpPr/>
                        <wps:spPr>
                          <a:xfrm>
                            <a:off x="0" y="293760"/>
                            <a:ext cx="5798799" cy="788177"/>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BBDDC" w14:textId="77777777" w:rsidR="00554F8D" w:rsidRPr="00011385" w:rsidRDefault="00554F8D" w:rsidP="00554F8D">
                              <w:pPr>
                                <w:spacing w:after="80" w:line="276" w:lineRule="auto"/>
                                <w:ind w:right="113"/>
                                <w:rPr>
                                  <w:rFonts w:asciiTheme="minorHAnsi" w:hAnsiTheme="minorHAnsi" w:cstheme="minorHAnsi"/>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AC65546" id="Group 2057877671" o:spid="_x0000_s1070" alt="&quot;&quot;" style="position:absolute;margin-left:2.2pt;margin-top:26.3pt;width:445pt;height:75.35pt;z-index:-251658191;mso-height-relative:margin" coordorigin=",972" coordsize="57987,9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">
                <v:shape id="Rectangle: Top Corners Rounded 2055085637" o:spid="_x0000_s1071" style="position:absolute;top:972;width:17005;height:1966;visibility:visible;mso-wrap-style:square;v-text-anchor:middle" coordsize="1700501,19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" adj="-11796480,,5400" path="m32760,l1667741,v18093,,32760,14667,32760,32760l1700501,196556r,l,196556r,l,32760c,14667,14667,,32760,xe" fillcolor="#dae3f5" strokecolor="#dae3f5" strokeweight="1pt">
                  <v:stroke joinstyle="miter"/>
                  <v:formulas/>
                  <v:path arrowok="t" o:connecttype="custom" o:connectlocs="32760,0;1667741,0;1700501,32760;1700501,196556;1700501,196556;0,196556;0,196556;0,32760;32760,0" o:connectangles="0,0,0,0,0,0,0,0,0" textboxrect="0,0,1700501,196556"/>
                  <v:textbox inset=",0,,0">
                    <w:txbxContent>
                      <w:p w14:paraId="3685D3D1" w14:textId="77777777" w:rsidR="00554F8D" w:rsidRPr="006E07A7" w:rsidRDefault="00554F8D" w:rsidP="00554F8D">
                        <w:pPr>
                          <w:spacing w:after="0" w:line="240" w:lineRule="auto"/>
                          <w:rPr>
                            <w:b/>
                            <w:bCs/>
                            <w14:numForm w14:val="lining"/>
                            <w14:numSpacing w14:val="proportional"/>
                          </w:rPr>
                        </w:pPr>
                      </w:p>
                    </w:txbxContent>
                  </v:textbox>
                </v:shape>
                <v:rect id="Rectangle 722608918" o:spid="_x0000_s1072" style="position:absolute;top:2937;width:57987;height:7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" fillcolor="#f2f2f2" strokecolor="#dae3f5" strokeweight="1pt">
                  <v:textbox inset="2mm,1mm,2mm,1mm">
                    <w:txbxContent>
                      <w:p w14:paraId="471BBDDC" w14:textId="77777777" w:rsidR="00554F8D" w:rsidRPr="00011385" w:rsidRDefault="00554F8D" w:rsidP="00554F8D">
                        <w:pPr>
                          <w:spacing w:after="80" w:line="276" w:lineRule="auto"/>
                          <w:ind w:right="113"/>
                          <w:rPr>
                            <w:rFonts w:asciiTheme="minorHAnsi" w:hAnsiTheme="minorHAnsi" w:cstheme="minorHAnsi"/>
                          </w:rPr>
                        </w:pPr>
                      </w:p>
                    </w:txbxContent>
                  </v:textbox>
                </v:rect>
              </v:group>
            </w:pict>
          </mc:Fallback>
        </mc:AlternateContent>
      </w:r>
      <w:r w:rsidR="00EE37C8" w:rsidRPr="00E5087D">
        <w:rPr>
          <w:rFonts w:cs="Arial"/>
          <w:sz w:val="16"/>
          <w:szCs w:val="16"/>
        </w:rPr>
        <w:t>** Note that this course is a new unit to be delivered from 2024</w:t>
      </w:r>
    </w:p>
    <w:p w14:paraId="12DA8B06" w14:textId="21424206" w:rsidR="00554F8D" w:rsidRPr="006E07A7" w:rsidRDefault="00554F8D" w:rsidP="00554F8D">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4.3</w:t>
      </w:r>
    </w:p>
    <w:p w14:paraId="7EDD823E" w14:textId="2948ACEA" w:rsidR="00554F8D" w:rsidRPr="00554F8D" w:rsidRDefault="00554F8D" w:rsidP="00554F8D">
      <w:pPr>
        <w:spacing w:before="200" w:after="80" w:line="240" w:lineRule="auto"/>
        <w:ind w:left="170" w:right="113"/>
        <w:rPr>
          <w:rFonts w:asciiTheme="minorHAnsi" w:hAnsiTheme="minorHAnsi" w:cstheme="minorHAnsi"/>
        </w:rPr>
      </w:pPr>
      <w:r w:rsidRPr="009527A5">
        <w:rPr>
          <w:rStyle w:val="ui-provider"/>
        </w:rPr>
        <w:t>Through the Universities Accord, explore opportunities for the Australian Government to incentivise higher education providers to design and deliver specific courses in identified areas of shortage and national priority, including clean energy.</w:t>
      </w:r>
      <w:r w:rsidRPr="00554F8D">
        <w:rPr>
          <w:noProof/>
        </w:rPr>
        <w:t xml:space="preserve"> </w:t>
      </w:r>
    </w:p>
    <w:p w14:paraId="775072CC" w14:textId="77777777" w:rsidR="00970479" w:rsidRDefault="00970479">
      <w:pPr>
        <w:rPr>
          <w:rFonts w:eastAsia="Arial" w:cs="Arial"/>
          <w:b/>
          <w:sz w:val="24"/>
          <w:szCs w:val="24"/>
          <w14:ligatures w14:val="standard"/>
          <w14:numForm w14:val="lining"/>
          <w14:numSpacing w14:val="proportional"/>
        </w:rPr>
      </w:pPr>
      <w:r>
        <w:rPr>
          <w:rFonts w:eastAsia="Arial" w:cs="Arial"/>
          <w:b/>
          <w:sz w:val="24"/>
          <w:szCs w:val="24"/>
          <w14:ligatures w14:val="standard"/>
          <w14:numForm w14:val="lining"/>
          <w14:numSpacing w14:val="proportional"/>
        </w:rPr>
        <w:br w:type="page"/>
      </w:r>
    </w:p>
    <w:p w14:paraId="5B8D4FF1" w14:textId="4D0674F3" w:rsidR="00970479" w:rsidRDefault="00970479" w:rsidP="00970479">
      <w:pPr>
        <w:spacing w:before="360" w:after="120" w:line="240" w:lineRule="auto"/>
        <w:ind w:left="283" w:right="170"/>
        <w:rPr>
          <w:rFonts w:eastAsia="Arial" w:cs="Arial"/>
          <w:b/>
          <w:sz w:val="24"/>
          <w:szCs w:val="24"/>
          <w14:ligatures w14:val="standard"/>
          <w14:numForm w14:val="lining"/>
          <w14:numSpacing w14:val="proportional"/>
        </w:rPr>
      </w:pPr>
    </w:p>
    <w:p w14:paraId="7664DC2D" w14:textId="0BC1686B" w:rsidR="00970479" w:rsidRPr="002A20ED" w:rsidRDefault="00FF23F7" w:rsidP="00970479">
      <w:pPr>
        <w:spacing w:before="360" w:after="120" w:line="240" w:lineRule="auto"/>
        <w:ind w:left="283" w:right="170"/>
        <w:rPr>
          <w:rFonts w:eastAsia="Arial" w:cs="Arial"/>
          <w:b/>
          <w:sz w:val="24"/>
          <w:szCs w:val="24"/>
          <w14:ligatures w14:val="standard"/>
          <w14:numForm w14:val="lining"/>
          <w14:numSpacing w14:val="proportional"/>
        </w:rPr>
      </w:pPr>
      <w:r w:rsidRPr="002A20ED">
        <w:rPr>
          <w:noProof/>
          <w14:numForm w14:val="lining"/>
          <w14:numSpacing w14:val="proportional"/>
        </w:rPr>
        <mc:AlternateContent>
          <mc:Choice Requires="wpg">
            <w:drawing>
              <wp:anchor distT="0" distB="0" distL="114300" distR="114300" simplePos="0" relativeHeight="251658290" behindDoc="1" locked="0" layoutInCell="1" allowOverlap="1" wp14:anchorId="02156D14" wp14:editId="3DDB7E4A">
                <wp:simplePos x="0" y="0"/>
                <wp:positionH relativeFrom="column">
                  <wp:posOffset>-63795</wp:posOffset>
                </wp:positionH>
                <wp:positionV relativeFrom="page">
                  <wp:posOffset>1218565</wp:posOffset>
                </wp:positionV>
                <wp:extent cx="5861685" cy="8286115"/>
                <wp:effectExtent l="0" t="0" r="5715" b="635"/>
                <wp:wrapNone/>
                <wp:docPr id="105" name="Group 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61685" cy="8286115"/>
                          <a:chOff x="0" y="-2"/>
                          <a:chExt cx="5949694" cy="5713912"/>
                        </a:xfrm>
                      </wpg:grpSpPr>
                      <wps:wsp>
                        <wps:cNvPr id="106" name="Rectangle 106"/>
                        <wps:cNvSpPr/>
                        <wps:spPr>
                          <a:xfrm>
                            <a:off x="6994" y="-2"/>
                            <a:ext cx="5942700" cy="5713882"/>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480312CF" w14:textId="77777777" w:rsidR="00F656E2" w:rsidRDefault="00F656E2" w:rsidP="00F656E2"/>
                            <w:p w14:paraId="38F57088" w14:textId="77777777" w:rsidR="00F656E2" w:rsidRPr="006F7DEB" w:rsidRDefault="00F656E2" w:rsidP="007328AF">
                              <w:pPr>
                                <w:spacing w:line="240" w:lineRule="auto"/>
                                <w:ind w:left="283" w:right="170"/>
                                <w:rPr>
                                  <w:rFonts w:eastAsia="Arial" w:cs="Arial"/>
                                  <w:bCs/>
                                  <w:sz w:val="20"/>
                                  <w:szCs w:val="20"/>
                                  <w14:ligatures w14:val="standard"/>
                                  <w14:numForm w14:val="lining"/>
                                  <w14:numSpacing w14:val="proportional"/>
                                </w:rPr>
                              </w:pPr>
                            </w:p>
                          </w:txbxContent>
                        </wps:txbx>
                        <wps:bodyPr spcFirstLastPara="0" wrap="square" lIns="288000" tIns="72000" rIns="144000" bIns="72000" anchor="t">
                          <a:noAutofit/>
                        </wps:bodyPr>
                      </wps:wsp>
                      <wps:wsp>
                        <wps:cNvPr id="107" name="Rectangle 107"/>
                        <wps:cNvSpPr/>
                        <wps:spPr>
                          <a:xfrm>
                            <a:off x="0" y="4377"/>
                            <a:ext cx="133350" cy="5709533"/>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2156D14" id="Group 105" o:spid="_x0000_s1073" alt="&quot;&quot;" style="position:absolute;left:0;text-align:left;margin-left:-5pt;margin-top:95.95pt;width:461.55pt;height:652.45pt;z-index:-251658190;mso-position-vertical-relative:page" coordorigin="" coordsize="59496,57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">
                <v:rect id="Rectangle 106" o:spid="_x0000_s1074" style="position:absolute;left:69;width:59427;height:57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" fillcolor="#f2f2f2" stroked="f" strokeweight="1pt">
                  <v:textbox inset="8mm,2mm,4mm,2mm">
                    <w:txbxContent>
                      <w:p w14:paraId="480312CF" w14:textId="77777777" w:rsidR="00F656E2" w:rsidRDefault="00F656E2" w:rsidP="00F656E2"/>
                      <w:p w14:paraId="38F57088" w14:textId="77777777" w:rsidR="00F656E2" w:rsidRPr="006F7DEB" w:rsidRDefault="00F656E2" w:rsidP="007328AF">
                        <w:pPr>
                          <w:spacing w:line="240" w:lineRule="auto"/>
                          <w:ind w:left="283" w:right="170"/>
                          <w:rPr>
                            <w:rFonts w:eastAsia="Arial" w:cs="Arial"/>
                            <w:bCs/>
                            <w:sz w:val="20"/>
                            <w:szCs w:val="20"/>
                            <w14:ligatures w14:val="standard"/>
                            <w14:numForm w14:val="lining"/>
                            <w14:numSpacing w14:val="proportional"/>
                          </w:rPr>
                        </w:pPr>
                      </w:p>
                    </w:txbxContent>
                  </v:textbox>
                </v:rect>
                <v:rect id="Rectangle 107" o:spid="_x0000_s1075" style="position:absolute;top:43;width:1333;height:57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" fillcolor="#dae3f5" stroked="f" strokeweight="1pt"/>
                <w10:wrap anchory="page"/>
              </v:group>
            </w:pict>
          </mc:Fallback>
        </mc:AlternateContent>
      </w:r>
      <w:r w:rsidR="00970479" w:rsidRPr="002A20ED">
        <w:rPr>
          <w:rFonts w:eastAsia="Arial" w:cs="Arial"/>
          <w:b/>
          <w:sz w:val="24"/>
          <w:szCs w:val="24"/>
          <w14:ligatures w14:val="standard"/>
          <w14:numForm w14:val="lining"/>
          <w14:numSpacing w14:val="proportional"/>
        </w:rPr>
        <w:t>CASE STUDY: Enrolments in clean energy units increasing by over 500% since 2015</w:t>
      </w:r>
    </w:p>
    <w:p w14:paraId="165FA5E8" w14:textId="77777777" w:rsidR="00970479" w:rsidRPr="002A20ED" w:rsidRDefault="00970479" w:rsidP="002A20ED">
      <w:pPr>
        <w:spacing w:after="120" w:line="240" w:lineRule="auto"/>
        <w:ind w:left="283" w:right="170"/>
        <w:rPr>
          <w:sz w:val="20"/>
          <w:szCs w:val="20"/>
          <w14:numForm w14:val="lining"/>
          <w14:numSpacing w14:val="proportional"/>
        </w:rPr>
      </w:pPr>
      <w:r w:rsidRPr="002A20ED">
        <w:rPr>
          <w:sz w:val="20"/>
          <w:szCs w:val="20"/>
          <w14:numForm w14:val="lining"/>
          <w14:numSpacing w14:val="proportional"/>
        </w:rPr>
        <w:t>JSA examined enrolments in a range of clean energy-related VET units. This list was prepared based on the units associated with CEC accreditation for solar installers and solar planners, but some units are broader and can be taken on a standalone basis.</w:t>
      </w:r>
    </w:p>
    <w:p w14:paraId="6E6C7CFC" w14:textId="5DC656A1" w:rsidR="00970479" w:rsidRPr="002A20ED" w:rsidRDefault="00970479" w:rsidP="00970479">
      <w:pPr>
        <w:spacing w:line="240" w:lineRule="auto"/>
        <w:ind w:left="283" w:right="170"/>
        <w:rPr>
          <w:sz w:val="20"/>
          <w:szCs w:val="20"/>
          <w14:numForm w14:val="lining"/>
          <w14:numSpacing w14:val="proportional"/>
        </w:rPr>
      </w:pPr>
      <w:r w:rsidRPr="002A20ED">
        <w:rPr>
          <w:sz w:val="20"/>
          <w:szCs w:val="20"/>
          <w14:numForm w14:val="lining"/>
          <w14:numSpacing w14:val="proportional"/>
        </w:rPr>
        <w:t xml:space="preserve">Enrolments in clean energy related VET units have increased substantially since 2015 from 1,016 in 2015 to 6,406 in 2021 – a 531% increase (Figure 4.8). A full list of the training units is in Attachment B, and range from planning and managing renewable energy projects and targeted units on micro-hydro systems, batteries and solar. Demographically, the overwhelming number of students identified as male (almost 97%) and the average age of students enrolling is dropping fast. For example, the average age dropped almost four years from 35.2 years in 2019 to 31.6 in 2021. Most likely, this reflects the point at which apprentices began to undertake these units in larger numbers. </w:t>
      </w:r>
    </w:p>
    <w:p w14:paraId="5303C93B" w14:textId="77777777" w:rsidR="00970479" w:rsidRPr="002A20ED" w:rsidRDefault="00970479" w:rsidP="00970479">
      <w:pPr>
        <w:spacing w:after="0" w:line="256" w:lineRule="auto"/>
        <w:ind w:left="283"/>
        <w:rPr>
          <w14:numForm w14:val="lining"/>
          <w14:numSpacing w14:val="proportional"/>
        </w:rPr>
      </w:pPr>
      <w:r w:rsidRPr="002A20ED">
        <w:rPr>
          <w:b/>
          <w:bCs/>
          <w:sz w:val="20"/>
          <w:szCs w:val="20"/>
          <w14:numForm w14:val="lining"/>
          <w14:numSpacing w14:val="proportional"/>
        </w:rPr>
        <w:t>Figure 4.8. Number of enrolments and average age of students</w:t>
      </w:r>
      <w:r w:rsidRPr="002A20ED">
        <w:rPr>
          <w:noProof/>
          <w14:numForm w14:val="lining"/>
          <w14:numSpacing w14:val="proportional"/>
        </w:rPr>
        <w:drawing>
          <wp:inline distT="0" distB="0" distL="0" distR="0" wp14:anchorId="71074FB2" wp14:editId="51BF6CBB">
            <wp:extent cx="5080883" cy="2280834"/>
            <wp:effectExtent l="0" t="0" r="5715" b="5715"/>
            <wp:docPr id="2066236611" name="Graphic 2066236611" descr="This figure show number of VET enrolments and average age of students between 2015 and 2021. It shows the average age has declined since 2019 but total enrolments have increase since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36611" name="Graphic 2066236611" descr="This figure show number of VET enrolments and average age of students between 2015 and 2021. It shows the average age has declined since 2019 but total enrolments have increase since 2015. "/>
                    <pic:cNvPicPr/>
                  </pic:nvPicPr>
                  <pic:blipFill>
                    <a:blip r:embed="rId118">
                      <a:extLst>
                        <a:ext uri="{96DAC541-7B7A-43D3-8B79-37D633B846F1}">
                          <asvg:svgBlip xmlns:asvg="http://schemas.microsoft.com/office/drawing/2016/SVG/main" r:embed="rId119"/>
                        </a:ext>
                      </a:extLst>
                    </a:blip>
                    <a:stretch>
                      <a:fillRect/>
                    </a:stretch>
                  </pic:blipFill>
                  <pic:spPr>
                    <a:xfrm>
                      <a:off x="0" y="0"/>
                      <a:ext cx="5086888" cy="2283530"/>
                    </a:xfrm>
                    <a:prstGeom prst="rect">
                      <a:avLst/>
                    </a:prstGeom>
                  </pic:spPr>
                </pic:pic>
              </a:graphicData>
            </a:graphic>
          </wp:inline>
        </w:drawing>
      </w:r>
    </w:p>
    <w:p w14:paraId="534BB5AC" w14:textId="77777777" w:rsidR="00970479" w:rsidRPr="002A20ED" w:rsidRDefault="00970479" w:rsidP="00970479">
      <w:pPr>
        <w:ind w:left="283"/>
        <w:rPr>
          <w:i/>
          <w:iCs/>
          <w:sz w:val="18"/>
          <w:szCs w:val="18"/>
          <w14:numForm w14:val="lining"/>
          <w14:numSpacing w14:val="proportional"/>
        </w:rPr>
      </w:pPr>
      <w:r w:rsidRPr="002A20ED">
        <w:rPr>
          <w:i/>
          <w:iCs/>
          <w:sz w:val="18"/>
          <w:szCs w:val="18"/>
          <w14:numForm w14:val="lining"/>
          <w14:numSpacing w14:val="proportional"/>
        </w:rPr>
        <w:t>Source: ABS (2023) Microdata: Total VET Activity (2015 to 2021)</w:t>
      </w:r>
    </w:p>
    <w:p w14:paraId="1A856E24" w14:textId="77777777" w:rsidR="00970479" w:rsidRPr="002A20ED" w:rsidRDefault="00970479" w:rsidP="00970479">
      <w:pPr>
        <w:spacing w:before="360" w:after="0"/>
        <w:ind w:left="283"/>
        <w:rPr>
          <w:i/>
          <w:iCs/>
          <w:sz w:val="18"/>
          <w:szCs w:val="18"/>
          <w14:numForm w14:val="lining"/>
          <w14:numSpacing w14:val="proportional"/>
        </w:rPr>
      </w:pPr>
      <w:r w:rsidRPr="002A20ED">
        <w:rPr>
          <w:b/>
          <w:bCs/>
          <w14:numForm w14:val="lining"/>
          <w14:numSpacing w14:val="proportional"/>
        </w:rPr>
        <w:t>Electricians most likely to enrol in clean energy units</w:t>
      </w:r>
    </w:p>
    <w:p w14:paraId="0BDF08B7" w14:textId="77777777" w:rsidR="00970479" w:rsidRPr="002A20ED" w:rsidRDefault="00970479" w:rsidP="00970479">
      <w:pPr>
        <w:spacing w:after="120" w:line="240" w:lineRule="auto"/>
        <w:ind w:left="283"/>
        <w:rPr>
          <w:sz w:val="20"/>
          <w:szCs w:val="20"/>
          <w14:numForm w14:val="lining"/>
          <w14:numSpacing w14:val="proportional"/>
        </w:rPr>
      </w:pPr>
      <w:r w:rsidRPr="002A20ED">
        <w:rPr>
          <w:sz w:val="20"/>
          <w:szCs w:val="20"/>
          <w14:numForm w14:val="lining"/>
          <w14:numSpacing w14:val="proportional"/>
        </w:rPr>
        <w:t>On average almost 60% of training students were classified as qualified Electricians. The next most common group - 15% of students were Electrical Apprentices (Table 4.6).</w:t>
      </w:r>
    </w:p>
    <w:p w14:paraId="065DF959" w14:textId="77777777" w:rsidR="00970479" w:rsidRPr="002A20ED" w:rsidRDefault="00970479" w:rsidP="00970479">
      <w:pPr>
        <w:spacing w:after="0" w:line="240" w:lineRule="auto"/>
        <w:ind w:left="283"/>
        <w:rPr>
          <w:b/>
          <w:bCs/>
          <w:sz w:val="20"/>
          <w:szCs w:val="20"/>
          <w14:numForm w14:val="lining"/>
          <w14:numSpacing w14:val="proportional"/>
        </w:rPr>
      </w:pPr>
      <w:r w:rsidRPr="002A20ED">
        <w:rPr>
          <w:b/>
          <w:bCs/>
          <w:sz w:val="20"/>
          <w:szCs w:val="20"/>
          <w14:numForm w14:val="lining"/>
          <w14:numSpacing w14:val="proportional"/>
        </w:rPr>
        <w:t>Table 4.6. Most common occupations on enrolments</w:t>
      </w:r>
    </w:p>
    <w:tbl>
      <w:tblPr>
        <w:tblW w:w="8073" w:type="dxa"/>
        <w:tblInd w:w="284" w:type="dxa"/>
        <w:tblCellMar>
          <w:left w:w="0" w:type="dxa"/>
          <w:right w:w="0" w:type="dxa"/>
        </w:tblCellMar>
        <w:tblLook w:val="04A0" w:firstRow="1" w:lastRow="0" w:firstColumn="1" w:lastColumn="0" w:noHBand="0" w:noVBand="1"/>
      </w:tblPr>
      <w:tblGrid>
        <w:gridCol w:w="5663"/>
        <w:gridCol w:w="2410"/>
      </w:tblGrid>
      <w:tr w:rsidR="00970479" w:rsidRPr="002A20ED" w14:paraId="7408B3D8" w14:textId="77777777" w:rsidTr="00135952">
        <w:trPr>
          <w:trHeight w:val="300"/>
        </w:trPr>
        <w:tc>
          <w:tcPr>
            <w:tcW w:w="5663" w:type="dxa"/>
            <w:tcBorders>
              <w:top w:val="single" w:sz="8" w:space="0" w:color="auto"/>
              <w:left w:val="single" w:sz="8" w:space="0" w:color="auto"/>
              <w:bottom w:val="single" w:sz="8" w:space="0" w:color="auto"/>
              <w:right w:val="single" w:sz="8" w:space="0" w:color="auto"/>
            </w:tcBorders>
            <w:shd w:val="clear" w:color="auto" w:fill="DAE3F5"/>
            <w:noWrap/>
            <w:tcMar>
              <w:top w:w="0" w:type="dxa"/>
              <w:left w:w="108" w:type="dxa"/>
              <w:bottom w:w="0" w:type="dxa"/>
              <w:right w:w="108" w:type="dxa"/>
            </w:tcMar>
            <w:vAlign w:val="center"/>
            <w:hideMark/>
          </w:tcPr>
          <w:p w14:paraId="5E338CE5" w14:textId="77777777" w:rsidR="00970479" w:rsidRPr="002A20ED" w:rsidRDefault="00970479" w:rsidP="009F6AF5">
            <w:pPr>
              <w:spacing w:after="0" w:line="240" w:lineRule="auto"/>
              <w:rPr>
                <w:rFonts w:ascii="Calibri" w:hAnsi="Calibri"/>
                <w:b/>
                <w:sz w:val="18"/>
                <w:szCs w:val="18"/>
                <w:lang w:eastAsia="en-AU"/>
                <w14:numForm w14:val="lining"/>
                <w14:numSpacing w14:val="proportional"/>
              </w:rPr>
            </w:pPr>
            <w:r w:rsidRPr="002A20ED">
              <w:rPr>
                <w:b/>
                <w:sz w:val="18"/>
                <w:szCs w:val="18"/>
                <w:lang w:eastAsia="en-AU"/>
                <w14:numForm w14:val="lining"/>
                <w14:numSpacing w14:val="proportional"/>
              </w:rPr>
              <w:t>Occupation</w:t>
            </w:r>
          </w:p>
        </w:tc>
        <w:tc>
          <w:tcPr>
            <w:tcW w:w="2410" w:type="dxa"/>
            <w:tcBorders>
              <w:top w:val="single" w:sz="8" w:space="0" w:color="auto"/>
              <w:left w:val="nil"/>
              <w:bottom w:val="single" w:sz="8" w:space="0" w:color="auto"/>
              <w:right w:val="single" w:sz="8" w:space="0" w:color="auto"/>
            </w:tcBorders>
            <w:shd w:val="clear" w:color="auto" w:fill="DAE3F5"/>
            <w:noWrap/>
            <w:tcMar>
              <w:top w:w="0" w:type="dxa"/>
              <w:left w:w="108" w:type="dxa"/>
              <w:bottom w:w="0" w:type="dxa"/>
              <w:right w:w="108" w:type="dxa"/>
            </w:tcMar>
            <w:vAlign w:val="center"/>
            <w:hideMark/>
          </w:tcPr>
          <w:p w14:paraId="7AB1048E" w14:textId="77777777" w:rsidR="00970479" w:rsidRPr="002A20ED" w:rsidRDefault="00970479" w:rsidP="009F6AF5">
            <w:pPr>
              <w:spacing w:after="0" w:line="240" w:lineRule="auto"/>
              <w:jc w:val="right"/>
              <w:rPr>
                <w:rFonts w:cs="Arial"/>
                <w:b/>
                <w:sz w:val="18"/>
                <w:szCs w:val="18"/>
                <w:lang w:eastAsia="en-AU"/>
                <w14:numForm w14:val="lining"/>
                <w14:numSpacing w14:val="proportional"/>
              </w:rPr>
            </w:pPr>
            <w:r w:rsidRPr="002A20ED">
              <w:rPr>
                <w:rFonts w:cs="Arial"/>
                <w:b/>
                <w:sz w:val="18"/>
                <w:szCs w:val="18"/>
                <w:lang w:eastAsia="en-AU"/>
                <w14:numForm w14:val="lining"/>
                <w14:numSpacing w14:val="proportional"/>
              </w:rPr>
              <w:t>Average Pre-training %</w:t>
            </w:r>
          </w:p>
        </w:tc>
      </w:tr>
      <w:tr w:rsidR="00970479" w:rsidRPr="002A20ED" w14:paraId="3D3CCAD0"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0CE853D7" w14:textId="77777777"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341111 </w:t>
            </w:r>
            <w:r w:rsidRPr="002A20ED">
              <w:rPr>
                <w:color w:val="000000"/>
                <w:sz w:val="18"/>
                <w:szCs w:val="18"/>
                <w:lang w:eastAsia="en-AU"/>
                <w14:numForm w14:val="lining"/>
                <w14:numSpacing w14:val="proportional"/>
              </w:rPr>
              <w:t>Electricians</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47E52803"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59.90%</w:t>
            </w:r>
          </w:p>
        </w:tc>
      </w:tr>
      <w:tr w:rsidR="00970479" w:rsidRPr="002A20ED" w14:paraId="79A308DF"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603D7197" w14:textId="77777777"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934101 </w:t>
            </w:r>
            <w:r w:rsidRPr="002A20ED">
              <w:rPr>
                <w:color w:val="000000"/>
                <w:sz w:val="18"/>
                <w:szCs w:val="18"/>
                <w:lang w:eastAsia="en-AU"/>
                <w14:numForm w14:val="lining"/>
                <w14:numSpacing w14:val="proportional"/>
              </w:rPr>
              <w:t>Electrical apprentice/Trainee</w:t>
            </w:r>
          </w:p>
        </w:tc>
        <w:tc>
          <w:tcPr>
            <w:tcW w:w="241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303B9A81"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sz w:val="18"/>
                <w:szCs w:val="18"/>
                <w:lang w:eastAsia="en-AU"/>
                <w14:numForm w14:val="lining"/>
                <w14:numSpacing w14:val="proportional"/>
              </w:rPr>
              <w:t>15.10%</w:t>
            </w:r>
          </w:p>
        </w:tc>
      </w:tr>
      <w:tr w:rsidR="00970479" w:rsidRPr="002A20ED" w14:paraId="7379DEB5"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7E98542F" w14:textId="77777777"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233311 </w:t>
            </w:r>
            <w:r w:rsidRPr="002A20ED">
              <w:rPr>
                <w:color w:val="000000"/>
                <w:sz w:val="18"/>
                <w:szCs w:val="18"/>
                <w:lang w:eastAsia="en-AU"/>
                <w14:numForm w14:val="lining"/>
                <w14:numSpacing w14:val="proportional"/>
              </w:rPr>
              <w:t>Electrical Engineer</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34E294F9"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2.70%</w:t>
            </w:r>
          </w:p>
        </w:tc>
      </w:tr>
      <w:tr w:rsidR="00970479" w:rsidRPr="002A20ED" w14:paraId="2462D8A7" w14:textId="77777777" w:rsidTr="00135952">
        <w:trPr>
          <w:trHeight w:val="300"/>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2561C62F" w14:textId="04542878"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111111 </w:t>
            </w:r>
            <w:r w:rsidRPr="002A20ED">
              <w:rPr>
                <w:color w:val="000000"/>
                <w:sz w:val="18"/>
                <w:szCs w:val="18"/>
                <w:lang w:eastAsia="en-AU"/>
                <w14:numForm w14:val="lining"/>
                <w14:numSpacing w14:val="proportional"/>
              </w:rPr>
              <w:t>Executive Officer/Managing Director</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32FCB970"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2.50%</w:t>
            </w:r>
          </w:p>
        </w:tc>
      </w:tr>
      <w:tr w:rsidR="00970479" w:rsidRPr="002A20ED" w14:paraId="6E3A9C47" w14:textId="77777777" w:rsidTr="00135952">
        <w:trPr>
          <w:trHeight w:val="255"/>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7F1E45C5" w14:textId="5B04D4FA" w:rsidR="00970479" w:rsidRPr="002A20ED" w:rsidRDefault="00970479" w:rsidP="009F6AF5">
            <w:pPr>
              <w:spacing w:after="0" w:line="240" w:lineRule="auto"/>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 xml:space="preserve">899914 </w:t>
            </w:r>
            <w:r w:rsidRPr="002A20ED">
              <w:rPr>
                <w:rFonts w:cs="Arial"/>
                <w:color w:val="000000"/>
                <w:sz w:val="18"/>
                <w:szCs w:val="18"/>
                <w:lang w:eastAsia="en-AU"/>
                <w14:numForm w14:val="lining"/>
                <w14:numSpacing w14:val="proportional"/>
              </w:rPr>
              <w:t>Electrical trades assistant/labourer; Electrician’s assistant; Labourer - electrical; Telecommunications trades assistant</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4767A53B" w14:textId="77777777" w:rsidR="00970479" w:rsidRPr="002A20ED" w:rsidRDefault="00970479" w:rsidP="009F6AF5">
            <w:pPr>
              <w:spacing w:after="0" w:line="240" w:lineRule="auto"/>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1.60%</w:t>
            </w:r>
          </w:p>
        </w:tc>
      </w:tr>
      <w:tr w:rsidR="00970479" w:rsidRPr="002A20ED" w14:paraId="4BF7C67D" w14:textId="77777777" w:rsidTr="00135952">
        <w:trPr>
          <w:trHeight w:val="255"/>
        </w:trPr>
        <w:tc>
          <w:tcPr>
            <w:tcW w:w="566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598A3372" w14:textId="77777777" w:rsidR="00970479" w:rsidRPr="002A20ED" w:rsidRDefault="00970479" w:rsidP="009F6AF5">
            <w:pPr>
              <w:spacing w:after="0"/>
              <w:rPr>
                <w:rFonts w:cs="Arial"/>
                <w:color w:val="70AD47"/>
                <w:sz w:val="18"/>
                <w:szCs w:val="18"/>
                <w:lang w:eastAsia="en-AU"/>
                <w14:numForm w14:val="lining"/>
                <w14:numSpacing w14:val="proportional"/>
              </w:rPr>
            </w:pPr>
            <w:r w:rsidRPr="002A20ED">
              <w:rPr>
                <w:rFonts w:cs="Arial"/>
                <w:color w:val="084974" w:themeColor="accent3" w:themeShade="80"/>
                <w:sz w:val="18"/>
                <w:szCs w:val="18"/>
                <w:lang w:eastAsia="en-AU"/>
                <w14:numForm w14:val="lining"/>
                <w14:numSpacing w14:val="proportional"/>
              </w:rPr>
              <w:t>Other occupations</w:t>
            </w:r>
          </w:p>
        </w:tc>
        <w:tc>
          <w:tcPr>
            <w:tcW w:w="2410"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5E48CBC" w14:textId="77777777" w:rsidR="00970479" w:rsidRPr="002A20ED" w:rsidRDefault="00970479" w:rsidP="009F6AF5">
            <w:pPr>
              <w:spacing w:after="0"/>
              <w:jc w:val="right"/>
              <w:rPr>
                <w:rFonts w:cs="Arial"/>
                <w:color w:val="auto"/>
                <w:sz w:val="18"/>
                <w:szCs w:val="18"/>
                <w:lang w:eastAsia="en-AU"/>
                <w14:numForm w14:val="lining"/>
                <w14:numSpacing w14:val="proportional"/>
              </w:rPr>
            </w:pPr>
            <w:r w:rsidRPr="002A20ED">
              <w:rPr>
                <w:rFonts w:cs="Arial"/>
                <w:color w:val="000000"/>
                <w:sz w:val="18"/>
                <w:szCs w:val="18"/>
                <w:lang w:eastAsia="en-AU"/>
                <w14:numForm w14:val="lining"/>
                <w14:numSpacing w14:val="proportional"/>
              </w:rPr>
              <w:t>19.70%</w:t>
            </w:r>
          </w:p>
        </w:tc>
      </w:tr>
    </w:tbl>
    <w:p w14:paraId="7B867A1B" w14:textId="77777777" w:rsidR="00970479" w:rsidRPr="002A20ED" w:rsidRDefault="00970479" w:rsidP="00135952">
      <w:pPr>
        <w:spacing w:before="120" w:after="120" w:line="240" w:lineRule="auto"/>
        <w:ind w:left="283"/>
        <w:rPr>
          <w:sz w:val="20"/>
          <w:szCs w:val="20"/>
          <w14:numForm w14:val="lining"/>
          <w14:numSpacing w14:val="proportional"/>
        </w:rPr>
      </w:pPr>
      <w:r w:rsidRPr="002A20ED">
        <w:rPr>
          <w:sz w:val="20"/>
          <w:szCs w:val="20"/>
          <w14:numForm w14:val="lining"/>
          <w14:numSpacing w14:val="proportional"/>
        </w:rPr>
        <w:t xml:space="preserve">Before enrolling, most clean energy students had completed a Certificate III or IV, with many completing Year 12 (41.6% and 23.2% respectively in 2021). Overall, while the proportions for the highest education attainment prior to enrolment have remained broadly constant since 2015, it should be noted that the aggregate numbers for educational attainment have increased tremendously (Certificate III up 581%, Certificate IV up 559% and Bachelor degree up 581%). </w:t>
      </w:r>
    </w:p>
    <w:p w14:paraId="7C56ECB4" w14:textId="77777777" w:rsidR="00B96D70" w:rsidRDefault="00B96D70">
      <w:pPr>
        <w:rPr>
          <w:b/>
          <w:bCs/>
          <w:color w:val="0C6DAD" w:themeColor="accent3" w:themeShade="BF"/>
          <w:sz w:val="24"/>
          <w:szCs w:val="24"/>
        </w:rPr>
      </w:pPr>
      <w:r>
        <w:rPr>
          <w:b/>
          <w:bCs/>
          <w:color w:val="0C6DAD" w:themeColor="accent3" w:themeShade="BF"/>
          <w:sz w:val="24"/>
          <w:szCs w:val="24"/>
        </w:rPr>
        <w:br w:type="page"/>
      </w:r>
    </w:p>
    <w:p w14:paraId="57A949C4" w14:textId="7314B454" w:rsidR="00EE37C8" w:rsidRPr="00E5087D" w:rsidRDefault="00EE37C8" w:rsidP="00EE37C8">
      <w:pPr>
        <w:spacing w:before="240" w:after="120"/>
        <w:rPr>
          <w:b/>
          <w:bCs/>
          <w:color w:val="0C6DAD" w:themeColor="accent3" w:themeShade="BF"/>
          <w:sz w:val="24"/>
          <w:szCs w:val="24"/>
        </w:rPr>
      </w:pPr>
      <w:r w:rsidRPr="00E5087D">
        <w:rPr>
          <w:b/>
          <w:bCs/>
          <w:color w:val="0C6DAD" w:themeColor="accent3" w:themeShade="BF"/>
          <w:sz w:val="24"/>
          <w:szCs w:val="24"/>
        </w:rPr>
        <w:t>Post-trade and postgraduate qualifications</w:t>
      </w:r>
    </w:p>
    <w:p w14:paraId="147FCD1B" w14:textId="77777777" w:rsidR="00EE37C8" w:rsidRPr="00E5087D" w:rsidRDefault="00EE37C8" w:rsidP="00EE37C8">
      <w:pPr>
        <w:spacing w:after="120"/>
      </w:pPr>
      <w:r w:rsidRPr="00E5087D">
        <w:t>Accredited courses and post-graduate qualifications are starting to emerge that can provide additional ‘top-up’ skills for workers after completing their core qualifications. These top-up skilling opportunities are not just for recent graduates – a large pool of qualified workers in areas like construction could move into clean energy if short, accessible and affordable training were available. These could prove particularly important for workers in transitioning industries, like coal-fired power generation, who would benefit from short skilling pathways that can bridge gaps to new opportunities.</w:t>
      </w:r>
    </w:p>
    <w:p w14:paraId="05EC43AD" w14:textId="343257F3" w:rsidR="00EE37C8" w:rsidRPr="00E5087D" w:rsidRDefault="00EE37C8" w:rsidP="00DC79EF">
      <w:pPr>
        <w:spacing w:after="240"/>
      </w:pPr>
      <w:r w:rsidRPr="00E5087D">
        <w:t xml:space="preserve">Post-trade qualifications like the </w:t>
      </w:r>
      <w:r w:rsidRPr="00E5087D">
        <w:rPr>
          <w:i/>
          <w:iCs/>
        </w:rPr>
        <w:t>Certificate IV in Electrical - Renewable Energy</w:t>
      </w:r>
      <w:r w:rsidRPr="00E5087D">
        <w:t xml:space="preserve"> are a way to specialise and gain new skills after an apprenticeship. These formal qualifications typically take several years to attain and are at the Certificate IV, Diploma or Advanced Diploma levels. Figure </w:t>
      </w:r>
      <w:r w:rsidR="00377210">
        <w:t>4</w:t>
      </w:r>
      <w:r w:rsidR="00165B6F">
        <w:t>.9</w:t>
      </w:r>
      <w:r w:rsidRPr="00E5087D">
        <w:t xml:space="preserve"> shows four post-trade qualifications for Electricians that can be completed as standalone qualifications or as apprenticeships in some states and territories. </w:t>
      </w:r>
    </w:p>
    <w:p w14:paraId="53ED0688" w14:textId="339B5D89" w:rsidR="00EE37C8" w:rsidRPr="00E5087D" w:rsidRDefault="00EE37C8" w:rsidP="00DC79EF">
      <w:pPr>
        <w:pBdr>
          <w:top w:val="single" w:sz="4" w:space="6" w:color="BFBFBF" w:themeColor="background1" w:themeShade="BF"/>
        </w:pBdr>
        <w:spacing w:after="120" w:line="240" w:lineRule="auto"/>
        <w:rPr>
          <w:b/>
          <w:bCs/>
          <w:i/>
          <w:iCs/>
          <w:spacing w:val="2"/>
          <w14:ligatures w14:val="standard"/>
          <w14:numForm w14:val="lining"/>
          <w14:numSpacing w14:val="proportional"/>
        </w:rPr>
      </w:pPr>
      <w:r w:rsidRPr="00E5087D">
        <w:rPr>
          <w:b/>
          <w:bCs/>
          <w:spacing w:val="2"/>
          <w14:ligatures w14:val="standard"/>
          <w14:numForm w14:val="lining"/>
          <w14:numSpacing w14:val="proportional"/>
        </w:rPr>
        <w:t xml:space="preserve">Figure </w:t>
      </w:r>
      <w:r w:rsidR="00377210">
        <w:rPr>
          <w:b/>
          <w:bCs/>
          <w:spacing w:val="2"/>
          <w14:ligatures w14:val="standard"/>
          <w14:numForm w14:val="lining"/>
          <w14:numSpacing w14:val="proportional"/>
        </w:rPr>
        <w:t>4</w:t>
      </w:r>
      <w:r w:rsidR="00165B6F">
        <w:rPr>
          <w:b/>
          <w:bCs/>
          <w:spacing w:val="2"/>
          <w14:ligatures w14:val="standard"/>
          <w14:numForm w14:val="lining"/>
          <w14:numSpacing w14:val="proportional"/>
        </w:rPr>
        <w:t>.9</w:t>
      </w:r>
      <w:r w:rsidR="00377210">
        <w:rPr>
          <w:b/>
          <w:bCs/>
          <w:spacing w:val="2"/>
          <w14:ligatures w14:val="standard"/>
          <w14:numForm w14:val="lining"/>
          <w14:numSpacing w14:val="proportional"/>
        </w:rPr>
        <w:t>.</w:t>
      </w:r>
      <w:r w:rsidRPr="00E5087D">
        <w:rPr>
          <w:b/>
          <w:bCs/>
          <w:spacing w:val="2"/>
          <w14:ligatures w14:val="standard"/>
          <w14:numForm w14:val="lining"/>
          <w14:numSpacing w14:val="proportional"/>
        </w:rPr>
        <w:t xml:space="preserve"> Post-trade qualification pathways for </w:t>
      </w:r>
      <w:r w:rsidRPr="00DC79EF">
        <w:rPr>
          <w:b/>
          <w:bCs/>
          <w:spacing w:val="2"/>
          <w:sz w:val="23"/>
          <w:szCs w:val="23"/>
          <w14:ligatures w14:val="standard"/>
          <w14:numForm w14:val="lining"/>
          <w14:numSpacing w14:val="proportional"/>
        </w:rPr>
        <w:t>Electricians</w:t>
      </w:r>
    </w:p>
    <w:p w14:paraId="47208292" w14:textId="77777777" w:rsidR="00EE37C8" w:rsidRPr="00E5087D" w:rsidRDefault="00EE37C8" w:rsidP="00EE37C8">
      <w:pPr>
        <w:spacing w:after="80" w:line="276" w:lineRule="auto"/>
        <w:rPr>
          <w:b/>
          <w:bCs/>
          <w:color w:val="auto"/>
          <w:spacing w:val="2"/>
          <w:sz w:val="20"/>
          <w:szCs w:val="20"/>
          <w14:ligatures w14:val="standard"/>
          <w14:numForm w14:val="lining"/>
          <w14:numSpacing w14:val="proportional"/>
        </w:rPr>
      </w:pPr>
      <w:r w:rsidRPr="00E5087D">
        <w:rPr>
          <w:b/>
          <w:bCs/>
          <w:noProof/>
          <w:color w:val="auto"/>
          <w:spacing w:val="2"/>
          <w:sz w:val="20"/>
          <w:szCs w:val="20"/>
          <w14:ligatures w14:val="standard"/>
          <w14:numForm w14:val="lining"/>
          <w14:numSpacing w14:val="proportional"/>
        </w:rPr>
        <w:drawing>
          <wp:inline distT="0" distB="0" distL="0" distR="0" wp14:anchorId="4E25DD71" wp14:editId="5D4D63DD">
            <wp:extent cx="5731510" cy="2581910"/>
            <wp:effectExtent l="0" t="0" r="2540" b="8890"/>
            <wp:docPr id="1341085158" name="Picture 1341085158" descr="This figure shows post-trade qualification pathways for Electricians. There are 4 qualifications that a graduate of the Certificate III in Electrotechnology Electrician. They three certificate IVs and one diploma. One of the certificate IVs is the Certificate IV in Electrical - Renewable Energy mentioned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58" name="Picture 1341085158" descr="This figure shows post-trade qualification pathways for Electricians. There are 4 qualifications that a graduate of the Certificate III in Electrotechnology Electrician. They three certificate IVs and one diploma. One of the certificate IVs is the Certificate IV in Electrical - Renewable Energy mentioned in the text. "/>
                    <pic:cNvPicPr/>
                  </pic:nvPicPr>
                  <pic:blipFill>
                    <a:blip r:embed="rId120" cstate="screen">
                      <a:extLst>
                        <a:ext uri="{28A0092B-C50C-407E-A947-70E740481C1C}">
                          <a14:useLocalDpi xmlns:a14="http://schemas.microsoft.com/office/drawing/2010/main"/>
                        </a:ext>
                      </a:extLst>
                    </a:blip>
                    <a:stretch>
                      <a:fillRect/>
                    </a:stretch>
                  </pic:blipFill>
                  <pic:spPr>
                    <a:xfrm>
                      <a:off x="0" y="0"/>
                      <a:ext cx="5731510" cy="2581910"/>
                    </a:xfrm>
                    <a:prstGeom prst="rect">
                      <a:avLst/>
                    </a:prstGeom>
                  </pic:spPr>
                </pic:pic>
              </a:graphicData>
            </a:graphic>
          </wp:inline>
        </w:drawing>
      </w:r>
    </w:p>
    <w:p w14:paraId="453DFBD9" w14:textId="77777777" w:rsidR="00EE37C8" w:rsidRPr="00E5087D" w:rsidRDefault="00EE37C8" w:rsidP="00EE37C8">
      <w:pPr>
        <w:spacing w:after="80" w:line="276" w:lineRule="auto"/>
        <w:rPr>
          <w:color w:val="auto"/>
          <w:spacing w:val="2"/>
          <w:sz w:val="18"/>
          <w:szCs w:val="18"/>
          <w14:ligatures w14:val="standard"/>
          <w14:numForm w14:val="lining"/>
          <w14:numSpacing w14:val="proportional"/>
        </w:rPr>
      </w:pPr>
      <w:r w:rsidRPr="00E5087D">
        <w:rPr>
          <w:color w:val="auto"/>
          <w:spacing w:val="2"/>
          <w:sz w:val="18"/>
          <w:szCs w:val="18"/>
          <w14:ligatures w14:val="standard"/>
          <w14:numForm w14:val="lining"/>
          <w14:numSpacing w14:val="proportional"/>
        </w:rPr>
        <w:t xml:space="preserve">Source: NCVER, 2023, Total VET activity data </w:t>
      </w:r>
    </w:p>
    <w:p w14:paraId="75F38161" w14:textId="3F3BFCA2" w:rsidR="00EE37C8" w:rsidRPr="00E5087D" w:rsidRDefault="00EE37C8" w:rsidP="00EE37C8">
      <w:pPr>
        <w:spacing w:before="240" w:after="120"/>
        <w:rPr>
          <w:rFonts w:cs="Arial"/>
        </w:rPr>
      </w:pPr>
      <w:r w:rsidRPr="00E5087D">
        <w:rPr>
          <w:rFonts w:cs="Arial"/>
        </w:rPr>
        <w:t>Postgraduate degrees can act as a conversion course, allowing prospective students to change their direction of studies</w:t>
      </w:r>
      <w:r w:rsidR="00C713E4">
        <w:rPr>
          <w:rFonts w:cs="Arial"/>
        </w:rPr>
        <w:t>.</w:t>
      </w:r>
      <w:r w:rsidRPr="00E5087D">
        <w:rPr>
          <w:rFonts w:cs="Arial"/>
        </w:rPr>
        <w:t xml:space="preserve"> </w:t>
      </w:r>
      <w:r w:rsidR="00C713E4">
        <w:rPr>
          <w:rFonts w:cs="Arial"/>
        </w:rPr>
        <w:t>P</w:t>
      </w:r>
      <w:r w:rsidRPr="00E5087D">
        <w:rPr>
          <w:rFonts w:cs="Arial"/>
        </w:rPr>
        <w:t xml:space="preserve">ostgraduate courses also provide students with an alternative path for career progression, through conducting research in a field of interest and contributing to institutional change. </w:t>
      </w:r>
    </w:p>
    <w:p w14:paraId="19B7665E" w14:textId="77777777" w:rsidR="00EE37C8" w:rsidRPr="00E5087D" w:rsidRDefault="00EE37C8" w:rsidP="00EE37C8">
      <w:pPr>
        <w:spacing w:after="120"/>
        <w:rPr>
          <w:rFonts w:cs="Arial"/>
        </w:rPr>
      </w:pPr>
      <w:r w:rsidRPr="00E5087D">
        <w:rPr>
          <w:rFonts w:cs="Arial"/>
        </w:rPr>
        <w:t>Prospective students seeking to enrol in a postgraduate qualification can either pursue the research or coursework pathway. Postgraduate coursework programs deliver content through a specified program (similar to an undergraduate Bachelor’s Degree), but at a more advanced level, allowing students to deepen their knowledge within a discipline.</w:t>
      </w:r>
    </w:p>
    <w:p w14:paraId="2BDEEF01" w14:textId="5518CA34" w:rsidR="00EE37C8" w:rsidRPr="00E5087D" w:rsidRDefault="00EE37C8" w:rsidP="00EE37C8">
      <w:pPr>
        <w:rPr>
          <w:rFonts w:cs="Arial"/>
        </w:rPr>
      </w:pPr>
      <w:r w:rsidRPr="00E5087D">
        <w:rPr>
          <w:rFonts w:cs="Arial"/>
        </w:rPr>
        <w:t>On the other hand, postgraduate research programs (or Higher Degree Research) allow students to develop their knowledge and experience within the chosen field by completing a major research project under the supervision of an academic, with postgraduate research degrees, including Master’s by research or Doctorate (</w:t>
      </w:r>
      <w:r w:rsidRPr="40096491">
        <w:rPr>
          <w:rFonts w:cs="Arial"/>
        </w:rPr>
        <w:t>P</w:t>
      </w:r>
      <w:r w:rsidR="32DC1997" w:rsidRPr="40096491">
        <w:rPr>
          <w:rFonts w:cs="Arial"/>
        </w:rPr>
        <w:t>h</w:t>
      </w:r>
      <w:r w:rsidRPr="40096491">
        <w:rPr>
          <w:rFonts w:cs="Arial"/>
        </w:rPr>
        <w:t>D</w:t>
      </w:r>
      <w:r w:rsidRPr="00E5087D">
        <w:rPr>
          <w:rFonts w:cs="Arial"/>
        </w:rPr>
        <w:t>) programs. The following table below provides a snapshot of the current postgraduate pathways in Australia in the engineering field, with a specific focus on renewable energy.</w:t>
      </w:r>
      <w:r w:rsidR="0097647E">
        <w:rPr>
          <w:rFonts w:cs="Arial"/>
        </w:rPr>
        <w:t xml:space="preserve"> The full list of postgraduate pathways can be found in Attachment B. </w:t>
      </w:r>
    </w:p>
    <w:p w14:paraId="332E0763" w14:textId="512E3654" w:rsidR="00EE37C8" w:rsidRPr="00E5087D" w:rsidRDefault="00EE37C8" w:rsidP="00EE37C8">
      <w:pPr>
        <w:spacing w:after="0"/>
        <w:rPr>
          <w:rFonts w:cs="Arial"/>
          <w:b/>
          <w:bCs/>
        </w:rPr>
      </w:pPr>
      <w:bookmarkStart w:id="44" w:name="_Hlk140146470"/>
      <w:r w:rsidRPr="00E5087D">
        <w:rPr>
          <w:rFonts w:cs="Arial"/>
          <w:b/>
          <w:bCs/>
        </w:rPr>
        <w:t xml:space="preserve">Table </w:t>
      </w:r>
      <w:r w:rsidR="00691A79">
        <w:rPr>
          <w:rFonts w:cs="Arial"/>
          <w:b/>
          <w:bCs/>
        </w:rPr>
        <w:t>4.7</w:t>
      </w:r>
      <w:r w:rsidR="00171964">
        <w:rPr>
          <w:rFonts w:cs="Arial"/>
          <w:b/>
          <w:bCs/>
        </w:rPr>
        <w:t>.</w:t>
      </w:r>
      <w:r w:rsidRPr="00E5087D">
        <w:rPr>
          <w:rFonts w:cs="Arial"/>
          <w:b/>
          <w:bCs/>
        </w:rPr>
        <w:t xml:space="preserve"> List of postgraduate pathways in renewable energy </w:t>
      </w:r>
    </w:p>
    <w:tbl>
      <w:tblPr>
        <w:tblStyle w:val="TableGrid"/>
        <w:tblW w:w="0" w:type="auto"/>
        <w:jc w:val="center"/>
        <w:tblLook w:val="04A0" w:firstRow="1" w:lastRow="0" w:firstColumn="1" w:lastColumn="0" w:noHBand="0" w:noVBand="1"/>
      </w:tblPr>
      <w:tblGrid>
        <w:gridCol w:w="3679"/>
        <w:gridCol w:w="3090"/>
        <w:gridCol w:w="2247"/>
      </w:tblGrid>
      <w:tr w:rsidR="00EE37C8" w:rsidRPr="00E5087D" w14:paraId="0B324737" w14:textId="77777777" w:rsidTr="00563CBD">
        <w:trPr>
          <w:jc w:val="center"/>
        </w:trPr>
        <w:tc>
          <w:tcPr>
            <w:tcW w:w="3692" w:type="dxa"/>
            <w:tcBorders>
              <w:top w:val="single" w:sz="4" w:space="0" w:color="auto"/>
              <w:left w:val="single" w:sz="4" w:space="0" w:color="auto"/>
              <w:bottom w:val="single" w:sz="4" w:space="0" w:color="auto"/>
              <w:right w:val="single" w:sz="4" w:space="0" w:color="auto"/>
            </w:tcBorders>
            <w:shd w:val="clear" w:color="auto" w:fill="CEE9FB" w:themeFill="accent3" w:themeFillTint="33"/>
            <w:hideMark/>
          </w:tcPr>
          <w:p w14:paraId="07DE30FE" w14:textId="77777777" w:rsidR="00EE37C8" w:rsidRPr="00E5087D" w:rsidRDefault="00EE37C8">
            <w:pPr>
              <w:jc w:val="center"/>
              <w:rPr>
                <w:rFonts w:cs="Arial"/>
                <w:b/>
              </w:rPr>
            </w:pPr>
            <w:r w:rsidRPr="00E5087D">
              <w:rPr>
                <w:rFonts w:cs="Arial"/>
                <w:b/>
              </w:rPr>
              <w:t>University</w:t>
            </w:r>
          </w:p>
        </w:tc>
        <w:tc>
          <w:tcPr>
            <w:tcW w:w="3100" w:type="dxa"/>
            <w:tcBorders>
              <w:top w:val="single" w:sz="4" w:space="0" w:color="auto"/>
              <w:left w:val="single" w:sz="4" w:space="0" w:color="auto"/>
              <w:bottom w:val="single" w:sz="4" w:space="0" w:color="auto"/>
              <w:right w:val="single" w:sz="4" w:space="0" w:color="auto"/>
            </w:tcBorders>
            <w:shd w:val="clear" w:color="auto" w:fill="CEE9FB" w:themeFill="accent3" w:themeFillTint="33"/>
            <w:hideMark/>
          </w:tcPr>
          <w:p w14:paraId="720A3372" w14:textId="77777777" w:rsidR="00EE37C8" w:rsidRPr="00E5087D" w:rsidRDefault="00EE37C8">
            <w:pPr>
              <w:jc w:val="center"/>
              <w:rPr>
                <w:rFonts w:cs="Arial"/>
                <w:b/>
              </w:rPr>
            </w:pPr>
            <w:r w:rsidRPr="00E5087D">
              <w:rPr>
                <w:rFonts w:cs="Arial"/>
                <w:b/>
              </w:rPr>
              <w:t>Course Title</w:t>
            </w:r>
          </w:p>
        </w:tc>
        <w:tc>
          <w:tcPr>
            <w:tcW w:w="2254" w:type="dxa"/>
            <w:tcBorders>
              <w:top w:val="single" w:sz="4" w:space="0" w:color="auto"/>
              <w:left w:val="single" w:sz="4" w:space="0" w:color="auto"/>
              <w:bottom w:val="single" w:sz="4" w:space="0" w:color="auto"/>
              <w:right w:val="single" w:sz="4" w:space="0" w:color="auto"/>
            </w:tcBorders>
            <w:shd w:val="clear" w:color="auto" w:fill="CEE9FB" w:themeFill="accent3" w:themeFillTint="33"/>
            <w:hideMark/>
          </w:tcPr>
          <w:p w14:paraId="0C649EF1" w14:textId="77777777" w:rsidR="00EE37C8" w:rsidRPr="00E5087D" w:rsidRDefault="00EE37C8">
            <w:pPr>
              <w:jc w:val="center"/>
              <w:rPr>
                <w:rFonts w:cs="Arial"/>
                <w:b/>
              </w:rPr>
            </w:pPr>
            <w:r w:rsidRPr="00E5087D">
              <w:rPr>
                <w:rFonts w:cs="Arial"/>
                <w:b/>
              </w:rPr>
              <w:t>Full-time duration</w:t>
            </w:r>
          </w:p>
        </w:tc>
      </w:tr>
      <w:tr w:rsidR="00EE37C8" w:rsidRPr="00E5087D" w14:paraId="1C8CC41E"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22E2BD48" w14:textId="77777777" w:rsidR="00EE37C8" w:rsidRPr="00E5087D" w:rsidRDefault="00EE37C8">
            <w:pPr>
              <w:rPr>
                <w:rFonts w:cs="Arial"/>
              </w:rPr>
            </w:pPr>
            <w:r w:rsidRPr="00E5087D">
              <w:rPr>
                <w:rFonts w:cs="Arial"/>
              </w:rPr>
              <w:t>The University of Western Australia</w:t>
            </w:r>
          </w:p>
        </w:tc>
        <w:tc>
          <w:tcPr>
            <w:tcW w:w="3100" w:type="dxa"/>
            <w:tcBorders>
              <w:top w:val="single" w:sz="4" w:space="0" w:color="auto"/>
              <w:left w:val="single" w:sz="4" w:space="0" w:color="auto"/>
              <w:bottom w:val="single" w:sz="4" w:space="0" w:color="auto"/>
              <w:right w:val="single" w:sz="4" w:space="0" w:color="auto"/>
            </w:tcBorders>
            <w:hideMark/>
          </w:tcPr>
          <w:p w14:paraId="6F8444C0" w14:textId="77777777" w:rsidR="00EE37C8" w:rsidRPr="00E5087D" w:rsidRDefault="00EE37C8">
            <w:pPr>
              <w:rPr>
                <w:rFonts w:cs="Arial"/>
              </w:rPr>
            </w:pPr>
            <w:r w:rsidRPr="00E5087D">
              <w:rPr>
                <w:rFonts w:cs="Arial"/>
              </w:rPr>
              <w:t>Masters of Renewable and Future Energy</w:t>
            </w:r>
          </w:p>
        </w:tc>
        <w:tc>
          <w:tcPr>
            <w:tcW w:w="2254" w:type="dxa"/>
            <w:tcBorders>
              <w:top w:val="single" w:sz="4" w:space="0" w:color="auto"/>
              <w:left w:val="single" w:sz="4" w:space="0" w:color="auto"/>
              <w:bottom w:val="single" w:sz="4" w:space="0" w:color="auto"/>
              <w:right w:val="single" w:sz="4" w:space="0" w:color="auto"/>
            </w:tcBorders>
            <w:hideMark/>
          </w:tcPr>
          <w:p w14:paraId="404E7289" w14:textId="77777777" w:rsidR="00EE37C8" w:rsidRPr="00E5087D" w:rsidRDefault="00EE37C8">
            <w:pPr>
              <w:rPr>
                <w:rFonts w:cs="Arial"/>
              </w:rPr>
            </w:pPr>
            <w:r w:rsidRPr="00E5087D">
              <w:rPr>
                <w:rFonts w:cs="Arial"/>
              </w:rPr>
              <w:t>1.5 to 2 years</w:t>
            </w:r>
          </w:p>
        </w:tc>
      </w:tr>
      <w:tr w:rsidR="00EE37C8" w:rsidRPr="00E5087D" w14:paraId="5FDE2C28" w14:textId="77777777">
        <w:trPr>
          <w:jc w:val="center"/>
        </w:trPr>
        <w:tc>
          <w:tcPr>
            <w:tcW w:w="3692" w:type="dxa"/>
            <w:vMerge w:val="restart"/>
            <w:tcBorders>
              <w:top w:val="single" w:sz="4" w:space="0" w:color="auto"/>
              <w:left w:val="single" w:sz="4" w:space="0" w:color="auto"/>
              <w:bottom w:val="single" w:sz="4" w:space="0" w:color="auto"/>
              <w:right w:val="single" w:sz="4" w:space="0" w:color="auto"/>
            </w:tcBorders>
            <w:hideMark/>
          </w:tcPr>
          <w:p w14:paraId="5F4C7E46" w14:textId="77777777" w:rsidR="00EE37C8" w:rsidRPr="00E5087D" w:rsidRDefault="00EE37C8">
            <w:pPr>
              <w:rPr>
                <w:rFonts w:cs="Arial"/>
              </w:rPr>
            </w:pPr>
            <w:r w:rsidRPr="00E5087D">
              <w:rPr>
                <w:rFonts w:cs="Arial"/>
              </w:rPr>
              <w:t>UNSW</w:t>
            </w:r>
          </w:p>
        </w:tc>
        <w:tc>
          <w:tcPr>
            <w:tcW w:w="3100" w:type="dxa"/>
            <w:tcBorders>
              <w:top w:val="single" w:sz="4" w:space="0" w:color="auto"/>
              <w:left w:val="single" w:sz="4" w:space="0" w:color="auto"/>
              <w:bottom w:val="single" w:sz="4" w:space="0" w:color="auto"/>
              <w:right w:val="single" w:sz="4" w:space="0" w:color="auto"/>
            </w:tcBorders>
            <w:hideMark/>
          </w:tcPr>
          <w:p w14:paraId="1495394B" w14:textId="77777777" w:rsidR="00EE37C8" w:rsidRPr="00E5087D" w:rsidRDefault="00EE37C8">
            <w:pPr>
              <w:rPr>
                <w:rFonts w:cs="Arial"/>
              </w:rPr>
            </w:pPr>
            <w:r w:rsidRPr="00E5087D">
              <w:rPr>
                <w:rFonts w:cs="Arial"/>
              </w:rPr>
              <w:t>Master of Engineering (Renewable Energy)</w:t>
            </w:r>
          </w:p>
        </w:tc>
        <w:tc>
          <w:tcPr>
            <w:tcW w:w="2254" w:type="dxa"/>
            <w:tcBorders>
              <w:top w:val="single" w:sz="4" w:space="0" w:color="auto"/>
              <w:left w:val="single" w:sz="4" w:space="0" w:color="auto"/>
              <w:bottom w:val="single" w:sz="4" w:space="0" w:color="auto"/>
              <w:right w:val="single" w:sz="4" w:space="0" w:color="auto"/>
            </w:tcBorders>
            <w:hideMark/>
          </w:tcPr>
          <w:p w14:paraId="3BC3C15F" w14:textId="77777777" w:rsidR="00EE37C8" w:rsidRPr="00E5087D" w:rsidRDefault="00EE37C8">
            <w:pPr>
              <w:rPr>
                <w:rFonts w:cs="Arial"/>
              </w:rPr>
            </w:pPr>
            <w:r w:rsidRPr="00E5087D">
              <w:rPr>
                <w:rFonts w:cs="Arial"/>
              </w:rPr>
              <w:t>2 years</w:t>
            </w:r>
          </w:p>
        </w:tc>
      </w:tr>
      <w:tr w:rsidR="00EE37C8" w:rsidRPr="00E5087D" w14:paraId="5754ADC0" w14:textId="77777777">
        <w:trPr>
          <w:jc w:val="center"/>
        </w:trPr>
        <w:tc>
          <w:tcPr>
            <w:tcW w:w="3692" w:type="dxa"/>
            <w:vMerge/>
            <w:tcBorders>
              <w:top w:val="single" w:sz="4" w:space="0" w:color="auto"/>
              <w:left w:val="single" w:sz="4" w:space="0" w:color="auto"/>
              <w:bottom w:val="single" w:sz="4" w:space="0" w:color="auto"/>
              <w:right w:val="single" w:sz="4" w:space="0" w:color="auto"/>
            </w:tcBorders>
            <w:vAlign w:val="center"/>
            <w:hideMark/>
          </w:tcPr>
          <w:p w14:paraId="6950E1C8" w14:textId="77777777" w:rsidR="00EE37C8" w:rsidRPr="00E5087D" w:rsidRDefault="00EE37C8">
            <w:pPr>
              <w:rPr>
                <w:rFonts w:cs="Arial"/>
                <w:kern w:val="2"/>
                <w14:ligatures w14:val="standardContextual"/>
              </w:rPr>
            </w:pPr>
          </w:p>
        </w:tc>
        <w:tc>
          <w:tcPr>
            <w:tcW w:w="3100" w:type="dxa"/>
            <w:tcBorders>
              <w:top w:val="single" w:sz="4" w:space="0" w:color="auto"/>
              <w:left w:val="single" w:sz="4" w:space="0" w:color="auto"/>
              <w:bottom w:val="single" w:sz="4" w:space="0" w:color="auto"/>
              <w:right w:val="single" w:sz="4" w:space="0" w:color="auto"/>
            </w:tcBorders>
            <w:hideMark/>
          </w:tcPr>
          <w:p w14:paraId="5EF29B08" w14:textId="77777777" w:rsidR="00EE37C8" w:rsidRPr="00E5087D" w:rsidRDefault="00EE37C8">
            <w:pPr>
              <w:rPr>
                <w:rFonts w:cs="Arial"/>
              </w:rPr>
            </w:pPr>
            <w:r w:rsidRPr="00E5087D">
              <w:rPr>
                <w:rFonts w:cs="Arial"/>
              </w:rPr>
              <w:t>Master of Engineering Science (Renewable Energy)</w:t>
            </w:r>
          </w:p>
        </w:tc>
        <w:tc>
          <w:tcPr>
            <w:tcW w:w="2254" w:type="dxa"/>
            <w:tcBorders>
              <w:top w:val="single" w:sz="4" w:space="0" w:color="auto"/>
              <w:left w:val="single" w:sz="4" w:space="0" w:color="auto"/>
              <w:bottom w:val="single" w:sz="4" w:space="0" w:color="auto"/>
              <w:right w:val="single" w:sz="4" w:space="0" w:color="auto"/>
            </w:tcBorders>
            <w:hideMark/>
          </w:tcPr>
          <w:p w14:paraId="1C3278E5" w14:textId="77777777" w:rsidR="00EE37C8" w:rsidRPr="00E5087D" w:rsidRDefault="00EE37C8">
            <w:pPr>
              <w:rPr>
                <w:rFonts w:cs="Arial"/>
              </w:rPr>
            </w:pPr>
            <w:r w:rsidRPr="00E5087D">
              <w:rPr>
                <w:rFonts w:cs="Arial"/>
              </w:rPr>
              <w:t>1.5 to 2 years</w:t>
            </w:r>
          </w:p>
        </w:tc>
      </w:tr>
      <w:tr w:rsidR="00EE37C8" w:rsidRPr="00E5087D" w14:paraId="5190D36F"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669A804E" w14:textId="77777777" w:rsidR="00EE37C8" w:rsidRPr="00E5087D" w:rsidRDefault="00EE37C8">
            <w:pPr>
              <w:rPr>
                <w:rFonts w:cs="Arial"/>
              </w:rPr>
            </w:pPr>
            <w:r w:rsidRPr="00E5087D">
              <w:rPr>
                <w:rFonts w:cs="Arial"/>
              </w:rPr>
              <w:t xml:space="preserve">Murdoch University </w:t>
            </w:r>
          </w:p>
        </w:tc>
        <w:tc>
          <w:tcPr>
            <w:tcW w:w="3100" w:type="dxa"/>
            <w:tcBorders>
              <w:top w:val="single" w:sz="4" w:space="0" w:color="auto"/>
              <w:left w:val="single" w:sz="4" w:space="0" w:color="auto"/>
              <w:bottom w:val="single" w:sz="4" w:space="0" w:color="auto"/>
              <w:right w:val="single" w:sz="4" w:space="0" w:color="auto"/>
            </w:tcBorders>
            <w:hideMark/>
          </w:tcPr>
          <w:p w14:paraId="50391D35" w14:textId="77777777" w:rsidR="00EE37C8" w:rsidRPr="00E5087D" w:rsidRDefault="00EE37C8">
            <w:pPr>
              <w:rPr>
                <w:rFonts w:cs="Arial"/>
              </w:rPr>
            </w:pPr>
            <w:r w:rsidRPr="00E5087D">
              <w:rPr>
                <w:rFonts w:cs="Arial"/>
              </w:rPr>
              <w:t>Master of Renewable and Sustainable Energy</w:t>
            </w:r>
          </w:p>
        </w:tc>
        <w:tc>
          <w:tcPr>
            <w:tcW w:w="2254" w:type="dxa"/>
            <w:tcBorders>
              <w:top w:val="single" w:sz="4" w:space="0" w:color="auto"/>
              <w:left w:val="single" w:sz="4" w:space="0" w:color="auto"/>
              <w:bottom w:val="single" w:sz="4" w:space="0" w:color="auto"/>
              <w:right w:val="single" w:sz="4" w:space="0" w:color="auto"/>
            </w:tcBorders>
            <w:hideMark/>
          </w:tcPr>
          <w:p w14:paraId="3A22512C" w14:textId="77777777" w:rsidR="00EE37C8" w:rsidRPr="00E5087D" w:rsidRDefault="00EE37C8">
            <w:pPr>
              <w:rPr>
                <w:rFonts w:cs="Arial"/>
              </w:rPr>
            </w:pPr>
            <w:r w:rsidRPr="00E5087D">
              <w:rPr>
                <w:rFonts w:cs="Arial"/>
              </w:rPr>
              <w:t>2 years</w:t>
            </w:r>
          </w:p>
        </w:tc>
      </w:tr>
      <w:tr w:rsidR="00EE37C8" w:rsidRPr="00E5087D" w14:paraId="1DA13DE0"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3C0C29FB" w14:textId="37E0DF86" w:rsidR="00EE37C8" w:rsidRPr="00E5087D" w:rsidRDefault="005479F7">
            <w:pPr>
              <w:rPr>
                <w:rFonts w:cs="Arial"/>
              </w:rPr>
            </w:pPr>
            <w:r>
              <w:rPr>
                <w:rFonts w:cs="Arial"/>
              </w:rPr>
              <w:t>ANU</w:t>
            </w:r>
          </w:p>
        </w:tc>
        <w:tc>
          <w:tcPr>
            <w:tcW w:w="3100" w:type="dxa"/>
            <w:tcBorders>
              <w:top w:val="single" w:sz="4" w:space="0" w:color="auto"/>
              <w:left w:val="single" w:sz="4" w:space="0" w:color="auto"/>
              <w:bottom w:val="single" w:sz="4" w:space="0" w:color="auto"/>
              <w:right w:val="single" w:sz="4" w:space="0" w:color="auto"/>
            </w:tcBorders>
            <w:hideMark/>
          </w:tcPr>
          <w:p w14:paraId="39B36829" w14:textId="77777777" w:rsidR="00EE37C8" w:rsidRPr="00E5087D" w:rsidRDefault="00EE37C8">
            <w:pPr>
              <w:rPr>
                <w:rFonts w:cs="Arial"/>
              </w:rPr>
            </w:pPr>
            <w:r w:rsidRPr="00E5087D">
              <w:rPr>
                <w:rFonts w:cs="Arial"/>
              </w:rPr>
              <w:t>Master of Engineering in Renewable Energy</w:t>
            </w:r>
          </w:p>
        </w:tc>
        <w:tc>
          <w:tcPr>
            <w:tcW w:w="2254" w:type="dxa"/>
            <w:tcBorders>
              <w:top w:val="single" w:sz="4" w:space="0" w:color="auto"/>
              <w:left w:val="single" w:sz="4" w:space="0" w:color="auto"/>
              <w:bottom w:val="single" w:sz="4" w:space="0" w:color="auto"/>
              <w:right w:val="single" w:sz="4" w:space="0" w:color="auto"/>
            </w:tcBorders>
            <w:hideMark/>
          </w:tcPr>
          <w:p w14:paraId="32AFCEE7" w14:textId="77777777" w:rsidR="00EE37C8" w:rsidRPr="00E5087D" w:rsidRDefault="00EE37C8">
            <w:pPr>
              <w:rPr>
                <w:rFonts w:cs="Arial"/>
              </w:rPr>
            </w:pPr>
            <w:r w:rsidRPr="00E5087D">
              <w:rPr>
                <w:rFonts w:cs="Arial"/>
              </w:rPr>
              <w:t>2 years</w:t>
            </w:r>
          </w:p>
        </w:tc>
      </w:tr>
      <w:tr w:rsidR="00EE37C8" w:rsidRPr="00E5087D" w14:paraId="035B7DDC" w14:textId="77777777">
        <w:trPr>
          <w:jc w:val="center"/>
        </w:trPr>
        <w:tc>
          <w:tcPr>
            <w:tcW w:w="3692" w:type="dxa"/>
            <w:tcBorders>
              <w:top w:val="single" w:sz="4" w:space="0" w:color="auto"/>
              <w:left w:val="single" w:sz="4" w:space="0" w:color="auto"/>
              <w:bottom w:val="single" w:sz="4" w:space="0" w:color="auto"/>
              <w:right w:val="single" w:sz="4" w:space="0" w:color="auto"/>
            </w:tcBorders>
            <w:hideMark/>
          </w:tcPr>
          <w:p w14:paraId="4DCF7891" w14:textId="77777777" w:rsidR="00EE37C8" w:rsidRPr="00E5087D" w:rsidRDefault="00EE37C8">
            <w:pPr>
              <w:rPr>
                <w:rFonts w:cs="Arial"/>
              </w:rPr>
            </w:pPr>
            <w:r w:rsidRPr="00E5087D">
              <w:rPr>
                <w:rFonts w:cs="Arial"/>
              </w:rPr>
              <w:t>Queensland University Technology</w:t>
            </w:r>
          </w:p>
        </w:tc>
        <w:tc>
          <w:tcPr>
            <w:tcW w:w="3100" w:type="dxa"/>
            <w:tcBorders>
              <w:top w:val="single" w:sz="4" w:space="0" w:color="auto"/>
              <w:left w:val="single" w:sz="4" w:space="0" w:color="auto"/>
              <w:bottom w:val="single" w:sz="4" w:space="0" w:color="auto"/>
              <w:right w:val="single" w:sz="4" w:space="0" w:color="auto"/>
            </w:tcBorders>
            <w:hideMark/>
          </w:tcPr>
          <w:p w14:paraId="2B512360" w14:textId="77777777" w:rsidR="00EE37C8" w:rsidRPr="00E5087D" w:rsidRDefault="00EE37C8">
            <w:pPr>
              <w:rPr>
                <w:rFonts w:cs="Arial"/>
              </w:rPr>
            </w:pPr>
            <w:r w:rsidRPr="00E5087D">
              <w:rPr>
                <w:rFonts w:cs="Arial"/>
              </w:rPr>
              <w:t>Master of Renewable Energy</w:t>
            </w:r>
          </w:p>
        </w:tc>
        <w:tc>
          <w:tcPr>
            <w:tcW w:w="2254" w:type="dxa"/>
            <w:tcBorders>
              <w:top w:val="single" w:sz="4" w:space="0" w:color="auto"/>
              <w:left w:val="single" w:sz="4" w:space="0" w:color="auto"/>
              <w:bottom w:val="single" w:sz="4" w:space="0" w:color="auto"/>
              <w:right w:val="single" w:sz="4" w:space="0" w:color="auto"/>
            </w:tcBorders>
            <w:hideMark/>
          </w:tcPr>
          <w:p w14:paraId="62C6E567" w14:textId="77777777" w:rsidR="00EE37C8" w:rsidRPr="00E5087D" w:rsidRDefault="00EE37C8">
            <w:pPr>
              <w:rPr>
                <w:rFonts w:cs="Arial"/>
              </w:rPr>
            </w:pPr>
            <w:r w:rsidRPr="00E5087D">
              <w:rPr>
                <w:rFonts w:cs="Arial"/>
              </w:rPr>
              <w:t>1.5 years</w:t>
            </w:r>
          </w:p>
        </w:tc>
      </w:tr>
    </w:tbl>
    <w:p w14:paraId="67F80170" w14:textId="4FEA9B39" w:rsidR="00EE37C8" w:rsidRPr="00E5087D" w:rsidRDefault="00EE37C8" w:rsidP="008E6CE4">
      <w:pPr>
        <w:spacing w:before="80" w:after="240"/>
        <w:rPr>
          <w:rFonts w:cs="Arial"/>
          <w:sz w:val="18"/>
          <w:szCs w:val="18"/>
        </w:rPr>
      </w:pPr>
      <w:r w:rsidRPr="00E5087D">
        <w:rPr>
          <w:rFonts w:cs="Arial"/>
          <w:sz w:val="18"/>
          <w:szCs w:val="18"/>
        </w:rPr>
        <w:t xml:space="preserve">Source: Non-exhaustive list of postgraduate pathways in the renewable energy sector. Courses are accurate as of </w:t>
      </w:r>
      <w:r w:rsidR="0097647E">
        <w:rPr>
          <w:rFonts w:cs="Arial"/>
          <w:sz w:val="18"/>
          <w:szCs w:val="18"/>
        </w:rPr>
        <w:t>31 August</w:t>
      </w:r>
      <w:r w:rsidR="00BE24DF">
        <w:rPr>
          <w:rFonts w:cs="Arial"/>
          <w:sz w:val="18"/>
          <w:szCs w:val="18"/>
        </w:rPr>
        <w:t xml:space="preserve"> 2023</w:t>
      </w:r>
    </w:p>
    <w:p w14:paraId="33E24FF5" w14:textId="3455F168" w:rsidR="00E13D67" w:rsidRPr="001D4CC1" w:rsidRDefault="00E13D67" w:rsidP="008E6CE4">
      <w:pPr>
        <w:spacing w:before="80" w:after="240"/>
        <w:rPr>
          <w:rFonts w:cs="Arial"/>
        </w:rPr>
      </w:pPr>
      <w:r w:rsidRPr="001D4CC1">
        <w:rPr>
          <w:rFonts w:cs="Arial"/>
        </w:rPr>
        <w:t>The number of students commencing a masters in electrotechnology (coursework) has steadily grown over the past decade, although declined following COVID-19 (Figure 4</w:t>
      </w:r>
      <w:r w:rsidR="001D4CC1">
        <w:rPr>
          <w:rFonts w:cs="Arial"/>
        </w:rPr>
        <w:t>.</w:t>
      </w:r>
      <w:r w:rsidRPr="001D4CC1">
        <w:rPr>
          <w:rFonts w:cs="Arial"/>
        </w:rPr>
        <w:t xml:space="preserve">10). </w:t>
      </w:r>
      <w:r w:rsidR="00FA28C7" w:rsidRPr="001D4CC1">
        <w:rPr>
          <w:rFonts w:cs="Arial"/>
        </w:rPr>
        <w:t>The vast majority of these students are international students</w:t>
      </w:r>
      <w:r w:rsidR="00A25C88">
        <w:rPr>
          <w:rFonts w:cs="Arial"/>
        </w:rPr>
        <w:t xml:space="preserve"> (93</w:t>
      </w:r>
      <w:r w:rsidR="00A25C88" w:rsidRPr="001D4CC1">
        <w:rPr>
          <w:rFonts w:cs="Arial"/>
        </w:rPr>
        <w:t>% in 2018)</w:t>
      </w:r>
      <w:r w:rsidR="00FA28C7" w:rsidRPr="001D4CC1">
        <w:rPr>
          <w:rFonts w:cs="Arial"/>
        </w:rPr>
        <w:t xml:space="preserve">. </w:t>
      </w:r>
      <w:r w:rsidR="001D4CC1" w:rsidRPr="001D4CC1">
        <w:rPr>
          <w:rFonts w:cs="Arial"/>
        </w:rPr>
        <w:t>The number of domestic commencements was actually lower in 2018 than it was in 2008 (</w:t>
      </w:r>
      <w:r w:rsidR="001D4CC1">
        <w:rPr>
          <w:rFonts w:cs="Arial"/>
        </w:rPr>
        <w:t>80</w:t>
      </w:r>
      <w:r w:rsidR="001D4CC1" w:rsidRPr="001D4CC1">
        <w:rPr>
          <w:rFonts w:cs="Arial"/>
        </w:rPr>
        <w:t xml:space="preserve"> vs </w:t>
      </w:r>
      <w:r w:rsidR="001D4CC1">
        <w:rPr>
          <w:rFonts w:cs="Arial"/>
        </w:rPr>
        <w:t>113</w:t>
      </w:r>
      <w:r w:rsidR="001D4CC1" w:rsidRPr="001D4CC1">
        <w:rPr>
          <w:rFonts w:cs="Arial"/>
        </w:rPr>
        <w:t>).</w:t>
      </w:r>
      <w:r w:rsidRPr="001D4CC1">
        <w:rPr>
          <w:rFonts w:cs="Arial"/>
        </w:rPr>
        <w:t xml:space="preserve"> </w:t>
      </w:r>
    </w:p>
    <w:p w14:paraId="305C1F72" w14:textId="50421C42" w:rsidR="00EE37C8" w:rsidRPr="00197D13" w:rsidRDefault="00EE37C8" w:rsidP="008E6CE4">
      <w:pPr>
        <w:pBdr>
          <w:top w:val="single" w:sz="4" w:space="6" w:color="BFBFBF" w:themeColor="background1" w:themeShade="BF"/>
        </w:pBdr>
        <w:spacing w:after="120" w:line="240" w:lineRule="auto"/>
        <w:rPr>
          <w:rFonts w:cs="Arial"/>
          <w:b/>
          <w:bCs/>
        </w:rPr>
      </w:pPr>
      <w:r w:rsidRPr="00197D13">
        <w:rPr>
          <w:rFonts w:cs="Arial"/>
          <w:b/>
          <w:bCs/>
        </w:rPr>
        <w:t xml:space="preserve">Figure </w:t>
      </w:r>
      <w:r w:rsidR="00377210" w:rsidRPr="00197D13">
        <w:rPr>
          <w:rFonts w:cs="Arial"/>
          <w:b/>
          <w:bCs/>
        </w:rPr>
        <w:t>4</w:t>
      </w:r>
      <w:r w:rsidR="00165B6F">
        <w:rPr>
          <w:rFonts w:cs="Arial"/>
          <w:b/>
          <w:bCs/>
        </w:rPr>
        <w:t>.10</w:t>
      </w:r>
      <w:r w:rsidRPr="00197D13">
        <w:rPr>
          <w:rFonts w:cs="Arial"/>
          <w:b/>
          <w:bCs/>
        </w:rPr>
        <w:t xml:space="preserve">. </w:t>
      </w:r>
      <w:r w:rsidR="00FA28C7" w:rsidRPr="00FA28C7">
        <w:rPr>
          <w:rFonts w:cs="Arial"/>
          <w:b/>
          <w:bCs/>
        </w:rPr>
        <w:t>Electrical and Electronic Engineering and Technology</w:t>
      </w:r>
      <w:r w:rsidRPr="00197D13">
        <w:rPr>
          <w:rFonts w:cs="Arial"/>
          <w:b/>
          <w:bCs/>
        </w:rPr>
        <w:t xml:space="preserve"> commencements</w:t>
      </w:r>
      <w:r w:rsidR="00F6343C" w:rsidRPr="00197D13">
        <w:rPr>
          <w:rFonts w:cs="Arial"/>
          <w:b/>
          <w:bCs/>
        </w:rPr>
        <w:t xml:space="preserve"> (masters by coursework)</w:t>
      </w:r>
    </w:p>
    <w:p w14:paraId="592F389F" w14:textId="0E0DAFD5" w:rsidR="00EE37C8" w:rsidRPr="00E5087D" w:rsidRDefault="004754F0" w:rsidP="00EE37C8">
      <w:pPr>
        <w:spacing w:after="0"/>
        <w:rPr>
          <w:rFonts w:cs="Arial"/>
          <w:kern w:val="2"/>
          <w14:ligatures w14:val="standardContextual"/>
        </w:rPr>
      </w:pPr>
      <w:r>
        <w:rPr>
          <w:noProof/>
        </w:rPr>
        <w:drawing>
          <wp:inline distT="0" distB="0" distL="0" distR="0" wp14:anchorId="3E1F3753" wp14:editId="6782B73D">
            <wp:extent cx="5731510" cy="2728595"/>
            <wp:effectExtent l="0" t="0" r="2540" b="0"/>
            <wp:docPr id="1087981683" name="Graphic 1087981683" descr="This figure shows the commencements in the Electrical and Electronic Engineering and Technology field of education (masters by coursework) between 2012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83" name="Graphic 1087981683" descr="This figure shows the commencements in the Electrical and Electronic Engineering and Technology field of education (masters by coursework) between 2012 and 2021."/>
                    <pic:cNvPicPr/>
                  </pic:nvPicPr>
                  <pic:blipFill>
                    <a:blip r:embed="rId121">
                      <a:extLst>
                        <a:ext uri="{96DAC541-7B7A-43D3-8B79-37D633B846F1}">
                          <asvg:svgBlip xmlns:asvg="http://schemas.microsoft.com/office/drawing/2016/SVG/main" r:embed="rId122"/>
                        </a:ext>
                      </a:extLst>
                    </a:blip>
                    <a:stretch>
                      <a:fillRect/>
                    </a:stretch>
                  </pic:blipFill>
                  <pic:spPr>
                    <a:xfrm>
                      <a:off x="0" y="0"/>
                      <a:ext cx="5731510" cy="2728595"/>
                    </a:xfrm>
                    <a:prstGeom prst="rect">
                      <a:avLst/>
                    </a:prstGeom>
                  </pic:spPr>
                </pic:pic>
              </a:graphicData>
            </a:graphic>
          </wp:inline>
        </w:drawing>
      </w:r>
    </w:p>
    <w:p w14:paraId="039C0E4C" w14:textId="77777777" w:rsidR="00EE37C8" w:rsidRPr="00E5087D" w:rsidRDefault="00EE37C8" w:rsidP="00EE37C8">
      <w:pPr>
        <w:rPr>
          <w:rFonts w:cs="Arial"/>
          <w:kern w:val="2"/>
          <w:sz w:val="18"/>
          <w:szCs w:val="18"/>
          <w14:ligatures w14:val="standardContextual"/>
        </w:rPr>
      </w:pPr>
      <w:r w:rsidRPr="00E5087D">
        <w:rPr>
          <w:rFonts w:cs="Arial"/>
          <w:kern w:val="2"/>
          <w:sz w:val="18"/>
          <w:szCs w:val="18"/>
          <w14:ligatures w14:val="standardContextual"/>
        </w:rPr>
        <w:t>Source: Department of Education data</w:t>
      </w:r>
    </w:p>
    <w:bookmarkEnd w:id="44"/>
    <w:p w14:paraId="0345A01C" w14:textId="2910D96B" w:rsidR="00EE37C8" w:rsidRPr="00E5087D" w:rsidRDefault="00EE37C8" w:rsidP="00FB4347">
      <w:pPr>
        <w:spacing w:before="240"/>
        <w:rPr>
          <w:spacing w:val="2"/>
          <w:sz w:val="20"/>
          <w:szCs w:val="20"/>
          <w14:ligatures w14:val="standard"/>
          <w14:numForm w14:val="lining"/>
          <w14:numSpacing w14:val="proportional"/>
        </w:rPr>
      </w:pPr>
      <w:r w:rsidRPr="00E5087D">
        <w:rPr>
          <w:rFonts w:cs="Arial"/>
        </w:rPr>
        <w:t xml:space="preserve">Developing specialist knowledge through postgraduate studies can position students to be experts in the relevant field, boosting future employment prospects and remaining versatile in the current labour market. </w:t>
      </w:r>
    </w:p>
    <w:p w14:paraId="211BFF22" w14:textId="77777777" w:rsidR="00EE37C8" w:rsidRPr="00E5087D" w:rsidRDefault="00EE37C8" w:rsidP="00EE37C8">
      <w:pPr>
        <w:rPr>
          <w:spacing w:val="2"/>
          <w:sz w:val="20"/>
          <w:szCs w:val="20"/>
          <w14:ligatures w14:val="standard"/>
          <w14:numForm w14:val="lining"/>
          <w14:numSpacing w14:val="proportional"/>
        </w:rPr>
      </w:pPr>
      <w:r w:rsidRPr="00E5087D">
        <w:rPr>
          <w:spacing w:val="2"/>
          <w:sz w:val="20"/>
          <w:szCs w:val="20"/>
          <w14:ligatures w14:val="standard"/>
          <w14:numForm w14:val="lining"/>
          <w14:numSpacing w14:val="proportional"/>
        </w:rPr>
        <w:br w:type="page"/>
      </w:r>
    </w:p>
    <w:p w14:paraId="4A176E3B" w14:textId="77777777" w:rsidR="00EE37C8" w:rsidRPr="00E5087D" w:rsidRDefault="00EE37C8" w:rsidP="00EE37C8">
      <w:pPr>
        <w:spacing w:after="120"/>
        <w:rPr>
          <w:b/>
          <w:bCs/>
          <w:color w:val="0C6DAD" w:themeColor="accent3" w:themeShade="BF"/>
          <w:sz w:val="24"/>
          <w:szCs w:val="24"/>
        </w:rPr>
      </w:pPr>
      <w:r w:rsidRPr="00E5087D">
        <w:rPr>
          <w:b/>
          <w:bCs/>
          <w:color w:val="0C6DAD" w:themeColor="accent3" w:themeShade="BF"/>
          <w:sz w:val="24"/>
          <w:szCs w:val="24"/>
        </w:rPr>
        <w:t>Other top-up pathways</w:t>
      </w:r>
    </w:p>
    <w:p w14:paraId="7FECA4B9" w14:textId="77777777" w:rsidR="00EE37C8" w:rsidRPr="00E5087D" w:rsidRDefault="00EE37C8" w:rsidP="00EE37C8">
      <w:pPr>
        <w:spacing w:before="120" w:after="120" w:line="276" w:lineRule="auto"/>
        <w:rPr>
          <w:color w:val="auto"/>
          <w:spacing w:val="2"/>
          <w14:ligatures w14:val="standard"/>
          <w14:numForm w14:val="lining"/>
          <w14:numSpacing w14:val="proportional"/>
        </w:rPr>
      </w:pPr>
      <w:r w:rsidRPr="00E5087D">
        <w:rPr>
          <w:color w:val="auto"/>
          <w:spacing w:val="2"/>
          <w14:ligatures w14:val="standard"/>
          <w14:numForm w14:val="lining"/>
          <w14:numSpacing w14:val="proportional"/>
        </w:rPr>
        <w:t>Unaccredited courses can be a fast, low-cost option to address smaller skills gaps. For example, TAFE Queensland offers an unaccredited three-day course to gain experience with solar and heat pump water systems. Unaccredited courses can also be faster to develop and roll out than qualifications under the nationally recognised training system.</w:t>
      </w:r>
    </w:p>
    <w:p w14:paraId="34783E80" w14:textId="77BBAD16" w:rsidR="00EE37C8" w:rsidRPr="00E5087D" w:rsidRDefault="00EE37C8" w:rsidP="00EE37C8">
      <w:pPr>
        <w:spacing w:after="120" w:line="276" w:lineRule="auto"/>
        <w:rPr>
          <w:color w:val="auto"/>
          <w:spacing w:val="2"/>
          <w14:ligatures w14:val="standard"/>
          <w14:numForm w14:val="lining"/>
          <w14:numSpacing w14:val="proportional"/>
        </w:rPr>
      </w:pPr>
      <w:r w:rsidRPr="00E5087D">
        <w:rPr>
          <w:color w:val="auto"/>
          <w:spacing w:val="2"/>
          <w14:ligatures w14:val="standard"/>
          <w14:numForm w14:val="lining"/>
          <w14:numSpacing w14:val="proportional"/>
        </w:rPr>
        <w:t xml:space="preserve">TAFE NSW also offers various unaccredited renewable energy microcredentials, including Grid Connected Solar PV Systems Design, Wind Energy Conversion Systems, Energy Storage Systems, Foundation Studies in Renewable Energy and Sustainability, Principles of Electrical Engineering and Sustainable Strategies. Some of these courses are industry accredited by the </w:t>
      </w:r>
      <w:r w:rsidR="00C759B7">
        <w:rPr>
          <w:rFonts w:cs="Arial"/>
          <w14:numForm w14:val="lining"/>
          <w14:numSpacing w14:val="proportional"/>
        </w:rPr>
        <w:t>CEC</w:t>
      </w:r>
      <w:r w:rsidRPr="00E5087D">
        <w:rPr>
          <w:color w:val="auto"/>
          <w:spacing w:val="2"/>
          <w14:ligatures w14:val="standard"/>
          <w14:numForm w14:val="lining"/>
          <w14:numSpacing w14:val="proportional"/>
        </w:rPr>
        <w:t>.</w:t>
      </w:r>
    </w:p>
    <w:p w14:paraId="0402808E" w14:textId="4B787B6B" w:rsidR="00EE37C8" w:rsidRPr="00E5087D" w:rsidRDefault="00EE37C8" w:rsidP="00EE37C8">
      <w:pPr>
        <w:rPr>
          <w:rFonts w:cs="Arial"/>
        </w:rPr>
      </w:pPr>
      <w:r w:rsidRPr="00E5087D">
        <w:rPr>
          <w:rFonts w:cs="Arial"/>
        </w:rPr>
        <w:t>The currency of the modern-day career portfolio is skills. As the job market becomes increasingly competitive, developing an effective culture of lifelong learning is key to ensuring that everyone has the knowledge, skills and competencies needed to thrive in both their personal and professional lives through microcredentials</w:t>
      </w:r>
      <w:r w:rsidR="004754F0">
        <w:rPr>
          <w:rFonts w:cs="Arial"/>
        </w:rPr>
        <w:t>.</w:t>
      </w:r>
      <w:r w:rsidRPr="00E5087D">
        <w:rPr>
          <w:rStyle w:val="EndnoteReference"/>
          <w:rFonts w:cs="Arial"/>
        </w:rPr>
        <w:endnoteReference w:id="61"/>
      </w:r>
      <w:r w:rsidRPr="00E5087D">
        <w:rPr>
          <w:rFonts w:cs="Arial"/>
        </w:rPr>
        <w:t xml:space="preserve"> </w:t>
      </w:r>
    </w:p>
    <w:p w14:paraId="6F0A8912" w14:textId="033751BA" w:rsidR="00EE37C8" w:rsidRPr="00E5087D" w:rsidRDefault="00EE37C8" w:rsidP="00EE37C8">
      <w:pPr>
        <w:spacing w:after="120"/>
        <w:rPr>
          <w:rFonts w:cs="Arial"/>
        </w:rPr>
      </w:pPr>
      <w:r w:rsidRPr="00E5087D">
        <w:rPr>
          <w:rFonts w:cs="Arial"/>
        </w:rPr>
        <w:t xml:space="preserve">The role of micro-credentials in the higher education sector acts as a bridge between complementary courses. Prospective students might commence in an undergraduate degree followed by enrolling in specific courses for specialisation. The flexibility of the delivery mechanism under microcredentials allows individuals to </w:t>
      </w:r>
      <w:r w:rsidR="00775045">
        <w:rPr>
          <w:rFonts w:cs="Arial"/>
        </w:rPr>
        <w:t>regularly</w:t>
      </w:r>
      <w:r w:rsidRPr="00E5087D">
        <w:rPr>
          <w:rFonts w:cs="Arial"/>
        </w:rPr>
        <w:t xml:space="preserve"> reskill and upskill, meeting the needs of employers and industries. </w:t>
      </w:r>
    </w:p>
    <w:p w14:paraId="02396E4E" w14:textId="2E63404D" w:rsidR="00EE37C8" w:rsidRPr="00E5087D" w:rsidRDefault="00EE37C8" w:rsidP="00EE37C8">
      <w:pPr>
        <w:spacing w:after="120"/>
        <w:rPr>
          <w:rFonts w:cs="Arial"/>
        </w:rPr>
      </w:pPr>
      <w:r w:rsidRPr="00E5087D">
        <w:rPr>
          <w:rFonts w:cs="Arial"/>
        </w:rPr>
        <w:t xml:space="preserve">The announcement of the microcredentials pilot in the higher education sector </w:t>
      </w:r>
      <w:r w:rsidR="008574AC" w:rsidRPr="00E5087D">
        <w:rPr>
          <w:rFonts w:cs="Arial"/>
        </w:rPr>
        <w:t>in</w:t>
      </w:r>
      <w:r w:rsidRPr="00E5087D">
        <w:rPr>
          <w:rFonts w:cs="Arial"/>
        </w:rPr>
        <w:t xml:space="preserve"> June 2023 will support the design and delivery of up to 28 micro credential courses from 18 universities to help meet skills needs in priority industries at the cost of $18.5 million, with a further announcement for the second phase of the program to commence from 2024 onwards. The following table below provides a snapshot of the microcredentials pilot in the field of renewable energy.</w:t>
      </w:r>
    </w:p>
    <w:p w14:paraId="70495610" w14:textId="69AFBC4A" w:rsidR="00EE37C8" w:rsidRPr="00E5087D" w:rsidRDefault="00EE37C8" w:rsidP="00F6343C">
      <w:pPr>
        <w:spacing w:before="240" w:after="80"/>
        <w:rPr>
          <w:rFonts w:cs="Arial"/>
          <w:b/>
          <w:bCs/>
        </w:rPr>
      </w:pPr>
      <w:r w:rsidRPr="00E5087D">
        <w:rPr>
          <w:rFonts w:cs="Arial"/>
          <w:b/>
          <w:bCs/>
        </w:rPr>
        <w:t xml:space="preserve">Table </w:t>
      </w:r>
      <w:r w:rsidR="00FD301A">
        <w:rPr>
          <w:rFonts w:cs="Arial"/>
          <w:b/>
          <w:bCs/>
        </w:rPr>
        <w:t>4.8</w:t>
      </w:r>
      <w:r w:rsidR="00171964">
        <w:rPr>
          <w:rFonts w:cs="Arial"/>
          <w:b/>
          <w:bCs/>
        </w:rPr>
        <w:t>.</w:t>
      </w:r>
      <w:r w:rsidRPr="00E5087D">
        <w:rPr>
          <w:rFonts w:cs="Arial"/>
          <w:b/>
          <w:bCs/>
        </w:rPr>
        <w:t xml:space="preserve"> Microcredentials pilot in the renewable energy sector</w:t>
      </w:r>
    </w:p>
    <w:tbl>
      <w:tblPr>
        <w:tblStyle w:val="TableGrid"/>
        <w:tblW w:w="9072" w:type="dxa"/>
        <w:jc w:val="center"/>
        <w:tblLook w:val="04A0" w:firstRow="1" w:lastRow="0" w:firstColumn="1" w:lastColumn="0" w:noHBand="0" w:noVBand="1"/>
      </w:tblPr>
      <w:tblGrid>
        <w:gridCol w:w="2835"/>
        <w:gridCol w:w="4033"/>
        <w:gridCol w:w="2204"/>
      </w:tblGrid>
      <w:tr w:rsidR="00EE37C8" w:rsidRPr="00E5087D" w14:paraId="52A6A762" w14:textId="77777777" w:rsidTr="00176C3C">
        <w:trPr>
          <w:jc w:val="center"/>
        </w:trPr>
        <w:tc>
          <w:tcPr>
            <w:tcW w:w="2835"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487798B4" w14:textId="77777777" w:rsidR="00EE37C8" w:rsidRPr="00E5087D" w:rsidRDefault="00EE37C8">
            <w:pPr>
              <w:jc w:val="center"/>
              <w:rPr>
                <w:rFonts w:cs="Arial"/>
                <w:b/>
                <w:bCs/>
                <w:sz w:val="20"/>
                <w:szCs w:val="20"/>
              </w:rPr>
            </w:pPr>
            <w:r w:rsidRPr="00E5087D">
              <w:rPr>
                <w:rFonts w:cs="Arial"/>
                <w:b/>
                <w:bCs/>
                <w:sz w:val="20"/>
                <w:szCs w:val="20"/>
              </w:rPr>
              <w:t>University</w:t>
            </w:r>
          </w:p>
        </w:tc>
        <w:tc>
          <w:tcPr>
            <w:tcW w:w="4033"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2F2A09BC" w14:textId="77777777" w:rsidR="00EE37C8" w:rsidRPr="00E5087D" w:rsidRDefault="00EE37C8">
            <w:pPr>
              <w:jc w:val="center"/>
              <w:rPr>
                <w:rFonts w:cs="Arial"/>
                <w:b/>
                <w:bCs/>
                <w:sz w:val="20"/>
                <w:szCs w:val="20"/>
              </w:rPr>
            </w:pPr>
            <w:r w:rsidRPr="00E5087D">
              <w:rPr>
                <w:rFonts w:cs="Arial"/>
                <w:b/>
                <w:bCs/>
                <w:sz w:val="20"/>
                <w:szCs w:val="20"/>
              </w:rPr>
              <w:t>Course Title</w:t>
            </w:r>
          </w:p>
        </w:tc>
        <w:tc>
          <w:tcPr>
            <w:tcW w:w="2204"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7AC42AB0" w14:textId="21A53626" w:rsidR="00EE37C8" w:rsidRPr="00E5087D" w:rsidRDefault="00EE37C8">
            <w:pPr>
              <w:jc w:val="center"/>
              <w:rPr>
                <w:rFonts w:cs="Arial"/>
                <w:b/>
                <w:bCs/>
                <w:sz w:val="20"/>
                <w:szCs w:val="20"/>
              </w:rPr>
            </w:pPr>
            <w:r w:rsidRPr="00E5087D">
              <w:rPr>
                <w:rFonts w:cs="Arial"/>
                <w:b/>
                <w:bCs/>
                <w:sz w:val="20"/>
                <w:szCs w:val="20"/>
              </w:rPr>
              <w:t xml:space="preserve">Course </w:t>
            </w:r>
            <w:r w:rsidR="007E791B" w:rsidRPr="00E5087D">
              <w:rPr>
                <w:rFonts w:cs="Arial"/>
                <w:b/>
                <w:bCs/>
                <w:sz w:val="20"/>
                <w:szCs w:val="20"/>
              </w:rPr>
              <w:t>d</w:t>
            </w:r>
            <w:r w:rsidRPr="00E5087D">
              <w:rPr>
                <w:rFonts w:cs="Arial"/>
                <w:b/>
                <w:bCs/>
                <w:sz w:val="20"/>
                <w:szCs w:val="20"/>
              </w:rPr>
              <w:t>uration in EFTSL</w:t>
            </w:r>
          </w:p>
        </w:tc>
      </w:tr>
      <w:tr w:rsidR="00EE37C8" w:rsidRPr="00E5087D" w14:paraId="2F625E1F"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5E7047C5" w14:textId="77777777" w:rsidR="00EE37C8" w:rsidRPr="00E5087D" w:rsidRDefault="00EE37C8">
            <w:pPr>
              <w:rPr>
                <w:rFonts w:cs="Arial"/>
                <w:sz w:val="20"/>
                <w:szCs w:val="20"/>
              </w:rPr>
            </w:pPr>
            <w:r w:rsidRPr="00E5087D">
              <w:rPr>
                <w:rFonts w:cs="Arial"/>
                <w:sz w:val="20"/>
                <w:szCs w:val="20"/>
              </w:rPr>
              <w:t>Curtin University</w:t>
            </w:r>
          </w:p>
        </w:tc>
        <w:tc>
          <w:tcPr>
            <w:tcW w:w="4033" w:type="dxa"/>
            <w:tcBorders>
              <w:top w:val="single" w:sz="4" w:space="0" w:color="auto"/>
              <w:left w:val="single" w:sz="4" w:space="0" w:color="auto"/>
              <w:bottom w:val="single" w:sz="4" w:space="0" w:color="auto"/>
              <w:right w:val="single" w:sz="4" w:space="0" w:color="auto"/>
            </w:tcBorders>
            <w:hideMark/>
          </w:tcPr>
          <w:p w14:paraId="147E435C" w14:textId="77777777" w:rsidR="00EE37C8" w:rsidRPr="00E5087D" w:rsidRDefault="00EE37C8">
            <w:pPr>
              <w:rPr>
                <w:rFonts w:cs="Arial"/>
                <w:sz w:val="20"/>
                <w:szCs w:val="20"/>
              </w:rPr>
            </w:pPr>
            <w:r w:rsidRPr="00E5087D">
              <w:rPr>
                <w:rFonts w:cs="Arial"/>
                <w:sz w:val="20"/>
                <w:szCs w:val="20"/>
              </w:rPr>
              <w:t>Net Zero Engineering Fundamentals</w:t>
            </w:r>
          </w:p>
        </w:tc>
        <w:tc>
          <w:tcPr>
            <w:tcW w:w="2204" w:type="dxa"/>
            <w:tcBorders>
              <w:top w:val="single" w:sz="4" w:space="0" w:color="auto"/>
              <w:left w:val="single" w:sz="4" w:space="0" w:color="auto"/>
              <w:bottom w:val="single" w:sz="4" w:space="0" w:color="auto"/>
              <w:right w:val="single" w:sz="4" w:space="0" w:color="auto"/>
            </w:tcBorders>
            <w:hideMark/>
          </w:tcPr>
          <w:p w14:paraId="4AEADE63" w14:textId="77777777" w:rsidR="00EE37C8" w:rsidRPr="00E5087D" w:rsidRDefault="00EE37C8">
            <w:pPr>
              <w:jc w:val="center"/>
              <w:rPr>
                <w:rFonts w:cs="Arial"/>
                <w:sz w:val="20"/>
                <w:szCs w:val="20"/>
              </w:rPr>
            </w:pPr>
            <w:r w:rsidRPr="00E5087D">
              <w:rPr>
                <w:rFonts w:cs="Arial"/>
                <w:sz w:val="20"/>
                <w:szCs w:val="20"/>
              </w:rPr>
              <w:t>0.25</w:t>
            </w:r>
          </w:p>
        </w:tc>
      </w:tr>
      <w:tr w:rsidR="00EE37C8" w:rsidRPr="00E5087D" w14:paraId="309F9FEA"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6BC1A326" w14:textId="77777777" w:rsidR="00EE37C8" w:rsidRPr="00E5087D" w:rsidRDefault="00EE37C8">
            <w:pPr>
              <w:rPr>
                <w:rFonts w:cs="Arial"/>
                <w:sz w:val="20"/>
                <w:szCs w:val="20"/>
              </w:rPr>
            </w:pPr>
            <w:r w:rsidRPr="00E5087D">
              <w:rPr>
                <w:rFonts w:cs="Arial"/>
                <w:sz w:val="20"/>
                <w:szCs w:val="20"/>
              </w:rPr>
              <w:t xml:space="preserve">University of New South Wales </w:t>
            </w:r>
          </w:p>
        </w:tc>
        <w:tc>
          <w:tcPr>
            <w:tcW w:w="4033" w:type="dxa"/>
            <w:tcBorders>
              <w:top w:val="single" w:sz="4" w:space="0" w:color="auto"/>
              <w:left w:val="single" w:sz="4" w:space="0" w:color="auto"/>
              <w:bottom w:val="single" w:sz="4" w:space="0" w:color="auto"/>
              <w:right w:val="single" w:sz="4" w:space="0" w:color="auto"/>
            </w:tcBorders>
            <w:hideMark/>
          </w:tcPr>
          <w:p w14:paraId="7E9CEB7A" w14:textId="77777777" w:rsidR="00EE37C8" w:rsidRPr="00E5087D" w:rsidRDefault="00EE37C8">
            <w:pPr>
              <w:rPr>
                <w:rFonts w:cs="Arial"/>
                <w:sz w:val="20"/>
                <w:szCs w:val="20"/>
              </w:rPr>
            </w:pPr>
            <w:r w:rsidRPr="00E5087D">
              <w:rPr>
                <w:rFonts w:cs="Arial"/>
                <w:sz w:val="20"/>
                <w:szCs w:val="20"/>
              </w:rPr>
              <w:t>Hydrogen Production for Electrical Engineers</w:t>
            </w:r>
          </w:p>
        </w:tc>
        <w:tc>
          <w:tcPr>
            <w:tcW w:w="2204" w:type="dxa"/>
            <w:tcBorders>
              <w:top w:val="single" w:sz="4" w:space="0" w:color="auto"/>
              <w:left w:val="single" w:sz="4" w:space="0" w:color="auto"/>
              <w:bottom w:val="single" w:sz="4" w:space="0" w:color="auto"/>
              <w:right w:val="single" w:sz="4" w:space="0" w:color="auto"/>
            </w:tcBorders>
            <w:hideMark/>
          </w:tcPr>
          <w:p w14:paraId="65029F21" w14:textId="77777777" w:rsidR="00EE37C8" w:rsidRPr="00E5087D" w:rsidRDefault="00EE37C8">
            <w:pPr>
              <w:jc w:val="center"/>
              <w:rPr>
                <w:rFonts w:cs="Arial"/>
                <w:sz w:val="20"/>
                <w:szCs w:val="20"/>
              </w:rPr>
            </w:pPr>
            <w:r w:rsidRPr="00E5087D">
              <w:rPr>
                <w:rFonts w:cs="Arial"/>
                <w:sz w:val="20"/>
                <w:szCs w:val="20"/>
              </w:rPr>
              <w:t>0.25</w:t>
            </w:r>
          </w:p>
        </w:tc>
      </w:tr>
      <w:tr w:rsidR="00EE37C8" w:rsidRPr="00E5087D" w14:paraId="10D1E5C8"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76C68F33" w14:textId="77777777" w:rsidR="00EE37C8" w:rsidRPr="00E5087D" w:rsidRDefault="00EE37C8">
            <w:pPr>
              <w:rPr>
                <w:rFonts w:cs="Arial"/>
                <w:sz w:val="20"/>
                <w:szCs w:val="20"/>
              </w:rPr>
            </w:pPr>
            <w:r w:rsidRPr="00E5087D">
              <w:rPr>
                <w:rFonts w:cs="Arial"/>
                <w:sz w:val="20"/>
                <w:szCs w:val="20"/>
              </w:rPr>
              <w:t>Western Sydney</w:t>
            </w:r>
          </w:p>
        </w:tc>
        <w:tc>
          <w:tcPr>
            <w:tcW w:w="4033" w:type="dxa"/>
            <w:tcBorders>
              <w:top w:val="single" w:sz="4" w:space="0" w:color="auto"/>
              <w:left w:val="single" w:sz="4" w:space="0" w:color="auto"/>
              <w:bottom w:val="single" w:sz="4" w:space="0" w:color="auto"/>
              <w:right w:val="single" w:sz="4" w:space="0" w:color="auto"/>
            </w:tcBorders>
            <w:hideMark/>
          </w:tcPr>
          <w:p w14:paraId="3A708466" w14:textId="77777777" w:rsidR="00EE37C8" w:rsidRPr="00E5087D" w:rsidRDefault="00EE37C8">
            <w:pPr>
              <w:rPr>
                <w:rFonts w:cs="Arial"/>
                <w:sz w:val="20"/>
                <w:szCs w:val="20"/>
              </w:rPr>
            </w:pPr>
            <w:r w:rsidRPr="00E5087D">
              <w:rPr>
                <w:rFonts w:cs="Arial"/>
                <w:sz w:val="20"/>
                <w:szCs w:val="20"/>
              </w:rPr>
              <w:t>Foundations of Environmental Sustainability</w:t>
            </w:r>
          </w:p>
        </w:tc>
        <w:tc>
          <w:tcPr>
            <w:tcW w:w="2204" w:type="dxa"/>
            <w:tcBorders>
              <w:top w:val="single" w:sz="4" w:space="0" w:color="auto"/>
              <w:left w:val="single" w:sz="4" w:space="0" w:color="auto"/>
              <w:bottom w:val="single" w:sz="4" w:space="0" w:color="auto"/>
              <w:right w:val="single" w:sz="4" w:space="0" w:color="auto"/>
            </w:tcBorders>
            <w:hideMark/>
          </w:tcPr>
          <w:p w14:paraId="0994140D" w14:textId="77777777" w:rsidR="00EE37C8" w:rsidRPr="00E5087D" w:rsidRDefault="00EE37C8">
            <w:pPr>
              <w:jc w:val="center"/>
              <w:rPr>
                <w:rFonts w:cs="Arial"/>
                <w:sz w:val="20"/>
                <w:szCs w:val="20"/>
              </w:rPr>
            </w:pPr>
            <w:r w:rsidRPr="00E5087D">
              <w:rPr>
                <w:rFonts w:cs="Arial"/>
                <w:sz w:val="20"/>
                <w:szCs w:val="20"/>
              </w:rPr>
              <w:t>0.25</w:t>
            </w:r>
          </w:p>
        </w:tc>
      </w:tr>
      <w:tr w:rsidR="00EE37C8" w:rsidRPr="00E5087D" w14:paraId="71BD6490" w14:textId="77777777">
        <w:trPr>
          <w:jc w:val="center"/>
        </w:trPr>
        <w:tc>
          <w:tcPr>
            <w:tcW w:w="2835" w:type="dxa"/>
            <w:tcBorders>
              <w:top w:val="single" w:sz="4" w:space="0" w:color="auto"/>
              <w:left w:val="single" w:sz="4" w:space="0" w:color="auto"/>
              <w:bottom w:val="single" w:sz="4" w:space="0" w:color="auto"/>
              <w:right w:val="single" w:sz="4" w:space="0" w:color="auto"/>
            </w:tcBorders>
            <w:hideMark/>
          </w:tcPr>
          <w:p w14:paraId="5F68DFD4" w14:textId="77777777" w:rsidR="00EE37C8" w:rsidRPr="00E5087D" w:rsidRDefault="00EE37C8">
            <w:pPr>
              <w:rPr>
                <w:rFonts w:cs="Arial"/>
                <w:sz w:val="20"/>
                <w:szCs w:val="20"/>
              </w:rPr>
            </w:pPr>
            <w:r w:rsidRPr="00E5087D">
              <w:rPr>
                <w:rFonts w:cs="Arial"/>
                <w:sz w:val="20"/>
                <w:szCs w:val="20"/>
              </w:rPr>
              <w:t xml:space="preserve">Murdoch University </w:t>
            </w:r>
          </w:p>
        </w:tc>
        <w:tc>
          <w:tcPr>
            <w:tcW w:w="4033" w:type="dxa"/>
            <w:tcBorders>
              <w:top w:val="single" w:sz="4" w:space="0" w:color="auto"/>
              <w:left w:val="single" w:sz="4" w:space="0" w:color="auto"/>
              <w:bottom w:val="single" w:sz="4" w:space="0" w:color="auto"/>
              <w:right w:val="single" w:sz="4" w:space="0" w:color="auto"/>
            </w:tcBorders>
            <w:hideMark/>
          </w:tcPr>
          <w:p w14:paraId="555FAE5E" w14:textId="77777777" w:rsidR="00EE37C8" w:rsidRPr="00E5087D" w:rsidRDefault="00EE37C8">
            <w:pPr>
              <w:rPr>
                <w:rFonts w:cs="Arial"/>
                <w:sz w:val="20"/>
                <w:szCs w:val="20"/>
              </w:rPr>
            </w:pPr>
            <w:r w:rsidRPr="00E5087D">
              <w:rPr>
                <w:rFonts w:cs="Arial"/>
                <w:sz w:val="20"/>
                <w:szCs w:val="20"/>
              </w:rPr>
              <w:t xml:space="preserve">Certificate in Strategic Decarbonisation Management </w:t>
            </w:r>
          </w:p>
        </w:tc>
        <w:tc>
          <w:tcPr>
            <w:tcW w:w="2204" w:type="dxa"/>
            <w:tcBorders>
              <w:top w:val="single" w:sz="4" w:space="0" w:color="auto"/>
              <w:left w:val="single" w:sz="4" w:space="0" w:color="auto"/>
              <w:bottom w:val="single" w:sz="4" w:space="0" w:color="auto"/>
              <w:right w:val="single" w:sz="4" w:space="0" w:color="auto"/>
            </w:tcBorders>
            <w:hideMark/>
          </w:tcPr>
          <w:p w14:paraId="52B12AA2" w14:textId="77777777" w:rsidR="00EE37C8" w:rsidRPr="00E5087D" w:rsidRDefault="00EE37C8">
            <w:pPr>
              <w:jc w:val="center"/>
              <w:rPr>
                <w:rFonts w:cs="Arial"/>
                <w:sz w:val="20"/>
                <w:szCs w:val="20"/>
              </w:rPr>
            </w:pPr>
            <w:r w:rsidRPr="00E5087D">
              <w:rPr>
                <w:rFonts w:cs="Arial"/>
                <w:sz w:val="20"/>
                <w:szCs w:val="20"/>
              </w:rPr>
              <w:t>0.25</w:t>
            </w:r>
          </w:p>
        </w:tc>
      </w:tr>
    </w:tbl>
    <w:p w14:paraId="09C7CEBE" w14:textId="77777777" w:rsidR="00EE37C8" w:rsidRPr="00E5087D" w:rsidRDefault="00EE37C8" w:rsidP="00EE37C8">
      <w:pPr>
        <w:rPr>
          <w:rFonts w:cs="Arial"/>
          <w:kern w:val="2"/>
          <w:sz w:val="20"/>
          <w:szCs w:val="20"/>
          <w14:ligatures w14:val="standardContextual"/>
        </w:rPr>
      </w:pPr>
      <w:r w:rsidRPr="00E5087D">
        <w:rPr>
          <w:rFonts w:cs="Arial"/>
          <w:sz w:val="20"/>
          <w:szCs w:val="20"/>
        </w:rPr>
        <w:t>Source: Microcredentials Pilot in Higher Education, Department of Education</w:t>
      </w:r>
      <w:r w:rsidRPr="00E5087D">
        <w:rPr>
          <w:rStyle w:val="EndnoteReference"/>
          <w:rFonts w:cs="Arial"/>
          <w:sz w:val="20"/>
          <w:szCs w:val="20"/>
        </w:rPr>
        <w:endnoteReference w:id="62"/>
      </w:r>
    </w:p>
    <w:p w14:paraId="51530E30" w14:textId="23F47DBD" w:rsidR="00B96D70" w:rsidRDefault="00EE37C8" w:rsidP="007E791B">
      <w:pPr>
        <w:spacing w:before="240" w:after="0" w:line="276" w:lineRule="auto"/>
        <w:rPr>
          <w:spacing w:val="2"/>
        </w:rPr>
      </w:pPr>
      <w:r w:rsidRPr="00E5087D">
        <w:rPr>
          <w:spacing w:val="2"/>
          <w14:ligatures w14:val="standard"/>
          <w14:numForm w14:val="lining"/>
          <w14:numSpacing w14:val="proportional"/>
        </w:rPr>
        <w:t xml:space="preserve">In 2023, Federation University will </w:t>
      </w:r>
      <w:r w:rsidR="004F4B0C">
        <w:rPr>
          <w:spacing w:val="2"/>
          <w14:ligatures w14:val="standard"/>
          <w14:numForm w14:val="lining"/>
          <w14:numSpacing w14:val="proportional"/>
        </w:rPr>
        <w:t>begin</w:t>
      </w:r>
      <w:r w:rsidR="00775045">
        <w:rPr>
          <w:spacing w:val="2"/>
          <w14:ligatures w14:val="standard"/>
          <w14:numForm w14:val="lining"/>
          <w14:numSpacing w14:val="proportional"/>
        </w:rPr>
        <w:t xml:space="preserve"> delivering</w:t>
      </w:r>
      <w:r w:rsidRPr="00E5087D">
        <w:rPr>
          <w:spacing w:val="2"/>
          <w14:ligatures w14:val="standard"/>
          <w14:numForm w14:val="lining"/>
          <w14:numSpacing w14:val="proportional"/>
        </w:rPr>
        <w:t xml:space="preserve"> a globally recognised post-trade turbine technician training course developed by the German industry network BZEE. The six-month intensive course for electricians, mechanical fitters, and automotive technicians includes an internship with wind turbine manufacturers and service organisations, covering electrical, mechanical, and hydraulic systems training.</w:t>
      </w:r>
    </w:p>
    <w:p w14:paraId="75887E91" w14:textId="77777777" w:rsidR="00B96D70" w:rsidRDefault="00B96D70">
      <w:pPr>
        <w:rPr>
          <w:spacing w:val="2"/>
        </w:rPr>
      </w:pPr>
      <w:r>
        <w:rPr>
          <w:spacing w:val="2"/>
        </w:rPr>
        <w:br w:type="page"/>
      </w:r>
    </w:p>
    <w:p w14:paraId="6AE31048" w14:textId="21AEA708" w:rsidR="00EE37C8" w:rsidRPr="00E5087D" w:rsidRDefault="00EE37C8" w:rsidP="007E791B">
      <w:pPr>
        <w:spacing w:before="240" w:after="0" w:line="276" w:lineRule="auto"/>
        <w:rPr>
          <w:spacing w:val="2"/>
        </w:rPr>
      </w:pPr>
    </w:p>
    <w:p w14:paraId="17F813FC" w14:textId="02AF7F2E" w:rsidR="00FB4347" w:rsidRPr="006E07A7" w:rsidRDefault="00FB4347" w:rsidP="00FB4347">
      <w:pPr>
        <w:spacing w:after="200" w:line="240" w:lineRule="auto"/>
        <w:ind w:left="170" w:right="113"/>
        <w:rPr>
          <w:b/>
          <w:bCs/>
          <w14:numForm w14:val="lining"/>
          <w14:numSpacing w14:val="proportional"/>
        </w:rPr>
      </w:pPr>
      <w:r w:rsidRPr="00E5087D">
        <w:rPr>
          <w:noProof/>
        </w:rPr>
        <mc:AlternateContent>
          <mc:Choice Requires="wpg">
            <w:drawing>
              <wp:anchor distT="0" distB="0" distL="114300" distR="114300" simplePos="0" relativeHeight="251658292" behindDoc="1" locked="0" layoutInCell="1" allowOverlap="1" wp14:anchorId="45652867" wp14:editId="010AC7FB">
                <wp:simplePos x="0" y="0"/>
                <wp:positionH relativeFrom="column">
                  <wp:posOffset>28353</wp:posOffset>
                </wp:positionH>
                <wp:positionV relativeFrom="paragraph">
                  <wp:posOffset>-28353</wp:posOffset>
                </wp:positionV>
                <wp:extent cx="5731509" cy="1240464"/>
                <wp:effectExtent l="0" t="0" r="22225" b="17145"/>
                <wp:wrapNone/>
                <wp:docPr id="1341085122" name="Group 1341085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09" cy="1240464"/>
                          <a:chOff x="0" y="0"/>
                          <a:chExt cx="5880735" cy="1273358"/>
                        </a:xfrm>
                      </wpg:grpSpPr>
                      <wps:wsp>
                        <wps:cNvPr id="1341085123" name="Rectangle: Top Corners Rounded 1341085123"/>
                        <wps:cNvSpPr/>
                        <wps:spPr>
                          <a:xfrm>
                            <a:off x="0" y="0"/>
                            <a:ext cx="1709138"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E27241" w14:textId="77777777" w:rsidR="00FB4347" w:rsidRPr="006E07A7" w:rsidRDefault="00FB4347" w:rsidP="00FB434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35" name="Rectangle 1341085135"/>
                        <wps:cNvSpPr/>
                        <wps:spPr>
                          <a:xfrm>
                            <a:off x="0" y="230660"/>
                            <a:ext cx="5880735" cy="1042698"/>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462EEE" w14:textId="77777777" w:rsidR="00FB4347" w:rsidRPr="00A90F3C" w:rsidRDefault="00FB4347" w:rsidP="00FB434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5652867" id="Group 1341085122" o:spid="_x0000_s1076" alt="&quot;&quot;" style="position:absolute;left:0;text-align:left;margin-left:2.25pt;margin-top:-2.25pt;width:451.3pt;height:97.65pt;z-index:-251658188;mso-height-relative:margin" coordsize="58807,12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">
                <v:shape id="Rectangle: Top Corners Rounded 1341085123" o:spid="_x0000_s1077" style="position:absolute;width:17091;height:2327;visibility:visible;mso-wrap-style:square;v-text-anchor:middle" coordsize="1709138,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" adj="-11796480,,5400" path="m38799,l1670339,v21428,,38799,17371,38799,38799l1709138,232792r,l,232792r,l,38799c,17371,17371,,38799,xe" fillcolor="#dae3f5" strokecolor="#dae3f5" strokeweight="1pt">
                  <v:stroke joinstyle="miter"/>
                  <v:formulas/>
                  <v:path arrowok="t" o:connecttype="custom" o:connectlocs="38799,0;1670339,0;1709138,38799;1709138,232792;1709138,232792;0,232792;0,232792;0,38799;38799,0" o:connectangles="0,0,0,0,0,0,0,0,0" textboxrect="0,0,1709138,232792"/>
                  <v:textbox inset=",0,,0">
                    <w:txbxContent>
                      <w:p w14:paraId="79E27241" w14:textId="77777777" w:rsidR="00FB4347" w:rsidRPr="006E07A7" w:rsidRDefault="00FB4347" w:rsidP="00FB4347">
                        <w:pPr>
                          <w:spacing w:after="0" w:line="240" w:lineRule="auto"/>
                          <w:rPr>
                            <w:b/>
                            <w:bCs/>
                            <w14:numForm w14:val="lining"/>
                            <w14:numSpacing w14:val="proportional"/>
                          </w:rPr>
                        </w:pPr>
                      </w:p>
                    </w:txbxContent>
                  </v:textbox>
                </v:shape>
                <v:rect id="Rectangle 1341085135" o:spid="_x0000_s1078" style="position:absolute;top:2306;width:58807;height:10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" fillcolor="#f2f2f2" strokecolor="#dae3f5" strokeweight="1pt">
                  <v:textbox inset="2mm,1mm,2mm,1mm">
                    <w:txbxContent>
                      <w:p w14:paraId="7F462EEE" w14:textId="77777777" w:rsidR="00FB4347" w:rsidRPr="00A90F3C" w:rsidRDefault="00FB4347" w:rsidP="00FB4347">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4.4</w:t>
      </w:r>
    </w:p>
    <w:p w14:paraId="4B1A7518" w14:textId="5E47D17A" w:rsidR="00FB4347" w:rsidRPr="00A90F3C" w:rsidRDefault="00FB4347" w:rsidP="00070E35">
      <w:pPr>
        <w:spacing w:after="240" w:line="240" w:lineRule="auto"/>
        <w:ind w:left="170" w:right="113"/>
        <w:rPr>
          <w:lang w:val="en-US"/>
        </w:rPr>
      </w:pPr>
      <w:r w:rsidRPr="004245AA">
        <w:rPr>
          <w:lang w:val="en-US"/>
        </w:rPr>
        <w:t>Where appropriate, support unaccredited and industry accredited courses, including microcredentials, as fast, low-cost options to bridge skills gaps for emerging roles and for workers with existing qualifications. This includes exploring appropriate and stable funding mechanisms and expedited quality assurance and recognition. Training should be agnostic as to sector of delivery and pilot innovative collaborations.</w:t>
      </w:r>
      <w:r w:rsidRPr="00FB4347">
        <w:rPr>
          <w:noProof/>
        </w:rPr>
        <w:t xml:space="preserve"> </w:t>
      </w:r>
    </w:p>
    <w:p w14:paraId="7A5425FE" w14:textId="7197352B" w:rsidR="00EE37C8" w:rsidRPr="00E5087D" w:rsidRDefault="00EE37C8" w:rsidP="00EE37C8">
      <w:pPr>
        <w:spacing w:before="120" w:after="120" w:line="276" w:lineRule="auto"/>
      </w:pPr>
    </w:p>
    <w:p w14:paraId="08105DCD" w14:textId="50DFA03E" w:rsidR="003F4E59" w:rsidRPr="00070923" w:rsidRDefault="00B96D70" w:rsidP="00070E35">
      <w:pPr>
        <w:spacing w:before="360" w:line="240" w:lineRule="auto"/>
        <w:ind w:left="170" w:right="113"/>
        <w:rPr>
          <w:rFonts w:eastAsia="Arial" w:cs="Arial"/>
          <w:b/>
          <w:sz w:val="28"/>
          <w:szCs w:val="28"/>
        </w:rPr>
      </w:pPr>
      <w:r w:rsidRPr="00E5087D">
        <w:rPr>
          <w:noProof/>
          <w:color w:val="2B579A"/>
          <w:shd w:val="clear" w:color="auto" w:fill="E6E6E6"/>
        </w:rPr>
        <mc:AlternateContent>
          <mc:Choice Requires="wpg">
            <w:drawing>
              <wp:anchor distT="0" distB="0" distL="114300" distR="114300" simplePos="0" relativeHeight="251658293" behindDoc="1" locked="0" layoutInCell="1" allowOverlap="1" wp14:anchorId="1295CC99" wp14:editId="34C99E5D">
                <wp:simplePos x="0" y="0"/>
                <wp:positionH relativeFrom="column">
                  <wp:posOffset>-135255</wp:posOffset>
                </wp:positionH>
                <wp:positionV relativeFrom="page">
                  <wp:posOffset>2670258</wp:posOffset>
                </wp:positionV>
                <wp:extent cx="5912485" cy="6803390"/>
                <wp:effectExtent l="0" t="0" r="0" b="0"/>
                <wp:wrapNone/>
                <wp:docPr id="1341085148" name="Group 1341085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12485" cy="6803390"/>
                          <a:chOff x="-139148" y="-1300"/>
                          <a:chExt cx="5912775" cy="3722400"/>
                        </a:xfrm>
                      </wpg:grpSpPr>
                      <wps:wsp>
                        <wps:cNvPr id="1341085149" name="Rectangle 1341085149"/>
                        <wps:cNvSpPr/>
                        <wps:spPr>
                          <a:xfrm>
                            <a:off x="-139147" y="0"/>
                            <a:ext cx="5912774" cy="3721100"/>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27F84D64" w14:textId="1245E3FA" w:rsidR="00EE37C8" w:rsidRPr="00CC0617" w:rsidRDefault="00EE37C8" w:rsidP="007F0BA3">
                              <w:pPr>
                                <w:spacing w:after="0" w:line="276" w:lineRule="auto"/>
                                <w:rPr>
                                  <w:rFonts w:eastAsia="Arial" w:cs="Arial"/>
                                  <w:color w:val="000000"/>
                                  <w:sz w:val="18"/>
                                  <w:szCs w:val="18"/>
                                </w:rPr>
                              </w:pPr>
                            </w:p>
                          </w:txbxContent>
                        </wps:txbx>
                        <wps:bodyPr spcFirstLastPara="0" wrap="square" lIns="288000" tIns="72000" rIns="144000" bIns="72000" anchor="t">
                          <a:noAutofit/>
                        </wps:bodyPr>
                      </wps:wsp>
                      <wps:wsp>
                        <wps:cNvPr id="1341085150" name="Rectangle 1341085150"/>
                        <wps:cNvSpPr/>
                        <wps:spPr>
                          <a:xfrm>
                            <a:off x="-139148" y="-1300"/>
                            <a:ext cx="133350" cy="37224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95CC99" id="Group 1341085148" o:spid="_x0000_s1079" alt="&quot;&quot;" style="position:absolute;left:0;text-align:left;margin-left:-10.65pt;margin-top:210.25pt;width:465.55pt;height:535.7pt;z-index:-251658187;mso-position-vertical-relative:page" coordorigin="-1391,-13" coordsize="59127,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">
                <v:rect id="Rectangle 1341085149" o:spid="_x0000_s1080" style="position:absolute;left:-1391;width:59127;height:3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" fillcolor="#f2f2f2 [3052]" stroked="f" strokeweight="1pt">
                  <v:textbox inset="8mm,2mm,4mm,2mm">
                    <w:txbxContent>
                      <w:p w14:paraId="27F84D64" w14:textId="1245E3FA" w:rsidR="00EE37C8" w:rsidRPr="00CC0617" w:rsidRDefault="00EE37C8" w:rsidP="007F0BA3">
                        <w:pPr>
                          <w:spacing w:after="0" w:line="276" w:lineRule="auto"/>
                          <w:rPr>
                            <w:rFonts w:eastAsia="Arial" w:cs="Arial"/>
                            <w:color w:val="000000"/>
                            <w:sz w:val="18"/>
                            <w:szCs w:val="18"/>
                          </w:rPr>
                        </w:pPr>
                      </w:p>
                    </w:txbxContent>
                  </v:textbox>
                </v:rect>
                <v:rect id="Rectangle 1341085150" o:spid="_x0000_s1081" style="position:absolute;left:-1391;top:-13;width:1334;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" fillcolor="#dae3f5" stroked="f" strokeweight="1pt"/>
                <w10:wrap anchory="page"/>
              </v:group>
            </w:pict>
          </mc:Fallback>
        </mc:AlternateContent>
      </w:r>
      <w:r w:rsidR="003F4E59" w:rsidRPr="00070923">
        <w:rPr>
          <w:rFonts w:eastAsia="Arial" w:cs="Arial"/>
          <w:b/>
          <w:sz w:val="28"/>
          <w:szCs w:val="28"/>
        </w:rPr>
        <w:t xml:space="preserve">Case Study: </w:t>
      </w:r>
      <w:r w:rsidR="003F4E59">
        <w:rPr>
          <w:rFonts w:eastAsia="Arial" w:cs="Arial"/>
          <w:b/>
          <w:sz w:val="28"/>
          <w:szCs w:val="28"/>
        </w:rPr>
        <w:t>Australia’s rooftop solar success</w:t>
      </w:r>
    </w:p>
    <w:p w14:paraId="76EB3339" w14:textId="21FD37E7" w:rsidR="003F4E59" w:rsidRPr="00CC0617" w:rsidRDefault="003F4E59" w:rsidP="003F4E59">
      <w:pPr>
        <w:spacing w:before="120" w:after="0" w:line="276" w:lineRule="auto"/>
        <w:ind w:left="170" w:right="113"/>
        <w:rPr>
          <w:rFonts w:eastAsia="Arial" w:cs="Arial"/>
          <w:color w:val="000000"/>
          <w14:numForm w14:val="lining"/>
          <w14:numSpacing w14:val="proportional"/>
        </w:rPr>
      </w:pPr>
      <w:r w:rsidRPr="00CC0617">
        <w:rPr>
          <w:rFonts w:eastAsia="Arial" w:cs="Arial"/>
          <w:color w:val="000000"/>
          <w14:numForm w14:val="lining"/>
          <w14:numSpacing w14:val="proportional"/>
        </w:rPr>
        <w:t xml:space="preserve">Australia is one of the largest producers of solar </w:t>
      </w:r>
      <w:r w:rsidRPr="008C3192">
        <w:rPr>
          <w:rFonts w:eastAsia="Arial" w:cs="Arial"/>
          <w:color w:val="000000"/>
          <w14:numForm w14:val="lining"/>
          <w14:numSpacing w14:val="proportional"/>
        </w:rPr>
        <w:t>PV</w:t>
      </w:r>
      <w:r w:rsidRPr="00CC0617">
        <w:rPr>
          <w:rFonts w:eastAsia="Arial" w:cs="Arial"/>
          <w:color w:val="000000"/>
          <w14:numForm w14:val="lining"/>
          <w14:numSpacing w14:val="proportional"/>
        </w:rPr>
        <w:t xml:space="preserve"> electricity. It accounted for 15.7% of all consumption in 2022, behind only Spain, Greece, Chile and Jordan. On a per-capita basis, Australia has the highest capacity of solar energy</w:t>
      </w:r>
      <w:r>
        <w:rPr>
          <w:rFonts w:eastAsia="Arial" w:cs="Arial"/>
          <w:color w:val="000000"/>
          <w14:numForm w14:val="lining"/>
          <w14:numSpacing w14:val="proportional"/>
        </w:rPr>
        <w:t xml:space="preserve"> (International Renewable Energy Agency, 2022).</w:t>
      </w:r>
    </w:p>
    <w:p w14:paraId="381902ED" w14:textId="5F8391C7" w:rsidR="003F4E59" w:rsidRPr="00CC0617" w:rsidRDefault="003F4E59" w:rsidP="003F4E59">
      <w:pPr>
        <w:spacing w:before="120" w:after="0" w:line="276" w:lineRule="auto"/>
        <w:ind w:left="170" w:right="113"/>
        <w:rPr>
          <w:rFonts w:eastAsia="Arial" w:cs="Arial"/>
          <w:color w:val="000000"/>
          <w14:numForm w14:val="lining"/>
          <w14:numSpacing w14:val="proportional"/>
        </w:rPr>
      </w:pPr>
      <w:r w:rsidRPr="00CC0617">
        <w:rPr>
          <w:rFonts w:eastAsia="Arial" w:cs="Arial"/>
          <w:color w:val="000000"/>
          <w14:numForm w14:val="lining"/>
          <w14:numSpacing w14:val="proportional"/>
        </w:rPr>
        <w:t xml:space="preserve">Most of Australia’s </w:t>
      </w:r>
      <w:r w:rsidRPr="008C3192">
        <w:rPr>
          <w:rFonts w:eastAsia="Arial" w:cs="Arial"/>
          <w:color w:val="000000"/>
          <w14:numForm w14:val="lining"/>
          <w14:numSpacing w14:val="proportional"/>
        </w:rPr>
        <w:t>PV</w:t>
      </w:r>
      <w:r w:rsidRPr="00CC0617">
        <w:rPr>
          <w:rFonts w:eastAsia="Arial" w:cs="Arial"/>
          <w:color w:val="000000"/>
          <w14:numForm w14:val="lining"/>
          <w14:numSpacing w14:val="proportional"/>
        </w:rPr>
        <w:t xml:space="preserve"> power is distributed, </w:t>
      </w:r>
      <w:r>
        <w:rPr>
          <w:rFonts w:eastAsia="Arial" w:cs="Arial"/>
          <w:color w:val="000000"/>
          <w14:numForm w14:val="lining"/>
          <w14:numSpacing w14:val="proportional"/>
        </w:rPr>
        <w:t>typically</w:t>
      </w:r>
      <w:r w:rsidRPr="00CC0617">
        <w:rPr>
          <w:rFonts w:eastAsia="Arial" w:cs="Arial"/>
          <w:color w:val="000000"/>
          <w14:numForm w14:val="lining"/>
          <w14:numSpacing w14:val="proportional"/>
        </w:rPr>
        <w:t xml:space="preserve"> on rooftops, rather than utility-scale. Unlike other power sources, rooftop solar is located across Australia and in population centres</w:t>
      </w:r>
      <w:r>
        <w:rPr>
          <w:rFonts w:eastAsia="Arial" w:cs="Arial"/>
          <w:color w:val="000000"/>
          <w14:numForm w14:val="lining"/>
          <w14:numSpacing w14:val="proportional"/>
        </w:rPr>
        <w:t xml:space="preserve"> (Figure 4.11)</w:t>
      </w:r>
      <w:r w:rsidRPr="00CC0617">
        <w:rPr>
          <w:rFonts w:eastAsia="Arial" w:cs="Arial"/>
          <w:color w:val="000000"/>
          <w14:numForm w14:val="lining"/>
          <w14:numSpacing w14:val="proportional"/>
        </w:rPr>
        <w:t xml:space="preserve">. This means that demand for installation services has mostly occurred in places </w:t>
      </w:r>
      <w:r>
        <w:rPr>
          <w:rFonts w:eastAsia="Arial" w:cs="Arial"/>
          <w:color w:val="000000"/>
          <w14:numForm w14:val="lining"/>
          <w14:numSpacing w14:val="proportional"/>
        </w:rPr>
        <w:t>where there are</w:t>
      </w:r>
      <w:r w:rsidRPr="00CC0617">
        <w:rPr>
          <w:rFonts w:eastAsia="Arial" w:cs="Arial"/>
          <w:color w:val="000000"/>
          <w14:numForm w14:val="lining"/>
          <w14:numSpacing w14:val="proportional"/>
        </w:rPr>
        <w:t xml:space="preserve"> </w:t>
      </w:r>
      <w:r>
        <w:rPr>
          <w:rFonts w:eastAsia="Arial" w:cs="Arial"/>
          <w:color w:val="000000"/>
          <w14:numForm w14:val="lining"/>
          <w14:numSpacing w14:val="proportional"/>
        </w:rPr>
        <w:t xml:space="preserve">large </w:t>
      </w:r>
      <w:r w:rsidRPr="00CC0617">
        <w:rPr>
          <w:rFonts w:eastAsia="Arial" w:cs="Arial"/>
          <w:color w:val="000000"/>
          <w14:numForm w14:val="lining"/>
          <w14:numSpacing w14:val="proportional"/>
        </w:rPr>
        <w:t xml:space="preserve">existing workforces and training organisations. </w:t>
      </w:r>
    </w:p>
    <w:p w14:paraId="32920342" w14:textId="32FABEE2" w:rsidR="003F4E59" w:rsidRDefault="003F4E59" w:rsidP="003F4E59">
      <w:pPr>
        <w:spacing w:before="120" w:after="120" w:line="276" w:lineRule="auto"/>
        <w:ind w:left="170" w:right="113"/>
        <w:rPr>
          <w:rFonts w:eastAsia="Arial" w:cs="Arial"/>
          <w:color w:val="000000"/>
          <w14:numForm w14:val="lining"/>
          <w14:numSpacing w14:val="proportional"/>
        </w:rPr>
      </w:pPr>
      <w:r>
        <w:rPr>
          <w:rFonts w:eastAsia="Arial" w:cs="Arial"/>
          <w:color w:val="000000"/>
          <w14:numForm w14:val="lining"/>
          <w14:numSpacing w14:val="proportional"/>
        </w:rPr>
        <w:t xml:space="preserve">Because much of the work locating, mounting and fixing unconnected solar panels can be undertaken by skilled labourers, the workforce has been able to scale with relative ease. Similarly, in most cases solar panels can be connected by workers with a general electrical licence, rather than a bespoke qualification or licence, allowing electricians to add solar to their scope of services without having to specialise.  </w:t>
      </w:r>
    </w:p>
    <w:p w14:paraId="2693C78E" w14:textId="03EFA973" w:rsidR="003F4E59" w:rsidRPr="006858BA" w:rsidRDefault="003F4E59" w:rsidP="003F4E59">
      <w:pPr>
        <w:spacing w:before="120" w:after="120" w:line="276" w:lineRule="auto"/>
        <w:ind w:left="170" w:right="113"/>
        <w:rPr>
          <w:rFonts w:eastAsia="Arial" w:cs="Arial"/>
          <w:color w:val="000000"/>
          <w14:numForm w14:val="lining"/>
          <w14:numSpacing w14:val="proportional"/>
        </w:rPr>
      </w:pPr>
      <w:r>
        <w:rPr>
          <w:rFonts w:eastAsia="Arial" w:cs="Arial"/>
          <w:color w:val="000000"/>
          <w14:numForm w14:val="lining"/>
          <w14:numSpacing w14:val="proportional"/>
        </w:rPr>
        <w:t>In response to growing consumer demand, e</w:t>
      </w:r>
      <w:r w:rsidRPr="00CC0617">
        <w:rPr>
          <w:rFonts w:eastAsia="Arial" w:cs="Arial"/>
          <w:color w:val="000000"/>
          <w14:numForm w14:val="lining"/>
          <w14:numSpacing w14:val="proportional"/>
        </w:rPr>
        <w:t xml:space="preserve">mployment in roof-top solar </w:t>
      </w:r>
      <w:r>
        <w:rPr>
          <w:rFonts w:eastAsia="Arial" w:cs="Arial"/>
          <w:color w:val="000000"/>
          <w14:numForm w14:val="lining"/>
          <w14:numSpacing w14:val="proportional"/>
        </w:rPr>
        <w:t xml:space="preserve">almost </w:t>
      </w:r>
      <w:r w:rsidRPr="00CC0617">
        <w:rPr>
          <w:rFonts w:eastAsia="Arial" w:cs="Arial"/>
          <w:color w:val="000000"/>
          <w14:numForm w14:val="lining"/>
          <w14:numSpacing w14:val="proportional"/>
        </w:rPr>
        <w:t>doubled from around 6,900 in 2009-10 to 13,070 in 2018-19</w:t>
      </w:r>
      <w:r>
        <w:rPr>
          <w:rFonts w:eastAsia="Arial" w:cs="Arial"/>
          <w:color w:val="000000"/>
          <w14:numForm w14:val="lining"/>
          <w14:numSpacing w14:val="proportional"/>
        </w:rPr>
        <w:t>.</w:t>
      </w:r>
      <w:r w:rsidRPr="00580ABE">
        <w:rPr>
          <w:rFonts w:eastAsia="Arial" w:cs="Arial"/>
          <w:color w:val="000000"/>
          <w14:numForm w14:val="lining"/>
          <w14:numSpacing w14:val="proportional"/>
        </w:rPr>
        <w:t xml:space="preserve"> This includes site preparation, roof modifications, preparation of power boards and meters, installation of solar panels and other infrastructure, and testing systems once initial installation is complete.</w:t>
      </w:r>
    </w:p>
    <w:p w14:paraId="0E5B5E7E" w14:textId="77777777" w:rsidR="003F4E59" w:rsidRPr="00CC0617" w:rsidRDefault="003F4E59" w:rsidP="003F4E59">
      <w:pPr>
        <w:spacing w:before="240" w:after="0" w:line="276" w:lineRule="auto"/>
        <w:ind w:left="170" w:right="113"/>
        <w:rPr>
          <w:rFonts w:eastAsia="Arial" w:cs="Arial"/>
          <w:b/>
          <w:bCs/>
          <w:color w:val="000000"/>
          <w14:numForm w14:val="lining"/>
          <w14:numSpacing w14:val="proportional"/>
        </w:rPr>
      </w:pPr>
      <w:r>
        <w:rPr>
          <w:rFonts w:eastAsia="Arial" w:cs="Arial"/>
          <w:b/>
          <w:bCs/>
          <w:color w:val="000000"/>
          <w14:numForm w14:val="lining"/>
          <w14:numSpacing w14:val="proportional"/>
        </w:rPr>
        <w:t>Figure 4.11. P</w:t>
      </w:r>
      <w:r w:rsidRPr="00CC0617">
        <w:rPr>
          <w:rFonts w:eastAsia="Arial" w:cs="Arial"/>
          <w:b/>
          <w:bCs/>
          <w:color w:val="000000"/>
          <w14:numForm w14:val="lining"/>
          <w14:numSpacing w14:val="proportional"/>
        </w:rPr>
        <w:t xml:space="preserve">ercentage of dwellings with </w:t>
      </w:r>
      <w:r>
        <w:rPr>
          <w:rFonts w:eastAsia="Arial" w:cs="Arial"/>
          <w:b/>
          <w:bCs/>
          <w:color w:val="000000"/>
          <w14:numForm w14:val="lining"/>
          <w14:numSpacing w14:val="proportional"/>
        </w:rPr>
        <w:t>r</w:t>
      </w:r>
      <w:r w:rsidRPr="00CC0617">
        <w:rPr>
          <w:rFonts w:eastAsia="Arial" w:cs="Arial"/>
          <w:b/>
          <w:bCs/>
          <w:color w:val="000000"/>
          <w14:numForm w14:val="lining"/>
          <w14:numSpacing w14:val="proportional"/>
        </w:rPr>
        <w:t xml:space="preserve">oof-top solar PV, </w:t>
      </w:r>
      <w:r>
        <w:rPr>
          <w:rFonts w:eastAsia="Arial" w:cs="Arial"/>
          <w:b/>
          <w:bCs/>
          <w:color w:val="000000"/>
          <w14:numForm w14:val="lining"/>
          <w14:numSpacing w14:val="proportional"/>
        </w:rPr>
        <w:t>30 June</w:t>
      </w:r>
      <w:r w:rsidRPr="00CC0617">
        <w:rPr>
          <w:rFonts w:eastAsia="Arial" w:cs="Arial"/>
          <w:b/>
          <w:bCs/>
          <w:color w:val="000000"/>
          <w14:numForm w14:val="lining"/>
          <w14:numSpacing w14:val="proportional"/>
        </w:rPr>
        <w:t xml:space="preserve"> 2</w:t>
      </w:r>
      <w:r>
        <w:rPr>
          <w:rFonts w:eastAsia="Arial" w:cs="Arial"/>
          <w:b/>
          <w:bCs/>
          <w:color w:val="000000"/>
          <w14:numForm w14:val="lining"/>
          <w14:numSpacing w14:val="proportional"/>
        </w:rPr>
        <w:t>023</w:t>
      </w:r>
    </w:p>
    <w:p w14:paraId="6244BB53" w14:textId="3870672E" w:rsidR="003F4E59" w:rsidRDefault="003F4E59" w:rsidP="003F4E59">
      <w:pPr>
        <w:spacing w:after="0" w:line="276" w:lineRule="auto"/>
        <w:ind w:left="170" w:right="113"/>
        <w:rPr>
          <w:rFonts w:eastAsia="Arial" w:cs="Arial"/>
          <w:color w:val="000000"/>
        </w:rPr>
      </w:pPr>
      <w:r>
        <w:rPr>
          <w:noProof/>
        </w:rPr>
        <w:drawing>
          <wp:inline distT="0" distB="0" distL="0" distR="0" wp14:anchorId="1F103C04" wp14:editId="12335F53">
            <wp:extent cx="5153025" cy="2253306"/>
            <wp:effectExtent l="0" t="0" r="0" b="0"/>
            <wp:docPr id="148503648" name="Graphic 148503648" descr="This figure shows the percetange of dwellings with roof-top solar PV as at June 2023 by jursdicition. The order from highest (approximately 44%) to lowest (approximately 19%) is Queensland, South Australia, Western Australia, the Australian Capital Territory, New South Wales, the Northern Territory, Victoria and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3648" name="Graphic 148503648" descr="This figure shows the percetange of dwellings with roof-top solar PV as at June 2023 by jursdicition. The order from highest (approximately 44%) to lowest (approximately 19%) is Queensland, South Australia, Western Australia, the Australian Capital Territory, New South Wales, the Northern Territory, Victoria and Tasmania."/>
                    <pic:cNvPicPr/>
                  </pic:nvPicPr>
                  <pic:blipFill rotWithShape="1">
                    <a:blip r:embed="rId123" cstate="screen">
                      <a:extLst>
                        <a:ext uri="{28A0092B-C50C-407E-A947-70E740481C1C}">
                          <a14:useLocalDpi xmlns:a14="http://schemas.microsoft.com/office/drawing/2010/main"/>
                        </a:ext>
                        <a:ext uri="{96DAC541-7B7A-43D3-8B79-37D633B846F1}">
                          <asvg:svgBlip xmlns:asvg="http://schemas.microsoft.com/office/drawing/2016/SVG/main" r:embed="rId124"/>
                        </a:ext>
                      </a:extLst>
                    </a:blip>
                    <a:srcRect t="3441"/>
                    <a:stretch/>
                  </pic:blipFill>
                  <pic:spPr bwMode="auto">
                    <a:xfrm>
                      <a:off x="0" y="0"/>
                      <a:ext cx="5153025" cy="2253306"/>
                    </a:xfrm>
                    <a:prstGeom prst="rect">
                      <a:avLst/>
                    </a:prstGeom>
                    <a:ln>
                      <a:noFill/>
                    </a:ln>
                    <a:extLst>
                      <a:ext uri="{53640926-AAD7-44D8-BBD7-CCE9431645EC}">
                        <a14:shadowObscured xmlns:a14="http://schemas.microsoft.com/office/drawing/2010/main"/>
                      </a:ext>
                    </a:extLst>
                  </pic:spPr>
                </pic:pic>
              </a:graphicData>
            </a:graphic>
          </wp:inline>
        </w:drawing>
      </w:r>
    </w:p>
    <w:p w14:paraId="01D337CC" w14:textId="77777777" w:rsidR="003F4E59" w:rsidRPr="00CC0617" w:rsidRDefault="003F4E59" w:rsidP="003F4E59">
      <w:pPr>
        <w:spacing w:after="0" w:line="276" w:lineRule="auto"/>
        <w:ind w:left="170" w:right="113"/>
        <w:rPr>
          <w:rFonts w:eastAsia="Arial" w:cs="Arial"/>
          <w:color w:val="000000"/>
          <w:sz w:val="18"/>
          <w:szCs w:val="18"/>
        </w:rPr>
      </w:pPr>
      <w:r>
        <w:rPr>
          <w:rFonts w:eastAsia="Arial" w:cs="Arial"/>
          <w:color w:val="000000"/>
          <w:sz w:val="18"/>
          <w:szCs w:val="18"/>
        </w:rPr>
        <w:t xml:space="preserve">Source: </w:t>
      </w:r>
      <w:r w:rsidRPr="00C941BB">
        <w:rPr>
          <w:rFonts w:eastAsia="Arial" w:cs="Arial"/>
          <w:color w:val="000000"/>
          <w:sz w:val="18"/>
          <w:szCs w:val="18"/>
        </w:rPr>
        <w:t>Australian PV Institute (APVI) Solar Map, funded by the Australian Renewable Energy Agency, accessed from pv-map.apvi.org.au on 20 September 2023.</w:t>
      </w:r>
    </w:p>
    <w:p w14:paraId="09428A52" w14:textId="455497EB" w:rsidR="00EE37C8" w:rsidRPr="00E5087D" w:rsidRDefault="00EE37C8" w:rsidP="00EE37C8">
      <w:pPr>
        <w:rPr>
          <w:b/>
          <w:bCs/>
          <w:sz w:val="24"/>
          <w:szCs w:val="24"/>
        </w:rPr>
      </w:pPr>
    </w:p>
    <w:p w14:paraId="0520F6A3" w14:textId="108D627A" w:rsidR="00EE37C8" w:rsidRPr="00E5087D" w:rsidRDefault="00EE37C8" w:rsidP="000440B3">
      <w:pPr>
        <w:pStyle w:val="Heading3"/>
      </w:pPr>
      <w:r w:rsidRPr="00E5087D">
        <w:t>New specialised qualifications</w:t>
      </w:r>
    </w:p>
    <w:p w14:paraId="5CA274CC" w14:textId="383B3898" w:rsidR="00EE37C8" w:rsidRPr="00E5087D" w:rsidRDefault="00EE37C8" w:rsidP="00EE37C8">
      <w:pPr>
        <w:spacing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There will also be a need to develop new qualifications with industry where technologies require a larger suite of specialised units. For example, in 2023 </w:t>
      </w:r>
      <w:r w:rsidR="00455C18">
        <w:rPr>
          <w:spacing w:val="2"/>
          <w14:ligatures w14:val="standard"/>
          <w14:numForm w14:val="lining"/>
          <w14:numSpacing w14:val="proportional"/>
        </w:rPr>
        <w:t>Canberra Institute of Technology (</w:t>
      </w:r>
      <w:r w:rsidRPr="00E5087D">
        <w:rPr>
          <w:spacing w:val="2"/>
          <w14:ligatures w14:val="standard"/>
          <w14:numForm w14:val="lining"/>
          <w14:numSpacing w14:val="proportional"/>
        </w:rPr>
        <w:t>CIT</w:t>
      </w:r>
      <w:r w:rsidR="00455C18">
        <w:rPr>
          <w:spacing w:val="2"/>
          <w14:ligatures w14:val="standard"/>
          <w14:numForm w14:val="lining"/>
          <w14:numSpacing w14:val="proportional"/>
        </w:rPr>
        <w:t>)</w:t>
      </w:r>
      <w:r w:rsidRPr="00E5087D">
        <w:rPr>
          <w:spacing w:val="2"/>
          <w14:ligatures w14:val="standard"/>
          <w14:numForm w14:val="lining"/>
          <w14:numSpacing w14:val="proportional"/>
        </w:rPr>
        <w:t xml:space="preserve"> launched its first </w:t>
      </w:r>
      <w:r w:rsidR="006C66CE">
        <w:rPr>
          <w:rFonts w:cs="Arial"/>
          <w14:numForm w14:val="lining"/>
          <w14:numSpacing w14:val="proportional"/>
        </w:rPr>
        <w:t>EV</w:t>
      </w:r>
      <w:r w:rsidRPr="00E5087D">
        <w:rPr>
          <w:spacing w:val="2"/>
          <w14:ligatures w14:val="standard"/>
          <w14:numForm w14:val="lining"/>
          <w14:numSpacing w14:val="proportional"/>
        </w:rPr>
        <w:t xml:space="preserve"> apprenticeship pathway under a new </w:t>
      </w:r>
      <w:r w:rsidRPr="00E5087D">
        <w:rPr>
          <w:i/>
          <w:iCs/>
          <w:spacing w:val="2"/>
          <w14:ligatures w14:val="standard"/>
          <w14:numForm w14:val="lining"/>
          <w14:numSpacing w14:val="proportional"/>
        </w:rPr>
        <w:t>Certificate III in Electrical Vehicle Technology</w:t>
      </w:r>
      <w:r w:rsidRPr="00E5087D">
        <w:rPr>
          <w:spacing w:val="2"/>
          <w14:ligatures w14:val="standard"/>
          <w14:numForm w14:val="lining"/>
          <w14:numSpacing w14:val="proportional"/>
        </w:rPr>
        <w:t xml:space="preserve">. While there is overlap between this qualification and the existing </w:t>
      </w:r>
      <w:r w:rsidRPr="00E5087D">
        <w:rPr>
          <w:i/>
          <w:iCs/>
          <w:spacing w:val="2"/>
          <w14:ligatures w14:val="standard"/>
          <w14:numForm w14:val="lining"/>
          <w14:numSpacing w14:val="proportional"/>
        </w:rPr>
        <w:t>Certificate III in Light Vehicles</w:t>
      </w:r>
      <w:r w:rsidRPr="00E5087D">
        <w:rPr>
          <w:spacing w:val="2"/>
          <w14:ligatures w14:val="standard"/>
          <w14:numForm w14:val="lining"/>
          <w14:numSpacing w14:val="proportional"/>
        </w:rPr>
        <w:t>, the new qualification includes a longer list of EV-specific units, many of which are core requirements. Examples of new specialised VET qualifications include:</w:t>
      </w:r>
    </w:p>
    <w:p w14:paraId="5F67AF0B" w14:textId="49771D31" w:rsidR="00EE37C8" w:rsidRPr="00E5087D" w:rsidRDefault="00A75715" w:rsidP="00F25595">
      <w:pPr>
        <w:pStyle w:val="ListParagraph"/>
        <w:numPr>
          <w:ilvl w:val="0"/>
          <w:numId w:val="29"/>
        </w:numPr>
        <w:spacing w:before="120" w:after="120" w:line="276" w:lineRule="auto"/>
        <w:rPr>
          <w:spacing w:val="2"/>
          <w14:ligatures w14:val="standard"/>
          <w14:numForm w14:val="lining"/>
          <w14:numSpacing w14:val="proportional"/>
        </w:rPr>
      </w:pPr>
      <w:r>
        <w:rPr>
          <w:spacing w:val="2"/>
          <w14:ligatures w14:val="standard"/>
          <w14:numForm w14:val="lining"/>
          <w14:numSpacing w14:val="proportional"/>
        </w:rPr>
        <w:t>C</w:t>
      </w:r>
      <w:r w:rsidR="00EE37C8" w:rsidRPr="00E5087D">
        <w:rPr>
          <w:spacing w:val="2"/>
          <w14:ligatures w14:val="standard"/>
          <w14:numForm w14:val="lining"/>
          <w14:numSpacing w14:val="proportional"/>
        </w:rPr>
        <w:t>PP41119 - Certificate IV in Home Energy Efficiency and Sustainability (3 RTOs)</w:t>
      </w:r>
    </w:p>
    <w:p w14:paraId="27B31948" w14:textId="77777777" w:rsidR="00EE37C8" w:rsidRPr="00E5087D" w:rsidRDefault="00EE37C8" w:rsidP="00F25595">
      <w:pPr>
        <w:pStyle w:val="ListParagraph"/>
        <w:numPr>
          <w:ilvl w:val="0"/>
          <w:numId w:val="29"/>
        </w:num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AUR32721 - Certificate III in Automotive Electric Vehicle Technology (13 RTOs)</w:t>
      </w:r>
    </w:p>
    <w:p w14:paraId="1CDDA24B" w14:textId="77777777" w:rsidR="00EE37C8" w:rsidRPr="00E5087D" w:rsidRDefault="00EE37C8" w:rsidP="00F25595">
      <w:pPr>
        <w:pStyle w:val="ListParagraph"/>
        <w:numPr>
          <w:ilvl w:val="0"/>
          <w:numId w:val="29"/>
        </w:num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52859WA - Graduate Certificate in Renewable Energy Technologies (1 RTO)</w:t>
      </w:r>
    </w:p>
    <w:p w14:paraId="7DA7E77E" w14:textId="5E403B43" w:rsidR="00EE37C8" w:rsidRPr="00E5087D" w:rsidRDefault="00EE37C8" w:rsidP="00EE37C8">
      <w:pPr>
        <w:spacing w:before="12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Scaling these new qualifications requires a critical mass of students able and willing to enrol and enough employers that recognise the qualification as a suitable pathway into the industry before RTOs may be willing to make the upfront investment in </w:t>
      </w:r>
      <w:r w:rsidR="008810D2">
        <w:rPr>
          <w:spacing w:val="2"/>
          <w14:ligatures w14:val="standard"/>
          <w14:numForm w14:val="lining"/>
          <w14:numSpacing w14:val="proportional"/>
        </w:rPr>
        <w:t>course materials</w:t>
      </w:r>
      <w:r w:rsidRPr="00E5087D">
        <w:rPr>
          <w:spacing w:val="2"/>
          <w14:ligatures w14:val="standard"/>
          <w14:numForm w14:val="lining"/>
          <w14:numSpacing w14:val="proportional"/>
        </w:rPr>
        <w:t>, capital and equipment. This has proved difficult in some regions and sectors.</w:t>
      </w:r>
    </w:p>
    <w:p w14:paraId="2D68BB38" w14:textId="4C37E381" w:rsidR="00EE37C8" w:rsidRPr="00E5087D" w:rsidRDefault="00EE37C8" w:rsidP="00EE37C8">
      <w:pPr>
        <w:spacing w:before="120" w:after="120" w:line="276" w:lineRule="auto"/>
        <w:rPr>
          <w:rFonts w:cs="Arial"/>
        </w:rPr>
      </w:pPr>
      <w:r w:rsidRPr="00E5087D">
        <w:rPr>
          <w:rFonts w:cs="Arial"/>
        </w:rPr>
        <w:t xml:space="preserve">The growing demand for engineering graduates in the field of renewable energy has led to universities establishing new undergraduate pathways to meet the current skills gap that persists within the labour market. As an example, the successful development of the new Bachelor in Renewable Energy Engineering program at the University of Newcastle saw the first cohort of graduates all securing a local renewable job. </w:t>
      </w:r>
      <w:r w:rsidR="001F58FB" w:rsidDel="00143083">
        <w:rPr>
          <w:rFonts w:cs="Arial"/>
        </w:rPr>
        <w:t>T</w:t>
      </w:r>
      <w:r w:rsidRPr="00E5087D" w:rsidDel="00143083">
        <w:rPr>
          <w:rFonts w:cs="Arial"/>
        </w:rPr>
        <w:t>able</w:t>
      </w:r>
      <w:r w:rsidR="001F58FB">
        <w:rPr>
          <w:rFonts w:cs="Arial"/>
        </w:rPr>
        <w:t xml:space="preserve"> 4.9</w:t>
      </w:r>
      <w:r w:rsidRPr="00E5087D">
        <w:rPr>
          <w:rFonts w:cs="Arial"/>
        </w:rPr>
        <w:t xml:space="preserve"> provides a snapshot of the current undergraduate pathways in Australia that are in the field of engineering, with a specific focus on renewable energy</w:t>
      </w:r>
      <w:r w:rsidR="009F01BA">
        <w:rPr>
          <w:rFonts w:cs="Arial"/>
        </w:rPr>
        <w:t xml:space="preserve">. The full list of </w:t>
      </w:r>
      <w:r w:rsidR="007E30AC">
        <w:rPr>
          <w:rFonts w:cs="Arial"/>
        </w:rPr>
        <w:t>specialist undergraduate pathways can be found in Attachment B.</w:t>
      </w:r>
    </w:p>
    <w:p w14:paraId="25E3234B" w14:textId="602C3FC4" w:rsidR="00EE37C8" w:rsidRPr="00E5087D" w:rsidRDefault="00EE37C8" w:rsidP="00B70079">
      <w:pPr>
        <w:spacing w:before="120" w:after="120" w:line="276" w:lineRule="auto"/>
        <w:rPr>
          <w:b/>
          <w:bCs/>
          <w:spacing w:val="2"/>
          <w14:ligatures w14:val="standard"/>
          <w14:numForm w14:val="lining"/>
          <w14:numSpacing w14:val="proportional"/>
        </w:rPr>
      </w:pPr>
      <w:r w:rsidRPr="00E5087D">
        <w:rPr>
          <w:rFonts w:cs="Arial"/>
          <w:b/>
          <w:bCs/>
          <w:spacing w:val="2"/>
          <w14:ligatures w14:val="standard"/>
          <w14:numForm w14:val="lining"/>
          <w14:numSpacing w14:val="proportional"/>
        </w:rPr>
        <w:t xml:space="preserve">Table </w:t>
      </w:r>
      <w:r w:rsidR="00FD301A">
        <w:rPr>
          <w:rFonts w:cs="Arial"/>
          <w:b/>
          <w:bCs/>
          <w:spacing w:val="2"/>
          <w14:ligatures w14:val="standard"/>
          <w14:numForm w14:val="lining"/>
          <w14:numSpacing w14:val="proportional"/>
        </w:rPr>
        <w:t>4.9</w:t>
      </w:r>
      <w:r w:rsidR="00171964">
        <w:rPr>
          <w:rFonts w:cs="Arial"/>
          <w:b/>
          <w:bCs/>
          <w:spacing w:val="2"/>
          <w14:ligatures w14:val="standard"/>
          <w14:numForm w14:val="lining"/>
          <w14:numSpacing w14:val="proportional"/>
        </w:rPr>
        <w:t>.</w:t>
      </w:r>
      <w:r w:rsidRPr="00E5087D">
        <w:rPr>
          <w:rFonts w:cs="Arial"/>
          <w:b/>
          <w:bCs/>
          <w:spacing w:val="2"/>
          <w14:ligatures w14:val="standard"/>
          <w14:numForm w14:val="lining"/>
          <w14:numSpacing w14:val="proportional"/>
        </w:rPr>
        <w:t xml:space="preserve"> Example specialist undergraduate pathways</w:t>
      </w:r>
    </w:p>
    <w:tbl>
      <w:tblPr>
        <w:tblStyle w:val="TableGrid"/>
        <w:tblW w:w="0" w:type="auto"/>
        <w:tblLook w:val="04A0" w:firstRow="1" w:lastRow="0" w:firstColumn="1" w:lastColumn="0" w:noHBand="0" w:noVBand="1"/>
      </w:tblPr>
      <w:tblGrid>
        <w:gridCol w:w="2363"/>
        <w:gridCol w:w="2268"/>
        <w:gridCol w:w="2324"/>
        <w:gridCol w:w="2061"/>
      </w:tblGrid>
      <w:tr w:rsidR="00EE37C8" w:rsidRPr="00E5087D" w14:paraId="1612CDDE" w14:textId="77777777" w:rsidTr="00176C3C">
        <w:trPr>
          <w:trHeight w:val="397"/>
        </w:trPr>
        <w:tc>
          <w:tcPr>
            <w:tcW w:w="2363"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15CDC6D2" w14:textId="6F90FBD5" w:rsidR="00EE37C8" w:rsidRPr="00E5087D" w:rsidRDefault="00EE37C8" w:rsidP="00B70079">
            <w:pPr>
              <w:spacing w:before="120" w:after="120" w:line="276" w:lineRule="auto"/>
              <w:rPr>
                <w:rFonts w:cs="Arial"/>
                <w:b/>
                <w:bCs/>
              </w:rPr>
            </w:pPr>
            <w:r w:rsidRPr="00E5087D">
              <w:rPr>
                <w:rFonts w:cs="Arial"/>
                <w:b/>
                <w:bCs/>
              </w:rPr>
              <w:t>University</w:t>
            </w:r>
          </w:p>
        </w:tc>
        <w:tc>
          <w:tcPr>
            <w:tcW w:w="2268"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12512036" w14:textId="0BEADE58" w:rsidR="00EE37C8" w:rsidRPr="00E5087D" w:rsidRDefault="00EE37C8" w:rsidP="00B70079">
            <w:pPr>
              <w:spacing w:before="120" w:after="120" w:line="276" w:lineRule="auto"/>
              <w:rPr>
                <w:rFonts w:cs="Arial"/>
                <w:b/>
                <w:bCs/>
              </w:rPr>
            </w:pPr>
            <w:r w:rsidRPr="00E5087D">
              <w:rPr>
                <w:rFonts w:cs="Arial"/>
                <w:b/>
                <w:bCs/>
              </w:rPr>
              <w:t>Course Title</w:t>
            </w:r>
          </w:p>
        </w:tc>
        <w:tc>
          <w:tcPr>
            <w:tcW w:w="2324"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4D4D7AC1" w14:textId="31A1E844" w:rsidR="00EE37C8" w:rsidRPr="00E5087D" w:rsidRDefault="00EE37C8" w:rsidP="00B70079">
            <w:pPr>
              <w:spacing w:before="120" w:after="120" w:line="276" w:lineRule="auto"/>
              <w:rPr>
                <w:rFonts w:cs="Arial"/>
                <w:b/>
                <w:bCs/>
              </w:rPr>
            </w:pPr>
            <w:r w:rsidRPr="00E5087D">
              <w:rPr>
                <w:rFonts w:cs="Arial"/>
                <w:b/>
                <w:bCs/>
              </w:rPr>
              <w:t>Full-time duration</w:t>
            </w:r>
          </w:p>
        </w:tc>
        <w:tc>
          <w:tcPr>
            <w:tcW w:w="2061" w:type="dxa"/>
            <w:tcBorders>
              <w:top w:val="single" w:sz="4" w:space="0" w:color="auto"/>
              <w:left w:val="single" w:sz="4" w:space="0" w:color="auto"/>
              <w:bottom w:val="single" w:sz="4" w:space="0" w:color="auto"/>
              <w:right w:val="single" w:sz="4" w:space="0" w:color="auto"/>
            </w:tcBorders>
            <w:shd w:val="clear" w:color="auto" w:fill="DAE3F5"/>
            <w:vAlign w:val="center"/>
            <w:hideMark/>
          </w:tcPr>
          <w:p w14:paraId="306B0E5D" w14:textId="71F9C2FE" w:rsidR="00EE37C8" w:rsidRPr="00E5087D" w:rsidRDefault="00EE37C8" w:rsidP="00B70079">
            <w:pPr>
              <w:spacing w:before="120" w:after="120" w:line="276" w:lineRule="auto"/>
              <w:rPr>
                <w:rFonts w:cs="Arial"/>
                <w:b/>
                <w:bCs/>
              </w:rPr>
            </w:pPr>
            <w:r w:rsidRPr="00E5087D">
              <w:rPr>
                <w:rFonts w:cs="Arial"/>
                <w:b/>
                <w:bCs/>
              </w:rPr>
              <w:t>Degree type</w:t>
            </w:r>
          </w:p>
        </w:tc>
      </w:tr>
      <w:tr w:rsidR="00EE37C8" w:rsidRPr="00E5087D" w14:paraId="538D6427" w14:textId="77777777">
        <w:tc>
          <w:tcPr>
            <w:tcW w:w="2363" w:type="dxa"/>
            <w:vMerge w:val="restart"/>
            <w:tcBorders>
              <w:top w:val="single" w:sz="4" w:space="0" w:color="auto"/>
              <w:left w:val="single" w:sz="4" w:space="0" w:color="auto"/>
              <w:bottom w:val="single" w:sz="4" w:space="0" w:color="auto"/>
              <w:right w:val="single" w:sz="4" w:space="0" w:color="auto"/>
            </w:tcBorders>
            <w:hideMark/>
          </w:tcPr>
          <w:p w14:paraId="6A708D72" w14:textId="7E9AFF29" w:rsidR="00EE37C8" w:rsidRPr="00E5087D" w:rsidRDefault="00EE37C8" w:rsidP="007102B1">
            <w:pPr>
              <w:spacing w:before="120" w:after="120" w:line="276" w:lineRule="auto"/>
              <w:rPr>
                <w:rFonts w:cs="Arial"/>
              </w:rPr>
            </w:pPr>
            <w:r w:rsidRPr="00E5087D">
              <w:rPr>
                <w:rFonts w:cs="Arial"/>
              </w:rPr>
              <w:t>UNSW</w:t>
            </w:r>
          </w:p>
        </w:tc>
        <w:tc>
          <w:tcPr>
            <w:tcW w:w="2268" w:type="dxa"/>
            <w:tcBorders>
              <w:top w:val="single" w:sz="4" w:space="0" w:color="auto"/>
              <w:left w:val="single" w:sz="4" w:space="0" w:color="auto"/>
              <w:bottom w:val="single" w:sz="4" w:space="0" w:color="auto"/>
              <w:right w:val="single" w:sz="4" w:space="0" w:color="auto"/>
            </w:tcBorders>
          </w:tcPr>
          <w:p w14:paraId="7AEF3969" w14:textId="5DE00B31" w:rsidR="00EE37C8" w:rsidRPr="00E5087D" w:rsidRDefault="00EE37C8" w:rsidP="007102B1">
            <w:pPr>
              <w:spacing w:before="120" w:after="120" w:line="276" w:lineRule="auto"/>
              <w:rPr>
                <w:rFonts w:cs="Arial"/>
              </w:rPr>
            </w:pPr>
            <w:r w:rsidRPr="00E5087D">
              <w:rPr>
                <w:rFonts w:cs="Arial"/>
              </w:rPr>
              <w:t>Bachelor of Engineering (Honours) (Photovoltaics and Solar Energy)</w:t>
            </w:r>
          </w:p>
          <w:p w14:paraId="467A59AB" w14:textId="771A40E5" w:rsidR="00EE37C8" w:rsidRPr="00E5087D" w:rsidRDefault="00EE37C8" w:rsidP="007102B1">
            <w:pPr>
              <w:spacing w:before="120" w:after="120" w:line="276" w:lineRule="auto"/>
              <w:rPr>
                <w:rFonts w:cs="Arial"/>
              </w:rPr>
            </w:pPr>
          </w:p>
        </w:tc>
        <w:tc>
          <w:tcPr>
            <w:tcW w:w="2324" w:type="dxa"/>
            <w:vMerge w:val="restart"/>
            <w:tcBorders>
              <w:top w:val="single" w:sz="4" w:space="0" w:color="auto"/>
              <w:left w:val="single" w:sz="4" w:space="0" w:color="auto"/>
              <w:bottom w:val="single" w:sz="4" w:space="0" w:color="auto"/>
              <w:right w:val="single" w:sz="4" w:space="0" w:color="auto"/>
            </w:tcBorders>
            <w:hideMark/>
          </w:tcPr>
          <w:p w14:paraId="5ECEDDF2" w14:textId="275993FD" w:rsidR="00EE37C8" w:rsidRPr="00E5087D" w:rsidRDefault="00EE37C8" w:rsidP="007102B1">
            <w:pPr>
              <w:spacing w:before="120" w:after="120" w:line="276" w:lineRule="auto"/>
              <w:rPr>
                <w:rFonts w:cs="Arial"/>
              </w:rPr>
            </w:pPr>
            <w:r w:rsidRPr="00E5087D">
              <w:rPr>
                <w:rFonts w:cs="Arial"/>
              </w:rPr>
              <w:t>4 years</w:t>
            </w:r>
          </w:p>
        </w:tc>
        <w:tc>
          <w:tcPr>
            <w:tcW w:w="2061" w:type="dxa"/>
            <w:vMerge w:val="restart"/>
            <w:tcBorders>
              <w:top w:val="single" w:sz="4" w:space="0" w:color="auto"/>
              <w:left w:val="single" w:sz="4" w:space="0" w:color="auto"/>
              <w:bottom w:val="single" w:sz="4" w:space="0" w:color="auto"/>
              <w:right w:val="single" w:sz="4" w:space="0" w:color="auto"/>
            </w:tcBorders>
            <w:hideMark/>
          </w:tcPr>
          <w:p w14:paraId="41256B2D" w14:textId="3964F98D" w:rsidR="00EE37C8" w:rsidRPr="00E5087D" w:rsidRDefault="00EE37C8" w:rsidP="007102B1">
            <w:pPr>
              <w:spacing w:before="120" w:after="120" w:line="276" w:lineRule="auto"/>
              <w:rPr>
                <w:rFonts w:cs="Arial"/>
              </w:rPr>
            </w:pPr>
            <w:r w:rsidRPr="00E5087D">
              <w:rPr>
                <w:rFonts w:cs="Arial"/>
              </w:rPr>
              <w:t xml:space="preserve">Undergraduate </w:t>
            </w:r>
          </w:p>
        </w:tc>
      </w:tr>
      <w:tr w:rsidR="00EE37C8" w:rsidRPr="00E5087D" w14:paraId="562054E7"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72481EF5" w14:textId="6552C125" w:rsidR="00EE37C8" w:rsidRPr="00E5087D" w:rsidRDefault="00EE37C8" w:rsidP="007102B1">
            <w:pPr>
              <w:spacing w:before="120" w:after="120" w:line="276" w:lineRule="auto"/>
              <w:rPr>
                <w:rFonts w:cs="Arial"/>
                <w:kern w:val="2"/>
                <w14:ligatures w14:val="standardContextual"/>
              </w:rPr>
            </w:pPr>
          </w:p>
        </w:tc>
        <w:tc>
          <w:tcPr>
            <w:tcW w:w="2268" w:type="dxa"/>
            <w:tcBorders>
              <w:top w:val="single" w:sz="4" w:space="0" w:color="auto"/>
              <w:left w:val="single" w:sz="4" w:space="0" w:color="auto"/>
              <w:bottom w:val="single" w:sz="4" w:space="0" w:color="auto"/>
              <w:right w:val="single" w:sz="4" w:space="0" w:color="auto"/>
            </w:tcBorders>
          </w:tcPr>
          <w:p w14:paraId="53D88155" w14:textId="556825B8" w:rsidR="00EE37C8" w:rsidRPr="00E5087D" w:rsidRDefault="00EE37C8" w:rsidP="007102B1">
            <w:pPr>
              <w:spacing w:before="120" w:after="120" w:line="276" w:lineRule="auto"/>
              <w:rPr>
                <w:rFonts w:cs="Arial"/>
              </w:rPr>
            </w:pPr>
            <w:r w:rsidRPr="00E5087D">
              <w:rPr>
                <w:rFonts w:cs="Arial"/>
              </w:rPr>
              <w:t>Bachelor of Engineering (Honours) (Renewable Energy)</w:t>
            </w:r>
          </w:p>
          <w:p w14:paraId="33E67C1C" w14:textId="177BDEBC" w:rsidR="00EE37C8" w:rsidRPr="00E5087D" w:rsidRDefault="00EE37C8" w:rsidP="007102B1">
            <w:pPr>
              <w:spacing w:before="120" w:after="120" w:line="276" w:lineRule="auto"/>
              <w:rPr>
                <w:rFonts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341D08" w14:textId="061C9270" w:rsidR="00EE37C8" w:rsidRPr="00E5087D" w:rsidRDefault="00EE37C8" w:rsidP="007102B1">
            <w:pPr>
              <w:spacing w:before="120" w:after="120" w:line="276" w:lineRule="auto"/>
              <w:rPr>
                <w:rFonts w:cs="Arial"/>
                <w:kern w:val="2"/>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4A9418" w14:textId="112A98C0" w:rsidR="00EE37C8" w:rsidRPr="00E5087D" w:rsidRDefault="00EE37C8" w:rsidP="007102B1">
            <w:pPr>
              <w:spacing w:before="120" w:after="120" w:line="276" w:lineRule="auto"/>
              <w:rPr>
                <w:rFonts w:cs="Arial"/>
                <w:kern w:val="2"/>
                <w14:ligatures w14:val="standardContextual"/>
              </w:rPr>
            </w:pPr>
          </w:p>
        </w:tc>
      </w:tr>
      <w:tr w:rsidR="00EE37C8" w:rsidRPr="00E5087D" w14:paraId="2F395480" w14:textId="77777777">
        <w:tc>
          <w:tcPr>
            <w:tcW w:w="2363" w:type="dxa"/>
            <w:tcBorders>
              <w:top w:val="single" w:sz="4" w:space="0" w:color="auto"/>
              <w:left w:val="single" w:sz="4" w:space="0" w:color="auto"/>
              <w:bottom w:val="single" w:sz="4" w:space="0" w:color="auto"/>
              <w:right w:val="single" w:sz="4" w:space="0" w:color="auto"/>
            </w:tcBorders>
            <w:hideMark/>
          </w:tcPr>
          <w:p w14:paraId="3166093F" w14:textId="235E5CB5" w:rsidR="00EE37C8" w:rsidRPr="00E5087D" w:rsidRDefault="00EE37C8" w:rsidP="007102B1">
            <w:pPr>
              <w:spacing w:before="120" w:after="120" w:line="276" w:lineRule="auto"/>
              <w:rPr>
                <w:rFonts w:cs="Arial"/>
              </w:rPr>
            </w:pPr>
            <w:r w:rsidRPr="00E5087D">
              <w:rPr>
                <w:rFonts w:cs="Arial"/>
              </w:rPr>
              <w:t>University of Newcastle</w:t>
            </w:r>
          </w:p>
        </w:tc>
        <w:tc>
          <w:tcPr>
            <w:tcW w:w="2268" w:type="dxa"/>
            <w:tcBorders>
              <w:top w:val="single" w:sz="4" w:space="0" w:color="auto"/>
              <w:left w:val="single" w:sz="4" w:space="0" w:color="auto"/>
              <w:bottom w:val="single" w:sz="4" w:space="0" w:color="auto"/>
              <w:right w:val="single" w:sz="4" w:space="0" w:color="auto"/>
            </w:tcBorders>
            <w:hideMark/>
          </w:tcPr>
          <w:p w14:paraId="327D7BDF" w14:textId="79DDD2AE" w:rsidR="00EE37C8" w:rsidRPr="00E5087D" w:rsidRDefault="00EE37C8" w:rsidP="007102B1">
            <w:pPr>
              <w:spacing w:before="120" w:after="120" w:line="276" w:lineRule="auto"/>
              <w:rPr>
                <w:rFonts w:cs="Arial"/>
              </w:rPr>
            </w:pPr>
            <w:r w:rsidRPr="00E5087D">
              <w:rPr>
                <w:rFonts w:cs="Arial"/>
              </w:rPr>
              <w:t xml:space="preserve">Bachelor of Renewable Energy Engineering (Honours) </w:t>
            </w:r>
          </w:p>
        </w:tc>
        <w:tc>
          <w:tcPr>
            <w:tcW w:w="2324" w:type="dxa"/>
            <w:tcBorders>
              <w:top w:val="single" w:sz="4" w:space="0" w:color="auto"/>
              <w:left w:val="single" w:sz="4" w:space="0" w:color="auto"/>
              <w:bottom w:val="single" w:sz="4" w:space="0" w:color="auto"/>
              <w:right w:val="single" w:sz="4" w:space="0" w:color="auto"/>
            </w:tcBorders>
            <w:hideMark/>
          </w:tcPr>
          <w:p w14:paraId="1305E684" w14:textId="68096998" w:rsidR="00EE37C8" w:rsidRPr="00E5087D" w:rsidRDefault="00EE37C8" w:rsidP="007102B1">
            <w:pPr>
              <w:spacing w:before="120" w:after="120" w:line="276" w:lineRule="auto"/>
              <w:rPr>
                <w:rFonts w:cs="Arial"/>
              </w:rPr>
            </w:pPr>
            <w:r w:rsidRPr="00E5087D">
              <w:rPr>
                <w:rFonts w:cs="Arial"/>
              </w:rPr>
              <w:t>4 years</w:t>
            </w:r>
          </w:p>
        </w:tc>
        <w:tc>
          <w:tcPr>
            <w:tcW w:w="2061" w:type="dxa"/>
            <w:tcBorders>
              <w:top w:val="single" w:sz="4" w:space="0" w:color="auto"/>
              <w:left w:val="single" w:sz="4" w:space="0" w:color="auto"/>
              <w:bottom w:val="single" w:sz="4" w:space="0" w:color="auto"/>
              <w:right w:val="single" w:sz="4" w:space="0" w:color="auto"/>
            </w:tcBorders>
            <w:hideMark/>
          </w:tcPr>
          <w:p w14:paraId="64691AE3" w14:textId="3EA5E762" w:rsidR="00EE37C8" w:rsidRPr="00E5087D" w:rsidRDefault="00EE37C8" w:rsidP="007102B1">
            <w:pPr>
              <w:spacing w:before="120" w:after="120" w:line="276" w:lineRule="auto"/>
              <w:rPr>
                <w:rFonts w:cs="Arial"/>
              </w:rPr>
            </w:pPr>
            <w:r w:rsidRPr="00E5087D">
              <w:rPr>
                <w:rFonts w:cs="Arial"/>
              </w:rPr>
              <w:t xml:space="preserve">Undergraduate </w:t>
            </w:r>
          </w:p>
        </w:tc>
      </w:tr>
      <w:tr w:rsidR="007102B1" w:rsidRPr="00E5087D" w14:paraId="65C737F9" w14:textId="77777777" w:rsidTr="009F6AF5">
        <w:tc>
          <w:tcPr>
            <w:tcW w:w="2363" w:type="dxa"/>
            <w:vMerge w:val="restart"/>
            <w:tcBorders>
              <w:top w:val="single" w:sz="4" w:space="0" w:color="auto"/>
              <w:left w:val="single" w:sz="4" w:space="0" w:color="auto"/>
              <w:right w:val="single" w:sz="4" w:space="0" w:color="auto"/>
            </w:tcBorders>
            <w:hideMark/>
          </w:tcPr>
          <w:p w14:paraId="456B8AC4" w14:textId="7034A20E" w:rsidR="007102B1" w:rsidRPr="00E5087D" w:rsidRDefault="007102B1" w:rsidP="007102B1">
            <w:pPr>
              <w:spacing w:before="120" w:after="120" w:line="276" w:lineRule="auto"/>
              <w:rPr>
                <w:rFonts w:cs="Arial"/>
              </w:rPr>
            </w:pPr>
            <w:r w:rsidRPr="00E5087D">
              <w:rPr>
                <w:rFonts w:cs="Arial"/>
              </w:rPr>
              <w:t xml:space="preserve">Queensland University Technology </w:t>
            </w:r>
          </w:p>
        </w:tc>
        <w:tc>
          <w:tcPr>
            <w:tcW w:w="2268" w:type="dxa"/>
            <w:tcBorders>
              <w:top w:val="single" w:sz="4" w:space="0" w:color="auto"/>
              <w:left w:val="single" w:sz="4" w:space="0" w:color="auto"/>
              <w:bottom w:val="single" w:sz="4" w:space="0" w:color="auto"/>
              <w:right w:val="single" w:sz="4" w:space="0" w:color="auto"/>
            </w:tcBorders>
            <w:hideMark/>
          </w:tcPr>
          <w:p w14:paraId="49B759FE" w14:textId="7C577C52" w:rsidR="007102B1" w:rsidRPr="00E5087D" w:rsidRDefault="007102B1" w:rsidP="007102B1">
            <w:pPr>
              <w:spacing w:before="120" w:after="120" w:line="276" w:lineRule="auto"/>
              <w:rPr>
                <w:rFonts w:cs="Arial"/>
              </w:rPr>
            </w:pPr>
            <w:r w:rsidRPr="00E5087D">
              <w:rPr>
                <w:rFonts w:cs="Arial"/>
              </w:rPr>
              <w:t xml:space="preserve">Bachelor of Engineering (Honours) (Electrical and Renewable Power) </w:t>
            </w:r>
          </w:p>
        </w:tc>
        <w:tc>
          <w:tcPr>
            <w:tcW w:w="2324" w:type="dxa"/>
            <w:tcBorders>
              <w:top w:val="single" w:sz="4" w:space="0" w:color="auto"/>
              <w:left w:val="single" w:sz="4" w:space="0" w:color="auto"/>
              <w:bottom w:val="single" w:sz="4" w:space="0" w:color="auto"/>
              <w:right w:val="single" w:sz="4" w:space="0" w:color="auto"/>
            </w:tcBorders>
            <w:hideMark/>
          </w:tcPr>
          <w:p w14:paraId="1A04487B" w14:textId="6C138A05" w:rsidR="007102B1" w:rsidRPr="00E5087D" w:rsidRDefault="007102B1" w:rsidP="007102B1">
            <w:pPr>
              <w:spacing w:before="120" w:after="120" w:line="276" w:lineRule="auto"/>
              <w:rPr>
                <w:rFonts w:cs="Arial"/>
              </w:rPr>
            </w:pPr>
            <w:r w:rsidRPr="00E5087D">
              <w:rPr>
                <w:rFonts w:cs="Arial"/>
              </w:rPr>
              <w:t>4 years</w:t>
            </w:r>
          </w:p>
        </w:tc>
        <w:tc>
          <w:tcPr>
            <w:tcW w:w="2061" w:type="dxa"/>
            <w:tcBorders>
              <w:top w:val="single" w:sz="4" w:space="0" w:color="auto"/>
              <w:left w:val="single" w:sz="4" w:space="0" w:color="auto"/>
              <w:bottom w:val="single" w:sz="4" w:space="0" w:color="auto"/>
              <w:right w:val="single" w:sz="4" w:space="0" w:color="auto"/>
            </w:tcBorders>
            <w:hideMark/>
          </w:tcPr>
          <w:p w14:paraId="315D5D0B" w14:textId="35F6E076" w:rsidR="007102B1" w:rsidRPr="00E5087D" w:rsidRDefault="007102B1" w:rsidP="007102B1">
            <w:pPr>
              <w:spacing w:before="120" w:after="120" w:line="276" w:lineRule="auto"/>
              <w:rPr>
                <w:rFonts w:cs="Arial"/>
              </w:rPr>
            </w:pPr>
            <w:r w:rsidRPr="00E5087D">
              <w:rPr>
                <w:rFonts w:cs="Arial"/>
              </w:rPr>
              <w:t xml:space="preserve">Undergraduate </w:t>
            </w:r>
          </w:p>
        </w:tc>
      </w:tr>
      <w:tr w:rsidR="007102B1" w:rsidRPr="00E5087D" w14:paraId="25ED9D0C" w14:textId="77777777" w:rsidTr="009F6AF5">
        <w:tc>
          <w:tcPr>
            <w:tcW w:w="0" w:type="auto"/>
            <w:vMerge/>
            <w:tcBorders>
              <w:left w:val="single" w:sz="4" w:space="0" w:color="auto"/>
              <w:bottom w:val="single" w:sz="4" w:space="0" w:color="auto"/>
              <w:right w:val="single" w:sz="4" w:space="0" w:color="auto"/>
            </w:tcBorders>
            <w:vAlign w:val="center"/>
            <w:hideMark/>
          </w:tcPr>
          <w:p w14:paraId="26BB4884" w14:textId="6F7A7A6F" w:rsidR="007102B1" w:rsidRPr="00E5087D" w:rsidRDefault="007102B1" w:rsidP="007102B1">
            <w:pPr>
              <w:spacing w:before="120" w:after="120"/>
              <w:rPr>
                <w:rFonts w:cs="Arial"/>
                <w:kern w:val="2"/>
                <w14:ligatures w14:val="standardContextual"/>
              </w:rPr>
            </w:pPr>
          </w:p>
        </w:tc>
        <w:tc>
          <w:tcPr>
            <w:tcW w:w="2268" w:type="dxa"/>
            <w:tcBorders>
              <w:top w:val="single" w:sz="4" w:space="0" w:color="auto"/>
              <w:left w:val="single" w:sz="4" w:space="0" w:color="auto"/>
              <w:bottom w:val="single" w:sz="4" w:space="0" w:color="auto"/>
              <w:right w:val="single" w:sz="4" w:space="0" w:color="auto"/>
            </w:tcBorders>
            <w:hideMark/>
          </w:tcPr>
          <w:p w14:paraId="79D9A97F" w14:textId="4FDA02A8" w:rsidR="007102B1" w:rsidRPr="00E5087D" w:rsidRDefault="007102B1" w:rsidP="007102B1">
            <w:pPr>
              <w:spacing w:before="120" w:after="120"/>
              <w:rPr>
                <w:rFonts w:cs="Arial"/>
              </w:rPr>
            </w:pPr>
            <w:r w:rsidRPr="00E5087D">
              <w:rPr>
                <w:rFonts w:cs="Arial"/>
              </w:rPr>
              <w:t xml:space="preserve">Bachelor of Engineering (Honours)/Master of Renewable Energy </w:t>
            </w:r>
          </w:p>
        </w:tc>
        <w:tc>
          <w:tcPr>
            <w:tcW w:w="2324" w:type="dxa"/>
            <w:tcBorders>
              <w:top w:val="single" w:sz="4" w:space="0" w:color="auto"/>
              <w:left w:val="single" w:sz="4" w:space="0" w:color="auto"/>
              <w:bottom w:val="single" w:sz="4" w:space="0" w:color="auto"/>
              <w:right w:val="single" w:sz="4" w:space="0" w:color="auto"/>
            </w:tcBorders>
            <w:hideMark/>
          </w:tcPr>
          <w:p w14:paraId="2E485A29" w14:textId="3EDBAFF4" w:rsidR="007102B1" w:rsidRPr="00E5087D" w:rsidRDefault="007102B1" w:rsidP="007102B1">
            <w:pPr>
              <w:spacing w:before="120" w:after="120"/>
              <w:rPr>
                <w:rFonts w:cs="Arial"/>
              </w:rPr>
            </w:pPr>
            <w:r w:rsidRPr="00E5087D">
              <w:rPr>
                <w:rFonts w:cs="Arial"/>
              </w:rPr>
              <w:t>5 years</w:t>
            </w:r>
          </w:p>
        </w:tc>
        <w:tc>
          <w:tcPr>
            <w:tcW w:w="2061" w:type="dxa"/>
            <w:tcBorders>
              <w:top w:val="single" w:sz="4" w:space="0" w:color="auto"/>
              <w:left w:val="single" w:sz="4" w:space="0" w:color="auto"/>
              <w:bottom w:val="single" w:sz="4" w:space="0" w:color="auto"/>
              <w:right w:val="single" w:sz="4" w:space="0" w:color="auto"/>
            </w:tcBorders>
            <w:hideMark/>
          </w:tcPr>
          <w:p w14:paraId="28B79576" w14:textId="6D78699D" w:rsidR="007102B1" w:rsidRPr="00E5087D" w:rsidRDefault="007102B1" w:rsidP="007102B1">
            <w:pPr>
              <w:spacing w:before="120" w:after="120"/>
              <w:rPr>
                <w:rFonts w:cs="Arial"/>
              </w:rPr>
            </w:pPr>
            <w:r w:rsidRPr="00E5087D">
              <w:rPr>
                <w:rFonts w:cs="Arial"/>
              </w:rPr>
              <w:t>Undergraduate followed by Postgraduate</w:t>
            </w:r>
          </w:p>
        </w:tc>
      </w:tr>
      <w:tr w:rsidR="00EE37C8" w:rsidRPr="00E5087D" w14:paraId="0589B255" w14:textId="77777777">
        <w:tc>
          <w:tcPr>
            <w:tcW w:w="2363" w:type="dxa"/>
            <w:tcBorders>
              <w:top w:val="single" w:sz="4" w:space="0" w:color="auto"/>
              <w:left w:val="single" w:sz="4" w:space="0" w:color="auto"/>
              <w:bottom w:val="single" w:sz="4" w:space="0" w:color="auto"/>
              <w:right w:val="single" w:sz="4" w:space="0" w:color="auto"/>
            </w:tcBorders>
            <w:hideMark/>
          </w:tcPr>
          <w:p w14:paraId="27AE8C49" w14:textId="3509EE40" w:rsidR="00EE37C8" w:rsidRPr="00E5087D" w:rsidRDefault="00EE37C8" w:rsidP="007102B1">
            <w:pPr>
              <w:spacing w:before="120" w:after="120"/>
              <w:rPr>
                <w:rFonts w:cs="Arial"/>
              </w:rPr>
            </w:pPr>
            <w:r w:rsidRPr="00E5087D">
              <w:rPr>
                <w:rFonts w:cs="Arial"/>
              </w:rPr>
              <w:t>Edith Cowan University</w:t>
            </w:r>
          </w:p>
        </w:tc>
        <w:tc>
          <w:tcPr>
            <w:tcW w:w="2268" w:type="dxa"/>
            <w:tcBorders>
              <w:top w:val="single" w:sz="4" w:space="0" w:color="auto"/>
              <w:left w:val="single" w:sz="4" w:space="0" w:color="auto"/>
              <w:bottom w:val="single" w:sz="4" w:space="0" w:color="auto"/>
              <w:right w:val="single" w:sz="4" w:space="0" w:color="auto"/>
            </w:tcBorders>
            <w:hideMark/>
          </w:tcPr>
          <w:p w14:paraId="6E488576" w14:textId="503A8927" w:rsidR="00EE37C8" w:rsidRPr="00E5087D" w:rsidRDefault="00EE37C8" w:rsidP="007102B1">
            <w:pPr>
              <w:spacing w:before="120" w:after="120"/>
              <w:rPr>
                <w:rFonts w:cs="Arial"/>
              </w:rPr>
            </w:pPr>
            <w:r w:rsidRPr="00E5087D">
              <w:rPr>
                <w:rFonts w:cs="Arial"/>
              </w:rPr>
              <w:t>Bachelor of Engineering (Electrical and Renewable Energy Honours)</w:t>
            </w:r>
          </w:p>
        </w:tc>
        <w:tc>
          <w:tcPr>
            <w:tcW w:w="2324" w:type="dxa"/>
            <w:tcBorders>
              <w:top w:val="single" w:sz="4" w:space="0" w:color="auto"/>
              <w:left w:val="single" w:sz="4" w:space="0" w:color="auto"/>
              <w:bottom w:val="single" w:sz="4" w:space="0" w:color="auto"/>
              <w:right w:val="single" w:sz="4" w:space="0" w:color="auto"/>
            </w:tcBorders>
            <w:hideMark/>
          </w:tcPr>
          <w:p w14:paraId="6F3501DD" w14:textId="21926E18" w:rsidR="00EE37C8" w:rsidRPr="00E5087D" w:rsidRDefault="00EE37C8" w:rsidP="007102B1">
            <w:pPr>
              <w:spacing w:before="120" w:after="120"/>
              <w:rPr>
                <w:rFonts w:cs="Arial"/>
              </w:rPr>
            </w:pPr>
            <w:r w:rsidRPr="00E5087D">
              <w:rPr>
                <w:rFonts w:cs="Arial"/>
              </w:rPr>
              <w:t>4 years</w:t>
            </w:r>
          </w:p>
        </w:tc>
        <w:tc>
          <w:tcPr>
            <w:tcW w:w="2061" w:type="dxa"/>
            <w:tcBorders>
              <w:top w:val="single" w:sz="4" w:space="0" w:color="auto"/>
              <w:left w:val="single" w:sz="4" w:space="0" w:color="auto"/>
              <w:bottom w:val="single" w:sz="4" w:space="0" w:color="auto"/>
              <w:right w:val="single" w:sz="4" w:space="0" w:color="auto"/>
            </w:tcBorders>
            <w:hideMark/>
          </w:tcPr>
          <w:p w14:paraId="5F95812E" w14:textId="657EBDF0" w:rsidR="00EE37C8" w:rsidRPr="00E5087D" w:rsidRDefault="00EE37C8" w:rsidP="007102B1">
            <w:pPr>
              <w:spacing w:before="120" w:after="120"/>
              <w:rPr>
                <w:rFonts w:cs="Arial"/>
              </w:rPr>
            </w:pPr>
            <w:r w:rsidRPr="00E5087D">
              <w:rPr>
                <w:rFonts w:cs="Arial"/>
              </w:rPr>
              <w:t xml:space="preserve">Undergraduate </w:t>
            </w:r>
          </w:p>
        </w:tc>
      </w:tr>
    </w:tbl>
    <w:p w14:paraId="64F2DB15" w14:textId="076ACF12" w:rsidR="00D810FF" w:rsidRPr="00E5087D" w:rsidRDefault="00D810FF" w:rsidP="00B70079">
      <w:pPr>
        <w:spacing w:before="80" w:after="240"/>
        <w:rPr>
          <w:rFonts w:cs="Arial"/>
          <w:sz w:val="18"/>
          <w:szCs w:val="18"/>
        </w:rPr>
      </w:pPr>
      <w:r w:rsidRPr="00E5087D">
        <w:rPr>
          <w:rFonts w:cs="Arial"/>
          <w:sz w:val="18"/>
          <w:szCs w:val="18"/>
        </w:rPr>
        <w:t xml:space="preserve">Source: Non-exhaustive list of postgraduate pathways in the renewable energy sector. Courses are accurate as of </w:t>
      </w:r>
      <w:r w:rsidR="00B70079">
        <w:rPr>
          <w:rFonts w:cs="Arial"/>
          <w:sz w:val="18"/>
          <w:szCs w:val="18"/>
        </w:rPr>
        <w:t>31 August</w:t>
      </w:r>
      <w:r w:rsidR="00835A62">
        <w:rPr>
          <w:rFonts w:cs="Arial"/>
          <w:sz w:val="18"/>
          <w:szCs w:val="18"/>
        </w:rPr>
        <w:t xml:space="preserve"> 2023</w:t>
      </w:r>
    </w:p>
    <w:p w14:paraId="0E8B1A95" w14:textId="19AEA5DF" w:rsidR="00EE37C8" w:rsidRDefault="00EE37C8" w:rsidP="00EE37C8">
      <w:pPr>
        <w:spacing w:before="360"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 xml:space="preserve">The involvement of employers directly engaged in particular skills and job roles is critical to the success of new qualifications. A </w:t>
      </w:r>
      <w:r w:rsidRPr="00E5087D">
        <w:rPr>
          <w:i/>
          <w:iCs/>
          <w:spacing w:val="2"/>
          <w14:ligatures w14:val="standard"/>
          <w14:numForm w14:val="lining"/>
          <w14:numSpacing w14:val="proportional"/>
        </w:rPr>
        <w:t>Certificate IV of Large-Scale Wind Generation – Electrical</w:t>
      </w:r>
      <w:r w:rsidRPr="00E5087D">
        <w:rPr>
          <w:spacing w:val="2"/>
          <w14:ligatures w14:val="standard"/>
          <w14:numForm w14:val="lining"/>
          <w14:numSpacing w14:val="proportional"/>
        </w:rPr>
        <w:t xml:space="preserve"> was developed; however, </w:t>
      </w:r>
      <w:r w:rsidR="006B6BED">
        <w:rPr>
          <w:spacing w:val="2"/>
          <w14:ligatures w14:val="standard"/>
          <w14:numForm w14:val="lining"/>
          <w14:numSpacing w14:val="proportional"/>
        </w:rPr>
        <w:t>some</w:t>
      </w:r>
      <w:r w:rsidR="003F792C">
        <w:rPr>
          <w:spacing w:val="2"/>
          <w14:ligatures w14:val="standard"/>
          <w14:numForm w14:val="lining"/>
          <w14:numSpacing w14:val="proportional"/>
        </w:rPr>
        <w:t xml:space="preserve"> </w:t>
      </w:r>
      <w:r w:rsidR="006B6BED">
        <w:rPr>
          <w:spacing w:val="2"/>
          <w14:ligatures w14:val="standard"/>
          <w14:numForm w14:val="lining"/>
          <w14:numSpacing w14:val="proportional"/>
        </w:rPr>
        <w:t xml:space="preserve">employers </w:t>
      </w:r>
      <w:r w:rsidRPr="00E5087D">
        <w:rPr>
          <w:spacing w:val="2"/>
          <w14:ligatures w14:val="standard"/>
          <w14:numForm w14:val="lining"/>
          <w14:numSpacing w14:val="proportional"/>
        </w:rPr>
        <w:t xml:space="preserve">did not recognise the qualification as a pathway to becoming a wind turbine technician. A </w:t>
      </w:r>
      <w:r w:rsidRPr="00E5087D">
        <w:rPr>
          <w:i/>
          <w:iCs/>
          <w:spacing w:val="2"/>
          <w14:ligatures w14:val="standard"/>
          <w14:numForm w14:val="lining"/>
          <w14:numSpacing w14:val="proportional"/>
        </w:rPr>
        <w:t xml:space="preserve">Certificate IV in Wind Power Generation </w:t>
      </w:r>
      <w:r w:rsidRPr="00E5087D">
        <w:rPr>
          <w:spacing w:val="2"/>
          <w14:ligatures w14:val="standard"/>
          <w14:numForm w14:val="lining"/>
          <w14:numSpacing w14:val="proportional"/>
        </w:rPr>
        <w:t xml:space="preserve">has now superseded it, aligning with new technologies and current work practices. This </w:t>
      </w:r>
      <w:r w:rsidR="003F792C" w:rsidRPr="00E5087D">
        <w:rPr>
          <w:spacing w:val="2"/>
          <w14:ligatures w14:val="standard"/>
          <w14:numForm w14:val="lining"/>
          <w14:numSpacing w14:val="proportional"/>
        </w:rPr>
        <w:t>demonstrates</w:t>
      </w:r>
      <w:r w:rsidRPr="00E5087D">
        <w:rPr>
          <w:spacing w:val="2"/>
          <w14:ligatures w14:val="standard"/>
          <w14:numForm w14:val="lining"/>
          <w14:numSpacing w14:val="proportional"/>
        </w:rPr>
        <w:t xml:space="preserve"> how bespoke qualifications can quickly become outdated and limit RTOs’ abilities to gain momentum in new technologies.</w:t>
      </w:r>
      <w:r w:rsidRPr="00E5087D">
        <w:rPr>
          <w:rStyle w:val="EndnoteReference"/>
          <w:spacing w:val="2"/>
          <w14:ligatures w14:val="standard"/>
          <w14:numForm w14:val="lining"/>
          <w14:numSpacing w14:val="proportional"/>
        </w:rPr>
        <w:endnoteReference w:id="63"/>
      </w:r>
    </w:p>
    <w:p w14:paraId="61BC3FA1" w14:textId="77777777" w:rsidR="00822D07" w:rsidRDefault="00822D07">
      <w:pPr>
        <w:rPr>
          <w:rFonts w:eastAsia="Arial" w:cs="Arial"/>
          <w:b/>
          <w:sz w:val="24"/>
          <w:szCs w:val="24"/>
          <w14:ligatures w14:val="standard"/>
          <w14:numForm w14:val="lining"/>
          <w14:numSpacing w14:val="proportional"/>
        </w:rPr>
      </w:pPr>
      <w:r>
        <w:rPr>
          <w:rFonts w:eastAsia="Arial" w:cs="Arial"/>
          <w:b/>
          <w:sz w:val="24"/>
          <w:szCs w:val="24"/>
          <w14:ligatures w14:val="standard"/>
          <w14:numForm w14:val="lining"/>
          <w14:numSpacing w14:val="proportional"/>
        </w:rPr>
        <w:br w:type="page"/>
      </w:r>
    </w:p>
    <w:p w14:paraId="5E80DEF7" w14:textId="03CB8401" w:rsidR="00822D07" w:rsidRDefault="00822D07" w:rsidP="00822D07">
      <w:pPr>
        <w:spacing w:before="240" w:after="120" w:line="276" w:lineRule="auto"/>
        <w:ind w:left="454" w:right="283"/>
        <w:jc w:val="both"/>
        <w:rPr>
          <w:rFonts w:eastAsia="Arial" w:cs="Arial"/>
          <w:b/>
          <w:sz w:val="24"/>
          <w:szCs w:val="24"/>
          <w14:ligatures w14:val="standard"/>
          <w14:numForm w14:val="lining"/>
          <w14:numSpacing w14:val="proportional"/>
        </w:rPr>
      </w:pPr>
    </w:p>
    <w:p w14:paraId="4C18B041" w14:textId="1F4F267A" w:rsidR="00822D07" w:rsidRPr="00482AB5" w:rsidRDefault="00822D07" w:rsidP="00822D07">
      <w:pPr>
        <w:spacing w:before="240" w:after="120" w:line="276" w:lineRule="auto"/>
        <w:ind w:left="454" w:right="283"/>
        <w:jc w:val="both"/>
        <w:rPr>
          <w:rFonts w:eastAsia="Arial" w:cs="Arial"/>
          <w:b/>
          <w:sz w:val="28"/>
          <w:szCs w:val="28"/>
          <w14:ligatures w14:val="standard"/>
          <w14:numForm w14:val="lining"/>
          <w14:numSpacing w14:val="proportional"/>
        </w:rPr>
      </w:pPr>
      <w:r w:rsidRPr="00E5087D">
        <w:rPr>
          <w:noProof/>
        </w:rPr>
        <mc:AlternateContent>
          <mc:Choice Requires="wpg">
            <w:drawing>
              <wp:anchor distT="0" distB="0" distL="114300" distR="114300" simplePos="0" relativeHeight="251658294" behindDoc="1" locked="0" layoutInCell="1" allowOverlap="1" wp14:anchorId="2295EBD7" wp14:editId="7EA1A5F5">
                <wp:simplePos x="0" y="0"/>
                <wp:positionH relativeFrom="column">
                  <wp:posOffset>0</wp:posOffset>
                </wp:positionH>
                <wp:positionV relativeFrom="paragraph">
                  <wp:posOffset>9376</wp:posOffset>
                </wp:positionV>
                <wp:extent cx="5731510" cy="5423647"/>
                <wp:effectExtent l="0" t="0" r="2540" b="5715"/>
                <wp:wrapNone/>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5423647"/>
                          <a:chOff x="0" y="0"/>
                          <a:chExt cx="5908431" cy="3722400"/>
                        </a:xfrm>
                      </wpg:grpSpPr>
                      <wps:wsp>
                        <wps:cNvPr id="48" name="Rectangle 48"/>
                        <wps:cNvSpPr/>
                        <wps:spPr>
                          <a:xfrm>
                            <a:off x="0" y="0"/>
                            <a:ext cx="5908431" cy="3721098"/>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2596A014" w14:textId="4733DD31" w:rsidR="00EE37C8" w:rsidRPr="000C4BCE" w:rsidRDefault="00EE37C8" w:rsidP="003203EB">
                              <w:pPr>
                                <w:pStyle w:val="Default"/>
                                <w:spacing w:before="120" w:line="276" w:lineRule="auto"/>
                                <w:rPr>
                                  <w:rFonts w:asciiTheme="minorHAnsi" w:hAnsiTheme="minorHAnsi" w:cstheme="minorHAnsi"/>
                                  <w:b/>
                                  <w:bCs/>
                                  <w:sz w:val="22"/>
                                  <w:szCs w:val="22"/>
                                  <w14:numForm w14:val="lining"/>
                                  <w14:numSpacing w14:val="proportional"/>
                                </w:rPr>
                              </w:pPr>
                            </w:p>
                          </w:txbxContent>
                        </wps:txbx>
                        <wps:bodyPr spcFirstLastPara="0" wrap="square" lIns="288000" tIns="72000" rIns="144000" bIns="72000" anchor="t">
                          <a:noAutofit/>
                        </wps:bodyPr>
                      </wps:wsp>
                      <wps:wsp>
                        <wps:cNvPr id="49" name="Rectangle 49"/>
                        <wps:cNvSpPr/>
                        <wps:spPr>
                          <a:xfrm>
                            <a:off x="0" y="0"/>
                            <a:ext cx="133350" cy="37224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295EBD7" id="Group 47" o:spid="_x0000_s1082" alt="&quot;&quot;" style="position:absolute;left:0;text-align:left;margin-left:0;margin-top:.75pt;width:451.3pt;height:427.05pt;z-index:-251658186" coordsize="59084,37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">
                <v:rect id="Rectangle 48" o:spid="_x0000_s1083" style="position:absolute;width:59084;height:37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" fillcolor="#f2f2f2" stroked="f" strokeweight="1pt">
                  <v:textbox inset="8mm,2mm,4mm,2mm">
                    <w:txbxContent>
                      <w:p w14:paraId="2596A014" w14:textId="4733DD31" w:rsidR="00EE37C8" w:rsidRPr="000C4BCE" w:rsidRDefault="00EE37C8" w:rsidP="003203EB">
                        <w:pPr>
                          <w:pStyle w:val="Default"/>
                          <w:spacing w:before="120" w:line="276" w:lineRule="auto"/>
                          <w:rPr>
                            <w:rFonts w:asciiTheme="minorHAnsi" w:hAnsiTheme="minorHAnsi" w:cstheme="minorHAnsi"/>
                            <w:b/>
                            <w:bCs/>
                            <w:sz w:val="22"/>
                            <w:szCs w:val="22"/>
                            <w14:numForm w14:val="lining"/>
                            <w14:numSpacing w14:val="proportional"/>
                          </w:rPr>
                        </w:pPr>
                      </w:p>
                    </w:txbxContent>
                  </v:textbox>
                </v:rect>
                <v:rect id="Rectangle 49" o:spid="_x0000_s1084" style="position:absolute;width:1333;height:37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" fillcolor="#dae3f5" stroked="f" strokeweight="1pt"/>
              </v:group>
            </w:pict>
          </mc:Fallback>
        </mc:AlternateContent>
      </w:r>
      <w:r w:rsidRPr="00482AB5">
        <w:rPr>
          <w:rFonts w:eastAsia="Arial" w:cs="Arial"/>
          <w:b/>
          <w:sz w:val="28"/>
          <w:szCs w:val="28"/>
          <w14:ligatures w14:val="standard"/>
          <w14:numForm w14:val="lining"/>
          <w14:numSpacing w14:val="proportional"/>
        </w:rPr>
        <w:t>Case Study: Green Apprenticeships in the UK</w:t>
      </w:r>
    </w:p>
    <w:p w14:paraId="6A2E910A" w14:textId="233A22DC" w:rsidR="00822D07" w:rsidRPr="000C4BCE" w:rsidRDefault="00822D07" w:rsidP="00822D07">
      <w:pPr>
        <w:pStyle w:val="Default"/>
        <w:spacing w:line="276" w:lineRule="auto"/>
        <w:ind w:left="454" w:right="283"/>
        <w:rPr>
          <w:rFonts w:asciiTheme="minorHAnsi" w:hAnsiTheme="minorHAnsi" w:cstheme="minorHAnsi"/>
          <w:sz w:val="22"/>
          <w:szCs w:val="22"/>
          <w14:numForm w14:val="lining"/>
          <w14:numSpacing w14:val="proportional"/>
        </w:rPr>
      </w:pPr>
      <w:r w:rsidRPr="000C4BCE">
        <w:rPr>
          <w:rFonts w:asciiTheme="minorHAnsi" w:hAnsiTheme="minorHAnsi" w:cstheme="minorHAnsi"/>
          <w:sz w:val="22"/>
          <w:szCs w:val="22"/>
          <w14:numForm w14:val="lining"/>
          <w14:numSpacing w14:val="proportional"/>
        </w:rPr>
        <w:t xml:space="preserve">The UK has demonstrated a firm commitment to reaching net zero emissions by 2050, having cut emissions by 48% between 1990 and 2021, and is decarbonising faster than any other Group of 7 (G7) country. One feature of this success has been well-coordinated efforts and investments in greening the domestic workforce and economy. Building on the work of the Green Jobs Taskforce (2020-2021), the Net Zero Strategy (2021) and the Net Zero Growth Plan (2023), the Institute for Apprenticeships and Technical Education (IfATE) is working to identify and map the progress of 'green occupations' and ‘green apprenticeships’ to support employers, workers and students to better understand which apprenticeships and technical qualifications support a ‘green career’. </w:t>
      </w:r>
    </w:p>
    <w:p w14:paraId="177F2E43" w14:textId="77777777" w:rsidR="00822D07" w:rsidRPr="000C4BCE" w:rsidRDefault="00822D07" w:rsidP="00822D07">
      <w:pPr>
        <w:pStyle w:val="Default"/>
        <w:spacing w:before="120" w:line="276" w:lineRule="auto"/>
        <w:ind w:left="454" w:right="283"/>
        <w:rPr>
          <w:rFonts w:asciiTheme="minorHAnsi" w:hAnsiTheme="minorHAnsi" w:cstheme="minorHAnsi"/>
          <w:sz w:val="22"/>
          <w:szCs w:val="22"/>
          <w14:numForm w14:val="lining"/>
          <w14:numSpacing w14:val="proportional"/>
        </w:rPr>
      </w:pPr>
      <w:r w:rsidRPr="000C4BCE">
        <w:rPr>
          <w:rFonts w:asciiTheme="minorHAnsi" w:hAnsiTheme="minorHAnsi" w:cstheme="minorHAnsi"/>
          <w:sz w:val="22"/>
          <w:szCs w:val="22"/>
          <w14:numForm w14:val="lining"/>
          <w14:numSpacing w14:val="proportional"/>
        </w:rPr>
        <w:t xml:space="preserve">Some of the ‘green occupations’ already captured in the UK apprenticeship program include sustainability business specialists, smart meter installers, ecologists, metal recycling technical managers and forest craftspersons. IfATE are currently developing two others: low carbon heating technician and battery manufacturing technician, under the guidance of the Green Apprenticeships and Technical Education Advisory Panel (GATEAP). These fall into the ‘emerging occupations’ zone of JSAs clean energy occupation mapping. </w:t>
      </w:r>
    </w:p>
    <w:p w14:paraId="051E7CF6" w14:textId="77777777" w:rsidR="00822D07" w:rsidRPr="000C4BCE" w:rsidRDefault="00822D07" w:rsidP="00822D07">
      <w:pPr>
        <w:pStyle w:val="Default"/>
        <w:spacing w:before="120" w:line="276" w:lineRule="auto"/>
        <w:ind w:left="454" w:right="283"/>
        <w:rPr>
          <w:rFonts w:asciiTheme="minorHAnsi" w:hAnsiTheme="minorHAnsi" w:cstheme="minorHAnsi"/>
          <w:b/>
          <w:bCs/>
          <w:sz w:val="22"/>
          <w:szCs w:val="22"/>
          <w14:numForm w14:val="lining"/>
          <w14:numSpacing w14:val="proportional"/>
        </w:rPr>
      </w:pPr>
      <w:r w:rsidRPr="000C4BCE">
        <w:rPr>
          <w:rFonts w:asciiTheme="minorHAnsi" w:hAnsiTheme="minorHAnsi" w:cstheme="minorHAnsi"/>
          <w:sz w:val="22"/>
          <w:szCs w:val="22"/>
          <w14:numForm w14:val="lining"/>
          <w14:numSpacing w14:val="proportional"/>
        </w:rPr>
        <w:t>It is important to note that the UK apprenticeship system has lower barriers to entry than the Australian system, due to the implementation of an apprenticeship levy on businesses in 2017 which spurred a high number of ‘apprenticeships’ which span the traditional trades into areas that Australian states and territories and the IR system would still consider ‘traineeships’</w:t>
      </w:r>
      <w:r>
        <w:rPr>
          <w:rFonts w:asciiTheme="minorHAnsi" w:hAnsiTheme="minorHAnsi" w:cstheme="minorHAnsi"/>
          <w:sz w:val="22"/>
          <w:szCs w:val="22"/>
          <w14:numForm w14:val="lining"/>
          <w14:numSpacing w14:val="proportional"/>
        </w:rPr>
        <w:t xml:space="preserve"> or higher education pathways into professions</w:t>
      </w:r>
      <w:r w:rsidRPr="000C4BCE">
        <w:rPr>
          <w:rFonts w:asciiTheme="minorHAnsi" w:hAnsiTheme="minorHAnsi" w:cstheme="minorHAnsi"/>
          <w:sz w:val="22"/>
          <w:szCs w:val="22"/>
          <w14:numForm w14:val="lining"/>
          <w14:numSpacing w14:val="proportional"/>
        </w:rPr>
        <w:t>. This has led to some criticism of poor quality, particularly in the formal qualifications awarded as part of the apprenticeship. However, formal evaluation found a net-positive impact of the levy on commencements over the period 2015</w:t>
      </w:r>
      <w:r>
        <w:rPr>
          <w:rFonts w:asciiTheme="minorHAnsi" w:hAnsiTheme="minorHAnsi" w:cstheme="minorHAnsi"/>
          <w:sz w:val="22"/>
          <w:szCs w:val="22"/>
          <w14:numForm w14:val="lining"/>
          <w14:numSpacing w14:val="proportional"/>
        </w:rPr>
        <w:t>-</w:t>
      </w:r>
      <w:r w:rsidRPr="000C4BCE">
        <w:rPr>
          <w:rFonts w:asciiTheme="minorHAnsi" w:hAnsiTheme="minorHAnsi" w:cstheme="minorHAnsi"/>
          <w:sz w:val="22"/>
          <w:szCs w:val="22"/>
          <w14:numForm w14:val="lining"/>
          <w14:numSpacing w14:val="proportional"/>
        </w:rPr>
        <w:t>16 to 2018</w:t>
      </w:r>
      <w:r>
        <w:rPr>
          <w:rFonts w:asciiTheme="minorHAnsi" w:hAnsiTheme="minorHAnsi" w:cstheme="minorHAnsi"/>
          <w:sz w:val="22"/>
          <w:szCs w:val="22"/>
          <w14:numForm w14:val="lining"/>
          <w14:numSpacing w14:val="proportional"/>
        </w:rPr>
        <w:t>-</w:t>
      </w:r>
      <w:r w:rsidRPr="000C4BCE">
        <w:rPr>
          <w:rFonts w:asciiTheme="minorHAnsi" w:hAnsiTheme="minorHAnsi" w:cstheme="minorHAnsi"/>
          <w:sz w:val="22"/>
          <w:szCs w:val="22"/>
          <w14:numForm w14:val="lining"/>
          <w14:numSpacing w14:val="proportional"/>
        </w:rPr>
        <w:t>19 with no associated decrease in other forms of training.</w:t>
      </w:r>
    </w:p>
    <w:p w14:paraId="108F1C7C" w14:textId="77777777" w:rsidR="00563CBD" w:rsidRDefault="00563CBD">
      <w:pPr>
        <w:rPr>
          <w:rFonts w:eastAsiaTheme="majorEastAsia" w:cstheme="majorBidi"/>
          <w:b/>
          <w:sz w:val="32"/>
          <w:szCs w:val="24"/>
        </w:rPr>
      </w:pPr>
      <w:r>
        <w:br w:type="page"/>
      </w:r>
    </w:p>
    <w:p w14:paraId="0C41F61A" w14:textId="6D4BD09E" w:rsidR="00EE37C8" w:rsidRPr="00E5087D" w:rsidRDefault="00EE37C8" w:rsidP="000440B3">
      <w:pPr>
        <w:pStyle w:val="Heading3"/>
      </w:pPr>
      <w:r w:rsidRPr="00E5087D">
        <w:t>Research pathways</w:t>
      </w:r>
    </w:p>
    <w:p w14:paraId="4357CB99" w14:textId="14E0BE06" w:rsidR="00EE37C8" w:rsidRPr="00E5087D" w:rsidRDefault="00EE37C8" w:rsidP="008E6CE4">
      <w:pPr>
        <w:spacing w:after="240"/>
      </w:pPr>
      <w:r w:rsidRPr="00E5087D">
        <w:t>The research and development workforce is critical to Australia’s clean energy future. Universities make up over a third of all research and development expenditure, while also training Australia’s PhDs across a wide range of disciplines.</w:t>
      </w:r>
      <w:r w:rsidR="008E6CE4">
        <w:t xml:space="preserve"> </w:t>
      </w:r>
      <w:r w:rsidRPr="00E5087D">
        <w:t>A major source of research funding comes from the Australian Research Council</w:t>
      </w:r>
      <w:r w:rsidR="004026CF">
        <w:t xml:space="preserve"> (ARC)</w:t>
      </w:r>
      <w:r w:rsidRPr="00E5087D">
        <w:t xml:space="preserve">, which provided $10 million to Electrical and Electronic Engineering research in 2022 (Figure </w:t>
      </w:r>
      <w:r w:rsidR="00377210">
        <w:t>4</w:t>
      </w:r>
      <w:r w:rsidR="00187ACE">
        <w:t>.12</w:t>
      </w:r>
      <w:r w:rsidRPr="00E5087D">
        <w:t>).</w:t>
      </w:r>
    </w:p>
    <w:p w14:paraId="1B29BB25" w14:textId="10CEA341" w:rsidR="0066212D" w:rsidRDefault="0066212D" w:rsidP="0066212D">
      <w:pPr>
        <w:pBdr>
          <w:top w:val="single" w:sz="4" w:space="6" w:color="BFBFBF" w:themeColor="background1" w:themeShade="BF"/>
        </w:pBdr>
        <w:spacing w:after="120" w:line="240" w:lineRule="auto"/>
        <w:rPr>
          <w:rFonts w:cs="Arial"/>
          <w:b/>
          <w:bCs/>
          <w:sz w:val="23"/>
          <w:szCs w:val="23"/>
        </w:rPr>
      </w:pPr>
      <w:r>
        <w:rPr>
          <w:noProof/>
        </w:rPr>
        <mc:AlternateContent>
          <mc:Choice Requires="wpg">
            <w:drawing>
              <wp:anchor distT="0" distB="0" distL="114300" distR="114300" simplePos="0" relativeHeight="251658272" behindDoc="0" locked="0" layoutInCell="1" allowOverlap="1" wp14:anchorId="26A6DE46" wp14:editId="4893DEBB">
                <wp:simplePos x="0" y="0"/>
                <wp:positionH relativeFrom="column">
                  <wp:posOffset>1265529</wp:posOffset>
                </wp:positionH>
                <wp:positionV relativeFrom="paragraph">
                  <wp:posOffset>328448</wp:posOffset>
                </wp:positionV>
                <wp:extent cx="3930329" cy="866209"/>
                <wp:effectExtent l="0" t="0" r="0" b="0"/>
                <wp:wrapNone/>
                <wp:docPr id="1341085359" name="Group 1341085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30329" cy="866209"/>
                          <a:chOff x="58521" y="56709"/>
                          <a:chExt cx="3930329" cy="866209"/>
                        </a:xfrm>
                        <a:solidFill>
                          <a:srgbClr val="000000"/>
                        </a:solidFill>
                      </wpg:grpSpPr>
                      <wps:wsp>
                        <wps:cNvPr id="1341085360" name="Text Box 1341085360"/>
                        <wps:cNvSpPr txBox="1"/>
                        <wps:spPr>
                          <a:xfrm>
                            <a:off x="147971" y="56709"/>
                            <a:ext cx="1752600" cy="334645"/>
                          </a:xfrm>
                          <a:prstGeom prst="rect">
                            <a:avLst/>
                          </a:prstGeom>
                          <a:noFill/>
                        </wps:spPr>
                        <wps:txbx>
                          <w:txbxContent>
                            <w:p w14:paraId="28D60FCE" w14:textId="77777777" w:rsidR="00D856D0" w:rsidRDefault="00D856D0">
                              <w:pPr>
                                <w:textAlignment w:val="baseline"/>
                                <w:rPr>
                                  <w:rFonts w:cs="Arial"/>
                                  <w:color w:val="000000"/>
                                  <w:sz w:val="18"/>
                                  <w:szCs w:val="18"/>
                                </w:rPr>
                              </w:pPr>
                              <w:r>
                                <w:rPr>
                                  <w:rFonts w:cs="Arial"/>
                                  <w:color w:val="000000"/>
                                  <w:sz w:val="18"/>
                                  <w:szCs w:val="18"/>
                                </w:rPr>
                                <w:t xml:space="preserve">UNSW granted $19.375 million </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1" name="Text Box 1341085361"/>
                        <wps:cNvSpPr txBox="1"/>
                        <wps:spPr>
                          <a:xfrm>
                            <a:off x="147999" y="199420"/>
                            <a:ext cx="1732915" cy="334645"/>
                          </a:xfrm>
                          <a:prstGeom prst="rect">
                            <a:avLst/>
                          </a:prstGeom>
                          <a:noFill/>
                        </wps:spPr>
                        <wps:txbx>
                          <w:txbxContent>
                            <w:p w14:paraId="40890883" w14:textId="77777777" w:rsidR="00D856D0" w:rsidRDefault="00D856D0">
                              <w:pPr>
                                <w:textAlignment w:val="baseline"/>
                                <w:rPr>
                                  <w:rFonts w:cs="Arial"/>
                                  <w:color w:val="000000"/>
                                  <w:sz w:val="18"/>
                                  <w:szCs w:val="18"/>
                                </w:rPr>
                              </w:pPr>
                              <w:r>
                                <w:rPr>
                                  <w:rFonts w:cs="Arial"/>
                                  <w:color w:val="000000"/>
                                  <w:sz w:val="18"/>
                                  <w:szCs w:val="18"/>
                                </w:rPr>
                                <w:t>for ARC Centres of Excellence</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2" name="Text Box 1341085362"/>
                        <wps:cNvSpPr txBox="1"/>
                        <wps:spPr>
                          <a:xfrm>
                            <a:off x="2339521" y="302819"/>
                            <a:ext cx="1561465" cy="334645"/>
                          </a:xfrm>
                          <a:prstGeom prst="rect">
                            <a:avLst/>
                          </a:prstGeom>
                          <a:noFill/>
                        </wps:spPr>
                        <wps:txbx>
                          <w:txbxContent>
                            <w:p w14:paraId="175A9CBF" w14:textId="77777777" w:rsidR="00D856D0" w:rsidRDefault="00D856D0">
                              <w:pPr>
                                <w:textAlignment w:val="baseline"/>
                                <w:rPr>
                                  <w:rFonts w:cs="Arial"/>
                                  <w:color w:val="000000"/>
                                  <w:sz w:val="18"/>
                                  <w:szCs w:val="18"/>
                                </w:rPr>
                              </w:pPr>
                              <w:r>
                                <w:rPr>
                                  <w:rFonts w:cs="Arial"/>
                                  <w:color w:val="000000"/>
                                  <w:sz w:val="18"/>
                                  <w:szCs w:val="18"/>
                                </w:rPr>
                                <w:t xml:space="preserve">UOW granted $5 million for </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3" name="Text Box 1341085363"/>
                        <wps:cNvSpPr txBox="1"/>
                        <wps:spPr>
                          <a:xfrm>
                            <a:off x="2453785" y="445547"/>
                            <a:ext cx="1447165" cy="334645"/>
                          </a:xfrm>
                          <a:prstGeom prst="rect">
                            <a:avLst/>
                          </a:prstGeom>
                          <a:noFill/>
                        </wps:spPr>
                        <wps:txbx>
                          <w:txbxContent>
                            <w:p w14:paraId="3D2E391E" w14:textId="77777777" w:rsidR="00D856D0" w:rsidRDefault="00D856D0">
                              <w:pPr>
                                <w:textAlignment w:val="baseline"/>
                                <w:rPr>
                                  <w:rFonts w:cs="Arial"/>
                                  <w:color w:val="000000"/>
                                  <w:sz w:val="18"/>
                                  <w:szCs w:val="18"/>
                                </w:rPr>
                              </w:pPr>
                              <w:r>
                                <w:rPr>
                                  <w:rFonts w:cs="Arial"/>
                                  <w:color w:val="000000"/>
                                  <w:sz w:val="18"/>
                                  <w:szCs w:val="18"/>
                                </w:rPr>
                                <w:t xml:space="preserve">Industrial Transformation </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4" name="Text Box 1341085364"/>
                        <wps:cNvSpPr txBox="1"/>
                        <wps:spPr>
                          <a:xfrm>
                            <a:off x="2872818" y="588273"/>
                            <a:ext cx="1028065" cy="334645"/>
                          </a:xfrm>
                          <a:prstGeom prst="rect">
                            <a:avLst/>
                          </a:prstGeom>
                          <a:noFill/>
                        </wps:spPr>
                        <wps:txbx>
                          <w:txbxContent>
                            <w:p w14:paraId="3416BB22" w14:textId="77777777" w:rsidR="00D856D0" w:rsidRDefault="00D856D0">
                              <w:pPr>
                                <w:textAlignment w:val="baseline"/>
                                <w:rPr>
                                  <w:rFonts w:cs="Arial"/>
                                  <w:color w:val="000000"/>
                                  <w:sz w:val="18"/>
                                  <w:szCs w:val="18"/>
                                </w:rPr>
                              </w:pPr>
                              <w:r>
                                <w:rPr>
                                  <w:rFonts w:cs="Arial"/>
                                  <w:color w:val="000000"/>
                                  <w:sz w:val="18"/>
                                  <w:szCs w:val="18"/>
                                </w:rPr>
                                <w:t>Training Centres</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41085365" name="Freeform: Shape 1341085365"/>
                        <wps:cNvSpPr/>
                        <wps:spPr>
                          <a:xfrm flipV="1">
                            <a:off x="58521" y="352450"/>
                            <a:ext cx="134895" cy="96348"/>
                          </a:xfrm>
                          <a:custGeom>
                            <a:avLst/>
                            <a:gdLst>
                              <a:gd name="connsiteX0" fmla="*/ 67405 w 134895"/>
                              <a:gd name="connsiteY0" fmla="*/ 27694 h 96348"/>
                              <a:gd name="connsiteX1" fmla="*/ 134905 w 134895"/>
                              <a:gd name="connsiteY1" fmla="*/ 72585 h 96348"/>
                              <a:gd name="connsiteX2" fmla="*/ 119082 w 134895"/>
                              <a:gd name="connsiteY2" fmla="*/ 96379 h 96348"/>
                              <a:gd name="connsiteX3" fmla="*/ 51581 w 134895"/>
                              <a:gd name="connsiteY3" fmla="*/ 51488 h 96348"/>
                              <a:gd name="connsiteX4" fmla="*/ 47654 w 134895"/>
                              <a:gd name="connsiteY4" fmla="*/ 83193 h 96348"/>
                              <a:gd name="connsiteX5" fmla="*/ 10 w 134895"/>
                              <a:gd name="connsiteY5" fmla="*/ 31 h 96348"/>
                              <a:gd name="connsiteX6" fmla="*/ 95126 w 134895"/>
                              <a:gd name="connsiteY6" fmla="*/ 11813 h 963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4895" h="96348">
                                <a:moveTo>
                                  <a:pt x="67405" y="27694"/>
                                </a:moveTo>
                                <a:lnTo>
                                  <a:pt x="134905" y="72585"/>
                                </a:lnTo>
                                <a:lnTo>
                                  <a:pt x="119082" y="96379"/>
                                </a:lnTo>
                                <a:lnTo>
                                  <a:pt x="51581" y="51488"/>
                                </a:lnTo>
                                <a:close/>
                                <a:moveTo>
                                  <a:pt x="47654" y="83193"/>
                                </a:moveTo>
                                <a:lnTo>
                                  <a:pt x="10" y="31"/>
                                </a:lnTo>
                                <a:lnTo>
                                  <a:pt x="95126" y="11813"/>
                                </a:lnTo>
                                <a:close/>
                              </a:path>
                            </a:pathLst>
                          </a:custGeom>
                          <a:solidFill>
                            <a:srgbClr val="000000"/>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41085366" name="Freeform: Shape 1341085366"/>
                        <wps:cNvSpPr/>
                        <wps:spPr>
                          <a:xfrm>
                            <a:off x="3847099" y="714584"/>
                            <a:ext cx="141751" cy="132407"/>
                          </a:xfrm>
                          <a:custGeom>
                            <a:avLst/>
                            <a:gdLst>
                              <a:gd name="connsiteX0" fmla="*/ 19165 w 141751"/>
                              <a:gd name="connsiteY0" fmla="*/ -298 h 132407"/>
                              <a:gd name="connsiteX1" fmla="*/ 98737 w 141751"/>
                              <a:gd name="connsiteY1" fmla="*/ 73159 h 132407"/>
                              <a:gd name="connsiteX2" fmla="*/ 79353 w 141751"/>
                              <a:gd name="connsiteY2" fmla="*/ 94152 h 132407"/>
                              <a:gd name="connsiteX3" fmla="*/ -219 w 141751"/>
                              <a:gd name="connsiteY3" fmla="*/ 20695 h 132407"/>
                              <a:gd name="connsiteX4" fmla="*/ 107614 w 141751"/>
                              <a:gd name="connsiteY4" fmla="*/ 42469 h 132407"/>
                              <a:gd name="connsiteX5" fmla="*/ 141532 w 141751"/>
                              <a:gd name="connsiteY5" fmla="*/ 132109 h 132407"/>
                              <a:gd name="connsiteX6" fmla="*/ 49473 w 141751"/>
                              <a:gd name="connsiteY6" fmla="*/ 105458 h 132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1751" h="132407">
                                <a:moveTo>
                                  <a:pt x="19165" y="-298"/>
                                </a:moveTo>
                                <a:lnTo>
                                  <a:pt x="98737" y="73159"/>
                                </a:lnTo>
                                <a:lnTo>
                                  <a:pt x="79353" y="94152"/>
                                </a:lnTo>
                                <a:lnTo>
                                  <a:pt x="-219" y="20695"/>
                                </a:lnTo>
                                <a:close/>
                                <a:moveTo>
                                  <a:pt x="107614" y="42469"/>
                                </a:moveTo>
                                <a:lnTo>
                                  <a:pt x="141532" y="132109"/>
                                </a:lnTo>
                                <a:lnTo>
                                  <a:pt x="49473" y="105458"/>
                                </a:lnTo>
                                <a:close/>
                              </a:path>
                            </a:pathLst>
                          </a:custGeom>
                          <a:solidFill>
                            <a:srgbClr val="000000"/>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6DE46" id="Group 1341085359" o:spid="_x0000_s1085" alt="&quot;&quot;" style="position:absolute;margin-left:99.65pt;margin-top:25.85pt;width:309.45pt;height:68.2pt;z-index:251658272;mso-width-relative:margin;mso-height-relative:margin" coordorigin="585,567" coordsize="39303,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">
                <v:shapetype id="_x0000_t202" coordsize="21600,21600" o:spt="202" path="m,l,21600r21600,l21600,xe">
                  <v:stroke joinstyle="miter"/>
                  <v:path gradientshapeok="t" o:connecttype="rect"/>
                </v:shapetype>
                <v:shape id="Text Box 1341085360" o:spid="_x0000_s1086" type="#_x0000_t202" style="position:absolute;left:1479;top:567;width:17526;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" filled="f" stroked="f">
                  <v:textbox style="mso-fit-shape-to-text:t">
                    <w:txbxContent>
                      <w:p w14:paraId="28D60FCE" w14:textId="77777777" w:rsidR="00D856D0" w:rsidRDefault="00D856D0">
                        <w:pPr>
                          <w:textAlignment w:val="baseline"/>
                          <w:rPr>
                            <w:rFonts w:cs="Arial"/>
                            <w:color w:val="000000"/>
                            <w:sz w:val="18"/>
                            <w:szCs w:val="18"/>
                          </w:rPr>
                        </w:pPr>
                        <w:r>
                          <w:rPr>
                            <w:rFonts w:cs="Arial"/>
                            <w:color w:val="000000"/>
                            <w:sz w:val="18"/>
                            <w:szCs w:val="18"/>
                          </w:rPr>
                          <w:t xml:space="preserve">UNSW granted $19.375 million </w:t>
                        </w:r>
                      </w:p>
                    </w:txbxContent>
                  </v:textbox>
                </v:shape>
                <v:shape id="Text Box 1341085361" o:spid="_x0000_s1087" type="#_x0000_t202" style="position:absolute;left:1479;top:1994;width:17330;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" filled="f" stroked="f">
                  <v:textbox style="mso-fit-shape-to-text:t">
                    <w:txbxContent>
                      <w:p w14:paraId="40890883" w14:textId="77777777" w:rsidR="00D856D0" w:rsidRDefault="00D856D0">
                        <w:pPr>
                          <w:textAlignment w:val="baseline"/>
                          <w:rPr>
                            <w:rFonts w:cs="Arial"/>
                            <w:color w:val="000000"/>
                            <w:sz w:val="18"/>
                            <w:szCs w:val="18"/>
                          </w:rPr>
                        </w:pPr>
                        <w:r>
                          <w:rPr>
                            <w:rFonts w:cs="Arial"/>
                            <w:color w:val="000000"/>
                            <w:sz w:val="18"/>
                            <w:szCs w:val="18"/>
                          </w:rPr>
                          <w:t>for ARC Centres of Excellence</w:t>
                        </w:r>
                      </w:p>
                    </w:txbxContent>
                  </v:textbox>
                </v:shape>
                <v:shape id="Text Box 1341085362" o:spid="_x0000_s1088" type="#_x0000_t202" style="position:absolute;left:23395;top:3028;width:15614;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" filled="f" stroked="f">
                  <v:textbox style="mso-fit-shape-to-text:t">
                    <w:txbxContent>
                      <w:p w14:paraId="175A9CBF" w14:textId="77777777" w:rsidR="00D856D0" w:rsidRDefault="00D856D0">
                        <w:pPr>
                          <w:textAlignment w:val="baseline"/>
                          <w:rPr>
                            <w:rFonts w:cs="Arial"/>
                            <w:color w:val="000000"/>
                            <w:sz w:val="18"/>
                            <w:szCs w:val="18"/>
                          </w:rPr>
                        </w:pPr>
                        <w:r>
                          <w:rPr>
                            <w:rFonts w:cs="Arial"/>
                            <w:color w:val="000000"/>
                            <w:sz w:val="18"/>
                            <w:szCs w:val="18"/>
                          </w:rPr>
                          <w:t xml:space="preserve">UOW granted $5 million for </w:t>
                        </w:r>
                      </w:p>
                    </w:txbxContent>
                  </v:textbox>
                </v:shape>
                <v:shape id="Text Box 1341085363" o:spid="_x0000_s1089" type="#_x0000_t202" style="position:absolute;left:24537;top:4455;width:14472;height:33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" filled="f" stroked="f">
                  <v:textbox style="mso-fit-shape-to-text:t">
                    <w:txbxContent>
                      <w:p w14:paraId="3D2E391E" w14:textId="77777777" w:rsidR="00D856D0" w:rsidRDefault="00D856D0">
                        <w:pPr>
                          <w:textAlignment w:val="baseline"/>
                          <w:rPr>
                            <w:rFonts w:cs="Arial"/>
                            <w:color w:val="000000"/>
                            <w:sz w:val="18"/>
                            <w:szCs w:val="18"/>
                          </w:rPr>
                        </w:pPr>
                        <w:r>
                          <w:rPr>
                            <w:rFonts w:cs="Arial"/>
                            <w:color w:val="000000"/>
                            <w:sz w:val="18"/>
                            <w:szCs w:val="18"/>
                          </w:rPr>
                          <w:t xml:space="preserve">Industrial Transformation </w:t>
                        </w:r>
                      </w:p>
                    </w:txbxContent>
                  </v:textbox>
                </v:shape>
                <v:shape id="Text Box 1341085364" o:spid="_x0000_s1090" type="#_x0000_t202" style="position:absolute;left:28728;top:5882;width:10280;height:3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" filled="f" stroked="f">
                  <v:textbox style="mso-fit-shape-to-text:t">
                    <w:txbxContent>
                      <w:p w14:paraId="3416BB22" w14:textId="77777777" w:rsidR="00D856D0" w:rsidRDefault="00D856D0">
                        <w:pPr>
                          <w:textAlignment w:val="baseline"/>
                          <w:rPr>
                            <w:rFonts w:cs="Arial"/>
                            <w:color w:val="000000"/>
                            <w:sz w:val="18"/>
                            <w:szCs w:val="18"/>
                          </w:rPr>
                        </w:pPr>
                        <w:r>
                          <w:rPr>
                            <w:rFonts w:cs="Arial"/>
                            <w:color w:val="000000"/>
                            <w:sz w:val="18"/>
                            <w:szCs w:val="18"/>
                          </w:rPr>
                          <w:t>Training Centres</w:t>
                        </w:r>
                      </w:p>
                    </w:txbxContent>
                  </v:textbox>
                </v:shape>
                <v:shape id="Freeform: Shape 1341085365" o:spid="_x0000_s1091" style="position:absolute;left:585;top:3524;width:1349;height:963;flip:y;visibility:visible;mso-wrap-style:square;v-text-anchor:middle" coordsize="134895,96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" path="m67405,27694r67500,44891l119082,96379,51581,51488,67405,27694xm47654,83193l10,31,95126,11813,47654,83193xe" fillcolor="black" stroked="f">
                  <v:stroke joinstyle="miter"/>
                  <v:path arrowok="t" o:connecttype="custom" o:connectlocs="67405,27694;134905,72585;119082,96379;51581,51488;47654,83193;10,31;95126,11813" o:connectangles="0,0,0,0,0,0,0"/>
                </v:shape>
                <v:shape id="Freeform: Shape 1341085366" o:spid="_x0000_s1092" style="position:absolute;left:38470;top:7145;width:1418;height:1324;visibility:visible;mso-wrap-style:square;v-text-anchor:middle" coordsize="141751,13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" path="m19165,-298l98737,73159,79353,94152,-219,20695,19165,-298xm107614,42469r33918,89640l49473,105458,107614,42469xe" fillcolor="black" stroked="f">
                  <v:stroke joinstyle="miter"/>
                  <v:path arrowok="t" o:connecttype="custom" o:connectlocs="19165,-298;98737,73159;79353,94152;-219,20695;107614,42469;141532,132109;49473,105458" o:connectangles="0,0,0,0,0,0,0"/>
                </v:shape>
              </v:group>
            </w:pict>
          </mc:Fallback>
        </mc:AlternateContent>
      </w:r>
      <w:r w:rsidR="00EE37C8" w:rsidRPr="00E5087D">
        <w:rPr>
          <w:b/>
          <w:bCs/>
        </w:rPr>
        <w:t xml:space="preserve">Figure </w:t>
      </w:r>
      <w:r w:rsidR="00377210">
        <w:rPr>
          <w:b/>
          <w:bCs/>
        </w:rPr>
        <w:t>4</w:t>
      </w:r>
      <w:r w:rsidR="00187ACE">
        <w:rPr>
          <w:b/>
          <w:bCs/>
        </w:rPr>
        <w:t>.12</w:t>
      </w:r>
      <w:r w:rsidR="008E6CE4">
        <w:rPr>
          <w:b/>
          <w:bCs/>
        </w:rPr>
        <w:t>.</w:t>
      </w:r>
      <w:r w:rsidR="00EE37C8" w:rsidRPr="00E5087D">
        <w:rPr>
          <w:b/>
          <w:bCs/>
        </w:rPr>
        <w:t xml:space="preserve"> ARC funding for Electrical and Electronic Engineering </w:t>
      </w:r>
      <w:r w:rsidR="00EE37C8" w:rsidRPr="008E6CE4">
        <w:rPr>
          <w:rFonts w:cs="Arial"/>
          <w:b/>
          <w:bCs/>
          <w:sz w:val="23"/>
          <w:szCs w:val="23"/>
        </w:rPr>
        <w:t>research</w:t>
      </w:r>
    </w:p>
    <w:p w14:paraId="697CD10C" w14:textId="1A99D915" w:rsidR="00EE37C8" w:rsidRPr="00E5087D" w:rsidRDefault="0066212D" w:rsidP="0066212D">
      <w:pPr>
        <w:pBdr>
          <w:top w:val="single" w:sz="4" w:space="6" w:color="BFBFBF" w:themeColor="background1" w:themeShade="BF"/>
        </w:pBdr>
        <w:spacing w:after="120" w:line="240" w:lineRule="auto"/>
      </w:pPr>
      <w:r>
        <w:rPr>
          <w:noProof/>
        </w:rPr>
        <w:drawing>
          <wp:inline distT="0" distB="0" distL="0" distR="0" wp14:anchorId="2E6E3143" wp14:editId="0D8FAFBC">
            <wp:extent cx="5731510" cy="2741930"/>
            <wp:effectExtent l="0" t="0" r="2540" b="1270"/>
            <wp:docPr id="1341085368" name="Graphic 1341085368" descr="This figure shows Australian Research Council fuding for Electrical and Electronic Engineering research from 2002 to 2022. Call out boxes identidy two peaks in funding - the first is in 2003 when University of New South Wales was granted $19.375 million for ARC Centres of Excellence. The other peak that is called out is in 2021 when the University of Wollongong was $5 million for Industrial Transformation Training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68" name="Graphic 1341085368" descr="This figure shows Australian Research Council fuding for Electrical and Electronic Engineering research from 2002 to 2022. Call out boxes identidy two peaks in funding - the first is in 2003 when University of New South Wales was granted $19.375 million for ARC Centres of Excellence. The other peak that is called out is in 2021 when the University of Wollongong was $5 million for Industrial Transformation Training Centres."/>
                    <pic:cNvPicPr/>
                  </pic:nvPicPr>
                  <pic:blipFill>
                    <a:blip r:embed="rId125">
                      <a:extLst>
                        <a:ext uri="{96DAC541-7B7A-43D3-8B79-37D633B846F1}">
                          <asvg:svgBlip xmlns:asvg="http://schemas.microsoft.com/office/drawing/2016/SVG/main" r:embed="rId126"/>
                        </a:ext>
                      </a:extLst>
                    </a:blip>
                    <a:stretch>
                      <a:fillRect/>
                    </a:stretch>
                  </pic:blipFill>
                  <pic:spPr>
                    <a:xfrm>
                      <a:off x="0" y="0"/>
                      <a:ext cx="5731510" cy="2741930"/>
                    </a:xfrm>
                    <a:prstGeom prst="rect">
                      <a:avLst/>
                    </a:prstGeom>
                  </pic:spPr>
                </pic:pic>
              </a:graphicData>
            </a:graphic>
          </wp:inline>
        </w:drawing>
      </w:r>
    </w:p>
    <w:p w14:paraId="746CA088" w14:textId="69812E19" w:rsidR="00EE37C8" w:rsidRPr="00E5087D" w:rsidRDefault="00EE37C8" w:rsidP="00EE37C8">
      <w:pPr>
        <w:rPr>
          <w:sz w:val="18"/>
          <w:szCs w:val="18"/>
        </w:rPr>
      </w:pPr>
      <w:r w:rsidRPr="00E5087D">
        <w:rPr>
          <w:sz w:val="18"/>
          <w:szCs w:val="18"/>
        </w:rPr>
        <w:t xml:space="preserve">Source: </w:t>
      </w:r>
      <w:r w:rsidR="004026CF">
        <w:rPr>
          <w:sz w:val="18"/>
          <w:szCs w:val="18"/>
        </w:rPr>
        <w:t>ARC</w:t>
      </w:r>
      <w:r w:rsidRPr="00E5087D">
        <w:rPr>
          <w:sz w:val="18"/>
          <w:szCs w:val="18"/>
        </w:rPr>
        <w:t xml:space="preserve"> 2023, Grants Dataset</w:t>
      </w:r>
    </w:p>
    <w:p w14:paraId="0657862F" w14:textId="713B4219" w:rsidR="00EE37C8" w:rsidRPr="00E5087D" w:rsidRDefault="00EE37C8" w:rsidP="008E6CE4">
      <w:pPr>
        <w:spacing w:before="240" w:after="80" w:line="276" w:lineRule="auto"/>
        <w:rPr>
          <w:b/>
          <w:bCs/>
          <w14:numForm w14:val="lining"/>
          <w14:numSpacing w14:val="proportional"/>
        </w:rPr>
      </w:pPr>
      <w:r w:rsidRPr="00E5087D">
        <w:rPr>
          <w:rFonts w:cs="Arial"/>
        </w:rPr>
        <w:t xml:space="preserve">The ARENA also provides research funding for </w:t>
      </w:r>
      <w:r w:rsidRPr="00E5087D">
        <w:rPr>
          <w:rFonts w:cs="Arial"/>
          <w14:numForm w14:val="lining"/>
          <w14:numSpacing w14:val="proportional"/>
        </w:rPr>
        <w:t>clean energy projects, with $2.</w:t>
      </w:r>
      <w:r w:rsidR="0094221C">
        <w:rPr>
          <w:rFonts w:cs="Arial"/>
          <w14:numForm w14:val="lining"/>
          <w14:numSpacing w14:val="proportional"/>
        </w:rPr>
        <w:t>25</w:t>
      </w:r>
      <w:r w:rsidRPr="00E5087D">
        <w:rPr>
          <w:rFonts w:cs="Arial"/>
          <w14:numForm w14:val="lining"/>
          <w14:numSpacing w14:val="proportional"/>
        </w:rPr>
        <w:t xml:space="preserve"> billion invested across 6</w:t>
      </w:r>
      <w:r w:rsidR="0094221C">
        <w:rPr>
          <w:rFonts w:cs="Arial"/>
          <w14:numForm w14:val="lining"/>
          <w14:numSpacing w14:val="proportional"/>
        </w:rPr>
        <w:t>63</w:t>
      </w:r>
      <w:r w:rsidRPr="00E5087D">
        <w:rPr>
          <w:rFonts w:cs="Arial"/>
          <w14:numForm w14:val="lining"/>
          <w14:numSpacing w14:val="proportional"/>
        </w:rPr>
        <w:t xml:space="preserve"> projects in Australia to date.</w:t>
      </w:r>
      <w:r w:rsidRPr="00E5087D">
        <w:rPr>
          <w:rStyle w:val="EndnoteReference"/>
          <w:rFonts w:cs="Arial"/>
          <w14:numForm w14:val="lining"/>
          <w14:numSpacing w14:val="proportional"/>
        </w:rPr>
        <w:endnoteReference w:id="64"/>
      </w:r>
      <w:r w:rsidRPr="00E5087D">
        <w:rPr>
          <w:rFonts w:cs="Arial"/>
          <w14:numForm w14:val="lining"/>
          <w14:numSpacing w14:val="proportional"/>
        </w:rPr>
        <w:t xml:space="preserve"> This grant funding sits across three main priorities:</w:t>
      </w:r>
    </w:p>
    <w:p w14:paraId="66C36774" w14:textId="77777777" w:rsidR="00EE37C8" w:rsidRPr="00E5087D" w:rsidRDefault="00EE37C8" w:rsidP="00F25595">
      <w:pPr>
        <w:pStyle w:val="ListParagraph"/>
        <w:numPr>
          <w:ilvl w:val="0"/>
          <w:numId w:val="63"/>
        </w:numPr>
        <w:spacing w:line="276" w:lineRule="auto"/>
        <w:rPr>
          <w14:numForm w14:val="lining"/>
          <w14:numSpacing w14:val="proportional"/>
        </w:rPr>
      </w:pPr>
      <w:r w:rsidRPr="00E5087D">
        <w:rPr>
          <w14:numForm w14:val="lining"/>
          <w14:numSpacing w14:val="proportional"/>
        </w:rPr>
        <w:t>Optimising the transition to renewable electricity</w:t>
      </w:r>
    </w:p>
    <w:p w14:paraId="7164B7B0" w14:textId="77777777" w:rsidR="00EE37C8" w:rsidRPr="00E5087D" w:rsidRDefault="00EE37C8" w:rsidP="00F25595">
      <w:pPr>
        <w:pStyle w:val="ListParagraph"/>
        <w:numPr>
          <w:ilvl w:val="0"/>
          <w:numId w:val="63"/>
        </w:numPr>
        <w:spacing w:line="276" w:lineRule="auto"/>
        <w:rPr>
          <w14:numForm w14:val="lining"/>
          <w14:numSpacing w14:val="proportional"/>
        </w:rPr>
      </w:pPr>
      <w:r w:rsidRPr="00E5087D">
        <w:rPr>
          <w14:numForm w14:val="lining"/>
          <w14:numSpacing w14:val="proportional"/>
        </w:rPr>
        <w:t>Commercialising clean hydrogen</w:t>
      </w:r>
    </w:p>
    <w:p w14:paraId="3FE7C004" w14:textId="77777777" w:rsidR="00EE37C8" w:rsidRPr="00E5087D" w:rsidRDefault="00EE37C8" w:rsidP="00F25595">
      <w:pPr>
        <w:pStyle w:val="ListParagraph"/>
        <w:numPr>
          <w:ilvl w:val="0"/>
          <w:numId w:val="63"/>
        </w:numPr>
        <w:spacing w:after="120" w:line="276" w:lineRule="auto"/>
      </w:pPr>
      <w:r w:rsidRPr="00E5087D">
        <w:rPr>
          <w14:numForm w14:val="lining"/>
          <w14:numSpacing w14:val="proportional"/>
        </w:rPr>
        <w:t>Supporting the transition to low-emissions metals</w:t>
      </w:r>
    </w:p>
    <w:p w14:paraId="38BE34A4" w14:textId="77777777" w:rsidR="00EE37C8" w:rsidRPr="00E5087D" w:rsidRDefault="00EE37C8" w:rsidP="00EE37C8">
      <w:pPr>
        <w:spacing w:after="120"/>
        <w:rPr>
          <w14:numForm w14:val="lining"/>
          <w14:numSpacing w14:val="proportional"/>
        </w:rPr>
      </w:pPr>
      <w:r w:rsidRPr="00E5087D">
        <w:rPr>
          <w14:numForm w14:val="lining"/>
          <w14:numSpacing w14:val="proportional"/>
        </w:rPr>
        <w:t xml:space="preserve">Funding backs early-stage research to large-scale deployment, supporting universities, start-ups and established companies. </w:t>
      </w:r>
    </w:p>
    <w:p w14:paraId="73F65396" w14:textId="5F5CDB2D" w:rsidR="00EE37C8" w:rsidRPr="00E5087D" w:rsidRDefault="00EE37C8" w:rsidP="00EE37C8">
      <w:pPr>
        <w:rPr>
          <w:rFonts w:cs="Arial"/>
        </w:rPr>
      </w:pPr>
      <w:r w:rsidRPr="00E5087D">
        <w:rPr>
          <w:rFonts w:cs="Arial"/>
        </w:rPr>
        <w:t xml:space="preserve">The 2022 announcement of the </w:t>
      </w:r>
      <w:r w:rsidR="089B7110" w:rsidRPr="40096491">
        <w:rPr>
          <w:rFonts w:cs="Arial"/>
        </w:rPr>
        <w:t>Trailblazer Universities Program</w:t>
      </w:r>
      <w:r w:rsidRPr="00E5087D">
        <w:rPr>
          <w:rFonts w:cs="Arial"/>
        </w:rPr>
        <w:t xml:space="preserve"> seeks to foster leaders in research commercialisation, with dedicated investment in priority areas and will be led by six Australian Universities. Through this initiative, the federal government is committed to building additional capacity to focus on the problems that matter to the nation by driving research excellence to address real-world impacts. Each Trailblazer university will receive $50 million, which will be matched by university and industry partner contributions. Table </w:t>
      </w:r>
      <w:r w:rsidR="004E3683">
        <w:rPr>
          <w:rFonts w:cs="Arial"/>
        </w:rPr>
        <w:t>4.10</w:t>
      </w:r>
      <w:r w:rsidRPr="00E5087D">
        <w:rPr>
          <w:rFonts w:cs="Arial"/>
        </w:rPr>
        <w:t xml:space="preserve"> below provides a snapshot of the trailblazer projects with universities in the clean energy sector.</w:t>
      </w:r>
    </w:p>
    <w:p w14:paraId="51E15C5B" w14:textId="77777777" w:rsidR="008E6CE4" w:rsidRDefault="008E6CE4">
      <w:pPr>
        <w:rPr>
          <w:rFonts w:cs="Arial"/>
          <w:b/>
          <w:bCs/>
        </w:rPr>
      </w:pPr>
      <w:r>
        <w:rPr>
          <w:rFonts w:cs="Arial"/>
          <w:b/>
          <w:bCs/>
        </w:rPr>
        <w:br w:type="page"/>
      </w:r>
    </w:p>
    <w:p w14:paraId="102577CB" w14:textId="7070CF3F" w:rsidR="00EE37C8" w:rsidRPr="00E5087D" w:rsidRDefault="00EE37C8" w:rsidP="00EE37C8">
      <w:pPr>
        <w:spacing w:after="80"/>
        <w:rPr>
          <w:rFonts w:cs="Arial"/>
          <w:b/>
          <w:bCs/>
        </w:rPr>
      </w:pPr>
      <w:r w:rsidRPr="00E5087D">
        <w:rPr>
          <w:rFonts w:cs="Arial"/>
          <w:b/>
          <w:bCs/>
        </w:rPr>
        <w:t xml:space="preserve">Table </w:t>
      </w:r>
      <w:r w:rsidR="00B8143F">
        <w:rPr>
          <w:rFonts w:cs="Arial"/>
          <w:b/>
          <w:bCs/>
        </w:rPr>
        <w:t>4.10</w:t>
      </w:r>
      <w:r w:rsidR="00171964">
        <w:rPr>
          <w:rFonts w:cs="Arial"/>
          <w:b/>
          <w:bCs/>
        </w:rPr>
        <w:t>.</w:t>
      </w:r>
      <w:r w:rsidRPr="00E5087D">
        <w:rPr>
          <w:rFonts w:cs="Arial"/>
          <w:b/>
          <w:bCs/>
        </w:rPr>
        <w:t xml:space="preserve"> Trailblazer participation for universities within the clean energy sector</w:t>
      </w:r>
    </w:p>
    <w:tbl>
      <w:tblPr>
        <w:tblStyle w:val="TableGrid"/>
        <w:tblW w:w="0" w:type="auto"/>
        <w:tblLook w:val="04A0" w:firstRow="1" w:lastRow="0" w:firstColumn="1" w:lastColumn="0" w:noHBand="0" w:noVBand="1"/>
      </w:tblPr>
      <w:tblGrid>
        <w:gridCol w:w="3005"/>
        <w:gridCol w:w="3005"/>
        <w:gridCol w:w="3006"/>
      </w:tblGrid>
      <w:tr w:rsidR="00EE37C8" w:rsidRPr="00E5087D" w14:paraId="2999878C" w14:textId="77777777" w:rsidTr="00176C3C">
        <w:tc>
          <w:tcPr>
            <w:tcW w:w="3005" w:type="dxa"/>
            <w:tcBorders>
              <w:top w:val="single" w:sz="4" w:space="0" w:color="auto"/>
              <w:left w:val="single" w:sz="4" w:space="0" w:color="auto"/>
              <w:bottom w:val="single" w:sz="4" w:space="0" w:color="auto"/>
              <w:right w:val="single" w:sz="4" w:space="0" w:color="auto"/>
            </w:tcBorders>
            <w:shd w:val="clear" w:color="auto" w:fill="DAE3F5"/>
            <w:hideMark/>
          </w:tcPr>
          <w:p w14:paraId="08716072" w14:textId="77777777" w:rsidR="00EE37C8" w:rsidRPr="00E5087D" w:rsidRDefault="00EE37C8">
            <w:pPr>
              <w:jc w:val="center"/>
              <w:rPr>
                <w:rFonts w:cs="Arial"/>
                <w:b/>
              </w:rPr>
            </w:pPr>
            <w:r w:rsidRPr="00E5087D">
              <w:rPr>
                <w:rFonts w:cs="Arial"/>
                <w:b/>
              </w:rPr>
              <w:t>Trailblazer topic</w:t>
            </w:r>
          </w:p>
        </w:tc>
        <w:tc>
          <w:tcPr>
            <w:tcW w:w="3005" w:type="dxa"/>
            <w:tcBorders>
              <w:top w:val="single" w:sz="4" w:space="0" w:color="auto"/>
              <w:left w:val="single" w:sz="4" w:space="0" w:color="auto"/>
              <w:bottom w:val="single" w:sz="4" w:space="0" w:color="auto"/>
              <w:right w:val="single" w:sz="4" w:space="0" w:color="auto"/>
            </w:tcBorders>
            <w:shd w:val="clear" w:color="auto" w:fill="DAE3F5"/>
            <w:hideMark/>
          </w:tcPr>
          <w:p w14:paraId="008DA3A6" w14:textId="77777777" w:rsidR="00EE37C8" w:rsidRPr="00E5087D" w:rsidRDefault="00EE37C8">
            <w:pPr>
              <w:jc w:val="center"/>
              <w:rPr>
                <w:rFonts w:cs="Arial"/>
                <w:b/>
              </w:rPr>
            </w:pPr>
            <w:r w:rsidRPr="00E5087D">
              <w:rPr>
                <w:rFonts w:cs="Arial"/>
                <w:b/>
              </w:rPr>
              <w:t>Project Lead</w:t>
            </w:r>
          </w:p>
        </w:tc>
        <w:tc>
          <w:tcPr>
            <w:tcW w:w="3006" w:type="dxa"/>
            <w:tcBorders>
              <w:top w:val="single" w:sz="4" w:space="0" w:color="auto"/>
              <w:left w:val="single" w:sz="4" w:space="0" w:color="auto"/>
              <w:bottom w:val="single" w:sz="4" w:space="0" w:color="auto"/>
              <w:right w:val="single" w:sz="4" w:space="0" w:color="auto"/>
            </w:tcBorders>
            <w:shd w:val="clear" w:color="auto" w:fill="DAE3F5"/>
            <w:hideMark/>
          </w:tcPr>
          <w:p w14:paraId="54CBCD8D" w14:textId="77777777" w:rsidR="00EE37C8" w:rsidRPr="00E5087D" w:rsidRDefault="00EE37C8">
            <w:pPr>
              <w:jc w:val="center"/>
              <w:rPr>
                <w:rFonts w:cs="Arial"/>
                <w:b/>
              </w:rPr>
            </w:pPr>
            <w:r w:rsidRPr="00E5087D">
              <w:rPr>
                <w:rFonts w:cs="Arial"/>
                <w:b/>
              </w:rPr>
              <w:t>In collaboration with</w:t>
            </w:r>
          </w:p>
        </w:tc>
      </w:tr>
      <w:tr w:rsidR="00EE37C8" w:rsidRPr="00E5087D" w14:paraId="05F74B40" w14:textId="77777777">
        <w:tc>
          <w:tcPr>
            <w:tcW w:w="3005" w:type="dxa"/>
            <w:tcBorders>
              <w:top w:val="single" w:sz="4" w:space="0" w:color="auto"/>
              <w:left w:val="single" w:sz="4" w:space="0" w:color="auto"/>
              <w:bottom w:val="single" w:sz="4" w:space="0" w:color="auto"/>
              <w:right w:val="single" w:sz="4" w:space="0" w:color="auto"/>
            </w:tcBorders>
            <w:hideMark/>
          </w:tcPr>
          <w:p w14:paraId="01F1C554" w14:textId="77777777" w:rsidR="00EE37C8" w:rsidRPr="00E5087D" w:rsidRDefault="00EE37C8">
            <w:pPr>
              <w:rPr>
                <w:rFonts w:cs="Arial"/>
              </w:rPr>
            </w:pPr>
            <w:r w:rsidRPr="00E5087D">
              <w:rPr>
                <w:rFonts w:cs="Arial"/>
              </w:rPr>
              <w:t>Resources Technology for Critical Minerals Trailblazer</w:t>
            </w:r>
          </w:p>
        </w:tc>
        <w:tc>
          <w:tcPr>
            <w:tcW w:w="3005" w:type="dxa"/>
            <w:tcBorders>
              <w:top w:val="single" w:sz="4" w:space="0" w:color="auto"/>
              <w:left w:val="single" w:sz="4" w:space="0" w:color="auto"/>
              <w:bottom w:val="single" w:sz="4" w:space="0" w:color="auto"/>
              <w:right w:val="single" w:sz="4" w:space="0" w:color="auto"/>
            </w:tcBorders>
            <w:hideMark/>
          </w:tcPr>
          <w:p w14:paraId="332BD539" w14:textId="77777777" w:rsidR="00EE37C8" w:rsidRPr="00E5087D" w:rsidRDefault="00EE37C8">
            <w:pPr>
              <w:rPr>
                <w:rFonts w:cs="Arial"/>
              </w:rPr>
            </w:pPr>
            <w:r w:rsidRPr="00E5087D">
              <w:rPr>
                <w:rFonts w:cs="Arial"/>
              </w:rPr>
              <w:t xml:space="preserve">Curtin University </w:t>
            </w:r>
          </w:p>
        </w:tc>
        <w:tc>
          <w:tcPr>
            <w:tcW w:w="3006" w:type="dxa"/>
            <w:tcBorders>
              <w:top w:val="single" w:sz="4" w:space="0" w:color="auto"/>
              <w:left w:val="single" w:sz="4" w:space="0" w:color="auto"/>
              <w:bottom w:val="single" w:sz="4" w:space="0" w:color="auto"/>
              <w:right w:val="single" w:sz="4" w:space="0" w:color="auto"/>
            </w:tcBorders>
            <w:hideMark/>
          </w:tcPr>
          <w:p w14:paraId="339FBDE8" w14:textId="77777777" w:rsidR="00EE37C8" w:rsidRPr="00E5087D" w:rsidRDefault="00EE37C8" w:rsidP="00F25595">
            <w:pPr>
              <w:pStyle w:val="ListParagraph"/>
              <w:numPr>
                <w:ilvl w:val="0"/>
                <w:numId w:val="30"/>
              </w:numPr>
              <w:ind w:left="398"/>
              <w:rPr>
                <w:rFonts w:cs="Arial"/>
              </w:rPr>
            </w:pPr>
            <w:r w:rsidRPr="00E5087D">
              <w:rPr>
                <w:rFonts w:cs="Arial"/>
              </w:rPr>
              <w:t>The University of Queensland</w:t>
            </w:r>
          </w:p>
          <w:p w14:paraId="124541BB" w14:textId="77777777" w:rsidR="00EE37C8" w:rsidRPr="00E5087D" w:rsidRDefault="00EE37C8" w:rsidP="00F25595">
            <w:pPr>
              <w:pStyle w:val="ListParagraph"/>
              <w:numPr>
                <w:ilvl w:val="0"/>
                <w:numId w:val="30"/>
              </w:numPr>
              <w:ind w:left="398"/>
              <w:rPr>
                <w:rFonts w:cs="Arial"/>
              </w:rPr>
            </w:pPr>
            <w:r w:rsidRPr="00E5087D">
              <w:rPr>
                <w:rFonts w:cs="Arial"/>
              </w:rPr>
              <w:t>James Cook University</w:t>
            </w:r>
          </w:p>
        </w:tc>
      </w:tr>
      <w:tr w:rsidR="00EE37C8" w:rsidRPr="00E5087D" w14:paraId="0108BF85" w14:textId="77777777">
        <w:tc>
          <w:tcPr>
            <w:tcW w:w="3005" w:type="dxa"/>
            <w:tcBorders>
              <w:top w:val="single" w:sz="4" w:space="0" w:color="auto"/>
              <w:left w:val="single" w:sz="4" w:space="0" w:color="auto"/>
              <w:bottom w:val="single" w:sz="4" w:space="0" w:color="auto"/>
              <w:right w:val="single" w:sz="4" w:space="0" w:color="auto"/>
            </w:tcBorders>
            <w:hideMark/>
          </w:tcPr>
          <w:p w14:paraId="7B0E7F15" w14:textId="77777777" w:rsidR="00EE37C8" w:rsidRPr="00E5087D" w:rsidRDefault="00EE37C8">
            <w:pPr>
              <w:rPr>
                <w:rFonts w:cs="Arial"/>
              </w:rPr>
            </w:pPr>
            <w:r w:rsidRPr="00E5087D">
              <w:rPr>
                <w:rFonts w:cs="Arial"/>
              </w:rPr>
              <w:t>Trailblazer for Recycling and Clean Energy</w:t>
            </w:r>
          </w:p>
        </w:tc>
        <w:tc>
          <w:tcPr>
            <w:tcW w:w="3005" w:type="dxa"/>
            <w:tcBorders>
              <w:top w:val="single" w:sz="4" w:space="0" w:color="auto"/>
              <w:left w:val="single" w:sz="4" w:space="0" w:color="auto"/>
              <w:bottom w:val="single" w:sz="4" w:space="0" w:color="auto"/>
              <w:right w:val="single" w:sz="4" w:space="0" w:color="auto"/>
            </w:tcBorders>
            <w:hideMark/>
          </w:tcPr>
          <w:p w14:paraId="762E489A" w14:textId="77777777" w:rsidR="00EE37C8" w:rsidRPr="00E5087D" w:rsidRDefault="00EE37C8">
            <w:pPr>
              <w:rPr>
                <w:rFonts w:cs="Arial"/>
              </w:rPr>
            </w:pPr>
            <w:r w:rsidRPr="00E5087D">
              <w:rPr>
                <w:rFonts w:cs="Arial"/>
              </w:rPr>
              <w:t>University of New South Wales</w:t>
            </w:r>
          </w:p>
        </w:tc>
        <w:tc>
          <w:tcPr>
            <w:tcW w:w="3006" w:type="dxa"/>
            <w:tcBorders>
              <w:top w:val="single" w:sz="4" w:space="0" w:color="auto"/>
              <w:left w:val="single" w:sz="4" w:space="0" w:color="auto"/>
              <w:bottom w:val="single" w:sz="4" w:space="0" w:color="auto"/>
              <w:right w:val="single" w:sz="4" w:space="0" w:color="auto"/>
            </w:tcBorders>
            <w:hideMark/>
          </w:tcPr>
          <w:p w14:paraId="68A44570" w14:textId="77777777" w:rsidR="00EE37C8" w:rsidRPr="00E5087D" w:rsidRDefault="00EE37C8" w:rsidP="00F25595">
            <w:pPr>
              <w:pStyle w:val="ListParagraph"/>
              <w:numPr>
                <w:ilvl w:val="0"/>
                <w:numId w:val="31"/>
              </w:numPr>
              <w:ind w:left="398"/>
              <w:rPr>
                <w:rFonts w:cs="Arial"/>
              </w:rPr>
            </w:pPr>
            <w:r w:rsidRPr="00E5087D">
              <w:rPr>
                <w:rFonts w:cs="Arial"/>
              </w:rPr>
              <w:t xml:space="preserve">University of Newcastle </w:t>
            </w:r>
          </w:p>
        </w:tc>
      </w:tr>
      <w:tr w:rsidR="00EE37C8" w:rsidRPr="00E5087D" w14:paraId="2B02674A" w14:textId="77777777">
        <w:tc>
          <w:tcPr>
            <w:tcW w:w="3005" w:type="dxa"/>
            <w:tcBorders>
              <w:top w:val="single" w:sz="4" w:space="0" w:color="auto"/>
              <w:left w:val="single" w:sz="4" w:space="0" w:color="auto"/>
              <w:bottom w:val="single" w:sz="4" w:space="0" w:color="auto"/>
              <w:right w:val="single" w:sz="4" w:space="0" w:color="auto"/>
            </w:tcBorders>
            <w:hideMark/>
          </w:tcPr>
          <w:p w14:paraId="47A7FF06" w14:textId="77777777" w:rsidR="00EE37C8" w:rsidRPr="00E5087D" w:rsidRDefault="00EE37C8">
            <w:pPr>
              <w:rPr>
                <w:rFonts w:cs="Arial"/>
              </w:rPr>
            </w:pPr>
            <w:r w:rsidRPr="00E5087D">
              <w:rPr>
                <w:rFonts w:cs="Arial"/>
              </w:rPr>
              <w:t>Recycling and Clean Energy Commercialisation Hub</w:t>
            </w:r>
          </w:p>
        </w:tc>
        <w:tc>
          <w:tcPr>
            <w:tcW w:w="3005" w:type="dxa"/>
            <w:tcBorders>
              <w:top w:val="single" w:sz="4" w:space="0" w:color="auto"/>
              <w:left w:val="single" w:sz="4" w:space="0" w:color="auto"/>
              <w:bottom w:val="single" w:sz="4" w:space="0" w:color="auto"/>
              <w:right w:val="single" w:sz="4" w:space="0" w:color="auto"/>
            </w:tcBorders>
            <w:hideMark/>
          </w:tcPr>
          <w:p w14:paraId="12EF5B61" w14:textId="77777777" w:rsidR="00EE37C8" w:rsidRPr="00E5087D" w:rsidRDefault="00EE37C8">
            <w:pPr>
              <w:rPr>
                <w:rFonts w:cs="Arial"/>
              </w:rPr>
            </w:pPr>
            <w:r w:rsidRPr="00E5087D">
              <w:rPr>
                <w:rFonts w:cs="Arial"/>
              </w:rPr>
              <w:t xml:space="preserve">Deakin University </w:t>
            </w:r>
          </w:p>
        </w:tc>
        <w:tc>
          <w:tcPr>
            <w:tcW w:w="3006" w:type="dxa"/>
            <w:tcBorders>
              <w:top w:val="single" w:sz="4" w:space="0" w:color="auto"/>
              <w:left w:val="single" w:sz="4" w:space="0" w:color="auto"/>
              <w:bottom w:val="single" w:sz="4" w:space="0" w:color="auto"/>
              <w:right w:val="single" w:sz="4" w:space="0" w:color="auto"/>
            </w:tcBorders>
            <w:hideMark/>
          </w:tcPr>
          <w:p w14:paraId="03916126" w14:textId="77777777" w:rsidR="00EE37C8" w:rsidRPr="00E5087D" w:rsidRDefault="00EE37C8" w:rsidP="00F25595">
            <w:pPr>
              <w:pStyle w:val="ListParagraph"/>
              <w:numPr>
                <w:ilvl w:val="0"/>
                <w:numId w:val="31"/>
              </w:numPr>
              <w:ind w:left="398"/>
              <w:rPr>
                <w:rFonts w:cs="Arial"/>
              </w:rPr>
            </w:pPr>
            <w:r w:rsidRPr="00E5087D">
              <w:rPr>
                <w:rFonts w:cs="Arial"/>
              </w:rPr>
              <w:t>University of Southern Queensland</w:t>
            </w:r>
          </w:p>
          <w:p w14:paraId="7B489829" w14:textId="77777777" w:rsidR="00EE37C8" w:rsidRPr="00E5087D" w:rsidRDefault="00EE37C8" w:rsidP="00F25595">
            <w:pPr>
              <w:pStyle w:val="ListParagraph"/>
              <w:numPr>
                <w:ilvl w:val="0"/>
                <w:numId w:val="31"/>
              </w:numPr>
              <w:ind w:left="398"/>
              <w:rPr>
                <w:rFonts w:cs="Arial"/>
              </w:rPr>
            </w:pPr>
            <w:r w:rsidRPr="00E5087D">
              <w:rPr>
                <w:rFonts w:cs="Arial"/>
              </w:rPr>
              <w:t xml:space="preserve">Federation University </w:t>
            </w:r>
          </w:p>
        </w:tc>
      </w:tr>
    </w:tbl>
    <w:p w14:paraId="1641483E" w14:textId="688BEF01" w:rsidR="00EE37C8" w:rsidRPr="00E5087D" w:rsidRDefault="00EE37C8" w:rsidP="008E6CE4">
      <w:pPr>
        <w:spacing w:after="360"/>
        <w:rPr>
          <w:rFonts w:cs="Arial"/>
          <w:kern w:val="2"/>
          <w:sz w:val="18"/>
          <w:szCs w:val="18"/>
          <w14:ligatures w14:val="standardContextual"/>
        </w:rPr>
      </w:pPr>
      <w:r w:rsidRPr="00E5087D">
        <w:rPr>
          <w:rFonts w:cs="Arial"/>
          <w:sz w:val="18"/>
          <w:szCs w:val="18"/>
        </w:rPr>
        <w:t>Source: Trailblazer Universities Program, 2023, Department of Education. Accurate as at 10 July</w:t>
      </w:r>
      <w:r w:rsidR="00F405D3">
        <w:rPr>
          <w:rFonts w:cs="Arial"/>
          <w:sz w:val="18"/>
          <w:szCs w:val="18"/>
        </w:rPr>
        <w:t xml:space="preserve"> 2023</w:t>
      </w:r>
    </w:p>
    <w:p w14:paraId="617D3B80" w14:textId="5C0800CB" w:rsidR="00EE37C8" w:rsidRPr="00E5087D" w:rsidRDefault="00EE37C8" w:rsidP="00EE37C8">
      <w:pPr>
        <w:spacing w:before="240" w:after="240" w:line="276" w:lineRule="auto"/>
        <w:rPr>
          <w14:numForm w14:val="lining"/>
          <w14:numSpacing w14:val="proportional"/>
        </w:rPr>
      </w:pPr>
      <w:r w:rsidRPr="00E5087D">
        <w:rPr>
          <w14:numForm w14:val="lining"/>
          <w14:numSpacing w14:val="proportional"/>
        </w:rPr>
        <w:t>Several hundred students commence each year in either a master’s or PhD by research pathway for Electrical and Electronic Engineering and Technology (Figure</w:t>
      </w:r>
      <w:r w:rsidR="00377210">
        <w:rPr>
          <w14:numForm w14:val="lining"/>
          <w14:numSpacing w14:val="proportional"/>
        </w:rPr>
        <w:t xml:space="preserve"> 4</w:t>
      </w:r>
      <w:r w:rsidR="00187ACE">
        <w:rPr>
          <w14:numForm w14:val="lining"/>
          <w14:numSpacing w14:val="proportional"/>
        </w:rPr>
        <w:t>.13</w:t>
      </w:r>
      <w:r w:rsidRPr="00E5087D">
        <w:rPr>
          <w14:numForm w14:val="lining"/>
          <w14:numSpacing w14:val="proportional"/>
        </w:rPr>
        <w:t>).</w:t>
      </w:r>
      <w:r w:rsidR="002C12DD">
        <w:rPr>
          <w14:numForm w14:val="lining"/>
          <w14:numSpacing w14:val="proportional"/>
        </w:rPr>
        <w:t xml:space="preserve"> In 2021, over two thirds of these PhD commencements were international students.</w:t>
      </w:r>
    </w:p>
    <w:p w14:paraId="1C609A8F" w14:textId="2774C0C3" w:rsidR="00EE37C8" w:rsidRPr="008E6CE4" w:rsidRDefault="00EE37C8" w:rsidP="00563CBD">
      <w:pPr>
        <w:pBdr>
          <w:top w:val="single" w:sz="4" w:space="6" w:color="BFBFBF" w:themeColor="background1" w:themeShade="BF"/>
        </w:pBdr>
        <w:spacing w:after="0" w:line="240" w:lineRule="auto"/>
        <w:rPr>
          <w:b/>
          <w:bCs/>
        </w:rPr>
      </w:pPr>
      <w:r w:rsidRPr="008E6CE4">
        <w:rPr>
          <w:b/>
          <w:bCs/>
        </w:rPr>
        <w:t xml:space="preserve">Figure </w:t>
      </w:r>
      <w:r w:rsidR="00377210" w:rsidRPr="008E6CE4">
        <w:rPr>
          <w:b/>
          <w:bCs/>
        </w:rPr>
        <w:t>4</w:t>
      </w:r>
      <w:r w:rsidR="00187ACE">
        <w:rPr>
          <w:b/>
          <w:bCs/>
        </w:rPr>
        <w:t>.13</w:t>
      </w:r>
      <w:r w:rsidR="008E6CE4">
        <w:rPr>
          <w:b/>
          <w:bCs/>
        </w:rPr>
        <w:t>.</w:t>
      </w:r>
      <w:r w:rsidRPr="008E6CE4">
        <w:rPr>
          <w:b/>
          <w:bCs/>
        </w:rPr>
        <w:t xml:space="preserve"> University research commencements in Electrical and Electronic Engineering and Technology</w:t>
      </w:r>
      <w:r w:rsidR="007115FD">
        <w:rPr>
          <w:noProof/>
        </w:rPr>
        <w:drawing>
          <wp:inline distT="0" distB="0" distL="0" distR="0" wp14:anchorId="5B0C61CA" wp14:editId="7FC51BBB">
            <wp:extent cx="5731510" cy="2697480"/>
            <wp:effectExtent l="0" t="0" r="2540" b="7620"/>
            <wp:docPr id="89" name="Graphic 89" descr="This figure captures university commencements in Electrical and Electronic Engineering and Technology from 2012 to 2021 by Masters and PhD research stu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phic 89" descr="This figure captures university commencements in Electrical and Electronic Engineering and Technology from 2012 to 2021 by Masters and PhD research students.&#10;"/>
                    <pic:cNvPicPr/>
                  </pic:nvPicPr>
                  <pic:blipFill>
                    <a:blip r:embed="rId127">
                      <a:extLst>
                        <a:ext uri="{96DAC541-7B7A-43D3-8B79-37D633B846F1}">
                          <asvg:svgBlip xmlns:asvg="http://schemas.microsoft.com/office/drawing/2016/SVG/main" r:embed="rId128"/>
                        </a:ext>
                      </a:extLst>
                    </a:blip>
                    <a:stretch>
                      <a:fillRect/>
                    </a:stretch>
                  </pic:blipFill>
                  <pic:spPr>
                    <a:xfrm>
                      <a:off x="0" y="0"/>
                      <a:ext cx="5731510" cy="2697480"/>
                    </a:xfrm>
                    <a:prstGeom prst="rect">
                      <a:avLst/>
                    </a:prstGeom>
                  </pic:spPr>
                </pic:pic>
              </a:graphicData>
            </a:graphic>
          </wp:inline>
        </w:drawing>
      </w:r>
    </w:p>
    <w:p w14:paraId="4116197F" w14:textId="2D85178F" w:rsidR="00EE37C8" w:rsidRPr="00E5087D" w:rsidRDefault="00EE37C8" w:rsidP="00EE37C8">
      <w:pPr>
        <w:spacing w:after="480" w:line="240" w:lineRule="auto"/>
        <w:rPr>
          <w:rFonts w:eastAsiaTheme="majorEastAsia" w:cstheme="majorBidi"/>
          <w:sz w:val="18"/>
          <w:szCs w:val="18"/>
        </w:rPr>
      </w:pPr>
      <w:r w:rsidRPr="00E5087D">
        <w:rPr>
          <w:rFonts w:eastAsiaTheme="majorEastAsia" w:cstheme="majorBidi"/>
          <w:sz w:val="18"/>
          <w:szCs w:val="18"/>
        </w:rPr>
        <w:t>Source: Department of Education higher education unit record data</w:t>
      </w:r>
    </w:p>
    <w:p w14:paraId="07DCE3CC" w14:textId="4F3BDFDB" w:rsidR="00EE37C8" w:rsidRPr="00E5087D" w:rsidRDefault="00EE37C8" w:rsidP="00EE37C8">
      <w:pPr>
        <w:rPr>
          <w:rFonts w:eastAsiaTheme="majorEastAsia" w:cstheme="majorBidi"/>
          <w:b/>
          <w:bCs/>
          <w:sz w:val="32"/>
          <w:szCs w:val="32"/>
        </w:rPr>
      </w:pPr>
      <w:r w:rsidRPr="00E5087D">
        <w:br w:type="page"/>
      </w:r>
    </w:p>
    <w:p w14:paraId="1B00764F" w14:textId="62BFF06C" w:rsidR="00CF4A94" w:rsidRDefault="00CF4A94" w:rsidP="00CF4A94">
      <w:pPr>
        <w:spacing w:before="360" w:after="120" w:line="240" w:lineRule="auto"/>
        <w:ind w:left="737" w:right="283"/>
        <w:rPr>
          <w:rFonts w:eastAsia="Arial" w:cs="Arial"/>
          <w:b/>
          <w:sz w:val="24"/>
          <w:szCs w:val="24"/>
          <w14:ligatures w14:val="standard"/>
          <w14:numForm w14:val="lining"/>
          <w14:numSpacing w14:val="proportional"/>
        </w:rPr>
      </w:pPr>
    </w:p>
    <w:p w14:paraId="0F30763A" w14:textId="78774296" w:rsidR="00CF4A94" w:rsidRDefault="00CF4A94" w:rsidP="00CF4A94">
      <w:pPr>
        <w:spacing w:before="360" w:after="120" w:line="240" w:lineRule="auto"/>
        <w:ind w:left="737" w:right="283"/>
        <w:rPr>
          <w:rFonts w:eastAsia="Arial" w:cs="Arial"/>
          <w:b/>
          <w:sz w:val="24"/>
          <w:szCs w:val="24"/>
          <w14:ligatures w14:val="standard"/>
          <w14:numForm w14:val="lining"/>
          <w14:numSpacing w14:val="proportional"/>
        </w:rPr>
      </w:pPr>
      <w:r w:rsidRPr="00E5087D">
        <w:rPr>
          <w:noProof/>
        </w:rPr>
        <mc:AlternateContent>
          <mc:Choice Requires="wpg">
            <w:drawing>
              <wp:anchor distT="0" distB="0" distL="114300" distR="114300" simplePos="0" relativeHeight="251658273" behindDoc="1" locked="0" layoutInCell="1" allowOverlap="1" wp14:anchorId="33379A35" wp14:editId="1564CA27">
                <wp:simplePos x="0" y="0"/>
                <wp:positionH relativeFrom="column">
                  <wp:posOffset>119126</wp:posOffset>
                </wp:positionH>
                <wp:positionV relativeFrom="page">
                  <wp:posOffset>1170305</wp:posOffset>
                </wp:positionV>
                <wp:extent cx="5641340" cy="5054600"/>
                <wp:effectExtent l="0" t="0" r="0" b="0"/>
                <wp:wrapNone/>
                <wp:docPr id="1341085155" name="Group 1341085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41340" cy="5054600"/>
                          <a:chOff x="-131725" y="-7910143"/>
                          <a:chExt cx="5697969" cy="5937958"/>
                        </a:xfrm>
                      </wpg:grpSpPr>
                      <wps:wsp>
                        <wps:cNvPr id="1341085156" name="Rectangle 1341085156"/>
                        <wps:cNvSpPr/>
                        <wps:spPr>
                          <a:xfrm>
                            <a:off x="-18355" y="-7910143"/>
                            <a:ext cx="5584599" cy="5937958"/>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4A79A7B5" w14:textId="77777777" w:rsidR="00EE37C8" w:rsidRPr="006F7DEB" w:rsidRDefault="00EE37C8" w:rsidP="00EE37C8">
                              <w:pPr>
                                <w:spacing w:line="276" w:lineRule="auto"/>
                                <w:rPr>
                                  <w:rFonts w:eastAsia="Arial" w:cs="Arial"/>
                                  <w:bCs/>
                                  <w:sz w:val="20"/>
                                  <w:szCs w:val="20"/>
                                  <w14:ligatures w14:val="standard"/>
                                  <w14:numForm w14:val="lining"/>
                                  <w14:numSpacing w14:val="proportional"/>
                                </w:rPr>
                              </w:pPr>
                            </w:p>
                          </w:txbxContent>
                        </wps:txbx>
                        <wps:bodyPr spcFirstLastPara="0" wrap="square" lIns="288000" tIns="72000" rIns="144000" bIns="72000" anchor="t">
                          <a:noAutofit/>
                        </wps:bodyPr>
                      </wps:wsp>
                      <wps:wsp>
                        <wps:cNvPr id="1341085157" name="Rectangle 1341085157"/>
                        <wps:cNvSpPr/>
                        <wps:spPr>
                          <a:xfrm>
                            <a:off x="-131725" y="-7910143"/>
                            <a:ext cx="133350" cy="5937496"/>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3379A35" id="Group 1341085155" o:spid="_x0000_s1093" alt="&quot;&quot;" style="position:absolute;left:0;text-align:left;margin-left:9.4pt;margin-top:92.15pt;width:444.2pt;height:398pt;z-index:-251658207;mso-position-vertical-relative:page" coordorigin="-1317,-79101" coordsize="56979,5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">
                <v:rect id="Rectangle 1341085156" o:spid="_x0000_s1094" style="position:absolute;left:-183;top:-79101;width:55845;height:5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" fillcolor="#f2f2f2" stroked="f" strokeweight="1pt">
                  <v:textbox inset="8mm,2mm,4mm,2mm">
                    <w:txbxContent>
                      <w:p w14:paraId="4A79A7B5" w14:textId="77777777" w:rsidR="00EE37C8" w:rsidRPr="006F7DEB" w:rsidRDefault="00EE37C8" w:rsidP="00EE37C8">
                        <w:pPr>
                          <w:spacing w:line="276" w:lineRule="auto"/>
                          <w:rPr>
                            <w:rFonts w:eastAsia="Arial" w:cs="Arial"/>
                            <w:bCs/>
                            <w:sz w:val="20"/>
                            <w:szCs w:val="20"/>
                            <w14:ligatures w14:val="standard"/>
                            <w14:numForm w14:val="lining"/>
                            <w14:numSpacing w14:val="proportional"/>
                          </w:rPr>
                        </w:pPr>
                      </w:p>
                    </w:txbxContent>
                  </v:textbox>
                </v:rect>
                <v:rect id="Rectangle 1341085157" o:spid="_x0000_s1095" style="position:absolute;left:-1317;top:-79101;width:1333;height:59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" fillcolor="#dae3f5" stroked="f" strokeweight="1pt"/>
                <w10:wrap anchory="page"/>
              </v:group>
            </w:pict>
          </mc:Fallback>
        </mc:AlternateContent>
      </w:r>
      <w:r>
        <w:rPr>
          <w:rFonts w:eastAsia="Arial" w:cs="Arial"/>
          <w:b/>
          <w:sz w:val="24"/>
          <w:szCs w:val="24"/>
          <w14:ligatures w14:val="standard"/>
          <w14:numForm w14:val="lining"/>
          <w14:numSpacing w14:val="proportional"/>
        </w:rPr>
        <w:t>CASE STUDY: Low-cost green hydrogen research</w:t>
      </w:r>
    </w:p>
    <w:p w14:paraId="513446F7" w14:textId="439AF2A6" w:rsidR="00CF4A94" w:rsidRPr="006F7DEB" w:rsidRDefault="00CF4A94" w:rsidP="00CF4A94">
      <w:pPr>
        <w:spacing w:after="120" w:line="276" w:lineRule="auto"/>
        <w:ind w:left="737" w:right="283"/>
        <w:rPr>
          <w:rFonts w:asciiTheme="minorHAnsi" w:hAnsiTheme="minorHAnsi" w:cstheme="minorHAnsi"/>
          <w14:numForm w14:val="lining"/>
          <w14:numSpacing w14:val="proportional"/>
        </w:rPr>
      </w:pPr>
      <w:r w:rsidRPr="006F7DEB">
        <w:rPr>
          <w:rFonts w:asciiTheme="minorHAnsi" w:hAnsiTheme="minorHAnsi" w:cstheme="minorHAnsi"/>
          <w14:numForm w14:val="lining"/>
          <w14:numSpacing w14:val="proportional"/>
        </w:rPr>
        <w:t xml:space="preserve">Researchers from the University of Wollongong and ARC Centre of Excellence for Electromaterials Science (ACES) have developed an innovative electrolyser technology, enabling low-cost renewable hydrogen production in Australia. The research was funded by the </w:t>
      </w:r>
      <w:r>
        <w:rPr>
          <w:rFonts w:asciiTheme="minorHAnsi" w:hAnsiTheme="minorHAnsi" w:cstheme="minorHAnsi"/>
          <w14:numForm w14:val="lining"/>
          <w14:numSpacing w14:val="proportional"/>
        </w:rPr>
        <w:t>ARENA</w:t>
      </w:r>
      <w:r w:rsidRPr="006F7DEB">
        <w:rPr>
          <w:rFonts w:asciiTheme="minorHAnsi" w:hAnsiTheme="minorHAnsi" w:cstheme="minorHAnsi"/>
          <w14:numForm w14:val="lining"/>
          <w14:numSpacing w14:val="proportional"/>
        </w:rPr>
        <w:t xml:space="preserve">, the </w:t>
      </w:r>
      <w:r>
        <w:rPr>
          <w:rFonts w:asciiTheme="minorHAnsi" w:hAnsiTheme="minorHAnsi" w:cstheme="minorHAnsi"/>
          <w14:numForm w14:val="lining"/>
          <w14:numSpacing w14:val="proportional"/>
        </w:rPr>
        <w:t>ARC</w:t>
      </w:r>
      <w:r w:rsidRPr="006F7DEB">
        <w:rPr>
          <w:rFonts w:asciiTheme="minorHAnsi" w:hAnsiTheme="minorHAnsi" w:cstheme="minorHAnsi"/>
          <w14:numForm w14:val="lining"/>
          <w14:numSpacing w14:val="proportional"/>
        </w:rPr>
        <w:t xml:space="preserve">, and the Australian National Fabrication Facility. </w:t>
      </w:r>
      <w:r>
        <w:rPr>
          <w:rFonts w:asciiTheme="minorHAnsi" w:hAnsiTheme="minorHAnsi" w:cstheme="minorHAnsi"/>
          <w14:numForm w14:val="lining"/>
          <w14:numSpacing w14:val="proportional"/>
        </w:rPr>
        <w:t>A</w:t>
      </w:r>
      <w:r w:rsidRPr="006F7DEB">
        <w:rPr>
          <w:rFonts w:asciiTheme="minorHAnsi" w:hAnsiTheme="minorHAnsi" w:cstheme="minorHAnsi"/>
          <w14:numForm w14:val="lining"/>
          <w14:numSpacing w14:val="proportional"/>
        </w:rPr>
        <w:t xml:space="preserve"> spin out company, Hysata, was established by the University of Wollongong to commercialise the new technology in 2021.  </w:t>
      </w:r>
    </w:p>
    <w:p w14:paraId="5D935EE6" w14:textId="43B09B85" w:rsidR="00CF4A94" w:rsidRPr="006F7DEB" w:rsidRDefault="00CF4A94" w:rsidP="00CF4A94">
      <w:pPr>
        <w:spacing w:after="120" w:line="276" w:lineRule="auto"/>
        <w:ind w:left="737" w:right="283"/>
        <w:rPr>
          <w:rFonts w:asciiTheme="minorHAnsi" w:hAnsiTheme="minorHAnsi"/>
          <w14:numForm w14:val="lining"/>
          <w14:numSpacing w14:val="proportional"/>
        </w:rPr>
      </w:pPr>
      <w:r w:rsidRPr="05C08016">
        <w:rPr>
          <w:rFonts w:asciiTheme="minorHAnsi" w:hAnsiTheme="minorHAnsi"/>
          <w14:numForm w14:val="lining"/>
          <w14:numSpacing w14:val="proportional"/>
        </w:rPr>
        <w:t>Renewable hydrogen has a potential to decarbonise hard to abate sectors such as heavy transport and metal and chemical production. However, producing renewable hydrogen costs significantly more compared to hydrogen produced from fossil fuels (US$3</w:t>
      </w:r>
      <w:r w:rsidR="0BF28560" w:rsidRPr="05C08016">
        <w:rPr>
          <w:rFonts w:asciiTheme="minorHAnsi" w:hAnsiTheme="minorHAnsi"/>
          <w14:numForm w14:val="lining"/>
          <w14:numSpacing w14:val="proportional"/>
        </w:rPr>
        <w:t>.00</w:t>
      </w:r>
      <w:r w:rsidRPr="05C08016">
        <w:rPr>
          <w:rFonts w:asciiTheme="minorHAnsi" w:hAnsiTheme="minorHAnsi"/>
          <w14:numForm w14:val="lining"/>
          <w14:numSpacing w14:val="proportional"/>
        </w:rPr>
        <w:t>-</w:t>
      </w:r>
      <w:r w:rsidR="2EC7C203" w:rsidRPr="05C08016">
        <w:rPr>
          <w:rFonts w:asciiTheme="minorHAnsi" w:hAnsiTheme="minorHAnsi"/>
          <w14:numForm w14:val="lining"/>
          <w14:numSpacing w14:val="proportional"/>
        </w:rPr>
        <w:t>$</w:t>
      </w:r>
      <w:r w:rsidRPr="05C08016">
        <w:rPr>
          <w:rFonts w:asciiTheme="minorHAnsi" w:hAnsiTheme="minorHAnsi"/>
          <w14:numForm w14:val="lining"/>
          <w14:numSpacing w14:val="proportional"/>
        </w:rPr>
        <w:t>8</w:t>
      </w:r>
      <w:r w:rsidR="54E34DA0" w:rsidRPr="05C08016">
        <w:rPr>
          <w:rFonts w:asciiTheme="minorHAnsi" w:hAnsiTheme="minorHAnsi"/>
          <w14:numForm w14:val="lining"/>
          <w14:numSpacing w14:val="proportional"/>
        </w:rPr>
        <w:t>.00</w:t>
      </w:r>
      <w:r w:rsidRPr="05C08016">
        <w:rPr>
          <w:rFonts w:asciiTheme="minorHAnsi" w:hAnsiTheme="minorHAnsi"/>
          <w14:numForm w14:val="lining"/>
          <w14:numSpacing w14:val="proportional"/>
        </w:rPr>
        <w:t xml:space="preserve"> per kg and US</w:t>
      </w:r>
      <w:r w:rsidR="3AF07B81" w:rsidRPr="05C08016">
        <w:rPr>
          <w:rFonts w:asciiTheme="minorHAnsi" w:hAnsiTheme="minorHAnsi"/>
          <w14:numForm w14:val="lining"/>
          <w14:numSpacing w14:val="proportional"/>
        </w:rPr>
        <w:t>$</w:t>
      </w:r>
      <w:r w:rsidRPr="05C08016">
        <w:rPr>
          <w:rFonts w:asciiTheme="minorHAnsi" w:hAnsiTheme="minorHAnsi"/>
          <w14:numForm w14:val="lining"/>
          <w14:numSpacing w14:val="proportional"/>
        </w:rPr>
        <w:t>0.5</w:t>
      </w:r>
      <w:r w:rsidR="578AFE90" w:rsidRPr="05C08016">
        <w:rPr>
          <w:rFonts w:asciiTheme="minorHAnsi" w:hAnsiTheme="minorHAnsi"/>
          <w14:numForm w14:val="lining"/>
          <w14:numSpacing w14:val="proportional"/>
        </w:rPr>
        <w:t>0</w:t>
      </w:r>
      <w:r w:rsidRPr="05C08016">
        <w:rPr>
          <w:rFonts w:asciiTheme="minorHAnsi" w:hAnsiTheme="minorHAnsi"/>
          <w14:numForm w14:val="lining"/>
          <w14:numSpacing w14:val="proportional"/>
        </w:rPr>
        <w:t>–</w:t>
      </w:r>
      <w:r w:rsidR="0A880C67" w:rsidRPr="05C08016">
        <w:rPr>
          <w:rFonts w:asciiTheme="minorHAnsi" w:hAnsiTheme="minorHAnsi"/>
          <w14:numForm w14:val="lining"/>
          <w14:numSpacing w14:val="proportional"/>
        </w:rPr>
        <w:t>$</w:t>
      </w:r>
      <w:r w:rsidRPr="05C08016">
        <w:rPr>
          <w:rFonts w:asciiTheme="minorHAnsi" w:hAnsiTheme="minorHAnsi"/>
          <w14:numForm w14:val="lining"/>
          <w14:numSpacing w14:val="proportional"/>
        </w:rPr>
        <w:t>1.7</w:t>
      </w:r>
      <w:r w:rsidR="6B8AA163" w:rsidRPr="05C08016">
        <w:rPr>
          <w:rFonts w:asciiTheme="minorHAnsi" w:hAnsiTheme="minorHAnsi"/>
          <w14:numForm w14:val="lining"/>
          <w14:numSpacing w14:val="proportional"/>
        </w:rPr>
        <w:t>0</w:t>
      </w:r>
      <w:r w:rsidRPr="05C08016">
        <w:rPr>
          <w:rFonts w:asciiTheme="minorHAnsi" w:hAnsiTheme="minorHAnsi"/>
          <w14:numForm w14:val="lining"/>
          <w14:numSpacing w14:val="proportional"/>
        </w:rPr>
        <w:t xml:space="preserve"> per kg respectively).</w:t>
      </w:r>
    </w:p>
    <w:p w14:paraId="79AC9057" w14:textId="2D5A21B6" w:rsidR="00CF4A94" w:rsidRPr="006F7DEB" w:rsidRDefault="00CF4A94" w:rsidP="00CF4A94">
      <w:pPr>
        <w:spacing w:after="120" w:line="276" w:lineRule="auto"/>
        <w:ind w:left="737" w:right="283"/>
        <w:rPr>
          <w:rFonts w:asciiTheme="minorHAnsi" w:hAnsiTheme="minorHAnsi" w:cstheme="minorHAnsi"/>
          <w14:numForm w14:val="lining"/>
          <w14:numSpacing w14:val="proportional"/>
        </w:rPr>
      </w:pPr>
      <w:r w:rsidRPr="006F7DEB">
        <w:rPr>
          <w:rFonts w:asciiTheme="minorHAnsi" w:hAnsiTheme="minorHAnsi" w:cstheme="minorHAnsi"/>
          <w14:numForm w14:val="lining"/>
          <w14:numSpacing w14:val="proportional"/>
        </w:rPr>
        <w:t>Hysata’s new electrolyser operates at 95% system efficiency compared to existing electrolysers at around 75% efficiency. Their simple and energy efficient electrolyser will bring down the cost of green hydrogen production to below US$1.5</w:t>
      </w:r>
      <w:r w:rsidR="0074196D">
        <w:rPr>
          <w:rFonts w:asciiTheme="minorHAnsi" w:hAnsiTheme="minorHAnsi" w:cstheme="minorHAnsi"/>
          <w14:numForm w14:val="lining"/>
          <w14:numSpacing w14:val="proportional"/>
        </w:rPr>
        <w:t>0</w:t>
      </w:r>
      <w:r w:rsidRPr="006F7DEB">
        <w:rPr>
          <w:rFonts w:asciiTheme="minorHAnsi" w:hAnsiTheme="minorHAnsi" w:cstheme="minorHAnsi"/>
          <w14:numForm w14:val="lining"/>
          <w14:numSpacing w14:val="proportional"/>
        </w:rPr>
        <w:t xml:space="preserve"> per kg, making it cost competitive with fossil fuel hydrogen.</w:t>
      </w:r>
    </w:p>
    <w:p w14:paraId="6C2A644C" w14:textId="77777777" w:rsidR="00CF4A94" w:rsidRPr="006F7DEB" w:rsidRDefault="00CF4A94" w:rsidP="00CF4A94">
      <w:pPr>
        <w:spacing w:after="120" w:line="276" w:lineRule="auto"/>
        <w:ind w:left="737" w:right="283"/>
        <w:rPr>
          <w:rFonts w:asciiTheme="minorHAnsi" w:hAnsiTheme="minorHAnsi" w:cstheme="minorHAnsi"/>
          <w14:numForm w14:val="lining"/>
          <w14:numSpacing w14:val="proportional"/>
        </w:rPr>
      </w:pPr>
      <w:r w:rsidRPr="006F7DEB">
        <w:rPr>
          <w:rFonts w:asciiTheme="minorHAnsi" w:hAnsiTheme="minorHAnsi" w:cstheme="minorHAnsi"/>
          <w14:numForm w14:val="lining"/>
          <w14:numSpacing w14:val="proportional"/>
        </w:rPr>
        <w:t>“Electrolysers have been around for 200 years, however the large amounts of renewable electricity required to produce green hydrogen and the overall cost of electrolysers today has prevented large-scale uptake of green hydrogen,” said Professor Swiegers, Chief Technology Officer at Hysata.</w:t>
      </w:r>
    </w:p>
    <w:p w14:paraId="315699D7" w14:textId="0CA0C9D8" w:rsidR="00CF4A94" w:rsidRPr="006F7DEB" w:rsidRDefault="00CF4A94" w:rsidP="00CF4A94">
      <w:pPr>
        <w:spacing w:after="120" w:line="276" w:lineRule="auto"/>
        <w:ind w:left="737" w:right="283"/>
        <w:rPr>
          <w:rFonts w:asciiTheme="minorHAnsi" w:hAnsiTheme="minorHAnsi"/>
          <w14:numForm w14:val="lining"/>
          <w14:numSpacing w14:val="proportional"/>
        </w:rPr>
      </w:pPr>
      <w:r w:rsidRPr="342F2CB6">
        <w:rPr>
          <w:rFonts w:asciiTheme="minorHAnsi" w:hAnsiTheme="minorHAnsi"/>
          <w14:numForm w14:val="lining"/>
          <w14:numSpacing w14:val="proportional"/>
        </w:rPr>
        <w:t>“Green hydrogen is forecast to be a trillion-dollar industry with the backbone of this industry being the electrolyser. Given the urgency to reach net zero, we are gearing up to scale up as quickly as possible. The elegant design of our electrolyser is perfectly suited to mass production,” said Paul Barrett, Hysata CEO.</w:t>
      </w:r>
      <w:r w:rsidRPr="342F2CB6">
        <w:rPr>
          <w:rStyle w:val="EndnoteReference"/>
          <w:rFonts w:asciiTheme="minorHAnsi" w:hAnsiTheme="minorHAnsi"/>
        </w:rPr>
        <w:endnoteReference w:id="65"/>
      </w:r>
    </w:p>
    <w:p w14:paraId="4AF79E6A" w14:textId="77777777" w:rsidR="00CF4A94" w:rsidRDefault="00CF4A94">
      <w:pPr>
        <w:rPr>
          <w:rFonts w:eastAsiaTheme="majorEastAsia" w:cstheme="majorBidi"/>
          <w:b/>
          <w:sz w:val="32"/>
          <w:szCs w:val="24"/>
        </w:rPr>
      </w:pPr>
      <w:r>
        <w:br w:type="page"/>
      </w:r>
    </w:p>
    <w:p w14:paraId="401BC79A" w14:textId="28A26A97" w:rsidR="00EE37C8" w:rsidRPr="00E5087D" w:rsidRDefault="00EE37C8" w:rsidP="000440B3">
      <w:pPr>
        <w:pStyle w:val="Heading3"/>
      </w:pPr>
      <w:r w:rsidRPr="00E5087D">
        <w:t>Secondary education</w:t>
      </w:r>
    </w:p>
    <w:p w14:paraId="04C52528" w14:textId="046F02B6" w:rsidR="00EE37C8" w:rsidRPr="00E5087D" w:rsidRDefault="00EE37C8" w:rsidP="008E6CE4">
      <w:pPr>
        <w:spacing w:after="80" w:line="276" w:lineRule="auto"/>
        <w:rPr>
          <w14:numForm w14:val="lining"/>
          <w14:numSpacing w14:val="proportional"/>
        </w:rPr>
      </w:pPr>
      <w:r w:rsidRPr="00E5087D">
        <w:rPr>
          <w14:numForm w14:val="lining"/>
          <w14:numSpacing w14:val="proportional"/>
        </w:rPr>
        <w:t xml:space="preserve">Both tertiary </w:t>
      </w:r>
      <w:r w:rsidR="00C03F16">
        <w:rPr>
          <w14:numForm w14:val="lining"/>
          <w14:numSpacing w14:val="proportional"/>
        </w:rPr>
        <w:t>sectors</w:t>
      </w:r>
      <w:r w:rsidRPr="00E5087D">
        <w:rPr>
          <w14:numForm w14:val="lining"/>
          <w14:numSpacing w14:val="proportional"/>
        </w:rPr>
        <w:t xml:space="preserve"> rely on the output of Australia’s school system</w:t>
      </w:r>
      <w:r w:rsidR="00C03F16">
        <w:rPr>
          <w14:numForm w14:val="lining"/>
          <w14:numSpacing w14:val="proportional"/>
        </w:rPr>
        <w:t>;</w:t>
      </w:r>
      <w:r w:rsidRPr="00E5087D">
        <w:rPr>
          <w14:numForm w14:val="lining"/>
          <w14:numSpacing w14:val="proportional"/>
        </w:rPr>
        <w:t xml:space="preserve"> not just the number of students but how they are supported. Schools help students:</w:t>
      </w:r>
    </w:p>
    <w:p w14:paraId="1A2F2A94" w14:textId="242B7CD0" w:rsidR="00EE37C8" w:rsidRPr="00E5087D" w:rsidRDefault="00EE37C8" w:rsidP="00F25595">
      <w:pPr>
        <w:pStyle w:val="ListParagraph"/>
        <w:numPr>
          <w:ilvl w:val="0"/>
          <w:numId w:val="64"/>
        </w:numPr>
        <w:spacing w:after="0" w:line="276" w:lineRule="auto"/>
        <w:contextualSpacing w:val="0"/>
        <w:rPr>
          <w14:numForm w14:val="lining"/>
          <w14:numSpacing w14:val="proportional"/>
        </w:rPr>
      </w:pPr>
      <w:r w:rsidRPr="00E5087D">
        <w:rPr>
          <w14:numForm w14:val="lining"/>
          <w14:numSpacing w14:val="proportional"/>
        </w:rPr>
        <w:t xml:space="preserve">gain an </w:t>
      </w:r>
      <w:r w:rsidR="006B6371">
        <w:rPr>
          <w14:numForm w14:val="lining"/>
          <w14:numSpacing w14:val="proportional"/>
        </w:rPr>
        <w:t xml:space="preserve">understanding of and </w:t>
      </w:r>
      <w:r w:rsidRPr="00E5087D">
        <w:rPr>
          <w14:numForm w14:val="lining"/>
          <w14:numSpacing w14:val="proportional"/>
        </w:rPr>
        <w:t>interest in clean energy roles</w:t>
      </w:r>
    </w:p>
    <w:p w14:paraId="1E812857" w14:textId="25C4D924" w:rsidR="00EE37C8" w:rsidRPr="00E5087D" w:rsidRDefault="00EE37C8" w:rsidP="00F25595">
      <w:pPr>
        <w:pStyle w:val="ListParagraph"/>
        <w:numPr>
          <w:ilvl w:val="0"/>
          <w:numId w:val="64"/>
        </w:numPr>
        <w:spacing w:before="120" w:after="120" w:line="276" w:lineRule="auto"/>
      </w:pPr>
      <w:r w:rsidRPr="00E5087D">
        <w:rPr>
          <w14:numForm w14:val="lining"/>
          <w14:numSpacing w14:val="proportional"/>
        </w:rPr>
        <w:t xml:space="preserve">navigate </w:t>
      </w:r>
      <w:r w:rsidR="006B6371">
        <w:rPr>
          <w14:numForm w14:val="lining"/>
          <w14:numSpacing w14:val="proportional"/>
        </w:rPr>
        <w:t xml:space="preserve">different </w:t>
      </w:r>
      <w:r w:rsidRPr="00E5087D">
        <w:rPr>
          <w14:numForm w14:val="lining"/>
          <w14:numSpacing w14:val="proportional"/>
        </w:rPr>
        <w:t>tertiary pathways</w:t>
      </w:r>
    </w:p>
    <w:p w14:paraId="5BF54A66" w14:textId="77777777" w:rsidR="00EE37C8" w:rsidRPr="00E5087D" w:rsidRDefault="00EE37C8" w:rsidP="00F25595">
      <w:pPr>
        <w:pStyle w:val="ListParagraph"/>
        <w:numPr>
          <w:ilvl w:val="0"/>
          <w:numId w:val="64"/>
        </w:numPr>
        <w:spacing w:after="120" w:line="276" w:lineRule="auto"/>
        <w:rPr>
          <w14:numForm w14:val="lining"/>
          <w14:numSpacing w14:val="proportional"/>
        </w:rPr>
      </w:pPr>
      <w:r w:rsidRPr="00E5087D">
        <w:rPr>
          <w14:numForm w14:val="lining"/>
          <w14:numSpacing w14:val="proportional"/>
        </w:rPr>
        <w:t>acquire prerequisite skills for tertiary education.</w:t>
      </w:r>
    </w:p>
    <w:p w14:paraId="6A486B70" w14:textId="20BD8D15" w:rsidR="00B20762" w:rsidRDefault="000F41C1" w:rsidP="00712AC0">
      <w:pPr>
        <w:spacing w:after="240" w:line="276" w:lineRule="auto"/>
      </w:pPr>
      <w:r>
        <w:rPr>
          <w14:numForm w14:val="lining"/>
          <w14:numSpacing w14:val="proportional"/>
        </w:rPr>
        <w:t>Labour market outcomes are substantially lower for people who have not completed Year 12</w:t>
      </w:r>
      <w:r w:rsidR="00C37281">
        <w:rPr>
          <w14:numForm w14:val="lining"/>
          <w14:numSpacing w14:val="proportional"/>
        </w:rPr>
        <w:t xml:space="preserve"> </w:t>
      </w:r>
      <w:r w:rsidR="00E431B0">
        <w:rPr>
          <w14:numForm w14:val="lining"/>
          <w14:numSpacing w14:val="proportional"/>
        </w:rPr>
        <w:t>(Figure 4.14)</w:t>
      </w:r>
      <w:r>
        <w:rPr>
          <w14:numForm w14:val="lining"/>
          <w14:numSpacing w14:val="proportional"/>
        </w:rPr>
        <w:t xml:space="preserve">. </w:t>
      </w:r>
      <w:r w:rsidR="008679C5">
        <w:rPr>
          <w14:numForm w14:val="lining"/>
          <w14:numSpacing w14:val="proportional"/>
        </w:rPr>
        <w:t>Concerningly, s</w:t>
      </w:r>
      <w:r w:rsidR="00B20762">
        <w:rPr>
          <w14:numForm w14:val="lining"/>
          <w14:numSpacing w14:val="proportional"/>
        </w:rPr>
        <w:t xml:space="preserve">econdary education attainment is </w:t>
      </w:r>
      <w:r w:rsidR="008679C5">
        <w:rPr>
          <w14:numForm w14:val="lining"/>
          <w14:numSpacing w14:val="proportional"/>
        </w:rPr>
        <w:t xml:space="preserve">also much lower in regions that are reliant on transitioning industries, </w:t>
      </w:r>
      <w:r w:rsidR="000116C8">
        <w:rPr>
          <w14:numForm w14:val="lining"/>
          <w14:numSpacing w14:val="proportional"/>
        </w:rPr>
        <w:t>like Gippsland and the Hunter Valley</w:t>
      </w:r>
      <w:r w:rsidR="00B514C5">
        <w:rPr>
          <w14:numForm w14:val="lining"/>
          <w14:numSpacing w14:val="proportional"/>
        </w:rPr>
        <w:t xml:space="preserve"> (Figure 4.15)</w:t>
      </w:r>
      <w:r w:rsidR="008679C5">
        <w:rPr>
          <w14:numForm w14:val="lining"/>
          <w14:numSpacing w14:val="proportional"/>
        </w:rPr>
        <w:t>.</w:t>
      </w:r>
      <w:r w:rsidR="000116C8">
        <w:rPr>
          <w14:numForm w14:val="lining"/>
          <w14:numSpacing w14:val="proportional"/>
        </w:rPr>
        <w:t xml:space="preserve"> This </w:t>
      </w:r>
      <w:r w:rsidR="00707B42">
        <w:rPr>
          <w14:numForm w14:val="lining"/>
          <w14:numSpacing w14:val="proportional"/>
        </w:rPr>
        <w:t xml:space="preserve">may limit the ability of some regions to grow new and energy sectors which </w:t>
      </w:r>
      <w:r w:rsidR="00B648FF">
        <w:rPr>
          <w14:numForm w14:val="lining"/>
          <w14:numSpacing w14:val="proportional"/>
        </w:rPr>
        <w:t>have</w:t>
      </w:r>
      <w:r w:rsidR="00707B42">
        <w:rPr>
          <w14:numForm w14:val="lining"/>
          <w14:numSpacing w14:val="proportional"/>
        </w:rPr>
        <w:t xml:space="preserve"> higher skill requirements.</w:t>
      </w:r>
    </w:p>
    <w:p w14:paraId="21BEC5FC" w14:textId="4C884E2C" w:rsidR="00D15488" w:rsidRPr="00712AC0" w:rsidRDefault="00D15488" w:rsidP="004F731C">
      <w:pPr>
        <w:pBdr>
          <w:top w:val="single" w:sz="4" w:space="6" w:color="A6A6A6" w:themeColor="background1" w:themeShade="A6"/>
        </w:pBdr>
        <w:spacing w:after="0" w:line="276" w:lineRule="auto"/>
        <w:rPr>
          <w:b/>
          <w:bCs/>
          <w14:numForm w14:val="lining"/>
          <w14:numSpacing w14:val="proportional"/>
        </w:rPr>
      </w:pPr>
      <w:r w:rsidRPr="00712AC0">
        <w:rPr>
          <w:b/>
          <w:bCs/>
          <w14:numForm w14:val="lining"/>
          <w14:numSpacing w14:val="proportional"/>
        </w:rPr>
        <w:t xml:space="preserve">Figure </w:t>
      </w:r>
      <w:r w:rsidR="00187ACE">
        <w:rPr>
          <w:b/>
          <w:bCs/>
          <w14:numForm w14:val="lining"/>
          <w14:numSpacing w14:val="proportional"/>
        </w:rPr>
        <w:t>4.14</w:t>
      </w:r>
      <w:r w:rsidRPr="00712AC0">
        <w:rPr>
          <w:b/>
          <w:bCs/>
          <w14:numForm w14:val="lining"/>
          <w14:numSpacing w14:val="proportional"/>
        </w:rPr>
        <w:t>.</w:t>
      </w:r>
      <w:r w:rsidR="00712AC0" w:rsidRPr="00712AC0">
        <w:rPr>
          <w:b/>
          <w:bCs/>
          <w14:numForm w14:val="lining"/>
          <w14:numSpacing w14:val="proportional"/>
        </w:rPr>
        <w:t xml:space="preserve"> Labour market outcomes by </w:t>
      </w:r>
      <w:r w:rsidR="00F54CDD">
        <w:rPr>
          <w:b/>
          <w:bCs/>
          <w14:numForm w14:val="lining"/>
          <w14:numSpacing w14:val="proportional"/>
        </w:rPr>
        <w:t xml:space="preserve">highest </w:t>
      </w:r>
      <w:r w:rsidR="00712AC0" w:rsidRPr="00712AC0">
        <w:rPr>
          <w:b/>
          <w:bCs/>
          <w14:numForm w14:val="lining"/>
          <w14:numSpacing w14:val="proportional"/>
        </w:rPr>
        <w:t>level of education attainment</w:t>
      </w:r>
    </w:p>
    <w:p w14:paraId="2D869FEA" w14:textId="684F2E9F" w:rsidR="004F731C" w:rsidRDefault="00316E61" w:rsidP="003D0DF4">
      <w:pPr>
        <w:spacing w:after="0" w:line="276" w:lineRule="auto"/>
        <w:rPr>
          <w:sz w:val="18"/>
          <w:szCs w:val="18"/>
          <w14:numForm w14:val="lining"/>
          <w14:numSpacing w14:val="proportional"/>
        </w:rPr>
      </w:pPr>
      <w:r>
        <w:rPr>
          <w:noProof/>
        </w:rPr>
        <w:drawing>
          <wp:inline distT="0" distB="0" distL="0" distR="0" wp14:anchorId="40BC8A30" wp14:editId="5957F080">
            <wp:extent cx="5731510" cy="3684270"/>
            <wp:effectExtent l="0" t="0" r="2540" b="0"/>
            <wp:docPr id="1404722325" name="Graphic 1404722325" descr="This figure shows labour market outcomes by highest level of education attainment for people with qualifications spanning Year 10 or below up to Bachelor degree or higher. It shows that there is a positive relationship between the participation rate and the level of education attainment. The figure also shows the unemployment rate is highest for those who have no completed Year 12 or equival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22325" name="Graphic 1404722325" descr="This figure shows labour market outcomes by highest level of education attainment for people with qualifications spanning Year 10 or below up to Bachelor degree or higher. It shows that there is a positive relationship between the participation rate and the level of education attainment. The figure also shows the unemployment rate is highest for those who have no completed Year 12 or equivalent. &#10;"/>
                    <pic:cNvPicPr/>
                  </pic:nvPicPr>
                  <pic:blipFill>
                    <a:blip r:embed="rId129">
                      <a:extLst>
                        <a:ext uri="{96DAC541-7B7A-43D3-8B79-37D633B846F1}">
                          <asvg:svgBlip xmlns:asvg="http://schemas.microsoft.com/office/drawing/2016/SVG/main" r:embed="rId130"/>
                        </a:ext>
                      </a:extLst>
                    </a:blip>
                    <a:stretch>
                      <a:fillRect/>
                    </a:stretch>
                  </pic:blipFill>
                  <pic:spPr>
                    <a:xfrm>
                      <a:off x="0" y="0"/>
                      <a:ext cx="5731510" cy="3684270"/>
                    </a:xfrm>
                    <a:prstGeom prst="rect">
                      <a:avLst/>
                    </a:prstGeom>
                  </pic:spPr>
                </pic:pic>
              </a:graphicData>
            </a:graphic>
          </wp:inline>
        </w:drawing>
      </w:r>
      <w:r w:rsidR="00712AC0" w:rsidRPr="008B34FD">
        <w:rPr>
          <w:sz w:val="18"/>
          <w:szCs w:val="18"/>
          <w14:numForm w14:val="lining"/>
          <w14:numSpacing w14:val="proportional"/>
        </w:rPr>
        <w:t>Source:</w:t>
      </w:r>
      <w:r w:rsidR="008B34FD" w:rsidRPr="008B34FD">
        <w:rPr>
          <w:sz w:val="18"/>
          <w:szCs w:val="18"/>
          <w14:numForm w14:val="lining"/>
          <w14:numSpacing w14:val="proportional"/>
        </w:rPr>
        <w:t xml:space="preserve"> ABS Census of Population and Housing, 2021</w:t>
      </w:r>
    </w:p>
    <w:p w14:paraId="77B4BB2C" w14:textId="77777777" w:rsidR="009527A5" w:rsidRPr="003E4D30" w:rsidRDefault="009527A5" w:rsidP="009527A5">
      <w:pPr>
        <w:spacing w:before="360" w:after="0" w:line="276" w:lineRule="auto"/>
        <w:rPr>
          <w14:numForm w14:val="lining"/>
          <w14:numSpacing w14:val="proportional"/>
        </w:rPr>
      </w:pPr>
      <w:r w:rsidRPr="003E4D30">
        <w:rPr>
          <w14:numForm w14:val="lining"/>
          <w14:numSpacing w14:val="proportional"/>
        </w:rPr>
        <w:t>In many ways, clean energy careers might not seem as straightforward or recognisable as careers in other industries. As there aren’t jobs specifically labelled as 'clean energy’, it may be challenging to see how traditional roles, such as engineering and trades, can align with the growing clean energy sector.</w:t>
      </w:r>
    </w:p>
    <w:p w14:paraId="02BD55FB" w14:textId="637B09EC" w:rsidR="009527A5" w:rsidRDefault="009527A5">
      <w:pPr>
        <w:rPr>
          <w:sz w:val="18"/>
          <w:szCs w:val="18"/>
          <w14:numForm w14:val="lining"/>
          <w14:numSpacing w14:val="proportional"/>
        </w:rPr>
      </w:pPr>
      <w:r>
        <w:rPr>
          <w:sz w:val="18"/>
          <w:szCs w:val="18"/>
          <w14:numForm w14:val="lining"/>
          <w14:numSpacing w14:val="proportional"/>
        </w:rPr>
        <w:br w:type="page"/>
      </w:r>
    </w:p>
    <w:p w14:paraId="25A83BDC" w14:textId="6F613C75" w:rsidR="004F731C" w:rsidRDefault="003D0DF4" w:rsidP="004F731C">
      <w:pPr>
        <w:pBdr>
          <w:top w:val="single" w:sz="4" w:space="6" w:color="A6A6A6" w:themeColor="background1" w:themeShade="A6"/>
        </w:pBdr>
        <w:spacing w:after="0" w:line="276" w:lineRule="auto"/>
        <w:rPr>
          <w:b/>
          <w:bCs/>
          <w14:numForm w14:val="lining"/>
          <w14:numSpacing w14:val="proportional"/>
        </w:rPr>
      </w:pPr>
      <w:r w:rsidRPr="004F731C">
        <w:rPr>
          <w:b/>
          <w:bCs/>
          <w14:numForm w14:val="lining"/>
          <w14:numSpacing w14:val="proportional"/>
        </w:rPr>
        <w:t xml:space="preserve">Figure </w:t>
      </w:r>
      <w:r w:rsidR="00B20784">
        <w:rPr>
          <w:b/>
          <w:bCs/>
          <w14:numForm w14:val="lining"/>
          <w14:numSpacing w14:val="proportional"/>
        </w:rPr>
        <w:t>4.15</w:t>
      </w:r>
      <w:r w:rsidRPr="004F731C">
        <w:rPr>
          <w:b/>
          <w:bCs/>
          <w14:numForm w14:val="lining"/>
          <w14:numSpacing w14:val="proportional"/>
        </w:rPr>
        <w:t xml:space="preserve">. </w:t>
      </w:r>
      <w:r w:rsidR="00042247">
        <w:rPr>
          <w:b/>
          <w:bCs/>
          <w14:numForm w14:val="lining"/>
          <w14:numSpacing w14:val="proportional"/>
        </w:rPr>
        <w:t>Proportion of population with h</w:t>
      </w:r>
      <w:r w:rsidR="004F731C" w:rsidRPr="004F731C">
        <w:rPr>
          <w:b/>
          <w:bCs/>
          <w14:numForm w14:val="lining"/>
          <w14:numSpacing w14:val="proportional"/>
        </w:rPr>
        <w:t xml:space="preserve">ighest level of educational attainment below </w:t>
      </w:r>
      <w:r w:rsidR="0072422A">
        <w:rPr>
          <w:b/>
          <w:bCs/>
          <w14:numForm w14:val="lining"/>
          <w14:numSpacing w14:val="proportional"/>
        </w:rPr>
        <w:t>Y</w:t>
      </w:r>
      <w:r w:rsidR="004F731C" w:rsidRPr="004F731C">
        <w:rPr>
          <w:b/>
          <w:bCs/>
          <w14:numForm w14:val="lining"/>
          <w14:numSpacing w14:val="proportional"/>
        </w:rPr>
        <w:t>ear 12</w:t>
      </w:r>
      <w:r w:rsidR="00262655">
        <w:rPr>
          <w:b/>
          <w:bCs/>
          <w14:numForm w14:val="lining"/>
          <w14:numSpacing w14:val="proportional"/>
        </w:rPr>
        <w:t xml:space="preserve"> (aged 15+)</w:t>
      </w:r>
      <w:r w:rsidR="007E5F1B">
        <w:rPr>
          <w:b/>
          <w:bCs/>
          <w14:numForm w14:val="lining"/>
          <w14:numSpacing w14:val="proportional"/>
        </w:rPr>
        <w:t xml:space="preserve">, selected regions, 2021. </w:t>
      </w:r>
    </w:p>
    <w:p w14:paraId="4BFC2234" w14:textId="18FA1B8B" w:rsidR="003D0DF4" w:rsidRDefault="007E3B48" w:rsidP="004F731C">
      <w:pPr>
        <w:pBdr>
          <w:top w:val="single" w:sz="4" w:space="6" w:color="A6A6A6" w:themeColor="background1" w:themeShade="A6"/>
        </w:pBdr>
        <w:spacing w:after="0" w:line="276" w:lineRule="auto"/>
        <w:rPr>
          <w:b/>
          <w:bCs/>
          <w14:numForm w14:val="lining"/>
          <w14:numSpacing w14:val="proportional"/>
        </w:rPr>
      </w:pPr>
      <w:r>
        <w:rPr>
          <w:noProof/>
        </w:rPr>
        <w:drawing>
          <wp:inline distT="0" distB="0" distL="0" distR="0" wp14:anchorId="4DFF6821" wp14:editId="5D66C264">
            <wp:extent cx="5715000" cy="2209800"/>
            <wp:effectExtent l="0" t="0" r="0" b="0"/>
            <wp:docPr id="1341085343" name="Graphic 1341085343" descr="This figure captures the  proportion of population with highest level of educational attainment below Year 12 (aged 15+), for selected regions in 2021, compared to the national average. It shows that people from the Hunter, South West WA, Fitzroy and Gippsland region are less likely to have completed Year 12 than the national aver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43" name="Graphic 1341085343" descr="This figure captures the  proportion of population with highest level of educational attainment below Year 12 (aged 15+), for selected regions in 2021, compared to the national average. It shows that people from the Hunter, South West WA, Fitzroy and Gippsland region are less likely to have completed Year 12 than the national average. &#10;"/>
                    <pic:cNvPicPr/>
                  </pic:nvPicPr>
                  <pic:blipFill>
                    <a:blip r:embed="rId131">
                      <a:extLst>
                        <a:ext uri="{96DAC541-7B7A-43D3-8B79-37D633B846F1}">
                          <asvg:svgBlip xmlns:asvg="http://schemas.microsoft.com/office/drawing/2016/SVG/main" r:embed="rId132"/>
                        </a:ext>
                      </a:extLst>
                    </a:blip>
                    <a:stretch>
                      <a:fillRect/>
                    </a:stretch>
                  </pic:blipFill>
                  <pic:spPr>
                    <a:xfrm>
                      <a:off x="0" y="0"/>
                      <a:ext cx="5715000" cy="2209800"/>
                    </a:xfrm>
                    <a:prstGeom prst="rect">
                      <a:avLst/>
                    </a:prstGeom>
                  </pic:spPr>
                </pic:pic>
              </a:graphicData>
            </a:graphic>
          </wp:inline>
        </w:drawing>
      </w:r>
      <w:r w:rsidR="004F731C" w:rsidRPr="004F731C">
        <w:rPr>
          <w:b/>
          <w:bCs/>
          <w14:numForm w14:val="lining"/>
          <w14:numSpacing w14:val="proportional"/>
        </w:rPr>
        <w:t xml:space="preserve"> </w:t>
      </w:r>
    </w:p>
    <w:p w14:paraId="2FD63A2B" w14:textId="77777777" w:rsidR="004855F6" w:rsidRDefault="007E3B48" w:rsidP="004F731C">
      <w:pPr>
        <w:pBdr>
          <w:top w:val="single" w:sz="4" w:space="6" w:color="A6A6A6" w:themeColor="background1" w:themeShade="A6"/>
        </w:pBdr>
        <w:spacing w:after="0" w:line="276" w:lineRule="auto"/>
        <w:rPr>
          <w:sz w:val="18"/>
          <w:szCs w:val="18"/>
          <w14:numForm w14:val="lining"/>
          <w14:numSpacing w14:val="proportional"/>
        </w:rPr>
      </w:pPr>
      <w:r w:rsidRPr="00B53BA1">
        <w:rPr>
          <w:sz w:val="18"/>
          <w:szCs w:val="18"/>
          <w14:numForm w14:val="lining"/>
          <w14:numSpacing w14:val="proportional"/>
        </w:rPr>
        <w:t xml:space="preserve">Source: </w:t>
      </w:r>
      <w:r w:rsidR="00B53BA1">
        <w:rPr>
          <w:sz w:val="18"/>
          <w:szCs w:val="18"/>
          <w14:numForm w14:val="lining"/>
          <w14:numSpacing w14:val="proportional"/>
        </w:rPr>
        <w:t>ABS Census of Population and Housing</w:t>
      </w:r>
      <w:r w:rsidR="005F55F8">
        <w:rPr>
          <w:sz w:val="18"/>
          <w:szCs w:val="18"/>
          <w14:numForm w14:val="lining"/>
          <w14:numSpacing w14:val="proportional"/>
        </w:rPr>
        <w:t>,</w:t>
      </w:r>
      <w:r w:rsidR="00042247">
        <w:rPr>
          <w:sz w:val="18"/>
          <w:szCs w:val="18"/>
          <w14:numForm w14:val="lining"/>
          <w14:numSpacing w14:val="proportional"/>
        </w:rPr>
        <w:t xml:space="preserve"> 2021</w:t>
      </w:r>
    </w:p>
    <w:p w14:paraId="40933937" w14:textId="594431D1" w:rsidR="007E3B48" w:rsidRPr="000116C8" w:rsidRDefault="006B3FEB" w:rsidP="000116C8">
      <w:pPr>
        <w:pBdr>
          <w:top w:val="single" w:sz="4" w:space="6" w:color="A6A6A6" w:themeColor="background1" w:themeShade="A6"/>
        </w:pBdr>
        <w:spacing w:after="0" w:line="240" w:lineRule="auto"/>
        <w:rPr>
          <w:sz w:val="16"/>
          <w:szCs w:val="16"/>
          <w14:numForm w14:val="lining"/>
          <w14:numSpacing w14:val="proportional"/>
        </w:rPr>
      </w:pPr>
      <w:r w:rsidRPr="000116C8">
        <w:rPr>
          <w:sz w:val="16"/>
          <w:szCs w:val="16"/>
          <w14:numForm w14:val="lining"/>
          <w14:numSpacing w14:val="proportional"/>
        </w:rPr>
        <w:t>Note: Employment regions at the ABS S</w:t>
      </w:r>
      <w:r w:rsidR="00717B18" w:rsidRPr="000116C8">
        <w:rPr>
          <w:sz w:val="16"/>
          <w:szCs w:val="16"/>
          <w14:numForm w14:val="lining"/>
          <w14:numSpacing w14:val="proportional"/>
        </w:rPr>
        <w:t xml:space="preserve">tatistical </w:t>
      </w:r>
      <w:r w:rsidRPr="000116C8">
        <w:rPr>
          <w:sz w:val="16"/>
          <w:szCs w:val="16"/>
          <w14:numForm w14:val="lining"/>
          <w14:numSpacing w14:val="proportional"/>
        </w:rPr>
        <w:t>A</w:t>
      </w:r>
      <w:r w:rsidR="00717B18" w:rsidRPr="000116C8">
        <w:rPr>
          <w:sz w:val="16"/>
          <w:szCs w:val="16"/>
          <w14:numForm w14:val="lining"/>
          <w14:numSpacing w14:val="proportional"/>
        </w:rPr>
        <w:t xml:space="preserve">rea </w:t>
      </w:r>
      <w:r w:rsidRPr="000116C8">
        <w:rPr>
          <w:sz w:val="16"/>
          <w:szCs w:val="16"/>
          <w14:numForm w14:val="lining"/>
          <w14:numSpacing w14:val="proportional"/>
        </w:rPr>
        <w:t xml:space="preserve">4 </w:t>
      </w:r>
      <w:r w:rsidR="00717B18" w:rsidRPr="000116C8">
        <w:rPr>
          <w:sz w:val="16"/>
          <w:szCs w:val="16"/>
          <w14:numForm w14:val="lining"/>
          <w14:numSpacing w14:val="proportional"/>
        </w:rPr>
        <w:t>(</w:t>
      </w:r>
      <w:r w:rsidRPr="000116C8">
        <w:rPr>
          <w:sz w:val="16"/>
          <w:szCs w:val="16"/>
          <w14:numForm w14:val="lining"/>
          <w14:numSpacing w14:val="proportional"/>
        </w:rPr>
        <w:t>SA4</w:t>
      </w:r>
      <w:r w:rsidR="00717B18" w:rsidRPr="000116C8">
        <w:rPr>
          <w:sz w:val="16"/>
          <w:szCs w:val="16"/>
          <w14:numForm w14:val="lining"/>
          <w14:numSpacing w14:val="proportional"/>
        </w:rPr>
        <w:t>)</w:t>
      </w:r>
      <w:r w:rsidR="005F46FC" w:rsidRPr="000116C8">
        <w:rPr>
          <w:sz w:val="16"/>
          <w:szCs w:val="16"/>
          <w14:numForm w14:val="lining"/>
          <w14:numSpacing w14:val="proportional"/>
        </w:rPr>
        <w:t xml:space="preserve"> detailed below.</w:t>
      </w:r>
    </w:p>
    <w:p w14:paraId="3B175BC7" w14:textId="0585E0F4" w:rsidR="00717B18" w:rsidRPr="000116C8" w:rsidRDefault="00324D73" w:rsidP="000116C8">
      <w:pPr>
        <w:pBdr>
          <w:top w:val="single" w:sz="4" w:space="6" w:color="A6A6A6" w:themeColor="background1" w:themeShade="A6"/>
        </w:pBdr>
        <w:spacing w:after="0" w:line="240" w:lineRule="auto"/>
        <w:rPr>
          <w:sz w:val="16"/>
          <w:szCs w:val="16"/>
          <w14:numForm w14:val="lining"/>
          <w14:numSpacing w14:val="proportional"/>
        </w:rPr>
      </w:pPr>
      <w:r w:rsidRPr="000116C8">
        <w:rPr>
          <w:sz w:val="16"/>
          <w:szCs w:val="16"/>
          <w14:numForm w14:val="lining"/>
          <w14:numSpacing w14:val="proportional"/>
        </w:rPr>
        <w:t xml:space="preserve">Hunter: Hunter Valley excluding Newcastle </w:t>
      </w:r>
      <w:r w:rsidR="005F7432">
        <w:rPr>
          <w:sz w:val="16"/>
          <w:szCs w:val="16"/>
          <w14:numForm w14:val="lining"/>
          <w14:numSpacing w14:val="proportional"/>
        </w:rPr>
        <w:t>and Newcastle and Lake Macquarie combined</w:t>
      </w:r>
      <w:r w:rsidR="0046509F">
        <w:rPr>
          <w:sz w:val="16"/>
          <w:szCs w:val="16"/>
          <w14:numForm w14:val="lining"/>
          <w14:numSpacing w14:val="proportional"/>
        </w:rPr>
        <w:t xml:space="preserve"> </w:t>
      </w:r>
      <w:r w:rsidRPr="000116C8">
        <w:rPr>
          <w:sz w:val="16"/>
          <w:szCs w:val="16"/>
          <w14:numForm w14:val="lining"/>
          <w14:numSpacing w14:val="proportional"/>
        </w:rPr>
        <w:t>SA4</w:t>
      </w:r>
      <w:r w:rsidR="0046509F">
        <w:rPr>
          <w:sz w:val="16"/>
          <w:szCs w:val="16"/>
          <w14:numForm w14:val="lining"/>
          <w14:numSpacing w14:val="proportional"/>
        </w:rPr>
        <w:t>s</w:t>
      </w:r>
      <w:r w:rsidRPr="000116C8">
        <w:rPr>
          <w:sz w:val="16"/>
          <w:szCs w:val="16"/>
          <w14:numForm w14:val="lining"/>
          <w14:numSpacing w14:val="proportional"/>
        </w:rPr>
        <w:t xml:space="preserve">, South West Western Australia: Bunbury SA4, Fitzroy: Central Queensland SA4, </w:t>
      </w:r>
      <w:r w:rsidR="00717B18" w:rsidRPr="000116C8">
        <w:rPr>
          <w:sz w:val="16"/>
          <w:szCs w:val="16"/>
          <w14:numForm w14:val="lining"/>
          <w14:numSpacing w14:val="proportional"/>
        </w:rPr>
        <w:t xml:space="preserve">Gippsland: Latrobe Gippsland </w:t>
      </w:r>
      <w:r w:rsidRPr="000116C8">
        <w:rPr>
          <w:sz w:val="16"/>
          <w:szCs w:val="16"/>
          <w14:numForm w14:val="lining"/>
          <w14:numSpacing w14:val="proportional"/>
        </w:rPr>
        <w:t>SA4</w:t>
      </w:r>
    </w:p>
    <w:p w14:paraId="269AA99A" w14:textId="43898434" w:rsidR="00EE37C8" w:rsidRPr="00E5087D" w:rsidRDefault="00EE37C8" w:rsidP="00E973C1">
      <w:pPr>
        <w:spacing w:before="240" w:after="120" w:line="240" w:lineRule="auto"/>
        <w:rPr>
          <w:b/>
          <w:bCs/>
          <w14:numForm w14:val="lining"/>
          <w14:numSpacing w14:val="proportional"/>
        </w:rPr>
      </w:pPr>
      <w:r w:rsidRPr="00E5087D">
        <w:rPr>
          <w:b/>
          <w:bCs/>
          <w14:numForm w14:val="lining"/>
          <w14:numSpacing w14:val="proportional"/>
        </w:rPr>
        <w:t>STEM skills</w:t>
      </w:r>
    </w:p>
    <w:p w14:paraId="16693B69" w14:textId="56CD3D22" w:rsidR="00EE37C8" w:rsidRPr="00C31752" w:rsidRDefault="00EE37C8" w:rsidP="00EE37C8">
      <w:pPr>
        <w:spacing w:after="120" w:line="276" w:lineRule="auto"/>
        <w:rPr>
          <w14:numForm w14:val="lining"/>
          <w14:numSpacing w14:val="proportional"/>
        </w:rPr>
      </w:pPr>
      <w:r w:rsidRPr="00C31752">
        <w:rPr>
          <w14:numForm w14:val="lining"/>
          <w14:numSpacing w14:val="proportional"/>
        </w:rPr>
        <w:t>While STEM subjects are certainly not the only subjects relevant to clean energy</w:t>
      </w:r>
      <w:r w:rsidR="001954B8" w:rsidRPr="00C31752">
        <w:rPr>
          <w14:numForm w14:val="lining"/>
          <w14:numSpacing w14:val="proportional"/>
        </w:rPr>
        <w:t xml:space="preserve"> occupations</w:t>
      </w:r>
      <w:r w:rsidRPr="00C31752">
        <w:rPr>
          <w14:numForm w14:val="lining"/>
          <w14:numSpacing w14:val="proportional"/>
        </w:rPr>
        <w:t xml:space="preserve">, they are crucial to a variety of </w:t>
      </w:r>
      <w:r w:rsidR="006B20B2" w:rsidRPr="00C31752">
        <w:rPr>
          <w14:numForm w14:val="lining"/>
          <w14:numSpacing w14:val="proportional"/>
        </w:rPr>
        <w:t>critical clean energy occupations</w:t>
      </w:r>
      <w:r w:rsidRPr="00C31752">
        <w:rPr>
          <w14:numForm w14:val="lining"/>
          <w14:numSpacing w14:val="proportional"/>
        </w:rPr>
        <w:t>. Despite this, the proportion of Year 12 students studying advanced mathematics</w:t>
      </w:r>
      <w:r w:rsidR="00F741FC" w:rsidRPr="00C31752">
        <w:rPr>
          <w14:numForm w14:val="lining"/>
          <w14:numSpacing w14:val="proportional"/>
        </w:rPr>
        <w:t xml:space="preserve"> </w:t>
      </w:r>
      <w:r w:rsidRPr="00C31752">
        <w:rPr>
          <w14:numForm w14:val="lining"/>
          <w14:numSpacing w14:val="proportional"/>
        </w:rPr>
        <w:t>has gradually declined, as has performance. Australian schools are also experiencing severe teacher shortages, with many STEM subjects being taught by out-of-field teachers in 2020.</w:t>
      </w:r>
      <w:r w:rsidRPr="00C31752">
        <w:rPr>
          <w:rStyle w:val="EndnoteReference"/>
          <w14:numForm w14:val="lining"/>
          <w14:numSpacing w14:val="proportional"/>
        </w:rPr>
        <w:endnoteReference w:id="66"/>
      </w:r>
      <w:r w:rsidRPr="00C31752">
        <w:rPr>
          <w14:numForm w14:val="lining"/>
          <w14:numSpacing w14:val="proportional"/>
        </w:rPr>
        <w:t xml:space="preserve"> </w:t>
      </w:r>
      <w:r w:rsidR="00520C53" w:rsidRPr="00C31752">
        <w:rPr>
          <w14:numForm w14:val="lining"/>
          <w14:numSpacing w14:val="proportional"/>
        </w:rPr>
        <w:t xml:space="preserve">Without school level courses and teachers </w:t>
      </w:r>
      <w:r w:rsidR="00093A11" w:rsidRPr="00C31752">
        <w:rPr>
          <w14:numForm w14:val="lining"/>
          <w14:numSpacing w14:val="proportional"/>
        </w:rPr>
        <w:t>to inspire students, Australia won’t be able to increase commencements in critical fields.</w:t>
      </w:r>
    </w:p>
    <w:p w14:paraId="5E18E30A" w14:textId="68807FA1" w:rsidR="00EE37C8" w:rsidRPr="00C31752" w:rsidRDefault="00EE37C8" w:rsidP="00EE37C8">
      <w:pPr>
        <w:spacing w:after="120" w:line="276" w:lineRule="auto"/>
        <w:rPr>
          <w14:numForm w14:val="lining"/>
          <w14:numSpacing w14:val="proportional"/>
        </w:rPr>
      </w:pPr>
      <w:r w:rsidRPr="00C31752">
        <w:rPr>
          <w14:numForm w14:val="lining"/>
          <w14:numSpacing w14:val="proportional"/>
        </w:rPr>
        <w:t>In 2021, over 60% of students said that studying STEM wasn’t related to their desired career.</w:t>
      </w:r>
      <w:r w:rsidRPr="00C31752">
        <w:rPr>
          <w:rStyle w:val="EndnoteReference"/>
          <w14:numForm w14:val="lining"/>
          <w14:numSpacing w14:val="proportional"/>
        </w:rPr>
        <w:endnoteReference w:id="67"/>
      </w:r>
      <w:r w:rsidRPr="00C31752">
        <w:rPr>
          <w14:numForm w14:val="lining"/>
          <w14:numSpacing w14:val="proportional"/>
        </w:rPr>
        <w:t xml:space="preserve"> This indicates students’ lack of understanding of STEM skills linked to jobs in clean energy sector, as green jobs attract strong interest from young people globally — 77% of young people aspire to get a green job within next 10 years.</w:t>
      </w:r>
      <w:r w:rsidRPr="00C31752">
        <w:rPr>
          <w:rStyle w:val="EndnoteReference"/>
          <w14:numForm w14:val="lining"/>
          <w14:numSpacing w14:val="proportional"/>
        </w:rPr>
        <w:endnoteReference w:id="68"/>
      </w:r>
      <w:r w:rsidRPr="00C31752">
        <w:rPr>
          <w14:numForm w14:val="lining"/>
          <w14:numSpacing w14:val="proportional"/>
        </w:rPr>
        <w:t xml:space="preserve"> Early career guidance to school students could be beneficial to raise awareness of diverse career opportunities that apply STEM skills in the clean energy sector.</w:t>
      </w:r>
    </w:p>
    <w:p w14:paraId="7BCAE3CD" w14:textId="0755593B" w:rsidR="00EE37C8" w:rsidRPr="00C31752" w:rsidRDefault="00EE37C8" w:rsidP="00EE37C8">
      <w:pPr>
        <w:spacing w:after="120" w:line="276" w:lineRule="auto"/>
        <w:rPr>
          <w14:numForm w14:val="lining"/>
          <w14:numSpacing w14:val="proportional"/>
        </w:rPr>
      </w:pPr>
      <w:r w:rsidRPr="00C31752">
        <w:rPr>
          <w14:numForm w14:val="lining"/>
          <w14:numSpacing w14:val="proportional"/>
        </w:rPr>
        <w:t xml:space="preserve">Lower participation in STEM fields of education is more profound amongst diverse groups. In 2021, women comprised 37% of university STEM </w:t>
      </w:r>
      <w:r w:rsidR="00DC1944" w:rsidRPr="00C31752">
        <w:rPr>
          <w14:numForm w14:val="lining"/>
          <w14:numSpacing w14:val="proportional"/>
        </w:rPr>
        <w:t>related course</w:t>
      </w:r>
      <w:r w:rsidRPr="00C31752">
        <w:rPr>
          <w14:numForm w14:val="lining"/>
          <w14:numSpacing w14:val="proportional"/>
        </w:rPr>
        <w:t xml:space="preserve"> enrolments and only 17% of VET STEM enrolments.</w:t>
      </w:r>
      <w:r w:rsidRPr="00C31752">
        <w:rPr>
          <w:rStyle w:val="EndnoteReference"/>
          <w14:numForm w14:val="lining"/>
          <w14:numSpacing w14:val="proportional"/>
        </w:rPr>
        <w:endnoteReference w:id="69"/>
      </w:r>
      <w:r w:rsidRPr="00C31752">
        <w:rPr>
          <w14:numForm w14:val="lining"/>
          <w14:numSpacing w14:val="proportional"/>
        </w:rPr>
        <w:t xml:space="preserve"> </w:t>
      </w:r>
      <w:r w:rsidR="00493CEF" w:rsidRPr="00C31752">
        <w:rPr>
          <w14:numForm w14:val="lining"/>
          <w14:numSpacing w14:val="proportional"/>
        </w:rPr>
        <w:t>STEM enrolments also vary significantly by discipline, with women comprising 70% of health enrolments but only 9% of engineering.</w:t>
      </w:r>
      <w:r w:rsidR="00897006" w:rsidRPr="00C31752">
        <w:rPr>
          <w14:numForm w14:val="lining"/>
          <w14:numSpacing w14:val="proportional"/>
        </w:rPr>
        <w:t xml:space="preserve"> </w:t>
      </w:r>
      <w:r w:rsidRPr="00C31752">
        <w:rPr>
          <w14:numForm w14:val="lining"/>
          <w14:numSpacing w14:val="proportional"/>
        </w:rPr>
        <w:t>Trade apprenticeships had even lower female representation — only 5.6% of electrical apprenticeship commencements were female in 2021.</w:t>
      </w:r>
      <w:r w:rsidRPr="00C31752">
        <w:rPr>
          <w:rStyle w:val="EndnoteReference"/>
          <w14:numForm w14:val="lining"/>
          <w14:numSpacing w14:val="proportional"/>
        </w:rPr>
        <w:endnoteReference w:id="70"/>
      </w:r>
      <w:r w:rsidRPr="00C31752">
        <w:rPr>
          <w14:numForm w14:val="lining"/>
          <w14:numSpacing w14:val="proportional"/>
        </w:rPr>
        <w:t xml:space="preserve"> Key influencing factors for not studying STEM include lack of interest and confidence.</w:t>
      </w:r>
      <w:r w:rsidRPr="00C31752">
        <w:rPr>
          <w:rStyle w:val="EndnoteReference"/>
          <w14:numForm w14:val="lining"/>
          <w14:numSpacing w14:val="proportional"/>
        </w:rPr>
        <w:endnoteReference w:id="71"/>
      </w:r>
      <w:r w:rsidRPr="00C31752">
        <w:rPr>
          <w14:numForm w14:val="lining"/>
          <w14:numSpacing w14:val="proportional"/>
        </w:rPr>
        <w:t xml:space="preserve"> Support for school-aged girls is important as girls’ interest in STEM subjects decreases as they age, and positive experiences can influence their career aspirations and STEM subject decisions.</w:t>
      </w:r>
    </w:p>
    <w:p w14:paraId="31922244" w14:textId="11532535" w:rsidR="00EE37C8" w:rsidRPr="00E5087D" w:rsidRDefault="00C336E8" w:rsidP="00493CEF">
      <w:pPr>
        <w:spacing w:after="120" w:line="276" w:lineRule="auto"/>
        <w:rPr>
          <w:rFonts w:eastAsiaTheme="majorEastAsia" w:cstheme="majorBidi"/>
          <w:b/>
          <w:sz w:val="32"/>
          <w:szCs w:val="26"/>
        </w:rPr>
      </w:pPr>
      <w:r w:rsidRPr="00C31752">
        <w:rPr>
          <w14:numForm w14:val="lining"/>
          <w14:numSpacing w14:val="proportional"/>
        </w:rPr>
        <w:t xml:space="preserve">The importance of </w:t>
      </w:r>
      <w:r w:rsidR="00D97BBC" w:rsidRPr="00C31752">
        <w:rPr>
          <w14:numForm w14:val="lining"/>
          <w14:numSpacing w14:val="proportional"/>
        </w:rPr>
        <w:t xml:space="preserve">capturing and encouraging the interest of underrepresented groups in STEM education </w:t>
      </w:r>
      <w:r w:rsidR="00552B54" w:rsidRPr="00C31752">
        <w:rPr>
          <w14:numForm w14:val="lining"/>
          <w14:numSpacing w14:val="proportional"/>
        </w:rPr>
        <w:t>from early ages</w:t>
      </w:r>
      <w:r w:rsidRPr="00C31752">
        <w:rPr>
          <w14:numForm w14:val="lining"/>
          <w14:numSpacing w14:val="proportional"/>
        </w:rPr>
        <w:t xml:space="preserve"> was </w:t>
      </w:r>
      <w:r w:rsidR="004543EB" w:rsidRPr="00C31752">
        <w:rPr>
          <w14:numForm w14:val="lining"/>
          <w14:numSpacing w14:val="proportional"/>
        </w:rPr>
        <w:t>stressed</w:t>
      </w:r>
      <w:r w:rsidRPr="00C31752">
        <w:rPr>
          <w14:numForm w14:val="lining"/>
          <w14:numSpacing w14:val="proportional"/>
        </w:rPr>
        <w:t xml:space="preserve"> by </w:t>
      </w:r>
      <w:r w:rsidR="0006221E" w:rsidRPr="00C31752">
        <w:rPr>
          <w14:numForm w14:val="lining"/>
          <w14:numSpacing w14:val="proportional"/>
        </w:rPr>
        <w:t xml:space="preserve">both the National Careers Institute and </w:t>
      </w:r>
      <w:r w:rsidR="004543EB" w:rsidRPr="00C31752">
        <w:rPr>
          <w14:numForm w14:val="lining"/>
          <w14:numSpacing w14:val="proportional"/>
        </w:rPr>
        <w:t xml:space="preserve">DISR’s STEM Equity Monitor </w:t>
      </w:r>
      <w:r w:rsidRPr="00C31752">
        <w:rPr>
          <w14:numForm w14:val="lining"/>
          <w14:numSpacing w14:val="proportional"/>
        </w:rPr>
        <w:t xml:space="preserve">at </w:t>
      </w:r>
      <w:r w:rsidR="004543EB" w:rsidRPr="00C31752">
        <w:rPr>
          <w14:numForm w14:val="lining"/>
          <w14:numSpacing w14:val="proportional"/>
        </w:rPr>
        <w:t>the second</w:t>
      </w:r>
      <w:r w:rsidRPr="00C31752">
        <w:rPr>
          <w14:numForm w14:val="lining"/>
          <w14:numSpacing w14:val="proportional"/>
        </w:rPr>
        <w:t xml:space="preserve"> Women in Energy national roundtable hosted by DCCEEW.</w:t>
      </w:r>
      <w:r w:rsidR="00EE37C8" w:rsidRPr="00E5087D">
        <w:br w:type="page"/>
      </w:r>
    </w:p>
    <w:p w14:paraId="4E3948AB" w14:textId="77777777" w:rsidR="00EE37C8" w:rsidRPr="00E5087D" w:rsidRDefault="00EE37C8" w:rsidP="000440B3">
      <w:pPr>
        <w:pStyle w:val="Heading3"/>
      </w:pPr>
      <w:r w:rsidRPr="00E5087D">
        <w:t>Supported entry pathways</w:t>
      </w:r>
    </w:p>
    <w:p w14:paraId="349B3082" w14:textId="2C981B7F" w:rsidR="00FA2439" w:rsidRDefault="00FA2439" w:rsidP="00437869">
      <w:pPr>
        <w:spacing w:after="120" w:line="276" w:lineRule="auto"/>
      </w:pPr>
      <w:r w:rsidRPr="00E8110E">
        <w:rPr>
          <w:bCs/>
          <w14:numForm w14:val="lining"/>
          <w14:numSpacing w14:val="proportional"/>
        </w:rPr>
        <w:t xml:space="preserve">Supported pathways are a way of </w:t>
      </w:r>
      <w:r w:rsidR="007E07F6">
        <w:rPr>
          <w:bCs/>
          <w14:numForm w14:val="lining"/>
          <w14:numSpacing w14:val="proportional"/>
        </w:rPr>
        <w:t xml:space="preserve">providing accessible entry into education and training. </w:t>
      </w:r>
      <w:r w:rsidR="00A66E98">
        <w:rPr>
          <w:bCs/>
          <w14:numForm w14:val="lining"/>
          <w14:numSpacing w14:val="proportional"/>
        </w:rPr>
        <w:t>For example, i</w:t>
      </w:r>
      <w:r w:rsidR="007E07F6">
        <w:rPr>
          <w:bCs/>
          <w14:numForm w14:val="lining"/>
          <w14:numSpacing w14:val="proportional"/>
        </w:rPr>
        <w:t xml:space="preserve">n higher education this can include preparation courses </w:t>
      </w:r>
      <w:r w:rsidR="00A66E98">
        <w:rPr>
          <w:bCs/>
          <w14:numForm w14:val="lining"/>
          <w14:numSpacing w14:val="proportional"/>
        </w:rPr>
        <w:t>for students who haven’t engaged in study for a long period, or lack certain prerequisites. Supported pathways</w:t>
      </w:r>
      <w:r w:rsidR="00A66E98">
        <w:rPr>
          <w14:numForm w14:val="lining"/>
          <w14:numSpacing w14:val="proportional"/>
        </w:rPr>
        <w:t xml:space="preserve"> </w:t>
      </w:r>
      <w:r>
        <w:t xml:space="preserve">can also offer low commitment opportunities for prospective students to explore pathways before committing, which may be particularly beneficial for underrepresented groups like women: </w:t>
      </w:r>
    </w:p>
    <w:p w14:paraId="78C63E9F" w14:textId="2ACFE467" w:rsidR="00C01C37" w:rsidRPr="00624009" w:rsidRDefault="00FA2439" w:rsidP="00E8110E">
      <w:pPr>
        <w:pStyle w:val="IntenseQuote"/>
        <w:pBdr>
          <w:top w:val="single" w:sz="4" w:space="10" w:color="0C6DAD" w:themeColor="accent3" w:themeShade="BF"/>
          <w:bottom w:val="single" w:sz="4" w:space="10" w:color="0C6DAD" w:themeColor="accent3" w:themeShade="BF"/>
        </w:pBdr>
        <w:spacing w:after="240"/>
        <w:ind w:left="340" w:right="567"/>
        <w:rPr>
          <w:rStyle w:val="EndnoteReference"/>
          <w:color w:val="000000" w:themeColor="text1"/>
        </w:rPr>
      </w:pPr>
      <w:r w:rsidRPr="00624009">
        <w:rPr>
          <w:color w:val="000000" w:themeColor="text1"/>
        </w:rPr>
        <w:t>“young women need low-stakes opportunities to “taste” and experience a wider range of career options prior to and during their senior secondary years of schooling. These taster opportunities are an important chance for young women to “try before they buy”, and were generally seen as crucial to “demystifying” some of the gendered perceptions of male-dominated apprenticeships and a career in the trades. These “taster” opportunities also included work experience and work placement opportunities, which enabled “female-friendly engagements”.</w:t>
      </w:r>
    </w:p>
    <w:p w14:paraId="619F2655" w14:textId="6BF74754" w:rsidR="00D65C4E" w:rsidRPr="00E8110E" w:rsidRDefault="0015130D" w:rsidP="00E8110E">
      <w:pPr>
        <w:pStyle w:val="IntenseQuote"/>
        <w:pBdr>
          <w:top w:val="single" w:sz="4" w:space="10" w:color="0C6DAD" w:themeColor="accent3" w:themeShade="BF"/>
          <w:bottom w:val="single" w:sz="4" w:space="10" w:color="0C6DAD" w:themeColor="accent3" w:themeShade="BF"/>
        </w:pBdr>
        <w:spacing w:before="240"/>
        <w:ind w:left="340" w:right="567"/>
        <w:rPr>
          <w:bCs/>
          <w:i w:val="0"/>
          <w:iCs w:val="0"/>
          <w:color w:val="0C6DAD" w:themeColor="accent3" w:themeShade="BF"/>
          <w14:numForm w14:val="lining"/>
          <w14:numSpacing w14:val="proportional"/>
        </w:rPr>
      </w:pPr>
      <w:r w:rsidRPr="00E8110E">
        <w:rPr>
          <w:bCs/>
          <w:i w:val="0"/>
          <w:iCs w:val="0"/>
          <w:color w:val="0C6DAD" w:themeColor="accent3" w:themeShade="BF"/>
          <w14:numForm w14:val="lining"/>
          <w14:numSpacing w14:val="proportional"/>
        </w:rPr>
        <w:t>Women in Adult and Vocational Education</w:t>
      </w:r>
      <w:r w:rsidR="00081399" w:rsidRPr="00E8110E">
        <w:rPr>
          <w:bCs/>
          <w:i w:val="0"/>
          <w:iCs w:val="0"/>
          <w:color w:val="0C6DAD" w:themeColor="accent3" w:themeShade="BF"/>
          <w14:numForm w14:val="lining"/>
          <w14:numSpacing w14:val="proportional"/>
        </w:rPr>
        <w:t xml:space="preserve"> and the </w:t>
      </w:r>
      <w:r w:rsidR="00081399" w:rsidRPr="00E8110E">
        <w:rPr>
          <w:bCs/>
          <w:i w:val="0"/>
          <w:iCs w:val="0"/>
          <w:color w:val="0C6DAD" w:themeColor="accent3" w:themeShade="BF"/>
          <w14:numForm w14:val="lining"/>
          <w14:numSpacing w14:val="proportional"/>
        </w:rPr>
        <w:br/>
        <w:t>Centre for Vocational and Educational Policy</w:t>
      </w:r>
      <w:r w:rsidR="2D7064F9" w:rsidRPr="21F72A16">
        <w:rPr>
          <w:i w:val="0"/>
          <w:iCs w:val="0"/>
          <w:color w:val="0C6DAD" w:themeColor="accent3" w:themeShade="BF"/>
          <w14:numForm w14:val="lining"/>
          <w14:numSpacing w14:val="proportional"/>
        </w:rPr>
        <w:t>.</w:t>
      </w:r>
      <w:r w:rsidRPr="6BF1F664">
        <w:rPr>
          <w:rStyle w:val="EndnoteReference"/>
          <w:i w:val="0"/>
          <w:iCs w:val="0"/>
          <w:color w:val="0C6DAD" w:themeColor="accent3" w:themeShade="BF"/>
        </w:rPr>
        <w:endnoteReference w:id="72"/>
      </w:r>
    </w:p>
    <w:p w14:paraId="06A5AA48" w14:textId="31C7BCF6" w:rsidR="00EE37C8" w:rsidRPr="00E5087D" w:rsidRDefault="00EE37C8" w:rsidP="00EE37C8">
      <w:pPr>
        <w:spacing w:after="120" w:line="276" w:lineRule="auto"/>
        <w:rPr>
          <w:b/>
          <w:bCs/>
          <w14:numForm w14:val="lining"/>
          <w14:numSpacing w14:val="proportional"/>
        </w:rPr>
      </w:pPr>
      <w:r w:rsidRPr="00E5087D">
        <w:rPr>
          <w:b/>
          <w14:numForm w14:val="lining"/>
          <w14:numSpacing w14:val="proportional"/>
        </w:rPr>
        <w:t>School</w:t>
      </w:r>
      <w:r w:rsidRPr="00E5087D">
        <w:rPr>
          <w:b/>
          <w:bCs/>
          <w14:numForm w14:val="lining"/>
          <w14:numSpacing w14:val="proportional"/>
        </w:rPr>
        <w:t>-based Apprenticeships</w:t>
      </w:r>
    </w:p>
    <w:p w14:paraId="1C823DB0" w14:textId="344F8C01" w:rsidR="00EE37C8" w:rsidRPr="00E5087D" w:rsidRDefault="00EE37C8" w:rsidP="00EE37C8">
      <w:pPr>
        <w:spacing w:after="120" w:line="276" w:lineRule="auto"/>
      </w:pPr>
      <w:r w:rsidRPr="00E5087D">
        <w:t>An Australian School-based Apprenticeship (ASbA) combines secondary school subjects, paid work and on-or-off the job vocational training</w:t>
      </w:r>
      <w:r w:rsidR="004925EC">
        <w:t xml:space="preserve">. These </w:t>
      </w:r>
      <w:r w:rsidR="00FE307C">
        <w:t xml:space="preserve">can be </w:t>
      </w:r>
      <w:r w:rsidRPr="00E5087D">
        <w:t>undertake</w:t>
      </w:r>
      <w:r w:rsidR="004925EC">
        <w:t>n</w:t>
      </w:r>
      <w:r w:rsidRPr="00E5087D">
        <w:t xml:space="preserve"> in a traditional trade or other occupation</w:t>
      </w:r>
      <w:r w:rsidR="006B20B2">
        <w:t>s</w:t>
      </w:r>
      <w:r w:rsidRPr="00E5087D">
        <w:t xml:space="preserve"> at Certificate or Diploma level. Only around 2,300 students commenced a school-based apprenticeship in </w:t>
      </w:r>
      <w:r w:rsidR="001A6F21">
        <w:t>clean energy</w:t>
      </w:r>
      <w:r w:rsidRPr="00E5087D">
        <w:t xml:space="preserve"> relevant training packages in 2022 (Table </w:t>
      </w:r>
      <w:r w:rsidR="00B4609F">
        <w:t>4.1</w:t>
      </w:r>
      <w:r w:rsidR="00171964">
        <w:t>1</w:t>
      </w:r>
      <w:r w:rsidRPr="00E5087D">
        <w:t>). There were no school-based apprentices in Transmission or Distribution qualifications.</w:t>
      </w:r>
    </w:p>
    <w:p w14:paraId="4B853EE3" w14:textId="778E3EA1" w:rsidR="00EE37C8" w:rsidRPr="00E5087D" w:rsidRDefault="00EE37C8" w:rsidP="00EE37C8">
      <w:pPr>
        <w:spacing w:after="0" w:line="276" w:lineRule="auto"/>
        <w:rPr>
          <w:b/>
          <w:bCs/>
        </w:rPr>
      </w:pPr>
      <w:r w:rsidRPr="00E5087D">
        <w:rPr>
          <w:b/>
          <w:bCs/>
        </w:rPr>
        <w:t xml:space="preserve">Table </w:t>
      </w:r>
      <w:r w:rsidR="004E3683">
        <w:rPr>
          <w:b/>
          <w:bCs/>
        </w:rPr>
        <w:t>4.1</w:t>
      </w:r>
      <w:r w:rsidR="00171964">
        <w:rPr>
          <w:b/>
          <w:bCs/>
        </w:rPr>
        <w:t>1</w:t>
      </w:r>
      <w:r w:rsidRPr="00E5087D">
        <w:rPr>
          <w:b/>
          <w:bCs/>
        </w:rPr>
        <w:t xml:space="preserve">. Trade commencements in school-based apprenticeships </w:t>
      </w:r>
    </w:p>
    <w:tbl>
      <w:tblPr>
        <w:tblStyle w:val="TableGrid"/>
        <w:tblW w:w="0" w:type="auto"/>
        <w:tblLook w:val="04A0" w:firstRow="1" w:lastRow="0" w:firstColumn="1" w:lastColumn="0" w:noHBand="0" w:noVBand="1"/>
      </w:tblPr>
      <w:tblGrid>
        <w:gridCol w:w="3005"/>
        <w:gridCol w:w="3005"/>
        <w:gridCol w:w="3006"/>
      </w:tblGrid>
      <w:tr w:rsidR="00EE37C8" w:rsidRPr="00E5087D" w14:paraId="70650A69" w14:textId="77777777" w:rsidTr="00C37281">
        <w:trPr>
          <w:trHeight w:val="517"/>
        </w:trPr>
        <w:tc>
          <w:tcPr>
            <w:tcW w:w="3005" w:type="dxa"/>
            <w:shd w:val="clear" w:color="auto" w:fill="CEE9FB" w:themeFill="accent3" w:themeFillTint="33"/>
          </w:tcPr>
          <w:p w14:paraId="51CA5BE9" w14:textId="77777777" w:rsidR="00EE37C8" w:rsidRPr="00C37281" w:rsidRDefault="00EE37C8">
            <w:pPr>
              <w:spacing w:line="276" w:lineRule="auto"/>
              <w:rPr>
                <w:b/>
                <w:bCs/>
                <w14:numForm w14:val="lining"/>
                <w14:numSpacing w14:val="proportional"/>
              </w:rPr>
            </w:pPr>
            <w:r w:rsidRPr="00C37281">
              <w:rPr>
                <w:b/>
                <w:bCs/>
                <w14:numForm w14:val="lining"/>
                <w14:numSpacing w14:val="proportional"/>
              </w:rPr>
              <w:t>Training Package</w:t>
            </w:r>
          </w:p>
        </w:tc>
        <w:tc>
          <w:tcPr>
            <w:tcW w:w="3005" w:type="dxa"/>
            <w:shd w:val="clear" w:color="auto" w:fill="CEE9FB" w:themeFill="accent3" w:themeFillTint="33"/>
          </w:tcPr>
          <w:p w14:paraId="5B34E47E" w14:textId="77777777" w:rsidR="00EE37C8" w:rsidRPr="00C37281" w:rsidRDefault="00EE37C8">
            <w:pPr>
              <w:spacing w:line="276" w:lineRule="auto"/>
              <w:rPr>
                <w:b/>
                <w14:numForm w14:val="lining"/>
                <w14:numSpacing w14:val="proportional"/>
              </w:rPr>
            </w:pPr>
            <w:r w:rsidRPr="00C37281">
              <w:rPr>
                <w:b/>
                <w14:numForm w14:val="lining"/>
                <w14:numSpacing w14:val="proportional"/>
              </w:rPr>
              <w:t>School based commencements</w:t>
            </w:r>
          </w:p>
        </w:tc>
        <w:tc>
          <w:tcPr>
            <w:tcW w:w="3006" w:type="dxa"/>
            <w:shd w:val="clear" w:color="auto" w:fill="CEE9FB" w:themeFill="accent3" w:themeFillTint="33"/>
          </w:tcPr>
          <w:p w14:paraId="172E905D" w14:textId="77777777" w:rsidR="00EE37C8" w:rsidRPr="00C37281" w:rsidRDefault="00EE37C8">
            <w:pPr>
              <w:spacing w:line="276" w:lineRule="auto"/>
              <w:rPr>
                <w:b/>
                <w14:numForm w14:val="lining"/>
                <w14:numSpacing w14:val="proportional"/>
              </w:rPr>
            </w:pPr>
            <w:r w:rsidRPr="00C37281">
              <w:rPr>
                <w:b/>
                <w14:numForm w14:val="lining"/>
                <w14:numSpacing w14:val="proportional"/>
              </w:rPr>
              <w:t>Share of all commencements</w:t>
            </w:r>
          </w:p>
        </w:tc>
      </w:tr>
      <w:tr w:rsidR="00EE37C8" w:rsidRPr="00E5087D" w14:paraId="40EC1C2E" w14:textId="77777777">
        <w:tc>
          <w:tcPr>
            <w:tcW w:w="3005" w:type="dxa"/>
          </w:tcPr>
          <w:p w14:paraId="6F4D5B0C"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Electrotechnology</w:t>
            </w:r>
          </w:p>
        </w:tc>
        <w:tc>
          <w:tcPr>
            <w:tcW w:w="3005" w:type="dxa"/>
          </w:tcPr>
          <w:p w14:paraId="05AAD3C6"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664</w:t>
            </w:r>
          </w:p>
        </w:tc>
        <w:tc>
          <w:tcPr>
            <w:tcW w:w="3006" w:type="dxa"/>
          </w:tcPr>
          <w:p w14:paraId="058B0283"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3.8%</w:t>
            </w:r>
          </w:p>
        </w:tc>
      </w:tr>
      <w:tr w:rsidR="00EE37C8" w:rsidRPr="00E5087D" w14:paraId="25AFAC27" w14:textId="77777777">
        <w:tc>
          <w:tcPr>
            <w:tcW w:w="3005" w:type="dxa"/>
          </w:tcPr>
          <w:p w14:paraId="3D01DA37"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Metal and Engineering</w:t>
            </w:r>
          </w:p>
        </w:tc>
        <w:tc>
          <w:tcPr>
            <w:tcW w:w="3005" w:type="dxa"/>
          </w:tcPr>
          <w:p w14:paraId="0B1D5117"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666</w:t>
            </w:r>
          </w:p>
        </w:tc>
        <w:tc>
          <w:tcPr>
            <w:tcW w:w="3006" w:type="dxa"/>
          </w:tcPr>
          <w:p w14:paraId="7EBCA26A"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6.0%</w:t>
            </w:r>
          </w:p>
        </w:tc>
      </w:tr>
      <w:tr w:rsidR="00EE37C8" w:rsidRPr="00E5087D" w14:paraId="69394D24" w14:textId="77777777">
        <w:tc>
          <w:tcPr>
            <w:tcW w:w="3005" w:type="dxa"/>
          </w:tcPr>
          <w:p w14:paraId="5F6C2085"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Automotive Industry Retail, Service and Repair</w:t>
            </w:r>
          </w:p>
        </w:tc>
        <w:tc>
          <w:tcPr>
            <w:tcW w:w="3005" w:type="dxa"/>
          </w:tcPr>
          <w:p w14:paraId="52286BAD"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956</w:t>
            </w:r>
          </w:p>
        </w:tc>
        <w:tc>
          <w:tcPr>
            <w:tcW w:w="3006" w:type="dxa"/>
          </w:tcPr>
          <w:p w14:paraId="73B7B21F" w14:textId="77777777" w:rsidR="00EE37C8" w:rsidRPr="00C37281" w:rsidRDefault="00EE37C8">
            <w:pPr>
              <w:spacing w:after="120" w:line="276" w:lineRule="auto"/>
              <w:rPr>
                <w:bCs/>
                <w14:numForm w14:val="lining"/>
                <w14:numSpacing w14:val="proportional"/>
              </w:rPr>
            </w:pPr>
            <w:r w:rsidRPr="00C37281">
              <w:rPr>
                <w:bCs/>
                <w14:numForm w14:val="lining"/>
                <w14:numSpacing w14:val="proportional"/>
              </w:rPr>
              <w:t>5.9%</w:t>
            </w:r>
          </w:p>
        </w:tc>
      </w:tr>
    </w:tbl>
    <w:p w14:paraId="56513DE9" w14:textId="77777777" w:rsidR="00EE37C8" w:rsidRPr="00E5087D" w:rsidRDefault="00EE37C8" w:rsidP="00EE37C8">
      <w:pPr>
        <w:spacing w:after="120" w:line="276" w:lineRule="auto"/>
        <w:rPr>
          <w:bCs/>
          <w:sz w:val="18"/>
          <w:szCs w:val="18"/>
          <w14:numForm w14:val="lining"/>
          <w14:numSpacing w14:val="proportional"/>
        </w:rPr>
      </w:pPr>
      <w:r w:rsidRPr="00E5087D">
        <w:rPr>
          <w:bCs/>
          <w:sz w:val="18"/>
          <w:szCs w:val="18"/>
          <w14:numForm w14:val="lining"/>
          <w14:numSpacing w14:val="proportional"/>
        </w:rPr>
        <w:t>Source: NCVER 2023, Apprenticeships and Trainees</w:t>
      </w:r>
    </w:p>
    <w:p w14:paraId="05C0F9B3" w14:textId="77777777" w:rsidR="00EE37C8" w:rsidRPr="00E5087D" w:rsidRDefault="00EE37C8" w:rsidP="00EE37C8">
      <w:pPr>
        <w:spacing w:before="240" w:after="120" w:line="240" w:lineRule="auto"/>
        <w:rPr>
          <w:b/>
          <w:bCs/>
          <w14:numForm w14:val="lining"/>
          <w14:numSpacing w14:val="proportional"/>
        </w:rPr>
      </w:pPr>
      <w:r w:rsidRPr="00E5087D">
        <w:rPr>
          <w:b/>
          <w:bCs/>
          <w14:numForm w14:val="lining"/>
          <w14:numSpacing w14:val="proportional"/>
        </w:rPr>
        <w:t>Pre-apprenticeships</w:t>
      </w:r>
    </w:p>
    <w:p w14:paraId="1BFCFB6A" w14:textId="3A51DD53" w:rsidR="00EE37C8" w:rsidRPr="00E5087D" w:rsidRDefault="00EE37C8" w:rsidP="000440B3">
      <w:pPr>
        <w:pStyle w:val="NormalWeb"/>
        <w:shd w:val="clear" w:color="auto" w:fill="FFFFFF" w:themeFill="background1"/>
        <w:spacing w:before="0" w:beforeAutospacing="0" w:after="120" w:afterAutospacing="0" w:line="276" w:lineRule="auto"/>
        <w:rPr>
          <w:rFonts w:asciiTheme="minorHAnsi" w:hAnsiTheme="minorHAnsi" w:cstheme="minorBidi"/>
          <w:color w:val="000000"/>
          <w:sz w:val="22"/>
          <w:szCs w:val="22"/>
        </w:rPr>
      </w:pPr>
      <w:r w:rsidRPr="00E5087D">
        <w:rPr>
          <w:rFonts w:asciiTheme="minorHAnsi" w:hAnsiTheme="minorHAnsi" w:cstheme="minorBidi"/>
          <w:color w:val="000000" w:themeColor="text1"/>
          <w:sz w:val="22"/>
          <w:szCs w:val="22"/>
        </w:rPr>
        <w:t xml:space="preserve">A pre-apprenticeship is entry-level training that can provide a pathway into an apprenticeship. The main pre-apprenticeship pathway for clean energy is a </w:t>
      </w:r>
      <w:r w:rsidRPr="6BF1F664">
        <w:rPr>
          <w:rFonts w:asciiTheme="minorHAnsi" w:hAnsiTheme="minorHAnsi" w:cstheme="minorBidi"/>
          <w:i/>
          <w:color w:val="000000" w:themeColor="text1"/>
          <w:sz w:val="22"/>
          <w:szCs w:val="22"/>
        </w:rPr>
        <w:t>Certificate II in Electrotechnology</w:t>
      </w:r>
      <w:r w:rsidRPr="00E5087D">
        <w:rPr>
          <w:rFonts w:asciiTheme="minorHAnsi" w:hAnsiTheme="minorHAnsi" w:cstheme="minorBidi"/>
          <w:color w:val="000000" w:themeColor="text1"/>
          <w:sz w:val="22"/>
          <w:szCs w:val="22"/>
        </w:rPr>
        <w:t>, which can lead to a full Australian Apprenticeship. The number of enrolments in this program has grown steadily over the past five years, with almost 14,000 enrolments in 2022 alone.</w:t>
      </w:r>
      <w:r w:rsidR="009527A5">
        <w:rPr>
          <w:rFonts w:asciiTheme="minorHAnsi" w:hAnsiTheme="minorHAnsi" w:cstheme="minorBidi"/>
          <w:color w:val="000000" w:themeColor="text1"/>
          <w:sz w:val="22"/>
          <w:szCs w:val="22"/>
        </w:rPr>
        <w:t xml:space="preserve"> </w:t>
      </w:r>
      <w:r w:rsidRPr="00E5087D">
        <w:rPr>
          <w:rFonts w:asciiTheme="minorHAnsi" w:hAnsiTheme="minorHAnsi" w:cstheme="minorBidi"/>
          <w:color w:val="000000"/>
          <w:sz w:val="22"/>
          <w:szCs w:val="22"/>
        </w:rPr>
        <w:t>Early school leavers often take p</w:t>
      </w:r>
      <w:r w:rsidRPr="00E5087D">
        <w:rPr>
          <w:rFonts w:asciiTheme="minorHAnsi" w:hAnsiTheme="minorHAnsi" w:cstheme="minorBidi"/>
          <w:color w:val="000000" w:themeColor="text1"/>
          <w:sz w:val="22"/>
          <w:szCs w:val="22"/>
        </w:rPr>
        <w:t>re-apprenticeship pathways</w:t>
      </w:r>
      <w:r w:rsidRPr="00E5087D">
        <w:rPr>
          <w:rFonts w:asciiTheme="minorHAnsi" w:hAnsiTheme="minorHAnsi" w:cstheme="minorBidi"/>
          <w:color w:val="000000"/>
          <w:sz w:val="22"/>
          <w:szCs w:val="22"/>
        </w:rPr>
        <w:t xml:space="preserve"> to bridge gaps in their studies. While over two-thirds of </w:t>
      </w:r>
      <w:r w:rsidR="2BA5126D" w:rsidRPr="0E7CF500">
        <w:rPr>
          <w:rFonts w:asciiTheme="minorHAnsi" w:hAnsiTheme="minorHAnsi" w:cstheme="minorBidi"/>
          <w:color w:val="000000"/>
          <w:sz w:val="22"/>
          <w:szCs w:val="22"/>
        </w:rPr>
        <w:t>e</w:t>
      </w:r>
      <w:r w:rsidRPr="0E7CF500">
        <w:rPr>
          <w:rFonts w:asciiTheme="minorHAnsi" w:hAnsiTheme="minorHAnsi" w:cstheme="minorBidi"/>
          <w:color w:val="000000"/>
          <w:sz w:val="22"/>
          <w:szCs w:val="22"/>
        </w:rPr>
        <w:t xml:space="preserve">lectrical </w:t>
      </w:r>
      <w:r w:rsidR="4A4464D0" w:rsidRPr="0E7CF500">
        <w:rPr>
          <w:rFonts w:asciiTheme="minorHAnsi" w:hAnsiTheme="minorHAnsi" w:cstheme="minorBidi"/>
          <w:color w:val="000000"/>
          <w:sz w:val="22"/>
          <w:szCs w:val="22"/>
        </w:rPr>
        <w:t>a</w:t>
      </w:r>
      <w:r w:rsidRPr="0E7CF500">
        <w:rPr>
          <w:rFonts w:asciiTheme="minorHAnsi" w:hAnsiTheme="minorHAnsi" w:cstheme="minorBidi"/>
          <w:color w:val="000000"/>
          <w:sz w:val="22"/>
          <w:szCs w:val="22"/>
        </w:rPr>
        <w:t>pprentices</w:t>
      </w:r>
      <w:r w:rsidRPr="00E5087D">
        <w:rPr>
          <w:rFonts w:asciiTheme="minorHAnsi" w:hAnsiTheme="minorHAnsi" w:cstheme="minorBidi"/>
          <w:color w:val="000000"/>
          <w:sz w:val="22"/>
          <w:szCs w:val="22"/>
        </w:rPr>
        <w:t xml:space="preserve"> completed year 12, less than one-third of electrical pre-apprentices had.</w:t>
      </w:r>
      <w:r w:rsidRPr="00E5087D">
        <w:rPr>
          <w:rStyle w:val="EndnoteReference"/>
          <w:rFonts w:asciiTheme="minorHAnsi" w:hAnsiTheme="minorHAnsi" w:cstheme="minorBidi"/>
          <w:color w:val="000000"/>
          <w:sz w:val="22"/>
          <w:szCs w:val="22"/>
        </w:rPr>
        <w:endnoteReference w:id="73"/>
      </w:r>
      <w:r w:rsidRPr="00E5087D">
        <w:rPr>
          <w:rFonts w:asciiTheme="minorHAnsi" w:hAnsiTheme="minorHAnsi" w:cstheme="minorBidi"/>
          <w:color w:val="000000"/>
          <w:sz w:val="22"/>
          <w:szCs w:val="22"/>
        </w:rPr>
        <w:t xml:space="preserve"> Pre-apprentices are also slightly more likely to be female (5</w:t>
      </w:r>
      <w:r w:rsidR="001A6F21">
        <w:rPr>
          <w:rFonts w:asciiTheme="minorHAnsi" w:hAnsiTheme="minorHAnsi" w:cstheme="minorBidi"/>
          <w:color w:val="000000"/>
          <w:sz w:val="22"/>
          <w:szCs w:val="22"/>
        </w:rPr>
        <w:t>.0</w:t>
      </w:r>
      <w:r w:rsidRPr="00E5087D">
        <w:rPr>
          <w:rFonts w:asciiTheme="minorHAnsi" w:hAnsiTheme="minorHAnsi" w:cstheme="minorBidi"/>
          <w:color w:val="000000"/>
          <w:sz w:val="22"/>
          <w:szCs w:val="22"/>
        </w:rPr>
        <w:t>% vs 3.2%) and have a disability (5.5% vs 2.5%).</w:t>
      </w:r>
    </w:p>
    <w:p w14:paraId="5345D012" w14:textId="77777777" w:rsidR="00EE37C8" w:rsidRPr="00D759C9" w:rsidRDefault="00EE37C8" w:rsidP="00D759C9">
      <w:pPr>
        <w:pStyle w:val="Heading3"/>
      </w:pPr>
      <w:r w:rsidRPr="00D759C9">
        <w:t>International students</w:t>
      </w:r>
    </w:p>
    <w:p w14:paraId="7CA8EBF2" w14:textId="49043098" w:rsidR="005B44A0" w:rsidRDefault="00EE37C8" w:rsidP="007B290A">
      <w:pPr>
        <w:spacing w:before="240" w:after="120"/>
        <w:rPr>
          <w:rFonts w:cs="Arial"/>
        </w:rPr>
      </w:pPr>
      <w:r w:rsidRPr="00E5087D">
        <w:t>International students make up a growing proportion of Australia’s higher education commencements. In 2017, the number of international engineering commencements overtook domestic commencements, up until the COVID-19 pandemic</w:t>
      </w:r>
      <w:r w:rsidR="00DC6251">
        <w:t xml:space="preserve"> (Figure </w:t>
      </w:r>
      <w:r w:rsidR="00B20784">
        <w:t>4.16</w:t>
      </w:r>
      <w:r w:rsidR="00DC6251">
        <w:t>)</w:t>
      </w:r>
      <w:r w:rsidRPr="00E5087D">
        <w:t>.</w:t>
      </w:r>
      <w:r w:rsidR="004248D0">
        <w:t xml:space="preserve"> </w:t>
      </w:r>
      <w:r w:rsidR="004248D0" w:rsidRPr="00E5087D">
        <w:rPr>
          <w:rFonts w:cs="Arial"/>
        </w:rPr>
        <w:t xml:space="preserve">While international students do study in the VET system, comparatively few undertake trade qualifications. </w:t>
      </w:r>
      <w:r w:rsidR="004248D0" w:rsidRPr="00BB2E09">
        <w:rPr>
          <w:rFonts w:cs="Arial"/>
        </w:rPr>
        <w:t>This is largely</w:t>
      </w:r>
      <w:r w:rsidR="00F3670C">
        <w:rPr>
          <w:rFonts w:cs="Arial"/>
        </w:rPr>
        <w:t xml:space="preserve"> because only Australian citizens and permanent residents can undertake an Australian Apprenticeship.</w:t>
      </w:r>
    </w:p>
    <w:p w14:paraId="3DCED3A8" w14:textId="5D3AED54" w:rsidR="00C31752" w:rsidRPr="00C37281" w:rsidRDefault="00994144" w:rsidP="00994144">
      <w:pPr>
        <w:spacing w:before="360" w:after="120" w:line="240" w:lineRule="auto"/>
        <w:ind w:left="227"/>
        <w:rPr>
          <w:rFonts w:eastAsia="Arial" w:cs="Arial"/>
          <w:b/>
        </w:rPr>
      </w:pPr>
      <w:r w:rsidRPr="00BB2E09">
        <w:rPr>
          <w:noProof/>
          <w:color w:val="2B579A"/>
          <w:shd w:val="clear" w:color="auto" w:fill="E6E6E6"/>
        </w:rPr>
        <mc:AlternateContent>
          <mc:Choice Requires="wpg">
            <w:drawing>
              <wp:anchor distT="0" distB="0" distL="114300" distR="114300" simplePos="0" relativeHeight="251658295" behindDoc="1" locked="0" layoutInCell="1" allowOverlap="1" wp14:anchorId="415CB85F" wp14:editId="3412DC07">
                <wp:simplePos x="0" y="0"/>
                <wp:positionH relativeFrom="column">
                  <wp:posOffset>-62753</wp:posOffset>
                </wp:positionH>
                <wp:positionV relativeFrom="paragraph">
                  <wp:posOffset>84343</wp:posOffset>
                </wp:positionV>
                <wp:extent cx="5758180" cy="6938682"/>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8180" cy="6938682"/>
                          <a:chOff x="0" y="0"/>
                          <a:chExt cx="5912775" cy="4453615"/>
                        </a:xfrm>
                      </wpg:grpSpPr>
                      <wps:wsp>
                        <wps:cNvPr id="2141522291" name="Rectangle 2"/>
                        <wps:cNvSpPr/>
                        <wps:spPr>
                          <a:xfrm>
                            <a:off x="1" y="1300"/>
                            <a:ext cx="5912774" cy="4452315"/>
                          </a:xfrm>
                          <a:prstGeom prst="rect">
                            <a:avLst/>
                          </a:prstGeom>
                          <a:solidFill>
                            <a:schemeClr val="bg1">
                              <a:lumMod val="95000"/>
                            </a:schemeClr>
                          </a:solid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13EACCAD" w14:textId="31A4235E" w:rsidR="00E31544" w:rsidRPr="00C37281" w:rsidRDefault="00E31544" w:rsidP="00C37281">
                              <w:pPr>
                                <w:spacing w:after="120" w:line="240" w:lineRule="auto"/>
                                <w:rPr>
                                  <w:rFonts w:eastAsia="Arial" w:cs="Arial"/>
                                  <w:color w:val="000000"/>
                                  <w:sz w:val="20"/>
                                  <w:szCs w:val="20"/>
                                </w:rPr>
                              </w:pPr>
                            </w:p>
                          </w:txbxContent>
                        </wps:txbx>
                        <wps:bodyPr spcFirstLastPara="0" wrap="square" lIns="288000" tIns="72000" rIns="144000" bIns="72000" anchor="t">
                          <a:noAutofit/>
                        </wps:bodyPr>
                      </wps:wsp>
                      <wps:wsp>
                        <wps:cNvPr id="1230923485" name="Rectangle 3"/>
                        <wps:cNvSpPr/>
                        <wps:spPr>
                          <a:xfrm>
                            <a:off x="0" y="0"/>
                            <a:ext cx="133350" cy="4453615"/>
                          </a:xfrm>
                          <a:prstGeom prst="rect">
                            <a:avLst/>
                          </a:prstGeom>
                          <a:solidFill>
                            <a:srgbClr val="DAE3F5"/>
                          </a:solidFill>
                          <a:ln>
                            <a:noFill/>
                          </a:ln>
                        </wps:spPr>
                        <wps:style>
                          <a:lnRef idx="2">
                            <a:schemeClr val="accent1">
                              <a:shade val="50000"/>
                            </a:schemeClr>
                          </a:lnRef>
                          <a:fillRef idx="1">
                            <a:schemeClr val="accent1"/>
                          </a:fillRef>
                          <a:effectRef idx="0">
                            <a:scrgbClr r="0" g="0" b="0"/>
                          </a:effectRef>
                          <a:fontRef idx="minor">
                            <a:schemeClr val="lt1"/>
                          </a:fontRef>
                        </wps:style>
                        <wps:bodyPr spcFirstLastPara="0" wrap="square" lIns="91440" tIns="45720" rIns="91440" bIns="45720" anchor="ctr">
                          <a:noAutofit/>
                        </wps:bodyPr>
                      </wps:wsp>
                    </wpg:wgp>
                  </a:graphicData>
                </a:graphic>
                <wp14:sizeRelV relativeFrom="margin">
                  <wp14:pctHeight>0</wp14:pctHeight>
                </wp14:sizeRelV>
              </wp:anchor>
            </w:drawing>
          </mc:Choice>
          <mc:Fallback>
            <w:pict>
              <v:group w14:anchorId="415CB85F" id="Group 97" o:spid="_x0000_s1096" alt="&quot;&quot;" style="position:absolute;left:0;text-align:left;margin-left:-4.95pt;margin-top:6.65pt;width:453.4pt;height:546.35pt;z-index:-251658185;mso-height-relative:margin" coordsize="59127,44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">
                <v:rect id="Rectangle 2" o:spid="_x0000_s1097" style="position:absolute;top:13;width:59127;height:44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" fillcolor="#f2f2f2 [3052]" stroked="f" strokeweight="1pt">
                  <v:textbox inset="8mm,2mm,4mm,2mm">
                    <w:txbxContent>
                      <w:p w14:paraId="13EACCAD" w14:textId="31A4235E" w:rsidR="00E31544" w:rsidRPr="00C37281" w:rsidRDefault="00E31544" w:rsidP="00C37281">
                        <w:pPr>
                          <w:spacing w:after="120" w:line="240" w:lineRule="auto"/>
                          <w:rPr>
                            <w:rFonts w:eastAsia="Arial" w:cs="Arial"/>
                            <w:color w:val="000000"/>
                            <w:sz w:val="20"/>
                            <w:szCs w:val="20"/>
                          </w:rPr>
                        </w:pPr>
                      </w:p>
                    </w:txbxContent>
                  </v:textbox>
                </v:rect>
                <v:rect id="Rectangle 3" o:spid="_x0000_s1098" style="position:absolute;width:1333;height:44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" fillcolor="#dae3f5" stroked="f" strokeweight="1pt"/>
              </v:group>
            </w:pict>
          </mc:Fallback>
        </mc:AlternateContent>
      </w:r>
      <w:r w:rsidR="00C31752" w:rsidRPr="00C37281">
        <w:rPr>
          <w:rFonts w:eastAsia="Arial" w:cs="Arial"/>
          <w:b/>
        </w:rPr>
        <w:t>International students as trade apprentices?</w:t>
      </w:r>
    </w:p>
    <w:p w14:paraId="429AB00B" w14:textId="1F536B69"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 xml:space="preserve">During our consultation, we heard from industry, training providers, and union stakeholders that apprenticeship pathways for international students could be worth exploring, considering the significant shortfalls for VET qualified workers. Given the impact that international education has had on Australia’s labour market and higher education sector, it is certainly an area that could be explored to fill existing skills gaps for clean energy occupations. However, there are several issues to consider, including exploitation and safety concerns across all sectors, particularly in high-risk settings like electrotechnology and construction. </w:t>
      </w:r>
    </w:p>
    <w:p w14:paraId="43607D66" w14:textId="77777777"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 xml:space="preserve">International students, employer-sponsored skilled migrants and domestic apprentices alike are already vulnerable to heightened exploitation and safety risks in the Australian labour market. International students are typically required to be approved for study before they can get a visa, and as apprenticeships are inherently employment based, students would need to find an employer willing to support their apprenticeship and an RTO to deliver their training prior to visa approval. Any changes to existing restrictions and policy settings would require careful consideration of these risks and significant investment and collaboration on the development of appropriate safeguards. </w:t>
      </w:r>
    </w:p>
    <w:p w14:paraId="67B77F01" w14:textId="77777777"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For example, international student apprentices would need visas with full working rights in what is effectively a low-skilled and low-paid role until they’ve successfully completed their apprenticeship. Achieving this would require significant structural changes and collaboration across state and Commonwealth levels to support international student apprentices.</w:t>
      </w:r>
    </w:p>
    <w:p w14:paraId="0590381C" w14:textId="6F3B4C08"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 xml:space="preserve">From a training perspective, wait times for electrical apprenticeships (anecdotally up to 18 months in some locations like Victoria) also need to be considered. An influx of international student apprenticeship commencements would not increase the supply of qualified trades, at least in the medium-term due to these training wait times. </w:t>
      </w:r>
    </w:p>
    <w:p w14:paraId="08C54F7C" w14:textId="420FC61F"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Pathways to permanent residence post-apprenticeship would also need to be considered, without which it is difficult to see how either apprentices or employers would see the investment of time, money and effort in completing an Australian apprenticeship as worthwhile. Further considerations would also be needed to ensure appropriate access to housing, transport and healthcare, and matters and some of the barriers international students from CALD backgrounds face as discussed in Chapter</w:t>
      </w:r>
      <w:r w:rsidR="00994144" w:rsidRPr="00994144">
        <w:rPr>
          <w:rFonts w:eastAsia="Arial" w:cs="Arial"/>
          <w:color w:val="000000"/>
          <w:sz w:val="21"/>
          <w:szCs w:val="21"/>
          <w14:numForm w14:val="lining"/>
          <w14:numSpacing w14:val="proportional"/>
        </w:rPr>
        <w:t xml:space="preserve"> </w:t>
      </w:r>
      <w:r w:rsidRPr="00994144">
        <w:rPr>
          <w:rFonts w:eastAsia="Arial" w:cs="Arial"/>
          <w:color w:val="000000"/>
          <w:sz w:val="21"/>
          <w:szCs w:val="21"/>
          <w14:numForm w14:val="lining"/>
          <w14:numSpacing w14:val="proportional"/>
        </w:rPr>
        <w:t xml:space="preserve">8. </w:t>
      </w:r>
    </w:p>
    <w:p w14:paraId="1486FC33" w14:textId="0CC3BF4A" w:rsidR="00C31752" w:rsidRPr="00994144" w:rsidRDefault="00C31752" w:rsidP="00994144">
      <w:pPr>
        <w:spacing w:after="120" w:line="276" w:lineRule="auto"/>
        <w:ind w:left="227" w:right="113"/>
        <w:rPr>
          <w:rFonts w:eastAsia="Arial" w:cs="Arial"/>
          <w:color w:val="000000"/>
          <w:sz w:val="21"/>
          <w:szCs w:val="21"/>
          <w14:numForm w14:val="lining"/>
          <w14:numSpacing w14:val="proportional"/>
        </w:rPr>
      </w:pPr>
      <w:r w:rsidRPr="00994144">
        <w:rPr>
          <w:rFonts w:eastAsia="Arial" w:cs="Arial"/>
          <w:color w:val="000000"/>
          <w:sz w:val="21"/>
          <w:szCs w:val="21"/>
          <w14:numForm w14:val="lining"/>
          <w14:numSpacing w14:val="proportional"/>
        </w:rPr>
        <w:t>However, this idea could be further considered and is an example of the intersecting policy challenges in this space and the collaborative and innovative ways needed to shore up the clean energy workforce. In light of the existing barriers and challenges in current system settings, governments c</w:t>
      </w:r>
      <w:r w:rsidRPr="00994144">
        <w:rPr>
          <w:rFonts w:cs="Arial"/>
          <w:color w:val="000000"/>
          <w:sz w:val="21"/>
          <w:szCs w:val="21"/>
          <w14:numForm w14:val="lining"/>
          <w14:numSpacing w14:val="proportional"/>
        </w:rPr>
        <w:t>ould</w:t>
      </w:r>
      <w:r w:rsidRPr="00994144">
        <w:rPr>
          <w:rFonts w:eastAsia="Arial" w:cs="Arial"/>
          <w:color w:val="000000"/>
          <w:sz w:val="21"/>
          <w:szCs w:val="21"/>
          <w14:numForm w14:val="lining"/>
          <w14:numSpacing w14:val="proportional"/>
        </w:rPr>
        <w:t xml:space="preserve"> collaborate with stakeholders to explore the prospect of expanding apprenticeships to international students to fill urgent net zero skills shortages. If pursued, this idea would require carefully considered piloting.</w:t>
      </w:r>
    </w:p>
    <w:p w14:paraId="009A62D9" w14:textId="77777777" w:rsidR="00C31752" w:rsidRDefault="00C31752" w:rsidP="007B290A">
      <w:pPr>
        <w:spacing w:before="240" w:after="120"/>
        <w:rPr>
          <w:rFonts w:cs="Arial"/>
        </w:rPr>
      </w:pPr>
    </w:p>
    <w:p w14:paraId="2065E925" w14:textId="229C46B7" w:rsidR="00175F8C" w:rsidRDefault="00A52DF8">
      <w:pPr>
        <w:rPr>
          <w:b/>
          <w:bCs/>
        </w:rPr>
      </w:pPr>
      <w:r w:rsidRPr="00BB2E09">
        <w:rPr>
          <w:noProof/>
        </w:rPr>
        <mc:AlternateContent>
          <mc:Choice Requires="wpg">
            <w:drawing>
              <wp:anchor distT="0" distB="0" distL="114300" distR="114300" simplePos="0" relativeHeight="251658296" behindDoc="1" locked="0" layoutInCell="1" allowOverlap="1" wp14:anchorId="3DA400C4" wp14:editId="463D2DCD">
                <wp:simplePos x="0" y="0"/>
                <wp:positionH relativeFrom="column">
                  <wp:posOffset>42863</wp:posOffset>
                </wp:positionH>
                <wp:positionV relativeFrom="paragraph">
                  <wp:posOffset>264319</wp:posOffset>
                </wp:positionV>
                <wp:extent cx="5651500" cy="1057276"/>
                <wp:effectExtent l="0" t="0" r="25400" b="28575"/>
                <wp:wrapNone/>
                <wp:docPr id="650244086" name="Group 650244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1500" cy="1057276"/>
                          <a:chOff x="0" y="97286"/>
                          <a:chExt cx="5798799" cy="1087381"/>
                        </a:xfrm>
                      </wpg:grpSpPr>
                      <wps:wsp>
                        <wps:cNvPr id="521264139" name="Rectangle: Top Corners Rounded 521264139"/>
                        <wps:cNvSpPr/>
                        <wps:spPr>
                          <a:xfrm>
                            <a:off x="0" y="97286"/>
                            <a:ext cx="1700501" cy="196556"/>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C78A7B" w14:textId="7513AA84" w:rsidR="00175F8C" w:rsidRPr="006E07A7" w:rsidRDefault="00175F8C" w:rsidP="00175F8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05805211" name="Rectangle 505805211"/>
                        <wps:cNvSpPr/>
                        <wps:spPr>
                          <a:xfrm>
                            <a:off x="0" y="293749"/>
                            <a:ext cx="5798799" cy="890918"/>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992C4" w14:textId="7D102FCC" w:rsidR="00175F8C" w:rsidRPr="00011385" w:rsidRDefault="00175F8C" w:rsidP="00011385">
                              <w:pPr>
                                <w:spacing w:after="80" w:line="276" w:lineRule="auto"/>
                                <w:ind w:right="113"/>
                                <w:rPr>
                                  <w:rFonts w:asciiTheme="minorHAnsi" w:hAnsiTheme="minorHAnsi" w:cstheme="minorHAnsi"/>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A400C4" id="Group 650244086" o:spid="_x0000_s1099" alt="&quot;&quot;" style="position:absolute;margin-left:3.4pt;margin-top:20.8pt;width:445pt;height:83.25pt;z-index:-251658184" coordorigin=",972" coordsize="57987,10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">
                <v:shape id="Rectangle: Top Corners Rounded 521264139" o:spid="_x0000_s1100" style="position:absolute;top:972;width:17005;height:1966;visibility:visible;mso-wrap-style:square;v-text-anchor:middle" coordsize="1700501,19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" adj="-11796480,,5400" path="m32760,l1667741,v18093,,32760,14667,32760,32760l1700501,196556r,l,196556r,l,32760c,14667,14667,,32760,xe" fillcolor="#dae3f5" strokecolor="#dae3f5" strokeweight="1pt">
                  <v:stroke joinstyle="miter"/>
                  <v:formulas/>
                  <v:path arrowok="t" o:connecttype="custom" o:connectlocs="32760,0;1667741,0;1700501,32760;1700501,196556;1700501,196556;0,196556;0,196556;0,32760;32760,0" o:connectangles="0,0,0,0,0,0,0,0,0" textboxrect="0,0,1700501,196556"/>
                  <v:textbox inset=",0,,0">
                    <w:txbxContent>
                      <w:p w14:paraId="73C78A7B" w14:textId="7513AA84" w:rsidR="00175F8C" w:rsidRPr="006E07A7" w:rsidRDefault="00175F8C" w:rsidP="00175F8C">
                        <w:pPr>
                          <w:spacing w:after="0" w:line="240" w:lineRule="auto"/>
                          <w:rPr>
                            <w:b/>
                            <w:bCs/>
                            <w14:numForm w14:val="lining"/>
                            <w14:numSpacing w14:val="proportional"/>
                          </w:rPr>
                        </w:pPr>
                      </w:p>
                    </w:txbxContent>
                  </v:textbox>
                </v:shape>
                <v:rect id="Rectangle 505805211" o:spid="_x0000_s1101" style="position:absolute;top:2937;width:57987;height:8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" fillcolor="#f2f2f2" strokecolor="#dae3f5" strokeweight="1pt">
                  <v:textbox inset="2mm,1mm,2mm,1mm">
                    <w:txbxContent>
                      <w:p w14:paraId="70D992C4" w14:textId="7D102FCC" w:rsidR="00175F8C" w:rsidRPr="00011385" w:rsidRDefault="00175F8C" w:rsidP="00011385">
                        <w:pPr>
                          <w:spacing w:after="80" w:line="276" w:lineRule="auto"/>
                          <w:ind w:right="113"/>
                          <w:rPr>
                            <w:rFonts w:asciiTheme="minorHAnsi" w:hAnsiTheme="minorHAnsi" w:cstheme="minorHAnsi"/>
                          </w:rPr>
                        </w:pPr>
                      </w:p>
                    </w:txbxContent>
                  </v:textbox>
                </v:rect>
              </v:group>
            </w:pict>
          </mc:Fallback>
        </mc:AlternateContent>
      </w:r>
    </w:p>
    <w:p w14:paraId="4E4923B5" w14:textId="6260474D" w:rsidR="00A52DF8" w:rsidRPr="006E07A7" w:rsidRDefault="00A52DF8" w:rsidP="00A52DF8">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4.5</w:t>
      </w:r>
    </w:p>
    <w:p w14:paraId="7106AB01" w14:textId="77777777" w:rsidR="00A52DF8" w:rsidRPr="00011385" w:rsidRDefault="00A52DF8" w:rsidP="00A52DF8">
      <w:pPr>
        <w:spacing w:before="200" w:after="80" w:line="240" w:lineRule="auto"/>
        <w:ind w:left="170" w:right="113"/>
        <w:rPr>
          <w:rFonts w:asciiTheme="minorHAnsi" w:hAnsiTheme="minorHAnsi" w:cstheme="minorHAnsi"/>
        </w:rPr>
      </w:pPr>
      <w:r>
        <w:rPr>
          <w:rStyle w:val="ui-provider"/>
        </w:rPr>
        <w:t>Governments could explore the possibility of allowing international students to undertake an electrical apprenticeship in Australia, to enhance the supply of electricians. This would require an adjustment to rules for international students on hours of work they can undertake while studying.</w:t>
      </w:r>
    </w:p>
    <w:p w14:paraId="5EC37A8D" w14:textId="042D252C" w:rsidR="00EE37C8" w:rsidRPr="00E5087D" w:rsidRDefault="00EE37C8" w:rsidP="00A52DF8">
      <w:pPr>
        <w:pBdr>
          <w:top w:val="single" w:sz="4" w:space="6" w:color="BFBFBF" w:themeColor="background1" w:themeShade="BF"/>
        </w:pBdr>
        <w:spacing w:before="600" w:after="120" w:line="240" w:lineRule="auto"/>
        <w:rPr>
          <w:b/>
          <w:bCs/>
        </w:rPr>
      </w:pPr>
      <w:r w:rsidRPr="00E5087D">
        <w:rPr>
          <w:b/>
          <w:bCs/>
        </w:rPr>
        <w:t xml:space="preserve">Figure </w:t>
      </w:r>
      <w:r w:rsidR="00B20784">
        <w:rPr>
          <w:b/>
          <w:bCs/>
        </w:rPr>
        <w:t>4.16.</w:t>
      </w:r>
      <w:r w:rsidRPr="00E5087D">
        <w:rPr>
          <w:b/>
          <w:bCs/>
        </w:rPr>
        <w:t xml:space="preserve"> </w:t>
      </w:r>
      <w:r w:rsidR="007C3A50">
        <w:rPr>
          <w:b/>
          <w:bCs/>
        </w:rPr>
        <w:t>Higher education e</w:t>
      </w:r>
      <w:r w:rsidRPr="00E5087D">
        <w:rPr>
          <w:b/>
          <w:bCs/>
        </w:rPr>
        <w:t>ngineering commencements</w:t>
      </w:r>
      <w:r w:rsidR="007C3A50">
        <w:rPr>
          <w:b/>
          <w:bCs/>
        </w:rPr>
        <w:t>,</w:t>
      </w:r>
      <w:r w:rsidRPr="00E5087D">
        <w:rPr>
          <w:b/>
          <w:bCs/>
        </w:rPr>
        <w:t xml:space="preserve"> by student type</w:t>
      </w:r>
    </w:p>
    <w:p w14:paraId="0C415289" w14:textId="21F48EE5" w:rsidR="00EE37C8" w:rsidRPr="00E5087D" w:rsidRDefault="00DE6BBA" w:rsidP="00EE37C8">
      <w:pPr>
        <w:pStyle w:val="Bodycopy"/>
        <w:spacing w:after="0"/>
      </w:pPr>
      <w:r>
        <w:rPr>
          <w:noProof/>
        </w:rPr>
        <w:drawing>
          <wp:inline distT="0" distB="0" distL="0" distR="0" wp14:anchorId="49EBAD4C" wp14:editId="090FB9F3">
            <wp:extent cx="5657850" cy="2743200"/>
            <wp:effectExtent l="0" t="0" r="0" b="0"/>
            <wp:docPr id="1341085372" name="Graphic 1341085372" descr="This figure captures  higher education engineering commencements for both domestic and international students between 2011 and 2021. The figure shows that domestic students currently dominate engineering commenceme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72" name="Graphic 1341085372" descr="This figure captures  higher education engineering commencements for both domestic and international students between 2011 and 2021. The figure shows that domestic students currently dominate engineering commencements. &#10;"/>
                    <pic:cNvPicPr/>
                  </pic:nvPicPr>
                  <pic:blipFill>
                    <a:blip r:embed="rId133">
                      <a:extLst>
                        <a:ext uri="{96DAC541-7B7A-43D3-8B79-37D633B846F1}">
                          <asvg:svgBlip xmlns:asvg="http://schemas.microsoft.com/office/drawing/2016/SVG/main" r:embed="rId134"/>
                        </a:ext>
                      </a:extLst>
                    </a:blip>
                    <a:stretch>
                      <a:fillRect/>
                    </a:stretch>
                  </pic:blipFill>
                  <pic:spPr>
                    <a:xfrm>
                      <a:off x="0" y="0"/>
                      <a:ext cx="5657850" cy="2743200"/>
                    </a:xfrm>
                    <a:prstGeom prst="rect">
                      <a:avLst/>
                    </a:prstGeom>
                  </pic:spPr>
                </pic:pic>
              </a:graphicData>
            </a:graphic>
          </wp:inline>
        </w:drawing>
      </w:r>
    </w:p>
    <w:p w14:paraId="4108070B" w14:textId="77777777" w:rsidR="00EE37C8" w:rsidRPr="00E5087D" w:rsidRDefault="00EE37C8" w:rsidP="00EE37C8">
      <w:pPr>
        <w:pStyle w:val="Bodycopy"/>
      </w:pPr>
      <w:r w:rsidRPr="00E5087D">
        <w:rPr>
          <w:rFonts w:eastAsiaTheme="majorEastAsia" w:cstheme="majorBidi"/>
          <w:sz w:val="18"/>
          <w:szCs w:val="18"/>
        </w:rPr>
        <w:t>Source: Department of Education higher education unit record data</w:t>
      </w:r>
    </w:p>
    <w:p w14:paraId="6C031074" w14:textId="3130EF5F" w:rsidR="00EE37C8" w:rsidRPr="00E5087D" w:rsidRDefault="00EE37C8" w:rsidP="00A52DF8">
      <w:pPr>
        <w:pStyle w:val="Bodycopy"/>
        <w:spacing w:before="360" w:after="360"/>
      </w:pPr>
      <w:r w:rsidRPr="00E5087D">
        <w:t>International students in related fields like Electrical and Electronic Engineering represented around 40% of commencements before COVID-19</w:t>
      </w:r>
      <w:r w:rsidR="00ED04C7">
        <w:t xml:space="preserve"> (Figure 4.17)</w:t>
      </w:r>
      <w:r w:rsidRPr="00E5087D">
        <w:t>.</w:t>
      </w:r>
    </w:p>
    <w:p w14:paraId="758312C5" w14:textId="22B74AFE" w:rsidR="00EE37C8" w:rsidRPr="00E5087D" w:rsidRDefault="00EE37C8" w:rsidP="001519E0">
      <w:pPr>
        <w:pBdr>
          <w:top w:val="single" w:sz="4" w:space="6" w:color="BFBFBF" w:themeColor="background1" w:themeShade="BF"/>
        </w:pBdr>
        <w:spacing w:after="120" w:line="240" w:lineRule="auto"/>
        <w:rPr>
          <w:rFonts w:eastAsiaTheme="majorEastAsia" w:cstheme="majorBidi"/>
          <w:b/>
          <w:sz w:val="32"/>
          <w:szCs w:val="26"/>
        </w:rPr>
      </w:pPr>
      <w:r w:rsidRPr="00E5087D">
        <w:rPr>
          <w:b/>
          <w:bCs/>
        </w:rPr>
        <w:t xml:space="preserve">Figure </w:t>
      </w:r>
      <w:r w:rsidR="00B20784">
        <w:rPr>
          <w:b/>
          <w:bCs/>
        </w:rPr>
        <w:t>4.17.</w:t>
      </w:r>
      <w:r w:rsidRPr="00E5087D">
        <w:rPr>
          <w:b/>
          <w:bCs/>
        </w:rPr>
        <w:t xml:space="preserve"> </w:t>
      </w:r>
      <w:r w:rsidR="00FA4426">
        <w:rPr>
          <w:b/>
          <w:bCs/>
        </w:rPr>
        <w:t>Bachelors e</w:t>
      </w:r>
      <w:r w:rsidRPr="00E5087D">
        <w:rPr>
          <w:b/>
          <w:bCs/>
        </w:rPr>
        <w:t>ngineering commencements by student type and field, 2019</w:t>
      </w:r>
      <w:r w:rsidR="006B1B39">
        <w:rPr>
          <w:noProof/>
        </w:rPr>
        <w:drawing>
          <wp:inline distT="0" distB="0" distL="0" distR="0" wp14:anchorId="3F2A1C1B" wp14:editId="3896FA7A">
            <wp:extent cx="5731510" cy="2679590"/>
            <wp:effectExtent l="0" t="0" r="2540" b="6985"/>
            <wp:docPr id="64" name="Graphic 64" descr="This figure captures bachelors engineering commencements by field for both domestic and international students in 2019. It shows that the highest concentration of students are in either electrical and electronic engineering and civil engineer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This figure captures bachelors engineering commencements by field for both domestic and international students in 2019. It shows that the highest concentration of students are in either electrical and electronic engineering and civil engineering. &#10;"/>
                    <pic:cNvPicPr/>
                  </pic:nvPicPr>
                  <pic:blipFill rotWithShape="1">
                    <a:blip r:embed="rId135" cstate="screen">
                      <a:extLst>
                        <a:ext uri="{28A0092B-C50C-407E-A947-70E740481C1C}">
                          <a14:useLocalDpi xmlns:a14="http://schemas.microsoft.com/office/drawing/2010/main"/>
                        </a:ext>
                        <a:ext uri="{96DAC541-7B7A-43D3-8B79-37D633B846F1}">
                          <asvg:svgBlip xmlns:asvg="http://schemas.microsoft.com/office/drawing/2016/SVG/main" r:embed="rId136"/>
                        </a:ext>
                      </a:extLst>
                    </a:blip>
                    <a:srcRect b="1956"/>
                    <a:stretch/>
                  </pic:blipFill>
                  <pic:spPr bwMode="auto">
                    <a:xfrm>
                      <a:off x="0" y="0"/>
                      <a:ext cx="5731510" cy="2679590"/>
                    </a:xfrm>
                    <a:prstGeom prst="rect">
                      <a:avLst/>
                    </a:prstGeom>
                    <a:ln>
                      <a:noFill/>
                    </a:ln>
                    <a:extLst>
                      <a:ext uri="{53640926-AAD7-44D8-BBD7-CCE9431645EC}">
                        <a14:shadowObscured xmlns:a14="http://schemas.microsoft.com/office/drawing/2010/main"/>
                      </a:ext>
                    </a:extLst>
                  </pic:spPr>
                </pic:pic>
              </a:graphicData>
            </a:graphic>
          </wp:inline>
        </w:drawing>
      </w:r>
      <w:r w:rsidR="00E942D3">
        <w:rPr>
          <w:rFonts w:eastAsiaTheme="majorEastAsia" w:cstheme="majorBidi"/>
          <w:sz w:val="18"/>
          <w:szCs w:val="18"/>
        </w:rPr>
        <w:t>S</w:t>
      </w:r>
      <w:r w:rsidRPr="00E5087D">
        <w:rPr>
          <w:rFonts w:eastAsiaTheme="majorEastAsia" w:cstheme="majorBidi"/>
          <w:sz w:val="18"/>
          <w:szCs w:val="18"/>
        </w:rPr>
        <w:t>ource: Department of Education higher education unit record data</w:t>
      </w:r>
    </w:p>
    <w:p w14:paraId="1E492851" w14:textId="528FC81E" w:rsidR="004248D0" w:rsidRPr="00E5087D" w:rsidRDefault="00EE37C8" w:rsidP="004248D0">
      <w:pPr>
        <w:spacing w:before="120" w:after="120" w:line="276" w:lineRule="auto"/>
        <w:ind w:right="30"/>
        <w:rPr>
          <w:rFonts w:cs="Arial"/>
        </w:rPr>
      </w:pPr>
      <w:r w:rsidRPr="00E5087D">
        <w:rPr>
          <w:rFonts w:cs="Arial"/>
        </w:rPr>
        <w:t>The largest source country for higher education engineering students is China, followed by India and</w:t>
      </w:r>
      <w:r w:rsidR="00CF12D8">
        <w:rPr>
          <w:rFonts w:cs="Arial"/>
        </w:rPr>
        <w:t xml:space="preserve"> Sri Lanka</w:t>
      </w:r>
      <w:r w:rsidRPr="00E5087D">
        <w:rPr>
          <w:rFonts w:cs="Arial"/>
        </w:rPr>
        <w:t>.</w:t>
      </w:r>
      <w:r w:rsidR="004248D0" w:rsidRPr="00E5087D">
        <w:rPr>
          <w:rFonts w:cs="Arial"/>
        </w:rPr>
        <w:t xml:space="preserve"> Whilst China is inarguably the world leader in clean energy employment and activity more broadly,</w:t>
      </w:r>
      <w:r w:rsidR="004248D0" w:rsidRPr="00E5087D">
        <w:rPr>
          <w:rStyle w:val="EndnoteReference"/>
          <w:rFonts w:cs="Arial"/>
        </w:rPr>
        <w:endnoteReference w:id="74"/>
      </w:r>
      <w:r w:rsidR="004248D0" w:rsidRPr="00E5087D">
        <w:rPr>
          <w:rFonts w:cs="Arial"/>
        </w:rPr>
        <w:t xml:space="preserve"> India also occupies a significant position and has made solid progress and bold commitments towards decarbonisation.</w:t>
      </w:r>
      <w:r w:rsidR="004248D0" w:rsidRPr="00E5087D">
        <w:rPr>
          <w:rStyle w:val="EndnoteReference"/>
          <w:rFonts w:cs="Arial"/>
        </w:rPr>
        <w:endnoteReference w:id="75"/>
      </w:r>
      <w:r w:rsidR="004248D0" w:rsidRPr="00E5087D">
        <w:rPr>
          <w:rFonts w:cs="Arial"/>
        </w:rPr>
        <w:t xml:space="preserve"> </w:t>
      </w:r>
    </w:p>
    <w:p w14:paraId="779C6FAF" w14:textId="1373E3D2" w:rsidR="004248D0" w:rsidRPr="00E5087D" w:rsidRDefault="004248D0" w:rsidP="004248D0">
      <w:pPr>
        <w:spacing w:before="120" w:after="120" w:line="276" w:lineRule="auto"/>
        <w:ind w:right="30"/>
        <w:rPr>
          <w:rFonts w:cs="Arial"/>
        </w:rPr>
      </w:pPr>
      <w:r w:rsidRPr="00E5087D">
        <w:rPr>
          <w:rFonts w:cs="Arial"/>
        </w:rPr>
        <w:t>If Australia is to retain high levels of Chinese and Indian student enrolments in the face of their respective domestic tertiary sectors</w:t>
      </w:r>
      <w:r w:rsidR="00837076">
        <w:rPr>
          <w:rFonts w:cs="Arial"/>
        </w:rPr>
        <w:t>, whilst</w:t>
      </w:r>
      <w:r w:rsidRPr="00E5087D">
        <w:rPr>
          <w:rFonts w:cs="Arial"/>
        </w:rPr>
        <w:t xml:space="preserve"> improving the quality and cache of their offerings, it will need to provide tailored, high-quality clean energy education and training products.</w:t>
      </w:r>
      <w:r w:rsidR="00281848" w:rsidRPr="004F4B0C">
        <w:rPr>
          <w:rStyle w:val="EndnoteReference"/>
        </w:rPr>
        <w:t xml:space="preserve"> </w:t>
      </w:r>
      <w:r w:rsidR="00281848" w:rsidRPr="00E5087D">
        <w:rPr>
          <w:rStyle w:val="EndnoteReference"/>
          <w:rFonts w:cs="Arial"/>
        </w:rPr>
        <w:endnoteReference w:id="76"/>
      </w:r>
    </w:p>
    <w:p w14:paraId="4775789F" w14:textId="7EBEC723" w:rsidR="004248D0" w:rsidRPr="00E5087D" w:rsidRDefault="004248D0" w:rsidP="00FB7B4E">
      <w:pPr>
        <w:spacing w:before="120" w:after="240" w:line="276" w:lineRule="auto"/>
        <w:ind w:right="30"/>
        <w:rPr>
          <w:rFonts w:cs="Arial"/>
        </w:rPr>
      </w:pPr>
      <w:r w:rsidRPr="00E5087D">
        <w:rPr>
          <w:rFonts w:cs="Arial"/>
        </w:rPr>
        <w:t xml:space="preserve">Meanwhile, efforts to diversify Australia’s international student talent pool by way of greater outreach efforts in non-Asian markets, particularly in African and South America, have seen modestly increasing enrolments, but not yet at a scale that can offset </w:t>
      </w:r>
      <w:r w:rsidR="006271AE">
        <w:rPr>
          <w:rFonts w:cs="Arial"/>
        </w:rPr>
        <w:t>recent declines in</w:t>
      </w:r>
      <w:r w:rsidRPr="00E5087D">
        <w:rPr>
          <w:rFonts w:cs="Arial"/>
        </w:rPr>
        <w:t xml:space="preserve"> Chinese enrolments. </w:t>
      </w:r>
    </w:p>
    <w:p w14:paraId="04D80F50" w14:textId="054CE8B0" w:rsidR="00EE37C8" w:rsidRPr="00E5087D" w:rsidRDefault="00EE37C8" w:rsidP="00B5734F">
      <w:pPr>
        <w:pBdr>
          <w:top w:val="single" w:sz="4" w:space="6" w:color="BFBFBF" w:themeColor="background1" w:themeShade="BF"/>
        </w:pBdr>
        <w:spacing w:after="120" w:line="240" w:lineRule="auto"/>
        <w:rPr>
          <w:rFonts w:cs="Arial"/>
          <w:b/>
          <w:bCs/>
        </w:rPr>
      </w:pPr>
      <w:r w:rsidRPr="00E5087D">
        <w:rPr>
          <w:rFonts w:cs="Arial"/>
          <w:b/>
          <w:bCs/>
        </w:rPr>
        <w:t xml:space="preserve">Figure </w:t>
      </w:r>
      <w:r w:rsidR="00B20784">
        <w:rPr>
          <w:rFonts w:cs="Arial"/>
          <w:b/>
          <w:bCs/>
        </w:rPr>
        <w:t>4.18.</w:t>
      </w:r>
      <w:r w:rsidRPr="00E5087D">
        <w:rPr>
          <w:rFonts w:cs="Arial"/>
          <w:b/>
          <w:bCs/>
        </w:rPr>
        <w:t xml:space="preserve"> Higher Education enrolments in Engineering and Related Technologies by </w:t>
      </w:r>
      <w:r w:rsidRPr="00B5734F">
        <w:rPr>
          <w:b/>
          <w:bCs/>
        </w:rPr>
        <w:t>nationality</w:t>
      </w:r>
      <w:r w:rsidR="00AA507D">
        <w:rPr>
          <w:rFonts w:cs="Arial"/>
          <w:b/>
          <w:bCs/>
        </w:rPr>
        <w:t xml:space="preserve"> (10 top), September 2021</w:t>
      </w:r>
      <w:r w:rsidRPr="00E5087D">
        <w:rPr>
          <w:rFonts w:cs="Arial"/>
          <w:b/>
          <w:bCs/>
        </w:rPr>
        <w:t xml:space="preserve"> </w:t>
      </w:r>
    </w:p>
    <w:p w14:paraId="6FD01A18" w14:textId="51C48647" w:rsidR="00EE37C8" w:rsidRPr="00E5087D" w:rsidRDefault="002E3D53" w:rsidP="00EE37C8">
      <w:pPr>
        <w:spacing w:after="0"/>
        <w:rPr>
          <w:rFonts w:cs="Arial"/>
        </w:rPr>
      </w:pPr>
      <w:r>
        <w:rPr>
          <w:noProof/>
        </w:rPr>
        <w:drawing>
          <wp:inline distT="0" distB="0" distL="0" distR="0" wp14:anchorId="7B603213" wp14:editId="2A0E78F5">
            <wp:extent cx="5715000" cy="2552700"/>
            <wp:effectExtent l="0" t="0" r="0" b="0"/>
            <wp:docPr id="1341085340" name="Graphic 1341085340" descr="This figure captures Higher Education enrolments in Engineering and Related Technologies for international students by Top 10 nationalities as at September 2021. The figure shows Chinese students are the highest proportion, followed by Indian stude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40" name="Graphic 1341085340" descr="This figure captures Higher Education enrolments in Engineering and Related Technologies for international students by Top 10 nationalities as at September 2021. The figure shows Chinese students are the highest proportion, followed by Indian students. &#10;"/>
                    <pic:cNvPicPr/>
                  </pic:nvPicPr>
                  <pic:blipFill>
                    <a:blip r:embed="rId137">
                      <a:extLst>
                        <a:ext uri="{96DAC541-7B7A-43D3-8B79-37D633B846F1}">
                          <asvg:svgBlip xmlns:asvg="http://schemas.microsoft.com/office/drawing/2016/SVG/main" r:embed="rId138"/>
                        </a:ext>
                      </a:extLst>
                    </a:blip>
                    <a:stretch>
                      <a:fillRect/>
                    </a:stretch>
                  </pic:blipFill>
                  <pic:spPr>
                    <a:xfrm>
                      <a:off x="0" y="0"/>
                      <a:ext cx="5715000" cy="2552700"/>
                    </a:xfrm>
                    <a:prstGeom prst="rect">
                      <a:avLst/>
                    </a:prstGeom>
                  </pic:spPr>
                </pic:pic>
              </a:graphicData>
            </a:graphic>
          </wp:inline>
        </w:drawing>
      </w:r>
    </w:p>
    <w:p w14:paraId="1D86071A" w14:textId="1E38949D" w:rsidR="00EE37C8" w:rsidRPr="002E3D53" w:rsidRDefault="00AA507D" w:rsidP="00EE37C8">
      <w:pPr>
        <w:rPr>
          <w:rFonts w:cs="Arial"/>
          <w:sz w:val="18"/>
          <w:szCs w:val="18"/>
        </w:rPr>
      </w:pPr>
      <w:r w:rsidRPr="002E3D53">
        <w:rPr>
          <w:rFonts w:cs="Arial"/>
          <w:sz w:val="18"/>
          <w:szCs w:val="18"/>
        </w:rPr>
        <w:t>Source: Department of Education, Intern</w:t>
      </w:r>
      <w:r w:rsidR="002E3D53" w:rsidRPr="002E3D53">
        <w:rPr>
          <w:rFonts w:cs="Arial"/>
          <w:sz w:val="18"/>
          <w:szCs w:val="18"/>
        </w:rPr>
        <w:t>ational students studying in Australia, September 2021</w:t>
      </w:r>
    </w:p>
    <w:p w14:paraId="0AA3D7DF" w14:textId="0E85C500" w:rsidR="00EE37C8" w:rsidRPr="00E5087D" w:rsidRDefault="00D76781" w:rsidP="00D76781">
      <w:pPr>
        <w:spacing w:before="360" w:after="120" w:line="240" w:lineRule="auto"/>
        <w:ind w:right="30"/>
        <w:rPr>
          <w:rFonts w:cs="Arial"/>
          <w:b/>
          <w:bCs/>
          <w:color w:val="0C6DAD" w:themeColor="accent3" w:themeShade="BF"/>
          <w:u w:val="single"/>
        </w:rPr>
      </w:pPr>
      <w:r>
        <w:rPr>
          <w:rFonts w:eastAsiaTheme="majorEastAsia" w:cs="Arial"/>
          <w:b/>
          <w:color w:val="0C6DAD" w:themeColor="accent3" w:themeShade="BF"/>
          <w:spacing w:val="2"/>
          <w:sz w:val="26"/>
          <w:szCs w:val="24"/>
          <w14:ligatures w14:val="standard"/>
          <w14:numForm w14:val="lining"/>
          <w14:numSpacing w14:val="proportional"/>
        </w:rPr>
        <w:t>Post-study pathways for international students</w:t>
      </w:r>
    </w:p>
    <w:p w14:paraId="4A9D458D" w14:textId="3EC7C550" w:rsidR="00EE37C8" w:rsidRPr="00E5087D" w:rsidRDefault="00EE37C8" w:rsidP="00EE37C8">
      <w:pPr>
        <w:spacing w:before="120" w:after="120" w:line="276" w:lineRule="auto"/>
        <w:ind w:left="-5" w:right="30"/>
        <w:rPr>
          <w:rFonts w:cs="Arial"/>
          <w14:numForm w14:val="lining"/>
          <w14:numSpacing w14:val="proportional"/>
        </w:rPr>
      </w:pPr>
      <w:r w:rsidRPr="00E5087D">
        <w:rPr>
          <w:rFonts w:cs="Arial"/>
          <w14:numForm w14:val="lining"/>
          <w14:numSpacing w14:val="proportional"/>
        </w:rPr>
        <w:t>Of over 10,000 recent international higher education graduates surveyed by the Department of Education, over 40% expressed a preference to remain and work in Australia post-graduation.</w:t>
      </w:r>
      <w:r w:rsidRPr="00E5087D">
        <w:rPr>
          <w:rStyle w:val="EndnoteReference"/>
          <w:rFonts w:cs="Arial"/>
          <w14:numForm w14:val="lining"/>
          <w14:numSpacing w14:val="proportional"/>
        </w:rPr>
        <w:endnoteReference w:id="77"/>
      </w:r>
      <w:r w:rsidRPr="00E5087D">
        <w:rPr>
          <w:rFonts w:cs="Arial"/>
          <w14:numForm w14:val="lining"/>
          <w14:numSpacing w14:val="proportional"/>
        </w:rPr>
        <w:t xml:space="preserve"> For many, this preference is driven by the professional and economic opportunities available in Australia. For others, this preference can be driven by social acceptance and mobility not available in their home country.</w:t>
      </w:r>
      <w:r w:rsidRPr="00E5087D">
        <w:rPr>
          <w:rStyle w:val="EndnoteReference"/>
          <w:rFonts w:cs="Arial"/>
          <w14:numForm w14:val="lining"/>
          <w14:numSpacing w14:val="proportional"/>
        </w:rPr>
        <w:endnoteReference w:id="78"/>
      </w:r>
      <w:r w:rsidRPr="00E5087D">
        <w:rPr>
          <w:rFonts w:cs="Arial"/>
          <w14:numForm w14:val="lining"/>
          <w14:numSpacing w14:val="proportional"/>
        </w:rPr>
        <w:t xml:space="preserve"> </w:t>
      </w:r>
    </w:p>
    <w:p w14:paraId="0E820D44" w14:textId="3F923C9B" w:rsidR="00EE37C8" w:rsidRPr="00E5087D" w:rsidRDefault="00EE37C8" w:rsidP="00EE37C8">
      <w:pPr>
        <w:spacing w:before="120" w:after="120" w:line="276" w:lineRule="auto"/>
        <w:ind w:left="-5" w:right="30"/>
        <w:rPr>
          <w:rFonts w:cs="Arial"/>
          <w14:numForm w14:val="lining"/>
          <w14:numSpacing w14:val="proportional"/>
        </w:rPr>
      </w:pPr>
      <w:r w:rsidRPr="00E5087D">
        <w:rPr>
          <w:rFonts w:cs="Arial"/>
          <w14:numForm w14:val="lining"/>
          <w14:numSpacing w14:val="proportional"/>
        </w:rPr>
        <w:t xml:space="preserve">This demonstrates that Australia’s appeal as a diverse, equitable and multicultural society will benefit efforts to attract, educate and retain a highly skilled workforce. However, current migration settings have not </w:t>
      </w:r>
      <w:r w:rsidR="00BE49FB">
        <w:rPr>
          <w:rFonts w:cs="Arial"/>
          <w14:numForm w14:val="lining"/>
          <w14:numSpacing w14:val="proportional"/>
        </w:rPr>
        <w:t xml:space="preserve">fully </w:t>
      </w:r>
      <w:r w:rsidRPr="00E5087D">
        <w:rPr>
          <w:rFonts w:cs="Arial"/>
          <w14:numForm w14:val="lining"/>
          <w14:numSpacing w14:val="proportional"/>
        </w:rPr>
        <w:t>supported the retention of these skills, and only around 16% of international students remain in Australia post-study.</w:t>
      </w:r>
      <w:r w:rsidR="009A1A50">
        <w:rPr>
          <w:rStyle w:val="EndnoteReference"/>
          <w:rFonts w:cs="Arial"/>
          <w14:numForm w14:val="lining"/>
          <w14:numSpacing w14:val="proportional"/>
        </w:rPr>
        <w:endnoteReference w:id="79"/>
      </w:r>
    </w:p>
    <w:p w14:paraId="2E43916B" w14:textId="30E06572" w:rsidR="00EE37C8" w:rsidRPr="00E5087D" w:rsidRDefault="00EE37C8" w:rsidP="00EE37C8">
      <w:pPr>
        <w:spacing w:before="120" w:after="120" w:line="276" w:lineRule="auto"/>
        <w:ind w:left="-5" w:right="30"/>
        <w:rPr>
          <w:rFonts w:cs="Arial"/>
          <w14:numForm w14:val="lining"/>
          <w14:numSpacing w14:val="proportional"/>
        </w:rPr>
      </w:pPr>
      <w:r w:rsidRPr="00E5087D">
        <w:rPr>
          <w:rFonts w:cs="Arial"/>
          <w14:numForm w14:val="lining"/>
          <w14:numSpacing w14:val="proportional"/>
        </w:rPr>
        <w:t xml:space="preserve">As of July 2023, international </w:t>
      </w:r>
      <w:r w:rsidR="009F16F8">
        <w:rPr>
          <w:rFonts w:cs="Arial"/>
          <w14:numForm w14:val="lining"/>
          <w14:numSpacing w14:val="proportional"/>
        </w:rPr>
        <w:t>h</w:t>
      </w:r>
      <w:r w:rsidRPr="00E5087D">
        <w:rPr>
          <w:rFonts w:cs="Arial"/>
          <w14:numForm w14:val="lining"/>
          <w14:numSpacing w14:val="proportional"/>
        </w:rPr>
        <w:t xml:space="preserve">igher </w:t>
      </w:r>
      <w:r w:rsidR="009F16F8">
        <w:rPr>
          <w:rFonts w:cs="Arial"/>
          <w14:numForm w14:val="lining"/>
          <w14:numSpacing w14:val="proportional"/>
        </w:rPr>
        <w:t>e</w:t>
      </w:r>
      <w:r w:rsidRPr="00E5087D">
        <w:rPr>
          <w:rFonts w:cs="Arial"/>
          <w14:numForm w14:val="lining"/>
          <w14:numSpacing w14:val="proportional"/>
        </w:rPr>
        <w:t>ducation graduates with eligible qualifications will have the option to extend their stay in Australia with an additional two years of post-study work rights. This extension has not been made available to international VET graduates.</w:t>
      </w:r>
    </w:p>
    <w:p w14:paraId="4451DFA1" w14:textId="41C980B3" w:rsidR="00ED4902" w:rsidRPr="00E5087D" w:rsidRDefault="00ED4902" w:rsidP="00ED4902">
      <w:pPr>
        <w:pStyle w:val="Heading2"/>
      </w:pPr>
      <w:bookmarkStart w:id="45" w:name="_Toc146892676"/>
      <w:r w:rsidRPr="00D05592">
        <w:rPr>
          <w:rFonts w:asciiTheme="majorHAnsi" w:hAnsiTheme="majorHAnsi" w:cstheme="majorHAnsi"/>
        </w:rPr>
        <w:t>4</w:t>
      </w:r>
      <w:r w:rsidRPr="00D05592">
        <w:rPr>
          <w:rFonts w:asciiTheme="majorHAnsi" w:hAnsiTheme="majorHAnsi" w:cstheme="majorHAnsi"/>
          <w:smallCaps/>
        </w:rPr>
        <w:t>c.</w:t>
      </w:r>
      <w:r w:rsidRPr="00E5087D">
        <w:t xml:space="preserve"> </w:t>
      </w:r>
      <w:r w:rsidRPr="00E5087D">
        <w:rPr>
          <w:b w:val="0"/>
          <w:bCs/>
        </w:rPr>
        <w:t>Migration</w:t>
      </w:r>
      <w:bookmarkEnd w:id="45"/>
    </w:p>
    <w:p w14:paraId="13FCF683" w14:textId="77777777" w:rsidR="00ED4902" w:rsidRPr="00E5087D" w:rsidRDefault="00ED4902" w:rsidP="00ED4902">
      <w:pPr>
        <w:pStyle w:val="Heading3"/>
      </w:pPr>
      <w:r w:rsidRPr="00E5087D">
        <w:t>The international context</w:t>
      </w:r>
    </w:p>
    <w:p w14:paraId="6A89BCF4" w14:textId="35DF7751" w:rsidR="00ED4902" w:rsidRPr="00E5087D" w:rsidRDefault="00FB7B4E" w:rsidP="00ED4902">
      <w:pPr>
        <w:spacing w:before="120" w:after="120" w:line="240" w:lineRule="auto"/>
        <w:ind w:right="30"/>
        <w:rPr>
          <w:rFonts w:eastAsiaTheme="majorEastAsia" w:cs="Arial"/>
          <w:b/>
          <w:color w:val="0C6DAD" w:themeColor="accent3" w:themeShade="BF"/>
          <w:spacing w:val="2"/>
          <w:sz w:val="26"/>
          <w:szCs w:val="24"/>
          <w14:ligatures w14:val="standard"/>
          <w14:numForm w14:val="lining"/>
          <w14:numSpacing w14:val="proportional"/>
        </w:rPr>
      </w:pPr>
      <w:r>
        <w:rPr>
          <w:rFonts w:eastAsiaTheme="majorEastAsia" w:cs="Arial"/>
          <w:b/>
          <w:color w:val="0C6DAD" w:themeColor="accent3" w:themeShade="BF"/>
          <w:spacing w:val="2"/>
          <w:sz w:val="26"/>
          <w:szCs w:val="24"/>
          <w14:ligatures w14:val="standard"/>
          <w14:numForm w14:val="lining"/>
          <w14:numSpacing w14:val="proportional"/>
        </w:rPr>
        <w:t>High competition for skilled migrants</w:t>
      </w:r>
    </w:p>
    <w:p w14:paraId="4122D3C7" w14:textId="2EEE531B" w:rsidR="00ED4902" w:rsidRPr="00E5087D" w:rsidRDefault="00ED4902" w:rsidP="00ED4902">
      <w:pPr>
        <w:tabs>
          <w:tab w:val="num" w:pos="567"/>
        </w:tabs>
        <w:spacing w:after="0" w:line="276" w:lineRule="auto"/>
        <w:rPr>
          <w:rFonts w:cs="Arial"/>
        </w:rPr>
      </w:pPr>
      <w:r w:rsidRPr="00E5087D">
        <w:rPr>
          <w:rFonts w:cs="Arial"/>
        </w:rPr>
        <w:t xml:space="preserve">Governments around the world are working to meet their own energy needs, achieve decarbonisation commitments and develop lucrative clean energy export opportunities. Australia is not alone in its dependence on skilled migration to support the transition to a clean energy economy. As such, competition for skilled migrants with the requisite skills, qualifications and experience is high. </w:t>
      </w:r>
    </w:p>
    <w:p w14:paraId="70234BC9" w14:textId="24DE1073" w:rsidR="00ED4902" w:rsidRPr="00E5087D" w:rsidRDefault="00ED4902" w:rsidP="00ED4902">
      <w:pPr>
        <w:tabs>
          <w:tab w:val="num" w:pos="567"/>
        </w:tabs>
        <w:spacing w:before="120" w:after="0" w:line="276" w:lineRule="auto"/>
        <w:rPr>
          <w:rFonts w:cs="Arial"/>
          <w:b/>
          <w:bCs/>
          <w:u w:val="single"/>
        </w:rPr>
      </w:pPr>
      <w:r w:rsidRPr="00E5087D">
        <w:rPr>
          <w:rFonts w:cs="Arial"/>
        </w:rPr>
        <w:t>At the September 2022 Jobs and Skills Summit, the Hon Clare O’Neil MP, Minister for Home Affairs, acknowledged that “for the first time in our history, Australia is not the destination of choice for many of the world’s skilled migrants. Those best and brightest minds on the move are instead looking to live in countries like Canada, Germany and the UK”.</w:t>
      </w:r>
      <w:r w:rsidRPr="00E5087D">
        <w:rPr>
          <w:rFonts w:cs="Arial"/>
          <w:vertAlign w:val="superscript"/>
        </w:rPr>
        <w:endnoteReference w:id="80"/>
      </w:r>
      <w:r w:rsidRPr="00E5087D">
        <w:rPr>
          <w:rFonts w:cs="Arial"/>
        </w:rPr>
        <w:t xml:space="preserve"> This sentiment is affirmed by a 2021 analysis from Boston Consulting Group, which ranked Australia the third most appealing destination to migrant workers behind Canada and the US, noting that it was less attractive to highly educated respondents. However, Australia was ranked most appealing by respondents in the Asia-Pacific region.</w:t>
      </w:r>
      <w:r w:rsidRPr="00E5087D">
        <w:rPr>
          <w:rFonts w:cs="Arial"/>
          <w:vertAlign w:val="superscript"/>
        </w:rPr>
        <w:endnoteReference w:id="81"/>
      </w:r>
      <w:r w:rsidR="001045A5">
        <w:rPr>
          <w:rFonts w:cs="Arial"/>
        </w:rPr>
        <w:t xml:space="preserve"> Australia is a similarly highly attractive destination by the OECD Talent Attractiveness measure, though outperformed in the Pacific by New Zealand.</w:t>
      </w:r>
      <w:r w:rsidR="001045A5">
        <w:rPr>
          <w:rStyle w:val="EndnoteReference"/>
          <w:rFonts w:cs="Arial"/>
        </w:rPr>
        <w:endnoteReference w:id="82"/>
      </w:r>
      <w:r w:rsidR="001045A5">
        <w:rPr>
          <w:rFonts w:cs="Arial"/>
        </w:rPr>
        <w:t xml:space="preserve"> </w:t>
      </w:r>
    </w:p>
    <w:p w14:paraId="1EE98871" w14:textId="77777777" w:rsidR="006C2B84" w:rsidRDefault="00ED4902" w:rsidP="006C2B84">
      <w:pPr>
        <w:spacing w:before="120" w:after="360" w:line="276" w:lineRule="auto"/>
        <w:ind w:left="-6" w:right="28"/>
        <w:rPr>
          <w:rFonts w:cs="Arial"/>
        </w:rPr>
      </w:pPr>
      <w:r w:rsidRPr="00E5087D">
        <w:rPr>
          <w:rFonts w:cs="Arial"/>
        </w:rPr>
        <w:t xml:space="preserve">The IEA estimates the global energy workforce at around 65 million, with just over 50% employed in clean energy-related activities. The largest and fastest growing clean energy workforce is in China, at over 10 million (Figure </w:t>
      </w:r>
      <w:r w:rsidR="003F6F91">
        <w:rPr>
          <w:rFonts w:cs="Arial"/>
        </w:rPr>
        <w:t>4.19</w:t>
      </w:r>
      <w:r w:rsidRPr="00E5087D">
        <w:rPr>
          <w:rFonts w:cs="Arial"/>
        </w:rPr>
        <w:t>).</w:t>
      </w:r>
      <w:r w:rsidRPr="00E5087D">
        <w:rPr>
          <w:rFonts w:cs="Arial"/>
          <w:vertAlign w:val="superscript"/>
        </w:rPr>
        <w:endnoteReference w:id="83"/>
      </w:r>
      <w:r w:rsidRPr="00E5087D">
        <w:rPr>
          <w:rFonts w:cs="Arial"/>
        </w:rPr>
        <w:t xml:space="preserve"> </w:t>
      </w:r>
    </w:p>
    <w:p w14:paraId="00242548" w14:textId="77777777" w:rsidR="006C2B84" w:rsidRPr="006C2B84" w:rsidRDefault="006C2B84" w:rsidP="006C2B84">
      <w:pPr>
        <w:pStyle w:val="Bodycopy"/>
        <w:pBdr>
          <w:top w:val="single" w:sz="4" w:space="5" w:color="BFBFBF" w:themeColor="background1" w:themeShade="BF"/>
        </w:pBdr>
        <w:spacing w:line="240" w:lineRule="auto"/>
        <w:rPr>
          <w:b/>
          <w:bCs/>
        </w:rPr>
      </w:pPr>
      <w:r w:rsidRPr="006C2B84">
        <w:rPr>
          <w:b/>
          <w:bCs/>
        </w:rPr>
        <w:t xml:space="preserve">Figure 4.19. Energy employment in fossil fuel and clean energy sectors by region, 2019, in thousands of employees </w:t>
      </w:r>
    </w:p>
    <w:p w14:paraId="48C09463" w14:textId="46BEC071" w:rsidR="00ED4902" w:rsidRPr="00F3075F" w:rsidRDefault="00F3075F" w:rsidP="006C2B84">
      <w:pPr>
        <w:spacing w:before="120" w:after="360" w:line="276" w:lineRule="auto"/>
        <w:ind w:left="-6" w:right="28"/>
        <w:rPr>
          <w:rFonts w:eastAsiaTheme="majorEastAsia" w:cs="Arial"/>
          <w:b/>
          <w:bCs/>
          <w:color w:val="1192E8" w:themeColor="accent3"/>
          <w:spacing w:val="2"/>
          <w:sz w:val="26"/>
          <w:szCs w:val="26"/>
          <w14:ligatures w14:val="standard"/>
          <w14:numForm w14:val="lining"/>
          <w14:numSpacing w14:val="proportional"/>
        </w:rPr>
      </w:pPr>
      <w:r>
        <w:rPr>
          <w:rFonts w:cs="Arial"/>
          <w:b/>
          <w:bCs/>
          <w:noProof/>
        </w:rPr>
        <w:drawing>
          <wp:inline distT="0" distB="0" distL="0" distR="0" wp14:anchorId="61A9B257" wp14:editId="3B378DF3">
            <wp:extent cx="5731510" cy="2513536"/>
            <wp:effectExtent l="0" t="0" r="2540" b="1270"/>
            <wp:docPr id="1341085349" name="Picture 1341085349" descr="This figure captures global energy employment in fossil fuel and clean energy sectors by region in 2019. The figure shows that the highest concentration of both fossil fuel and clean energy employees are in Chi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49" name="Picture 1341085349" descr="This figure captures global energy employment in fossil fuel and clean energy sectors by region in 2019. The figure shows that the highest concentration of both fossil fuel and clean energy employees are in China.&#10;"/>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5731510" cy="2513536"/>
                    </a:xfrm>
                    <a:prstGeom prst="rect">
                      <a:avLst/>
                    </a:prstGeom>
                    <a:noFill/>
                  </pic:spPr>
                </pic:pic>
              </a:graphicData>
            </a:graphic>
          </wp:inline>
        </w:drawing>
      </w:r>
      <w:r w:rsidR="00ED4902" w:rsidRPr="00FB7B4E">
        <w:rPr>
          <w:rFonts w:cs="Arial"/>
          <w:sz w:val="18"/>
          <w:szCs w:val="18"/>
        </w:rPr>
        <w:t xml:space="preserve">Source: </w:t>
      </w:r>
      <w:hyperlink r:id="rId140" w:history="1">
        <w:r w:rsidR="00ED4902" w:rsidRPr="00FB7B4E">
          <w:rPr>
            <w:rFonts w:cs="Arial"/>
            <w:color w:val="404246"/>
            <w:sz w:val="18"/>
            <w:szCs w:val="18"/>
            <w:u w:val="single"/>
          </w:rPr>
          <w:t>World Energy Employment</w:t>
        </w:r>
      </w:hyperlink>
      <w:r w:rsidR="00ED4902" w:rsidRPr="00FB7B4E">
        <w:rPr>
          <w:rFonts w:cs="Arial"/>
          <w:sz w:val="18"/>
          <w:szCs w:val="18"/>
        </w:rPr>
        <w:t xml:space="preserve"> 2022, International Energy Agency</w:t>
      </w:r>
      <w:r w:rsidR="00ED4902" w:rsidRPr="00E5087D">
        <w:rPr>
          <w:rFonts w:eastAsiaTheme="majorEastAsia" w:cs="Arial"/>
          <w:b/>
          <w:bCs/>
          <w:color w:val="0C6DAD" w:themeColor="accent3" w:themeShade="BF"/>
          <w:spacing w:val="2"/>
          <w:sz w:val="26"/>
          <w:szCs w:val="26"/>
          <w14:ligatures w14:val="standard"/>
          <w14:numForm w14:val="lining"/>
          <w14:numSpacing w14:val="proportional"/>
        </w:rPr>
        <w:br w:type="page"/>
      </w:r>
    </w:p>
    <w:p w14:paraId="7F4B6971" w14:textId="53AAE1D7" w:rsidR="00ED4902" w:rsidRPr="00F3075F" w:rsidRDefault="00F3075F" w:rsidP="009F16F8">
      <w:pPr>
        <w:spacing w:before="120" w:after="120" w:line="240" w:lineRule="auto"/>
        <w:ind w:right="28"/>
        <w:rPr>
          <w:rFonts w:eastAsiaTheme="majorEastAsia" w:cs="Arial"/>
          <w:b/>
          <w:bCs/>
          <w:color w:val="0C6DAD" w:themeColor="accent3" w:themeShade="BF"/>
          <w:spacing w:val="2"/>
          <w:sz w:val="26"/>
          <w:szCs w:val="26"/>
          <w14:ligatures w14:val="standard"/>
          <w14:numForm w14:val="lining"/>
          <w14:numSpacing w14:val="proportional"/>
        </w:rPr>
      </w:pPr>
      <w:r w:rsidRPr="00F3075F">
        <w:rPr>
          <w:rFonts w:eastAsiaTheme="majorEastAsia" w:cs="Arial"/>
          <w:b/>
          <w:bCs/>
          <w:color w:val="0C6DAD" w:themeColor="accent3" w:themeShade="BF"/>
          <w:spacing w:val="2"/>
          <w:sz w:val="26"/>
          <w:szCs w:val="26"/>
          <w14:ligatures w14:val="standard"/>
          <w14:numForm w14:val="lining"/>
          <w14:numSpacing w14:val="proportional"/>
        </w:rPr>
        <w:t>Incentives for skilled migrants</w:t>
      </w:r>
    </w:p>
    <w:p w14:paraId="0B190678" w14:textId="77777777" w:rsidR="00ED4902" w:rsidRPr="00E5087D" w:rsidRDefault="00ED4902" w:rsidP="00ED4902">
      <w:pPr>
        <w:tabs>
          <w:tab w:val="num" w:pos="567"/>
        </w:tabs>
        <w:spacing w:after="0" w:line="276" w:lineRule="auto"/>
        <w:rPr>
          <w:rFonts w:cs="Arial"/>
        </w:rPr>
      </w:pPr>
      <w:r w:rsidRPr="00E5087D">
        <w:rPr>
          <w:rFonts w:cs="Arial"/>
        </w:rPr>
        <w:t xml:space="preserve">Non-exhaustive desktop research has not identified any exclusively targeted clean energy migration incentives internationally (for example, a clean energy-specific visa pathway). Rather, in many cases, similar to the Australian approach, incentives to attract clean energy skills have been incorporated into existing skilled migration incentive programs. Below are some examples of similar tactics being deployed internationally. </w:t>
      </w:r>
    </w:p>
    <w:p w14:paraId="5A19EB28" w14:textId="7208103F" w:rsidR="00ED4902" w:rsidRPr="00E5087D" w:rsidRDefault="00ED4902" w:rsidP="00ED4902">
      <w:pPr>
        <w:spacing w:before="120" w:after="120" w:line="276" w:lineRule="auto"/>
        <w:ind w:left="-5" w:right="30"/>
        <w:rPr>
          <w:rFonts w:cs="Arial"/>
        </w:rPr>
      </w:pPr>
      <w:r w:rsidRPr="00E5087D">
        <w:rPr>
          <w:rFonts w:cs="Arial"/>
        </w:rPr>
        <w:t xml:space="preserve">The </w:t>
      </w:r>
      <w:r w:rsidRPr="001E665A">
        <w:rPr>
          <w:rFonts w:cs="Arial"/>
        </w:rPr>
        <w:t>EU Blue Card Directive</w:t>
      </w:r>
      <w:r w:rsidRPr="00E5087D">
        <w:rPr>
          <w:rFonts w:cs="Arial"/>
          <w:b/>
          <w:bCs/>
        </w:rPr>
        <w:t xml:space="preserve"> </w:t>
      </w:r>
      <w:r w:rsidRPr="00E5087D">
        <w:rPr>
          <w:rFonts w:cs="Arial"/>
        </w:rPr>
        <w:t>works to attract highly skilled workers to the EU to work in occupations with critical labour market needs, including those supporting renewable energy projects, with flexible admission conditions, enhanced rights and the possibility to move and work more easily between EU Member States.</w:t>
      </w:r>
    </w:p>
    <w:p w14:paraId="2F5F34E6" w14:textId="77777777" w:rsidR="00ED4902" w:rsidRPr="00E5087D" w:rsidRDefault="00ED4902" w:rsidP="00ED4902">
      <w:pPr>
        <w:tabs>
          <w:tab w:val="num" w:pos="567"/>
        </w:tabs>
        <w:spacing w:after="0" w:line="276" w:lineRule="auto"/>
        <w:rPr>
          <w:rFonts w:cs="Arial"/>
        </w:rPr>
      </w:pPr>
      <w:r w:rsidRPr="00E5087D">
        <w:rPr>
          <w:rFonts w:cs="Arial"/>
        </w:rPr>
        <w:t xml:space="preserve">Canada’s Federal Skilled Trades Program (Express Entry) provides fast-tracked visa processing and stable pathways to permanent residence for skilled migrants with a trades qualification relevant to identified groups within the </w:t>
      </w:r>
      <w:hyperlink r:id="rId141" w:history="1">
        <w:r w:rsidRPr="00E5087D">
          <w:rPr>
            <w:rFonts w:cs="Arial"/>
            <w:u w:val="single"/>
          </w:rPr>
          <w:t>National Occupation Classification</w:t>
        </w:r>
      </w:hyperlink>
      <w:r w:rsidRPr="00E5087D">
        <w:rPr>
          <w:rFonts w:cs="Arial"/>
        </w:rPr>
        <w:t xml:space="preserve"> (NOC), which includes several relevant to clean energy (subject to additional eligibility requirements).</w:t>
      </w:r>
      <w:r w:rsidRPr="00E5087D">
        <w:rPr>
          <w:rFonts w:cs="Arial"/>
          <w:vertAlign w:val="superscript"/>
        </w:rPr>
        <w:endnoteReference w:id="84"/>
      </w:r>
    </w:p>
    <w:p w14:paraId="616F0506" w14:textId="23DBCB4F" w:rsidR="00F3075F" w:rsidRDefault="00ED4902" w:rsidP="00ED4902">
      <w:pPr>
        <w:spacing w:before="120" w:after="120" w:line="276" w:lineRule="auto"/>
        <w:ind w:left="-5" w:right="30"/>
        <w:rPr>
          <w:rFonts w:cs="Arial"/>
        </w:rPr>
      </w:pPr>
      <w:r w:rsidRPr="00E5087D">
        <w:rPr>
          <w:rFonts w:cs="Arial"/>
        </w:rPr>
        <w:t xml:space="preserve">Whilst wages and cost of living are key considerations for skilled migrants in selecting a destination country, these are not the only influential factors and the overall migration experience and social outcomes upon arrival are equally important. This sentiment is reflected in the </w:t>
      </w:r>
      <w:r w:rsidRPr="00E5087D">
        <w:rPr>
          <w:rFonts w:cs="Arial"/>
          <w:i/>
          <w:iCs/>
        </w:rPr>
        <w:t>OECD Indicators of Talent Attractiveness</w:t>
      </w:r>
      <w:r w:rsidRPr="00E5087D">
        <w:rPr>
          <w:rFonts w:cs="Arial"/>
        </w:rPr>
        <w:t>, which ranks nations across seven markers of attractiveness to highly skilled migrants spanning quality of opportunities, income and tax, future prospects, family environment, skills environment, inclusiveness</w:t>
      </w:r>
      <w:r w:rsidR="001C1606">
        <w:rPr>
          <w:rFonts w:cs="Arial"/>
        </w:rPr>
        <w:t>,</w:t>
      </w:r>
      <w:r w:rsidRPr="00E5087D">
        <w:rPr>
          <w:rFonts w:cs="Arial"/>
        </w:rPr>
        <w:t xml:space="preserve"> and quality of life.</w:t>
      </w:r>
      <w:r w:rsidRPr="00E5087D">
        <w:rPr>
          <w:rStyle w:val="EndnoteReference"/>
          <w:rFonts w:cs="Arial"/>
        </w:rPr>
        <w:endnoteReference w:id="85"/>
      </w:r>
      <w:r w:rsidRPr="00E5087D">
        <w:rPr>
          <w:rFonts w:cs="Arial"/>
        </w:rPr>
        <w:t xml:space="preserve"> </w:t>
      </w:r>
    </w:p>
    <w:p w14:paraId="50C231C3" w14:textId="7A8630E9" w:rsidR="00ED4902" w:rsidRPr="00E5087D" w:rsidRDefault="00ED4902" w:rsidP="00F3075F">
      <w:pPr>
        <w:spacing w:before="120" w:after="240" w:line="276" w:lineRule="auto"/>
        <w:ind w:left="-5" w:right="30"/>
        <w:rPr>
          <w:rFonts w:cs="Arial"/>
          <w:b/>
          <w:bCs/>
        </w:rPr>
      </w:pPr>
      <w:r w:rsidRPr="00E5087D">
        <w:rPr>
          <w:rFonts w:cs="Arial"/>
        </w:rPr>
        <w:t xml:space="preserve">Australia ranks generally favourably in this index (Figure </w:t>
      </w:r>
      <w:r w:rsidR="003F6F91">
        <w:rPr>
          <w:rFonts w:cs="Arial"/>
        </w:rPr>
        <w:t>4.20</w:t>
      </w:r>
      <w:r w:rsidRPr="00E5087D">
        <w:rPr>
          <w:rFonts w:cs="Arial"/>
        </w:rPr>
        <w:t>)</w:t>
      </w:r>
      <w:r w:rsidR="006271AE">
        <w:rPr>
          <w:rFonts w:cs="Arial"/>
        </w:rPr>
        <w:t>, although</w:t>
      </w:r>
      <w:r w:rsidRPr="00E5087D">
        <w:rPr>
          <w:rFonts w:cs="Arial"/>
        </w:rPr>
        <w:t xml:space="preserve"> in 2023 its profile is less appealing to highly skilled (university-educated) migrants and migrants with partners and children.</w:t>
      </w:r>
      <w:r w:rsidRPr="00E5087D">
        <w:rPr>
          <w:rStyle w:val="EndnoteReference"/>
          <w:rFonts w:cs="Arial"/>
        </w:rPr>
        <w:endnoteReference w:id="86"/>
      </w:r>
    </w:p>
    <w:p w14:paraId="44FBF914" w14:textId="3A534904" w:rsidR="00ED4902" w:rsidRPr="00E5087D" w:rsidRDefault="00ED4902" w:rsidP="00614DAA">
      <w:pPr>
        <w:pBdr>
          <w:top w:val="single" w:sz="4" w:space="6" w:color="BFBFBF" w:themeColor="background1" w:themeShade="BF"/>
        </w:pBdr>
        <w:spacing w:after="120" w:line="240" w:lineRule="auto"/>
        <w:rPr>
          <w:rFonts w:cs="Arial"/>
          <w:b/>
          <w:bCs/>
        </w:rPr>
      </w:pPr>
      <w:r w:rsidRPr="00E5087D">
        <w:rPr>
          <w:rFonts w:cs="Arial"/>
          <w:b/>
          <w:bCs/>
        </w:rPr>
        <w:t xml:space="preserve">Figure </w:t>
      </w:r>
      <w:r w:rsidR="003F6F91">
        <w:rPr>
          <w:rFonts w:cs="Arial"/>
          <w:b/>
          <w:bCs/>
        </w:rPr>
        <w:t>4.20.</w:t>
      </w:r>
      <w:r w:rsidRPr="00E5087D">
        <w:rPr>
          <w:rFonts w:cs="Arial"/>
          <w:b/>
          <w:bCs/>
        </w:rPr>
        <w:t xml:space="preserve"> Attractiveness of OECD countries for migrants: highly educated workers</w:t>
      </w:r>
    </w:p>
    <w:p w14:paraId="118F5C0B" w14:textId="2756011C" w:rsidR="00ED4902" w:rsidRPr="00E5087D" w:rsidRDefault="008C7A1E" w:rsidP="00ED4902">
      <w:pPr>
        <w:spacing w:after="120"/>
        <w:rPr>
          <w:rFonts w:cs="Arial"/>
          <w:b/>
          <w:bCs/>
        </w:rPr>
      </w:pPr>
      <w:r w:rsidRPr="008C7A1E">
        <w:rPr>
          <w:rFonts w:cs="Arial"/>
          <w:b/>
          <w:bCs/>
          <w:noProof/>
        </w:rPr>
        <w:drawing>
          <wp:inline distT="0" distB="0" distL="0" distR="0" wp14:anchorId="29755CE0" wp14:editId="359BF5F5">
            <wp:extent cx="5731510" cy="2533015"/>
            <wp:effectExtent l="0" t="0" r="2540" b="635"/>
            <wp:docPr id="1341085350" name="Picture 1341085350" descr="The figure reflect the attractiveness of OECD countries for highly educated migrant workers. The figure shows that the top 5 most attractive destinations are (in order); New Zealand, Sweden, Switzerland, Australia and Norw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50" name="Picture 1341085350" descr="The figure reflect the attractiveness of OECD countries for highly educated migrant workers. The figure shows that the top 5 most attractive destinations are (in order); New Zealand, Sweden, Switzerland, Australia and Norway. &#10;"/>
                    <pic:cNvPicPr/>
                  </pic:nvPicPr>
                  <pic:blipFill>
                    <a:blip r:embed="rId142" cstate="screen">
                      <a:extLst>
                        <a:ext uri="{28A0092B-C50C-407E-A947-70E740481C1C}">
                          <a14:useLocalDpi xmlns:a14="http://schemas.microsoft.com/office/drawing/2010/main"/>
                        </a:ext>
                      </a:extLst>
                    </a:blip>
                    <a:stretch>
                      <a:fillRect/>
                    </a:stretch>
                  </pic:blipFill>
                  <pic:spPr>
                    <a:xfrm>
                      <a:off x="0" y="0"/>
                      <a:ext cx="5731510" cy="2533015"/>
                    </a:xfrm>
                    <a:prstGeom prst="rect">
                      <a:avLst/>
                    </a:prstGeom>
                  </pic:spPr>
                </pic:pic>
              </a:graphicData>
            </a:graphic>
          </wp:inline>
        </w:drawing>
      </w:r>
    </w:p>
    <w:p w14:paraId="5D185FD8" w14:textId="77777777" w:rsidR="00614DAA" w:rsidRDefault="00ED4902" w:rsidP="00614DAA">
      <w:pPr>
        <w:spacing w:before="120" w:after="120"/>
        <w:rPr>
          <w:rFonts w:cs="Arial"/>
          <w:sz w:val="18"/>
          <w:szCs w:val="18"/>
        </w:rPr>
      </w:pPr>
      <w:r w:rsidRPr="00E5087D">
        <w:rPr>
          <w:rFonts w:cs="Arial"/>
          <w:sz w:val="18"/>
          <w:szCs w:val="18"/>
        </w:rPr>
        <w:t>Source: OECD 2023, What is the best country for global talents in the OECD?</w:t>
      </w:r>
    </w:p>
    <w:p w14:paraId="43CADB6D" w14:textId="751C633F" w:rsidR="00ED4902" w:rsidRPr="00E5087D" w:rsidRDefault="00614DAA" w:rsidP="00614DAA">
      <w:pPr>
        <w:spacing w:before="120" w:after="120"/>
        <w:rPr>
          <w:rFonts w:cs="Arial"/>
          <w:color w:val="404246"/>
          <w:u w:val="single"/>
        </w:rPr>
      </w:pPr>
      <w:r>
        <w:rPr>
          <w:rFonts w:cs="Arial"/>
          <w:sz w:val="18"/>
          <w:szCs w:val="18"/>
        </w:rPr>
        <w:t xml:space="preserve">Note: </w:t>
      </w:r>
      <w:r w:rsidRPr="00614DAA">
        <w:rPr>
          <w:rFonts w:cs="Arial"/>
          <w:sz w:val="18"/>
          <w:szCs w:val="18"/>
        </w:rPr>
        <w:t xml:space="preserve">Values closer to </w:t>
      </w:r>
      <w:r>
        <w:rPr>
          <w:rFonts w:cs="Arial"/>
          <w:sz w:val="18"/>
          <w:szCs w:val="18"/>
        </w:rPr>
        <w:t>1</w:t>
      </w:r>
      <w:r w:rsidRPr="00614DAA">
        <w:rPr>
          <w:rFonts w:cs="Arial"/>
          <w:sz w:val="18"/>
          <w:szCs w:val="18"/>
        </w:rPr>
        <w:t xml:space="preserve"> represent higher</w:t>
      </w:r>
      <w:r>
        <w:rPr>
          <w:rFonts w:cs="Arial"/>
          <w:sz w:val="18"/>
          <w:szCs w:val="18"/>
        </w:rPr>
        <w:t xml:space="preserve"> </w:t>
      </w:r>
      <w:r w:rsidRPr="00614DAA">
        <w:rPr>
          <w:rFonts w:cs="Arial"/>
          <w:sz w:val="18"/>
          <w:szCs w:val="18"/>
        </w:rPr>
        <w:t>attractiveness. The ranking is based on default equal weights across dimensions and does not include the health system performance dimension. Top-ten countries are highlighted to facilitate comparison.</w:t>
      </w:r>
      <w:r w:rsidR="00ED4902" w:rsidRPr="00E5087D">
        <w:rPr>
          <w:rFonts w:eastAsiaTheme="majorEastAsia" w:cs="Arial"/>
          <w:b/>
          <w:bCs/>
          <w:color w:val="7030A0"/>
          <w:sz w:val="56"/>
          <w:szCs w:val="56"/>
        </w:rPr>
        <w:br w:type="page"/>
      </w:r>
    </w:p>
    <w:p w14:paraId="5850BEBC" w14:textId="77777777" w:rsidR="00ED4902" w:rsidRPr="00E5087D" w:rsidRDefault="00ED4902" w:rsidP="00ED4902">
      <w:pPr>
        <w:pStyle w:val="Heading3"/>
      </w:pPr>
      <w:r w:rsidRPr="00E5087D">
        <w:t>Skilled migration</w:t>
      </w:r>
    </w:p>
    <w:p w14:paraId="67018361" w14:textId="09C8C2D3" w:rsidR="00721B1A" w:rsidRPr="00E5087D" w:rsidRDefault="00721B1A" w:rsidP="00721B1A">
      <w:pPr>
        <w:spacing w:after="120" w:line="276" w:lineRule="auto"/>
        <w:rPr>
          <w:rFonts w:cs="Arial"/>
          <w:b/>
          <w:bCs/>
          <w:u w:val="single"/>
          <w14:numForm w14:val="lining"/>
          <w14:numSpacing w14:val="proportional"/>
        </w:rPr>
      </w:pPr>
      <w:r w:rsidRPr="00E5087D">
        <w:rPr>
          <w:rFonts w:cs="Arial"/>
          <w:spacing w:val="2"/>
          <w14:ligatures w14:val="standard"/>
          <w14:numForm w14:val="lining"/>
          <w14:numSpacing w14:val="proportional"/>
        </w:rPr>
        <w:t xml:space="preserve">Whilst efforts to skill, upskill and reskill the domestic population will drive </w:t>
      </w:r>
      <w:r w:rsidR="009F16F8">
        <w:rPr>
          <w:rFonts w:cs="Arial"/>
          <w:spacing w:val="2"/>
          <w14:ligatures w14:val="standard"/>
          <w14:numForm w14:val="lining"/>
          <w14:numSpacing w14:val="proportional"/>
        </w:rPr>
        <w:t>the net zero</w:t>
      </w:r>
      <w:r w:rsidR="0089254B">
        <w:rPr>
          <w:rFonts w:cs="Arial"/>
          <w:spacing w:val="2"/>
          <w14:ligatures w14:val="standard"/>
          <w14:numForm w14:val="lining"/>
          <w14:numSpacing w14:val="proportional"/>
        </w:rPr>
        <w:t xml:space="preserve"> transformation</w:t>
      </w:r>
      <w:r w:rsidRPr="00E5087D">
        <w:rPr>
          <w:rFonts w:cs="Arial"/>
          <w:spacing w:val="2"/>
          <w14:ligatures w14:val="standard"/>
          <w14:numForm w14:val="lining"/>
          <w14:numSpacing w14:val="proportional"/>
        </w:rPr>
        <w:t xml:space="preserve">, it will also be heavily reliant on effective migration settings to </w:t>
      </w:r>
      <w:r w:rsidR="001C1606">
        <w:rPr>
          <w:rFonts w:cs="Arial"/>
          <w:spacing w:val="2"/>
          <w14:ligatures w14:val="standard"/>
          <w14:numForm w14:val="lining"/>
          <w14:numSpacing w14:val="proportional"/>
        </w:rPr>
        <w:t>assist in addressing</w:t>
      </w:r>
      <w:r w:rsidRPr="00E5087D">
        <w:rPr>
          <w:rFonts w:cs="Arial"/>
          <w:spacing w:val="2"/>
          <w14:ligatures w14:val="standard"/>
          <w14:numForm w14:val="lining"/>
          <w14:numSpacing w14:val="proportional"/>
        </w:rPr>
        <w:t xml:space="preserve"> existing and anticipated skills gaps and support the growth of the clean energy workforce. </w:t>
      </w:r>
      <w:r w:rsidR="00445792">
        <w:rPr>
          <w:rFonts w:cs="Arial"/>
          <w:spacing w:val="2"/>
          <w14:ligatures w14:val="standard"/>
          <w14:numForm w14:val="lining"/>
          <w14:numSpacing w14:val="proportional"/>
        </w:rPr>
        <w:t xml:space="preserve">Skilled migration also provides skills and knowledge transfers to local workers, which is particularly important in specialist fields and emerging sectors where Australia is starting from a </w:t>
      </w:r>
      <w:r w:rsidR="00517503">
        <w:rPr>
          <w:rFonts w:cs="Arial"/>
          <w:spacing w:val="2"/>
          <w14:ligatures w14:val="standard"/>
          <w14:numForm w14:val="lining"/>
          <w14:numSpacing w14:val="proportional"/>
        </w:rPr>
        <w:t>low</w:t>
      </w:r>
      <w:r w:rsidR="00445792">
        <w:rPr>
          <w:rFonts w:cs="Arial"/>
          <w:spacing w:val="2"/>
          <w14:ligatures w14:val="standard"/>
          <w14:numForm w14:val="lining"/>
          <w14:numSpacing w14:val="proportional"/>
        </w:rPr>
        <w:t xml:space="preserve"> base.</w:t>
      </w:r>
    </w:p>
    <w:p w14:paraId="2CB21FD8" w14:textId="4D8997AF" w:rsidR="00ED4902" w:rsidRPr="00E5087D" w:rsidRDefault="00ED4902" w:rsidP="00A904FE">
      <w:pPr>
        <w:pStyle w:val="Heading4"/>
        <w:spacing w:before="240" w:after="120"/>
        <w:rPr>
          <w:color w:val="0C6DAD" w:themeColor="accent3" w:themeShade="BF"/>
          <w14:numForm w14:val="lining"/>
          <w14:numSpacing w14:val="proportional"/>
        </w:rPr>
      </w:pPr>
      <w:r w:rsidRPr="00E5087D">
        <w:rPr>
          <w:rFonts w:eastAsiaTheme="majorEastAsia"/>
          <w:color w:val="0C6DAD" w:themeColor="accent3" w:themeShade="BF"/>
          <w:spacing w:val="2"/>
          <w:sz w:val="26"/>
          <w:szCs w:val="26"/>
          <w14:ligatures w14:val="standard"/>
          <w14:numForm w14:val="lining"/>
          <w14:numSpacing w14:val="proportional"/>
        </w:rPr>
        <w:t xml:space="preserve">Australia’s skilled </w:t>
      </w:r>
      <w:r w:rsidRPr="00A904FE">
        <w:rPr>
          <w:color w:val="0C6DAD" w:themeColor="accent3" w:themeShade="BF"/>
        </w:rPr>
        <w:t>migration</w:t>
      </w:r>
      <w:r w:rsidRPr="00E5087D">
        <w:rPr>
          <w:rFonts w:eastAsiaTheme="majorEastAsia"/>
          <w:color w:val="0C6DAD" w:themeColor="accent3" w:themeShade="BF"/>
          <w:spacing w:val="2"/>
          <w:sz w:val="26"/>
          <w:szCs w:val="26"/>
          <w14:ligatures w14:val="standard"/>
          <w14:numForm w14:val="lining"/>
          <w14:numSpacing w14:val="proportional"/>
        </w:rPr>
        <w:t xml:space="preserve"> program</w:t>
      </w:r>
    </w:p>
    <w:p w14:paraId="487C6A60" w14:textId="769330BD" w:rsidR="00ED4902" w:rsidRPr="00E5087D" w:rsidRDefault="00ED4902" w:rsidP="00ED4902">
      <w:pPr>
        <w:spacing w:after="120" w:line="276" w:lineRule="auto"/>
        <w:rPr>
          <w:rFonts w:cs="Arial"/>
          <w14:numForm w14:val="lining"/>
          <w14:numSpacing w14:val="proportional"/>
        </w:rPr>
      </w:pPr>
      <w:r w:rsidRPr="00E5087D">
        <w:rPr>
          <w:rFonts w:cs="Arial"/>
          <w14:numForm w14:val="lining"/>
          <w14:numSpacing w14:val="proportional"/>
        </w:rPr>
        <w:t xml:space="preserve">Australia’s skilled migration program is designed to attract migrants who can fill positions and </w:t>
      </w:r>
      <w:r w:rsidR="003C0E86">
        <w:rPr>
          <w:rFonts w:cs="Arial"/>
          <w14:numForm w14:val="lining"/>
          <w14:numSpacing w14:val="proportional"/>
        </w:rPr>
        <w:t>help to address</w:t>
      </w:r>
      <w:r w:rsidRPr="00E5087D">
        <w:rPr>
          <w:rFonts w:cs="Arial"/>
          <w14:numForm w14:val="lining"/>
          <w14:numSpacing w14:val="proportional"/>
        </w:rPr>
        <w:t xml:space="preserve"> critical workforce </w:t>
      </w:r>
      <w:r w:rsidR="003C0E86">
        <w:rPr>
          <w:rFonts w:cs="Arial"/>
          <w14:numForm w14:val="lining"/>
          <w14:numSpacing w14:val="proportional"/>
        </w:rPr>
        <w:t>needs</w:t>
      </w:r>
      <w:r w:rsidRPr="00E5087D">
        <w:rPr>
          <w:rFonts w:cs="Arial"/>
          <w14:numForm w14:val="lining"/>
          <w14:numSpacing w14:val="proportional"/>
        </w:rPr>
        <w:t xml:space="preserve"> where the domestic labour force and efforts to skill Australians are unable to meet the scale and pace of industry demand. The 2023 </w:t>
      </w:r>
      <w:r w:rsidRPr="00E5087D">
        <w:rPr>
          <w:rFonts w:cs="Arial"/>
          <w:i/>
          <w:iCs/>
          <w14:numForm w14:val="lining"/>
          <w14:numSpacing w14:val="proportional"/>
        </w:rPr>
        <w:t>Review of the Migration System</w:t>
      </w:r>
      <w:r w:rsidRPr="00E5087D">
        <w:rPr>
          <w:rFonts w:cs="Arial"/>
          <w14:numForm w14:val="lining"/>
          <w14:numSpacing w14:val="proportional"/>
        </w:rPr>
        <w:t xml:space="preserve"> identified that while migration alone will not address the challenges of transitioning to a clean energy economy, a well-designed and fit for purpose skilled migration program is part of the solution.</w:t>
      </w:r>
      <w:r w:rsidRPr="00E5087D">
        <w:rPr>
          <w:rStyle w:val="EndnoteReference"/>
          <w:rFonts w:cs="Arial"/>
          <w14:numForm w14:val="lining"/>
          <w14:numSpacing w14:val="proportional"/>
        </w:rPr>
        <w:endnoteReference w:id="87"/>
      </w:r>
      <w:r w:rsidRPr="00E5087D">
        <w:rPr>
          <w:rFonts w:cs="Arial"/>
          <w14:numForm w14:val="lining"/>
          <w14:numSpacing w14:val="proportional"/>
        </w:rPr>
        <w:t xml:space="preserve"> </w:t>
      </w:r>
    </w:p>
    <w:p w14:paraId="5793105C" w14:textId="7BE461CC" w:rsidR="00ED4902" w:rsidRPr="00E5087D" w:rsidRDefault="00721B1A" w:rsidP="00507D46">
      <w:pPr>
        <w:spacing w:before="240" w:after="120" w:line="240" w:lineRule="auto"/>
        <w:rPr>
          <w:rFonts w:cs="Arial"/>
          <w:color w:val="0C6DAD" w:themeColor="accent3" w:themeShade="BF"/>
          <w14:numForm w14:val="lining"/>
          <w14:numSpacing w14:val="proportional"/>
        </w:rPr>
      </w:pPr>
      <w:r>
        <w:rPr>
          <w:rFonts w:eastAsiaTheme="majorEastAsia" w:cs="Arial"/>
          <w:b/>
          <w:bCs/>
          <w:color w:val="0C6DAD" w:themeColor="accent3" w:themeShade="BF"/>
          <w:spacing w:val="2"/>
          <w:sz w:val="26"/>
          <w:szCs w:val="26"/>
          <w14:ligatures w14:val="standard"/>
          <w14:numForm w14:val="lining"/>
          <w14:numSpacing w14:val="proportional"/>
        </w:rPr>
        <w:t>Complex and costly</w:t>
      </w:r>
    </w:p>
    <w:p w14:paraId="3FE77FED" w14:textId="7710C2D5" w:rsidR="00ED4902" w:rsidRPr="00E5087D" w:rsidRDefault="00ED4902" w:rsidP="00ED4902">
      <w:pPr>
        <w:spacing w:after="120" w:line="276" w:lineRule="auto"/>
        <w:rPr>
          <w:rFonts w:cs="Arial"/>
          <w14:numForm w14:val="lining"/>
          <w14:numSpacing w14:val="proportional"/>
        </w:rPr>
      </w:pPr>
      <w:r w:rsidRPr="00E5087D">
        <w:rPr>
          <w:rFonts w:cs="Arial"/>
          <w14:numForm w14:val="lining"/>
          <w14:numSpacing w14:val="proportional"/>
        </w:rPr>
        <w:t>The migration review</w:t>
      </w:r>
      <w:r w:rsidRPr="00E5087D">
        <w:rPr>
          <w:rFonts w:cs="Arial"/>
          <w:i/>
          <w:iCs/>
          <w14:numForm w14:val="lining"/>
          <w14:numSpacing w14:val="proportional"/>
        </w:rPr>
        <w:t xml:space="preserve"> </w:t>
      </w:r>
      <w:r w:rsidRPr="00E5087D">
        <w:rPr>
          <w:rFonts w:cs="Arial"/>
          <w14:numForm w14:val="lining"/>
          <w14:numSpacing w14:val="proportional"/>
        </w:rPr>
        <w:t xml:space="preserve">has declared that Australia’s current migration program is unfit for purpose and fails to attract the skilled workers we need. Among the many recommendations and findings to come out of the review, there is an overwhelming sense that significant reforms towards crafting a more fair and efficient system centred on creating more pathways to permanent residence will be required in the coming years if Australia remains competitive in attracting skilled migrants. </w:t>
      </w:r>
    </w:p>
    <w:p w14:paraId="2F238429" w14:textId="0E82DE20" w:rsidR="00ED4902" w:rsidRPr="00E5087D" w:rsidRDefault="00ED4902" w:rsidP="004F4B0C">
      <w:pPr>
        <w:spacing w:after="120" w:line="276" w:lineRule="auto"/>
        <w:rPr>
          <w:rFonts w:cs="Arial"/>
          <w14:numForm w14:val="lining"/>
          <w14:numSpacing w14:val="proportional"/>
        </w:rPr>
      </w:pPr>
      <w:r w:rsidRPr="00E5087D">
        <w:rPr>
          <w:rFonts w:cs="Arial"/>
          <w14:numForm w14:val="lining"/>
          <w14:numSpacing w14:val="proportional"/>
        </w:rPr>
        <w:t xml:space="preserve">Currently, there are 22 working and skilled visas available to inbound migrants to Australia, which range from short-term temporary stays </w:t>
      </w:r>
      <w:r w:rsidR="04D6A938" w:rsidRPr="00E5087D">
        <w:rPr>
          <w:rFonts w:cs="Arial"/>
          <w14:numForm w14:val="lining"/>
          <w14:numSpacing w14:val="proportional"/>
        </w:rPr>
        <w:t xml:space="preserve">extending </w:t>
      </w:r>
      <w:r w:rsidRPr="00E5087D">
        <w:rPr>
          <w:rFonts w:cs="Arial"/>
          <w14:numForm w14:val="lining"/>
          <w14:numSpacing w14:val="proportional"/>
        </w:rPr>
        <w:t xml:space="preserve">up to two years </w:t>
      </w:r>
      <w:r w:rsidR="0AF10E15" w:rsidRPr="00E5087D">
        <w:rPr>
          <w:rFonts w:cs="Arial"/>
          <w14:numForm w14:val="lining"/>
          <w14:numSpacing w14:val="proportional"/>
        </w:rPr>
        <w:t>for</w:t>
      </w:r>
      <w:r w:rsidRPr="00E5087D">
        <w:rPr>
          <w:rFonts w:cs="Arial"/>
          <w14:numForm w14:val="lining"/>
          <w14:numSpacing w14:val="proportional"/>
        </w:rPr>
        <w:t xml:space="preserve"> permanent residence. However, the migration review</w:t>
      </w:r>
      <w:r w:rsidRPr="00E5087D">
        <w:rPr>
          <w:rFonts w:cs="Arial"/>
          <w:i/>
          <w:iCs/>
          <w14:numForm w14:val="lining"/>
          <w14:numSpacing w14:val="proportional"/>
        </w:rPr>
        <w:t xml:space="preserve"> </w:t>
      </w:r>
      <w:r w:rsidRPr="00E5087D">
        <w:rPr>
          <w:rFonts w:cs="Arial"/>
          <w14:numForm w14:val="lining"/>
          <w14:numSpacing w14:val="proportional"/>
        </w:rPr>
        <w:t xml:space="preserve">has identified that the current system has resulted </w:t>
      </w:r>
      <w:r w:rsidR="001C1606">
        <w:rPr>
          <w:rFonts w:cs="Arial"/>
          <w14:numForm w14:val="lining"/>
          <w14:numSpacing w14:val="proportional"/>
        </w:rPr>
        <w:t xml:space="preserve">in </w:t>
      </w:r>
      <w:r w:rsidRPr="00E5087D">
        <w:rPr>
          <w:rFonts w:cs="Arial"/>
          <w14:numForm w14:val="lining"/>
          <w14:numSpacing w14:val="proportional"/>
        </w:rPr>
        <w:t>many migrants residing in Australia on a ‘permanently temporary’ basis, including skilled visa holders, changing between temporary visa types to extend their stay and pursue permanent residence.</w:t>
      </w:r>
    </w:p>
    <w:p w14:paraId="77C9C29B" w14:textId="6129CB8F" w:rsidR="00ED4902" w:rsidRPr="00E5087D" w:rsidRDefault="00ED4902" w:rsidP="006C2B84">
      <w:pPr>
        <w:spacing w:after="120" w:line="276" w:lineRule="auto"/>
        <w:rPr>
          <w:rFonts w:cs="Arial"/>
          <w14:numForm w14:val="lining"/>
          <w14:numSpacing w14:val="proportional"/>
        </w:rPr>
      </w:pPr>
      <w:r w:rsidRPr="00E5087D">
        <w:rPr>
          <w:rFonts w:cs="Arial"/>
          <w14:numForm w14:val="lining"/>
          <w14:numSpacing w14:val="proportional"/>
        </w:rPr>
        <w:t xml:space="preserve">In recent years the COVID-19 pandemic and subsequent border closures have </w:t>
      </w:r>
      <w:r w:rsidR="007D31B6">
        <w:rPr>
          <w:rFonts w:cs="Arial"/>
          <w14:numForm w14:val="lining"/>
          <w14:numSpacing w14:val="proportional"/>
        </w:rPr>
        <w:t xml:space="preserve">also </w:t>
      </w:r>
      <w:r w:rsidRPr="00E5087D">
        <w:rPr>
          <w:rFonts w:cs="Arial"/>
          <w14:numForm w14:val="lining"/>
          <w14:numSpacing w14:val="proportional"/>
        </w:rPr>
        <w:t>demonstrated the vulnerability of the migration system to economic and geopolitical shocks</w:t>
      </w:r>
      <w:r w:rsidR="00B22170">
        <w:rPr>
          <w:rFonts w:cs="Arial"/>
          <w14:numForm w14:val="lining"/>
          <w14:numSpacing w14:val="proportional"/>
        </w:rPr>
        <w:t>.</w:t>
      </w:r>
      <w:r w:rsidRPr="00E5087D">
        <w:rPr>
          <w:rFonts w:cs="Arial"/>
          <w14:numForm w14:val="lining"/>
          <w14:numSpacing w14:val="proportional"/>
        </w:rPr>
        <w:t xml:space="preserve"> Whilst inbound skilled migration to Australia is now rebounding to pre-pandemic levels, it cannot be assumed that the next 30 years will be free of similar shocks.</w:t>
      </w:r>
    </w:p>
    <w:p w14:paraId="123BB903" w14:textId="77777777" w:rsidR="00ED4902" w:rsidRPr="00E5087D" w:rsidRDefault="00ED4902" w:rsidP="000B0E5B">
      <w:pPr>
        <w:spacing w:before="240" w:after="120" w:line="240" w:lineRule="auto"/>
        <w:rPr>
          <w:rFonts w:eastAsiaTheme="majorEastAsia" w:cs="Arial"/>
          <w:b/>
          <w:color w:val="0C6DAD" w:themeColor="accent3" w:themeShade="BF"/>
          <w:spacing w:val="2"/>
          <w:sz w:val="26"/>
          <w:szCs w:val="26"/>
          <w14:ligatures w14:val="standard"/>
          <w14:numForm w14:val="lining"/>
          <w14:numSpacing w14:val="proportional"/>
        </w:rPr>
      </w:pPr>
      <w:bookmarkStart w:id="49" w:name="_Hlk140154594"/>
      <w:r w:rsidRPr="00E5087D">
        <w:rPr>
          <w:rFonts w:eastAsiaTheme="majorEastAsia" w:cs="Arial"/>
          <w:b/>
          <w:color w:val="0C6DAD" w:themeColor="accent3" w:themeShade="BF"/>
          <w:spacing w:val="2"/>
          <w:sz w:val="26"/>
          <w:szCs w:val="26"/>
          <w14:ligatures w14:val="standard"/>
          <w14:numForm w14:val="lining"/>
          <w14:numSpacing w14:val="proportional"/>
        </w:rPr>
        <w:t>Recognition of foreign qualifications</w:t>
      </w:r>
    </w:p>
    <w:bookmarkEnd w:id="49"/>
    <w:p w14:paraId="18355B1E" w14:textId="70447222" w:rsidR="00ED4902" w:rsidRPr="00E5087D" w:rsidRDefault="00ED4902" w:rsidP="0087194C">
      <w:pPr>
        <w:spacing w:before="120" w:after="120" w:line="276" w:lineRule="auto"/>
        <w:ind w:right="30"/>
        <w:rPr>
          <w:rFonts w:cs="Arial"/>
        </w:rPr>
      </w:pPr>
      <w:r w:rsidRPr="00E5087D">
        <w:rPr>
          <w:rFonts w:cs="Arial"/>
        </w:rPr>
        <w:t xml:space="preserve">The </w:t>
      </w:r>
      <w:r w:rsidR="00706A3A">
        <w:rPr>
          <w:rFonts w:cs="Arial"/>
        </w:rPr>
        <w:t>permanent</w:t>
      </w:r>
      <w:r w:rsidRPr="00E5087D">
        <w:rPr>
          <w:rFonts w:cs="Arial"/>
        </w:rPr>
        <w:t xml:space="preserve"> skilled migration program requires </w:t>
      </w:r>
      <w:r w:rsidR="00706A3A">
        <w:rPr>
          <w:rFonts w:cs="Arial"/>
        </w:rPr>
        <w:t xml:space="preserve">most primary applications </w:t>
      </w:r>
      <w:r w:rsidRPr="00E5087D">
        <w:rPr>
          <w:rFonts w:cs="Arial"/>
        </w:rPr>
        <w:t>to undergo an assessment of their skills, qualifications and work experience to ensure they meet the standards needed for employment in Australia</w:t>
      </w:r>
      <w:r w:rsidR="48D30402" w:rsidRPr="58EE37F8">
        <w:rPr>
          <w:rFonts w:cs="Arial"/>
        </w:rPr>
        <w:t>.</w:t>
      </w:r>
      <w:r w:rsidRPr="00E5087D">
        <w:rPr>
          <w:rFonts w:cs="Arial"/>
        </w:rPr>
        <w:t xml:space="preserve"> The nature of these assessments varies by occupation and origin country, ranging from straightforward document verification to more complex assessment procedures. </w:t>
      </w:r>
    </w:p>
    <w:p w14:paraId="51F55C1F" w14:textId="0FD5D6F9" w:rsidR="00ED4902" w:rsidRPr="00E5087D" w:rsidRDefault="00ED4902" w:rsidP="0087194C">
      <w:pPr>
        <w:spacing w:before="120" w:after="240" w:line="276" w:lineRule="auto"/>
        <w:ind w:right="30"/>
        <w:rPr>
          <w:rFonts w:cs="Arial"/>
        </w:rPr>
      </w:pPr>
      <w:r w:rsidRPr="00E5087D">
        <w:rPr>
          <w:rFonts w:cs="Arial"/>
        </w:rPr>
        <w:t xml:space="preserve">As shown in Figure </w:t>
      </w:r>
      <w:r w:rsidR="003F6F91">
        <w:rPr>
          <w:rFonts w:cs="Arial"/>
        </w:rPr>
        <w:t>4.21</w:t>
      </w:r>
      <w:r w:rsidRPr="00E5087D">
        <w:rPr>
          <w:rFonts w:cs="Arial"/>
        </w:rPr>
        <w:t>, a significant proportion of clean energy workers in Australia received their highest qualification overseas. However, having these qualifications recognised for the purposes of gaining employment in Australia is not always a streamlined process.</w:t>
      </w:r>
    </w:p>
    <w:p w14:paraId="4CDC0361" w14:textId="7A0BEE81" w:rsidR="00ED4902" w:rsidRPr="00E5087D" w:rsidRDefault="00ED4902" w:rsidP="60F6EFC8">
      <w:pPr>
        <w:pBdr>
          <w:top w:val="single" w:sz="4" w:space="6" w:color="BFBFBF" w:themeColor="background1" w:themeShade="BF"/>
        </w:pBdr>
        <w:spacing w:after="120" w:line="240" w:lineRule="auto"/>
        <w:rPr>
          <w:rFonts w:cs="Arial"/>
          <w:b/>
          <w:bCs/>
        </w:rPr>
      </w:pPr>
      <w:r w:rsidRPr="60F6EFC8">
        <w:rPr>
          <w:rFonts w:cs="Arial"/>
          <w:b/>
          <w:bCs/>
        </w:rPr>
        <w:t xml:space="preserve">Figure </w:t>
      </w:r>
      <w:r w:rsidR="003F6F91" w:rsidRPr="60F6EFC8">
        <w:rPr>
          <w:rFonts w:cs="Arial"/>
          <w:b/>
          <w:bCs/>
        </w:rPr>
        <w:t>4.21</w:t>
      </w:r>
      <w:r w:rsidRPr="60F6EFC8">
        <w:rPr>
          <w:rFonts w:cs="Arial"/>
          <w:b/>
          <w:bCs/>
        </w:rPr>
        <w:t>. Proportion of workers who received their highest qualification overseas</w:t>
      </w:r>
    </w:p>
    <w:p w14:paraId="2F7A6C38" w14:textId="4B4BAA6F" w:rsidR="00ED4902" w:rsidRDefault="00F55FFE" w:rsidP="00073823">
      <w:pPr>
        <w:spacing w:after="0" w:line="240" w:lineRule="auto"/>
        <w:ind w:right="30"/>
        <w:rPr>
          <w:rFonts w:cs="Arial"/>
        </w:rPr>
      </w:pPr>
      <w:r>
        <w:rPr>
          <w:noProof/>
        </w:rPr>
        <w:drawing>
          <wp:inline distT="0" distB="0" distL="0" distR="0" wp14:anchorId="30D630D4" wp14:editId="10A7FF98">
            <wp:extent cx="5572125" cy="2743200"/>
            <wp:effectExtent l="0" t="0" r="9525" b="0"/>
            <wp:docPr id="1341085352" name="Graphic 1341085352" descr="This figure represents the proportion of workers who received their highest qualification overseas. It highlights that over 30% of Electrical Engineers have obtained their qualifications overseas, followed by Electrical Distribution Trades Workers, Industrial Mechanical and Production Engineers and Electricity Supply. The proportion of electricians with overseas qualifications is below the average employed Australi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52" name="Graphic 1341085352" descr="This figure represents the proportion of workers who received their highest qualification overseas. It highlights that over 30% of Electrical Engineers have obtained their qualifications overseas, followed by Electrical Distribution Trades Workers, Industrial Mechanical and Production Engineers and Electricity Supply. The proportion of electricians with overseas qualifications is below the average employed Australian.&#10;"/>
                    <pic:cNvPicPr/>
                  </pic:nvPicPr>
                  <pic:blipFill>
                    <a:blip r:embed="rId143">
                      <a:extLst>
                        <a:ext uri="{96DAC541-7B7A-43D3-8B79-37D633B846F1}">
                          <asvg:svgBlip xmlns:asvg="http://schemas.microsoft.com/office/drawing/2016/SVG/main" r:embed="rId144"/>
                        </a:ext>
                      </a:extLst>
                    </a:blip>
                    <a:stretch>
                      <a:fillRect/>
                    </a:stretch>
                  </pic:blipFill>
                  <pic:spPr>
                    <a:xfrm>
                      <a:off x="0" y="0"/>
                      <a:ext cx="5572125" cy="2743200"/>
                    </a:xfrm>
                    <a:prstGeom prst="rect">
                      <a:avLst/>
                    </a:prstGeom>
                  </pic:spPr>
                </pic:pic>
              </a:graphicData>
            </a:graphic>
          </wp:inline>
        </w:drawing>
      </w:r>
    </w:p>
    <w:p w14:paraId="11B566BD" w14:textId="698C90E8" w:rsidR="00F55FFE" w:rsidRPr="00F55FFE" w:rsidRDefault="00F55FFE" w:rsidP="00F145BC">
      <w:pPr>
        <w:spacing w:after="120" w:line="240" w:lineRule="auto"/>
        <w:ind w:right="30"/>
        <w:rPr>
          <w:rFonts w:cs="Arial"/>
          <w:sz w:val="18"/>
          <w:szCs w:val="18"/>
        </w:rPr>
      </w:pPr>
      <w:r w:rsidRPr="00F55FFE">
        <w:rPr>
          <w:rFonts w:cs="Arial"/>
          <w:sz w:val="18"/>
          <w:szCs w:val="18"/>
        </w:rPr>
        <w:t xml:space="preserve">Source: ABS 2021, </w:t>
      </w:r>
      <w:r w:rsidR="00CE445E">
        <w:rPr>
          <w:rFonts w:cs="Arial"/>
          <w:sz w:val="18"/>
          <w:szCs w:val="18"/>
        </w:rPr>
        <w:t>Qualifications and Work.</w:t>
      </w:r>
    </w:p>
    <w:p w14:paraId="06965ADE" w14:textId="5E477CE6" w:rsidR="00ED4902" w:rsidRPr="00E5087D" w:rsidRDefault="00ED4902" w:rsidP="005C0D10">
      <w:pPr>
        <w:spacing w:before="240" w:after="120" w:line="276" w:lineRule="auto"/>
        <w:ind w:right="30"/>
        <w:rPr>
          <w:rFonts w:cs="Arial"/>
        </w:rPr>
      </w:pPr>
      <w:r w:rsidRPr="00E5087D">
        <w:rPr>
          <w:rFonts w:cs="Arial"/>
        </w:rPr>
        <w:t>For example, Australia is a full signatory to the 1989 Washington Accord, which is a multi-lateral agreement between bodies responsible for accreditation or recognition of tertiary-level engineering qualifications. Therefore, under the accord, qualifications accredited or recogni</w:t>
      </w:r>
      <w:r w:rsidR="008D6441">
        <w:rPr>
          <w:rFonts w:cs="Arial"/>
        </w:rPr>
        <w:t>s</w:t>
      </w:r>
      <w:r w:rsidRPr="00E5087D">
        <w:rPr>
          <w:rFonts w:cs="Arial"/>
        </w:rPr>
        <w:t xml:space="preserve">ed by other signatories are recognised by each signatory as being substantially equivalent to accredited or recognised qualifications within its own jurisdiction. There are 23 full signatories and six provisional signatories to the accord, meaning that many engineering professionals </w:t>
      </w:r>
      <w:r w:rsidR="00A901E5">
        <w:rPr>
          <w:rFonts w:cs="Arial"/>
        </w:rPr>
        <w:t>receive</w:t>
      </w:r>
      <w:r w:rsidRPr="00E5087D">
        <w:rPr>
          <w:rFonts w:cs="Arial"/>
        </w:rPr>
        <w:t xml:space="preserve"> </w:t>
      </w:r>
      <w:r w:rsidR="00A901E5">
        <w:rPr>
          <w:rFonts w:cs="Arial"/>
        </w:rPr>
        <w:t>expedited recognition</w:t>
      </w:r>
      <w:r w:rsidRPr="00E5087D">
        <w:rPr>
          <w:rFonts w:cs="Arial"/>
        </w:rPr>
        <w:t xml:space="preserve"> when migrating to Australia. </w:t>
      </w:r>
    </w:p>
    <w:p w14:paraId="5128A4CE" w14:textId="11CBD364" w:rsidR="00ED4902" w:rsidRDefault="00ED4902" w:rsidP="005C0D10">
      <w:pPr>
        <w:spacing w:after="240" w:line="276" w:lineRule="auto"/>
        <w:rPr>
          <w:rFonts w:cs="Arial"/>
          <w:i/>
          <w:iCs/>
        </w:rPr>
      </w:pPr>
      <w:r w:rsidRPr="00E5087D">
        <w:rPr>
          <w:rFonts w:cs="Arial"/>
        </w:rPr>
        <w:t xml:space="preserve">For other clean energy core occupations, like electricians, skilled migrants are required to undergo a skills assessment, regardless of where their qualifications were obtained, with the exception of New Zealanders whose qualifications are recognised under the </w:t>
      </w:r>
      <w:r w:rsidRPr="00E5087D">
        <w:rPr>
          <w:rFonts w:cs="Arial"/>
          <w:i/>
          <w:iCs/>
        </w:rPr>
        <w:t>Trans-Tasman Mutual Recognition Act 1997.</w:t>
      </w:r>
    </w:p>
    <w:p w14:paraId="34F0D5E7" w14:textId="2B2A2C93" w:rsidR="00DB4165" w:rsidRPr="006E07A7" w:rsidRDefault="000F610B" w:rsidP="000F610B">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297" behindDoc="1" locked="0" layoutInCell="1" allowOverlap="1" wp14:anchorId="19C2B5C8" wp14:editId="42B3F9C4">
                <wp:simplePos x="0" y="0"/>
                <wp:positionH relativeFrom="column">
                  <wp:posOffset>21431</wp:posOffset>
                </wp:positionH>
                <wp:positionV relativeFrom="page">
                  <wp:posOffset>6579394</wp:posOffset>
                </wp:positionV>
                <wp:extent cx="5765007" cy="3128963"/>
                <wp:effectExtent l="0" t="0" r="26670" b="14605"/>
                <wp:wrapNone/>
                <wp:docPr id="1341085311" name="Group 1341085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5007" cy="3128963"/>
                          <a:chOff x="-1" y="97286"/>
                          <a:chExt cx="5915264" cy="3218084"/>
                        </a:xfrm>
                      </wpg:grpSpPr>
                      <wps:wsp>
                        <wps:cNvPr id="1341085312" name="Rectangle: Top Corners Rounded 1341085312"/>
                        <wps:cNvSpPr/>
                        <wps:spPr>
                          <a:xfrm>
                            <a:off x="0" y="97286"/>
                            <a:ext cx="1700501" cy="196556"/>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2BA75A" w14:textId="6C7F261F" w:rsidR="00773ECA" w:rsidRPr="006E07A7" w:rsidRDefault="00773ECA" w:rsidP="00773ECA">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13" name="Rectangle 1341085313"/>
                        <wps:cNvSpPr/>
                        <wps:spPr>
                          <a:xfrm>
                            <a:off x="-1" y="293832"/>
                            <a:ext cx="5915264" cy="3021538"/>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5DE05" w14:textId="77777777" w:rsidR="001F6601" w:rsidRDefault="001F6601"/>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9C2B5C8" id="Group 1341085311" o:spid="_x0000_s1102" alt="&quot;&quot;" style="position:absolute;left:0;text-align:left;margin-left:1.7pt;margin-top:518.05pt;width:453.95pt;height:246.4pt;z-index:-251658183;mso-position-vertical-relative:page" coordorigin=",972" coordsize="59152,3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">
                <v:shape id="Rectangle: Top Corners Rounded 1341085312" o:spid="_x0000_s1103" style="position:absolute;top:972;width:17005;height:1966;visibility:visible;mso-wrap-style:square;v-text-anchor:middle" coordsize="1700501,1965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" adj="-11796480,,5400" path="m32760,l1667741,v18093,,32760,14667,32760,32760l1700501,196556r,l,196556r,l,32760c,14667,14667,,32760,xe" fillcolor="#dae3f5" strokecolor="#dae3f5" strokeweight="1pt">
                  <v:stroke joinstyle="miter"/>
                  <v:formulas/>
                  <v:path arrowok="t" o:connecttype="custom" o:connectlocs="32760,0;1667741,0;1700501,32760;1700501,196556;1700501,196556;0,196556;0,196556;0,32760;32760,0" o:connectangles="0,0,0,0,0,0,0,0,0" textboxrect="0,0,1700501,196556"/>
                  <v:textbox inset=",0,,0">
                    <w:txbxContent>
                      <w:p w14:paraId="012BA75A" w14:textId="6C7F261F" w:rsidR="00773ECA" w:rsidRPr="006E07A7" w:rsidRDefault="00773ECA" w:rsidP="00773ECA">
                        <w:pPr>
                          <w:spacing w:after="0" w:line="240" w:lineRule="auto"/>
                          <w:rPr>
                            <w:b/>
                            <w:bCs/>
                            <w14:numForm w14:val="lining"/>
                            <w14:numSpacing w14:val="proportional"/>
                          </w:rPr>
                        </w:pPr>
                      </w:p>
                    </w:txbxContent>
                  </v:textbox>
                </v:shape>
                <v:rect id="Rectangle 1341085313" o:spid="_x0000_s1104" style="position:absolute;top:2938;width:59152;height:30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" fillcolor="#f2f2f2" strokecolor="#dae3f5" strokeweight="1pt">
                  <v:textbox inset="2mm,1mm,2mm,1mm">
                    <w:txbxContent>
                      <w:p w14:paraId="1855DE05" w14:textId="77777777" w:rsidR="001F6601" w:rsidRDefault="001F6601"/>
                    </w:txbxContent>
                  </v:textbox>
                </v:rect>
                <w10:wrap anchory="page"/>
              </v:group>
            </w:pict>
          </mc:Fallback>
        </mc:AlternateContent>
      </w:r>
      <w:r w:rsidR="00DB4165" w:rsidRPr="006E07A7">
        <w:rPr>
          <w:b/>
          <w:bCs/>
          <w14:numForm w14:val="lining"/>
          <w14:numSpacing w14:val="proportional"/>
        </w:rPr>
        <w:t xml:space="preserve">Recommendation </w:t>
      </w:r>
      <w:r w:rsidR="00DB4165">
        <w:rPr>
          <w:b/>
          <w:bCs/>
          <w14:numForm w14:val="lining"/>
          <w14:numSpacing w14:val="proportional"/>
        </w:rPr>
        <w:t>4.6</w:t>
      </w:r>
    </w:p>
    <w:p w14:paraId="2AE55B28" w14:textId="4A03C37C" w:rsidR="00DB4165" w:rsidRPr="001F6601" w:rsidRDefault="00DB4165" w:rsidP="000F610B">
      <w:pPr>
        <w:spacing w:before="200" w:after="0" w:line="240" w:lineRule="auto"/>
        <w:ind w:left="170" w:right="113"/>
        <w:rPr>
          <w:rFonts w:asciiTheme="minorHAnsi" w:hAnsiTheme="minorHAnsi" w:cstheme="minorHAnsi"/>
        </w:rPr>
      </w:pPr>
      <w:r w:rsidRPr="001F6601">
        <w:rPr>
          <w:rFonts w:asciiTheme="minorHAnsi" w:hAnsiTheme="minorHAnsi" w:cstheme="minorHAnsi"/>
        </w:rPr>
        <w:t xml:space="preserve">As committed through the Migration </w:t>
      </w:r>
      <w:r>
        <w:rPr>
          <w:rFonts w:asciiTheme="minorHAnsi" w:hAnsiTheme="minorHAnsi" w:cstheme="minorHAnsi"/>
        </w:rPr>
        <w:t xml:space="preserve">System </w:t>
      </w:r>
      <w:r w:rsidRPr="001F6601">
        <w:rPr>
          <w:rFonts w:asciiTheme="minorHAnsi" w:hAnsiTheme="minorHAnsi" w:cstheme="minorHAnsi"/>
        </w:rPr>
        <w:t xml:space="preserve">Review, ensure that skilled migration genuinely targets areas of shortage and national priority. Jobs and Skills Australia will have an important role going forward to identify skill shortages from a whole of economy perspective and consider their relative impacts. In relation to clean energy specifically this report recommends: </w:t>
      </w:r>
    </w:p>
    <w:p w14:paraId="3BE6DC5B" w14:textId="0F745DD4" w:rsidR="00DB4165" w:rsidRPr="001F6601"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Parity of treatment between higher education graduates and VET graduates in the identified critical clean energy occupations</w:t>
      </w:r>
    </w:p>
    <w:p w14:paraId="22A06C32" w14:textId="31DC0E42" w:rsidR="00DB4165" w:rsidRPr="001F6601"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Regular assessment to ensure that Australian clean energy employers are not disadvantaged globally by specific visa pathways such as Canada’s Federal Skilled Trades Program (Express Entry) and the EU Blue Card Directive</w:t>
      </w:r>
    </w:p>
    <w:p w14:paraId="7F638B88" w14:textId="77777777" w:rsidR="00DB4165" w:rsidRPr="001F6601"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Expedited recognition of foreign qualifications relevant to clean energy</w:t>
      </w:r>
    </w:p>
    <w:p w14:paraId="28ECEAA7" w14:textId="77777777" w:rsidR="00DB4165" w:rsidRDefault="00DB4165" w:rsidP="00F25595">
      <w:pPr>
        <w:pStyle w:val="ListParagraph"/>
        <w:numPr>
          <w:ilvl w:val="0"/>
          <w:numId w:val="53"/>
        </w:numPr>
        <w:spacing w:before="120" w:after="80" w:line="240" w:lineRule="auto"/>
        <w:ind w:left="697" w:right="113" w:hanging="357"/>
        <w:contextualSpacing w:val="0"/>
        <w:rPr>
          <w:rFonts w:asciiTheme="minorHAnsi" w:hAnsiTheme="minorHAnsi" w:cstheme="minorHAnsi"/>
        </w:rPr>
      </w:pPr>
      <w:r w:rsidRPr="001F6601">
        <w:rPr>
          <w:rFonts w:asciiTheme="minorHAnsi" w:hAnsiTheme="minorHAnsi" w:cstheme="minorHAnsi"/>
        </w:rPr>
        <w:t>Efficient processing of international organisations sponsoring workers internally</w:t>
      </w:r>
    </w:p>
    <w:p w14:paraId="32E66094" w14:textId="3E8F9585" w:rsidR="00DB4165" w:rsidRPr="006C2B84" w:rsidRDefault="00DB4165" w:rsidP="00DB4165">
      <w:pPr>
        <w:pStyle w:val="ListParagraph"/>
        <w:numPr>
          <w:ilvl w:val="0"/>
          <w:numId w:val="53"/>
        </w:numPr>
        <w:spacing w:before="120" w:after="80" w:line="240" w:lineRule="auto"/>
        <w:ind w:left="697" w:right="113" w:hanging="357"/>
        <w:contextualSpacing w:val="0"/>
        <w:rPr>
          <w:rFonts w:asciiTheme="minorHAnsi" w:hAnsiTheme="minorHAnsi" w:cstheme="minorHAnsi"/>
        </w:rPr>
      </w:pPr>
      <w:r>
        <w:rPr>
          <w:rFonts w:asciiTheme="minorHAnsi" w:hAnsiTheme="minorHAnsi" w:cstheme="minorHAnsi"/>
        </w:rPr>
        <w:t>E</w:t>
      </w:r>
      <w:r w:rsidRPr="001F6601">
        <w:rPr>
          <w:rFonts w:asciiTheme="minorHAnsi" w:hAnsiTheme="minorHAnsi" w:cstheme="minorHAnsi"/>
        </w:rPr>
        <w:t>nsur</w:t>
      </w:r>
      <w:r>
        <w:rPr>
          <w:rFonts w:asciiTheme="minorHAnsi" w:hAnsiTheme="minorHAnsi" w:cstheme="minorHAnsi"/>
        </w:rPr>
        <w:t>ing</w:t>
      </w:r>
      <w:r w:rsidRPr="001F6601">
        <w:rPr>
          <w:rFonts w:asciiTheme="minorHAnsi" w:hAnsiTheme="minorHAnsi" w:cstheme="minorHAnsi"/>
        </w:rPr>
        <w:t xml:space="preserve"> that employers utilising migration are </w:t>
      </w:r>
      <w:r>
        <w:rPr>
          <w:rFonts w:asciiTheme="minorHAnsi" w:hAnsiTheme="minorHAnsi" w:cstheme="minorHAnsi"/>
        </w:rPr>
        <w:t>also</w:t>
      </w:r>
      <w:r w:rsidRPr="001F6601">
        <w:rPr>
          <w:rFonts w:asciiTheme="minorHAnsi" w:hAnsiTheme="minorHAnsi" w:cstheme="minorHAnsi"/>
        </w:rPr>
        <w:t xml:space="preserve"> investing in domestic training for the same skills and job roles.</w:t>
      </w:r>
    </w:p>
    <w:p w14:paraId="1F47487B" w14:textId="77777777" w:rsidR="00ED4902" w:rsidRPr="00E5087D" w:rsidRDefault="00ED4902" w:rsidP="00ED4902">
      <w:pPr>
        <w:pStyle w:val="Heading3"/>
      </w:pPr>
      <w:r w:rsidRPr="00E5087D">
        <w:t>Regional labour mobility schemes</w:t>
      </w:r>
    </w:p>
    <w:p w14:paraId="0CB461C4" w14:textId="78C5BADC" w:rsidR="00ED4902" w:rsidRPr="004D3BA3" w:rsidRDefault="00ED4902" w:rsidP="004D3BA3">
      <w:pPr>
        <w:pStyle w:val="Bodycopy"/>
        <w:spacing w:after="120" w:line="276" w:lineRule="auto"/>
        <w:rPr>
          <w14:numForm w14:val="lining"/>
          <w14:numSpacing w14:val="proportional"/>
        </w:rPr>
      </w:pPr>
      <w:r w:rsidRPr="004D3BA3">
        <w:rPr>
          <w14:numForm w14:val="lining"/>
          <w14:numSpacing w14:val="proportional"/>
        </w:rPr>
        <w:t xml:space="preserve">The Pacific Australia Labour Mobility (PALM) scheme supports eligible Australian businesses to hire workers from nine Pacific Island nations and Timor-Leste when not enough local workers are available. </w:t>
      </w:r>
      <w:r w:rsidRPr="004D3BA3">
        <w:rPr>
          <w:rStyle w:val="EndnoteReference"/>
          <w:rFonts w:cs="Arial"/>
          <w14:numForm w14:val="lining"/>
          <w14:numSpacing w14:val="proportional"/>
        </w:rPr>
        <w:endnoteReference w:id="88"/>
      </w:r>
      <w:r w:rsidRPr="004D3BA3">
        <w:rPr>
          <w14:numForm w14:val="lining"/>
          <w14:numSpacing w14:val="proportional"/>
        </w:rPr>
        <w:t xml:space="preserve"> The PALM workers are </w:t>
      </w:r>
      <w:r w:rsidR="00A72007" w:rsidRPr="004D3BA3">
        <w:rPr>
          <w14:numForm w14:val="lining"/>
          <w14:numSpacing w14:val="proportional"/>
        </w:rPr>
        <w:t xml:space="preserve">typically </w:t>
      </w:r>
      <w:r w:rsidRPr="004D3BA3">
        <w:rPr>
          <w14:numForm w14:val="lining"/>
          <w14:numSpacing w14:val="proportional"/>
        </w:rPr>
        <w:t>employed in unskilled, low-skilled and semi-skilled occupations, largely concentrated in agricultur</w:t>
      </w:r>
      <w:r w:rsidR="756DFAFD" w:rsidRPr="004D3BA3">
        <w:rPr>
          <w14:numForm w14:val="lining"/>
          <w14:numSpacing w14:val="proportional"/>
        </w:rPr>
        <w:t>e</w:t>
      </w:r>
      <w:r w:rsidR="00464684" w:rsidRPr="004D3BA3">
        <w:rPr>
          <w14:numForm w14:val="lining"/>
          <w14:numSpacing w14:val="proportional"/>
        </w:rPr>
        <w:t>.</w:t>
      </w:r>
    </w:p>
    <w:p w14:paraId="7F174FD3" w14:textId="46B51E59" w:rsidR="00ED4902" w:rsidRPr="004D3BA3" w:rsidRDefault="00ED4902" w:rsidP="004D3BA3">
      <w:pPr>
        <w:spacing w:after="120" w:line="276" w:lineRule="auto"/>
        <w:rPr>
          <w:rFonts w:cs="Arial"/>
          <w14:numForm w14:val="lining"/>
          <w14:numSpacing w14:val="proportional"/>
        </w:rPr>
      </w:pPr>
      <w:r w:rsidRPr="004D3BA3">
        <w:rPr>
          <w:rFonts w:cs="Arial"/>
          <w14:numForm w14:val="lining"/>
          <w14:numSpacing w14:val="proportional"/>
        </w:rPr>
        <w:t xml:space="preserve">An opportunity </w:t>
      </w:r>
      <w:r w:rsidR="00A72007" w:rsidRPr="004D3BA3">
        <w:rPr>
          <w:rFonts w:cs="Arial"/>
          <w14:numForm w14:val="lining"/>
          <w14:numSpacing w14:val="proportional"/>
        </w:rPr>
        <w:t>may</w:t>
      </w:r>
      <w:r w:rsidRPr="004D3BA3">
        <w:rPr>
          <w:rFonts w:cs="Arial"/>
          <w14:numForm w14:val="lining"/>
          <w14:numSpacing w14:val="proportional"/>
        </w:rPr>
        <w:t xml:space="preserve"> exist to support greater participation and upskilling of seasonal workers from Pacific Island nations and Timor-Leste in clean energy occupations under the PALM scheme as part of the government’s commitment to expanding and reforming the scheme to strengthen energy security in the region, particularly the Pacific and Timor-Leste.</w:t>
      </w:r>
      <w:r w:rsidRPr="004D3BA3">
        <w:rPr>
          <w:rStyle w:val="EndnoteReference"/>
          <w:rFonts w:cs="Arial"/>
          <w14:numForm w14:val="lining"/>
          <w14:numSpacing w14:val="proportional"/>
        </w:rPr>
        <w:endnoteReference w:id="89"/>
      </w:r>
      <w:r w:rsidRPr="004D3BA3">
        <w:rPr>
          <w:rFonts w:cs="Arial"/>
          <w14:numForm w14:val="lining"/>
          <w14:numSpacing w14:val="proportional"/>
        </w:rPr>
        <w:t xml:space="preserve"> By supporting the participation of PALM workers in the clean energy sector, Australia would be supporting the development of clean energy skills and critical knowledge transfer in nations for which energy security is precarious and the impacts of climate change are </w:t>
      </w:r>
      <w:r w:rsidR="005B36C4" w:rsidRPr="004D3BA3">
        <w:rPr>
          <w:rFonts w:cs="Arial"/>
          <w14:numForm w14:val="lining"/>
          <w14:numSpacing w14:val="proportional"/>
        </w:rPr>
        <w:t>high</w:t>
      </w:r>
      <w:r w:rsidRPr="004D3BA3">
        <w:rPr>
          <w:rFonts w:cs="Arial"/>
          <w14:numForm w14:val="lining"/>
          <w14:numSpacing w14:val="proportional"/>
        </w:rPr>
        <w:t>.</w:t>
      </w:r>
    </w:p>
    <w:p w14:paraId="25B3FE42" w14:textId="77777777" w:rsidR="00C37281" w:rsidRPr="004D3BA3" w:rsidRDefault="00ED4902" w:rsidP="004D3BA3">
      <w:pPr>
        <w:spacing w:after="120" w:line="276" w:lineRule="auto"/>
        <w:rPr>
          <w:rFonts w:cs="Arial"/>
          <w14:numForm w14:val="lining"/>
          <w14:numSpacing w14:val="proportional"/>
        </w:rPr>
      </w:pPr>
      <w:r w:rsidRPr="004D3BA3">
        <w:rPr>
          <w:rFonts w:cs="Arial"/>
          <w14:numForm w14:val="lining"/>
          <w14:numSpacing w14:val="proportional"/>
        </w:rPr>
        <w:t xml:space="preserve">However, this would require significant changes to the program settings and levels of investment in the scheme, as clean energy skills are necessarily more complex and expensive to deliver than </w:t>
      </w:r>
      <w:r w:rsidR="005B36C4" w:rsidRPr="004D3BA3">
        <w:rPr>
          <w:rFonts w:cs="Arial"/>
          <w14:numForm w14:val="lining"/>
          <w14:numSpacing w14:val="proportional"/>
        </w:rPr>
        <w:t>current training under</w:t>
      </w:r>
      <w:r w:rsidRPr="004D3BA3">
        <w:rPr>
          <w:rFonts w:cs="Arial"/>
          <w14:numForm w14:val="lining"/>
          <w14:numSpacing w14:val="proportional"/>
        </w:rPr>
        <w:t xml:space="preserve"> PALM.</w:t>
      </w:r>
      <w:r w:rsidR="000C15C4" w:rsidRPr="004D3BA3">
        <w:rPr>
          <w:rFonts w:cs="Arial"/>
          <w14:numForm w14:val="lining"/>
          <w14:numSpacing w14:val="proportional"/>
        </w:rPr>
        <w:t xml:space="preserve"> One option that could be explored would be programs for Australian education and training providers to deliver </w:t>
      </w:r>
      <w:r w:rsidR="00F400BB" w:rsidRPr="004D3BA3">
        <w:rPr>
          <w:rFonts w:cs="Arial"/>
          <w14:numForm w14:val="lining"/>
          <w14:numSpacing w14:val="proportional"/>
        </w:rPr>
        <w:t>initial training to Australian standards overseas prior to workers securing a visa pathway.</w:t>
      </w:r>
      <w:r w:rsidR="00277B80" w:rsidRPr="004D3BA3">
        <w:rPr>
          <w:rFonts w:cs="Arial"/>
          <w14:numForm w14:val="lining"/>
          <w14:numSpacing w14:val="proportional"/>
        </w:rPr>
        <w:t xml:space="preserve"> </w:t>
      </w:r>
    </w:p>
    <w:p w14:paraId="169525CE" w14:textId="09D75A68" w:rsidR="003033B0" w:rsidRPr="004F4B0C" w:rsidRDefault="00277B80" w:rsidP="004D3BA3">
      <w:pPr>
        <w:spacing w:after="120" w:line="276" w:lineRule="auto"/>
        <w:rPr>
          <w14:numForm w14:val="lining"/>
          <w14:numSpacing w14:val="proportional"/>
        </w:rPr>
      </w:pPr>
      <w:r w:rsidRPr="004D3BA3">
        <w:rPr>
          <w:rFonts w:cs="Arial"/>
          <w14:numForm w14:val="lining"/>
          <w14:numSpacing w14:val="proportional"/>
        </w:rPr>
        <w:t>An alternative model would be for foreign workers to come to Australia for the purposes of undertaking an apprenticeship</w:t>
      </w:r>
      <w:r w:rsidR="006804E9" w:rsidRPr="004D3BA3">
        <w:rPr>
          <w:rFonts w:cs="Arial"/>
          <w14:numForm w14:val="lining"/>
          <w14:numSpacing w14:val="proportional"/>
        </w:rPr>
        <w:t>.</w:t>
      </w:r>
      <w:r w:rsidRPr="004D3BA3">
        <w:rPr>
          <w:rFonts w:cs="Arial"/>
          <w14:numForm w14:val="lining"/>
          <w14:numSpacing w14:val="proportional"/>
        </w:rPr>
        <w:t xml:space="preserve"> </w:t>
      </w:r>
      <w:r w:rsidR="005E1482" w:rsidRPr="004D3BA3">
        <w:rPr>
          <w:rFonts w:cs="Arial"/>
          <w14:numForm w14:val="lining"/>
          <w14:numSpacing w14:val="proportional"/>
        </w:rPr>
        <w:t>A</w:t>
      </w:r>
      <w:r w:rsidR="005B36C4" w:rsidRPr="004D3BA3">
        <w:rPr>
          <w:rFonts w:cs="Arial"/>
          <w14:numForm w14:val="lining"/>
          <w14:numSpacing w14:val="proportional"/>
        </w:rPr>
        <w:t xml:space="preserve">s explored earlier, </w:t>
      </w:r>
      <w:r w:rsidRPr="004D3BA3">
        <w:rPr>
          <w:rFonts w:cs="Arial"/>
          <w14:numForm w14:val="lining"/>
          <w14:numSpacing w14:val="proportional"/>
        </w:rPr>
        <w:t xml:space="preserve">this </w:t>
      </w:r>
      <w:r w:rsidR="00DD6868" w:rsidRPr="004D3BA3">
        <w:rPr>
          <w:rFonts w:cs="Arial"/>
          <w14:numForm w14:val="lining"/>
          <w14:numSpacing w14:val="proportional"/>
        </w:rPr>
        <w:t>would present many challenges and risks, including of exploitation and safety</w:t>
      </w:r>
      <w:r w:rsidR="00A0077D" w:rsidRPr="004D3BA3">
        <w:rPr>
          <w:rFonts w:cs="Arial"/>
          <w14:numForm w14:val="lining"/>
          <w14:numSpacing w14:val="proportional"/>
        </w:rPr>
        <w:t>, and the value proposition for employers and workers would need to be clear.</w:t>
      </w:r>
      <w:r w:rsidR="00DD6868" w:rsidRPr="004D3BA3">
        <w:rPr>
          <w:rFonts w:cs="Arial"/>
          <w14:numForm w14:val="lining"/>
          <w14:numSpacing w14:val="proportional"/>
        </w:rPr>
        <w:t xml:space="preserve"> Changes would also need to be made to</w:t>
      </w:r>
      <w:r w:rsidR="006804E9" w:rsidRPr="004D3BA3">
        <w:rPr>
          <w:rFonts w:cs="Arial"/>
          <w14:numForm w14:val="lining"/>
          <w14:numSpacing w14:val="proportional"/>
        </w:rPr>
        <w:t xml:space="preserve"> employment restrictions for international students</w:t>
      </w:r>
      <w:r w:rsidR="00DD6868" w:rsidRPr="004D3BA3">
        <w:rPr>
          <w:rFonts w:cs="Arial"/>
          <w14:numForm w14:val="lining"/>
          <w14:numSpacing w14:val="proportional"/>
        </w:rPr>
        <w:t xml:space="preserve"> and</w:t>
      </w:r>
      <w:r w:rsidR="006804E9" w:rsidRPr="004D3BA3">
        <w:rPr>
          <w:rFonts w:cs="Arial"/>
          <w14:numForm w14:val="lining"/>
          <w14:numSpacing w14:val="proportional"/>
        </w:rPr>
        <w:t xml:space="preserve"> appropriate </w:t>
      </w:r>
      <w:r w:rsidR="00DD6868" w:rsidRPr="004D3BA3">
        <w:rPr>
          <w:rFonts w:cs="Arial"/>
          <w14:numForm w14:val="lining"/>
          <w14:numSpacing w14:val="proportional"/>
        </w:rPr>
        <w:t>supports</w:t>
      </w:r>
      <w:r w:rsidR="005E1482" w:rsidRPr="004D3BA3">
        <w:rPr>
          <w:rFonts w:cs="Arial"/>
          <w14:numForm w14:val="lining"/>
          <w14:numSpacing w14:val="proportional"/>
        </w:rPr>
        <w:t>,</w:t>
      </w:r>
      <w:r w:rsidR="00DD6868" w:rsidRPr="004D3BA3">
        <w:rPr>
          <w:rFonts w:cs="Arial"/>
          <w14:numForm w14:val="lining"/>
          <w14:numSpacing w14:val="proportional"/>
        </w:rPr>
        <w:t xml:space="preserve"> oversights and safeguards </w:t>
      </w:r>
      <w:r w:rsidR="006804E9" w:rsidRPr="004D3BA3">
        <w:rPr>
          <w:rFonts w:cs="Arial"/>
          <w14:numForm w14:val="lining"/>
          <w14:numSpacing w14:val="proportional"/>
        </w:rPr>
        <w:t>put in place.</w:t>
      </w:r>
      <w:r w:rsidR="003033B0" w:rsidRPr="00E5087D">
        <w:br w:type="page"/>
      </w:r>
    </w:p>
    <w:p w14:paraId="72D80568" w14:textId="77777777" w:rsidR="003033B0" w:rsidRPr="00E5087D" w:rsidRDefault="003033B0" w:rsidP="003033B0">
      <w:pPr>
        <w:pStyle w:val="Heading2"/>
      </w:pPr>
      <w:bookmarkStart w:id="50" w:name="_Toc146892677"/>
      <w:r w:rsidRPr="00D05592">
        <w:rPr>
          <w:rFonts w:asciiTheme="majorHAnsi" w:hAnsiTheme="majorHAnsi" w:cstheme="majorHAnsi"/>
        </w:rPr>
        <w:t>4</w:t>
      </w:r>
      <w:r w:rsidRPr="00D05592">
        <w:rPr>
          <w:rFonts w:asciiTheme="majorHAnsi" w:hAnsiTheme="majorHAnsi" w:cstheme="majorHAnsi"/>
          <w:smallCaps/>
        </w:rPr>
        <w:t>d</w:t>
      </w:r>
      <w:r w:rsidRPr="00D05592">
        <w:rPr>
          <w:rFonts w:asciiTheme="majorHAnsi" w:hAnsiTheme="majorHAnsi" w:cstheme="majorHAnsi"/>
        </w:rPr>
        <w:t>.</w:t>
      </w:r>
      <w:r w:rsidRPr="00E5087D">
        <w:t xml:space="preserve"> </w:t>
      </w:r>
      <w:r w:rsidRPr="00E5087D">
        <w:rPr>
          <w:b w:val="0"/>
          <w:bCs/>
        </w:rPr>
        <w:t>Workforce transitions</w:t>
      </w:r>
      <w:bookmarkEnd w:id="50"/>
    </w:p>
    <w:p w14:paraId="6454621D" w14:textId="77777777" w:rsidR="003033B0" w:rsidRPr="00E5087D" w:rsidRDefault="003033B0" w:rsidP="007E1A90">
      <w:pPr>
        <w:pStyle w:val="Heading3"/>
        <w:spacing w:before="240"/>
      </w:pPr>
      <w:r w:rsidRPr="00E5087D">
        <w:t>What do we mean by transitions?</w:t>
      </w:r>
    </w:p>
    <w:p w14:paraId="1444CBC7" w14:textId="786B6290" w:rsidR="003033B0" w:rsidRPr="004D3BA3" w:rsidRDefault="003033B0" w:rsidP="004D3BA3">
      <w:pPr>
        <w:spacing w:after="120" w:line="276" w:lineRule="auto"/>
        <w:rPr>
          <w14:numForm w14:val="lining"/>
          <w14:numSpacing w14:val="proportional"/>
        </w:rPr>
      </w:pPr>
      <w:r w:rsidRPr="004D3BA3">
        <w:rPr>
          <w14:numForm w14:val="lining"/>
          <w14:numSpacing w14:val="proportional"/>
        </w:rPr>
        <w:t>A transition is when a worker changes their job voluntarily or because of industry adjustment or retrenchment</w:t>
      </w:r>
      <w:r w:rsidR="002E1660" w:rsidRPr="004D3BA3">
        <w:rPr>
          <w14:numForm w14:val="lining"/>
          <w14:numSpacing w14:val="proportional"/>
        </w:rPr>
        <w:t xml:space="preserve"> (Table 4.12)</w:t>
      </w:r>
      <w:r w:rsidRPr="004D3BA3">
        <w:rPr>
          <w14:numForm w14:val="lining"/>
          <w14:numSpacing w14:val="proportional"/>
        </w:rPr>
        <w:t xml:space="preserve">. </w:t>
      </w:r>
      <w:r w:rsidRPr="004D3BA3">
        <w:rPr>
          <w:b/>
          <w:bCs/>
          <w14:numForm w14:val="lining"/>
          <w14:numSpacing w14:val="proportional"/>
        </w:rPr>
        <w:t>Chapter 5</w:t>
      </w:r>
      <w:r w:rsidRPr="004D3BA3">
        <w:rPr>
          <w14:numForm w14:val="lining"/>
          <w14:numSpacing w14:val="proportional"/>
        </w:rPr>
        <w:t xml:space="preserve"> provides estimates for where jobs will likely be created and lost over the next 10, 20 and 30 years. It also shows the occupations and regions that will see new employment opportunities because of the clean energy transition. This section examines the </w:t>
      </w:r>
      <w:r w:rsidR="005E1482" w:rsidRPr="004D3BA3">
        <w:rPr>
          <w14:numForm w14:val="lining"/>
          <w14:numSpacing w14:val="proportional"/>
        </w:rPr>
        <w:t>likely</w:t>
      </w:r>
      <w:r w:rsidRPr="004D3BA3">
        <w:rPr>
          <w14:numForm w14:val="lining"/>
          <w14:numSpacing w14:val="proportional"/>
        </w:rPr>
        <w:t xml:space="preserve"> transition pathways for workers at </w:t>
      </w:r>
      <w:r w:rsidR="00F02D27" w:rsidRPr="004D3BA3">
        <w:rPr>
          <w14:numForm w14:val="lining"/>
          <w14:numSpacing w14:val="proportional"/>
        </w:rPr>
        <w:t xml:space="preserve">short-term </w:t>
      </w:r>
      <w:r w:rsidR="00E002A9" w:rsidRPr="004D3BA3">
        <w:rPr>
          <w14:numForm w14:val="lining"/>
          <w14:numSpacing w14:val="proportional"/>
        </w:rPr>
        <w:t>risk of involuntary</w:t>
      </w:r>
      <w:r w:rsidR="00F02D27" w:rsidRPr="004D3BA3">
        <w:rPr>
          <w14:numForm w14:val="lining"/>
          <w14:numSpacing w14:val="proportional"/>
        </w:rPr>
        <w:t xml:space="preserve"> </w:t>
      </w:r>
      <w:r w:rsidRPr="004D3BA3">
        <w:rPr>
          <w14:numForm w14:val="lining"/>
          <w14:numSpacing w14:val="proportional"/>
        </w:rPr>
        <w:t xml:space="preserve">transition, </w:t>
      </w:r>
      <w:r w:rsidR="00F02D27" w:rsidRPr="004D3BA3">
        <w:rPr>
          <w14:numForm w14:val="lining"/>
          <w14:numSpacing w14:val="proportional"/>
        </w:rPr>
        <w:t xml:space="preserve">although </w:t>
      </w:r>
      <w:r w:rsidR="00AA3697" w:rsidRPr="004D3BA3">
        <w:rPr>
          <w14:numForm w14:val="lining"/>
          <w14:numSpacing w14:val="proportional"/>
        </w:rPr>
        <w:t xml:space="preserve">some of </w:t>
      </w:r>
      <w:r w:rsidR="00F02D27" w:rsidRPr="004D3BA3">
        <w:rPr>
          <w14:numForm w14:val="lining"/>
          <w14:numSpacing w14:val="proportional"/>
        </w:rPr>
        <w:t xml:space="preserve">these pathways are also relevant for those who </w:t>
      </w:r>
      <w:r w:rsidR="00E002A9" w:rsidRPr="004D3BA3">
        <w:rPr>
          <w14:numForm w14:val="lining"/>
          <w14:numSpacing w14:val="proportional"/>
        </w:rPr>
        <w:t xml:space="preserve">voluntarily transition. </w:t>
      </w:r>
      <w:r w:rsidRPr="004D3BA3">
        <w:rPr>
          <w:b/>
          <w:bCs/>
          <w14:numForm w14:val="lining"/>
          <w14:numSpacing w14:val="proportional"/>
        </w:rPr>
        <w:t>Chapter 8</w:t>
      </w:r>
      <w:r w:rsidRPr="004D3BA3">
        <w:rPr>
          <w14:numForm w14:val="lining"/>
          <w14:numSpacing w14:val="proportional"/>
        </w:rPr>
        <w:t xml:space="preserve"> explores the barriers and enablers to a successful transition.</w:t>
      </w:r>
    </w:p>
    <w:p w14:paraId="2E4A5195" w14:textId="489C4900" w:rsidR="003033B0" w:rsidRPr="00E5087D" w:rsidRDefault="003033B0" w:rsidP="003033B0">
      <w:pPr>
        <w:spacing w:before="240" w:after="80" w:line="276" w:lineRule="auto"/>
        <w:rPr>
          <w:b/>
          <w:bCs/>
          <w14:numForm w14:val="lining"/>
          <w14:numSpacing w14:val="proportional"/>
        </w:rPr>
      </w:pPr>
      <w:r w:rsidRPr="00E5087D">
        <w:rPr>
          <w:b/>
          <w:bCs/>
          <w14:numForm w14:val="lining"/>
          <w14:numSpacing w14:val="proportional"/>
        </w:rPr>
        <w:t xml:space="preserve">Table </w:t>
      </w:r>
      <w:r w:rsidR="006228C9">
        <w:rPr>
          <w:b/>
          <w:bCs/>
          <w14:numForm w14:val="lining"/>
          <w14:numSpacing w14:val="proportional"/>
        </w:rPr>
        <w:t>4.12</w:t>
      </w:r>
      <w:r w:rsidR="00171964">
        <w:rPr>
          <w:b/>
          <w:bCs/>
          <w14:numForm w14:val="lining"/>
          <w14:numSpacing w14:val="proportional"/>
        </w:rPr>
        <w:t>.</w:t>
      </w:r>
      <w:r w:rsidRPr="00E5087D">
        <w:rPr>
          <w:b/>
          <w:bCs/>
          <w14:numForm w14:val="lining"/>
          <w14:numSpacing w14:val="proportional"/>
        </w:rPr>
        <w:t xml:space="preserve"> Types of </w:t>
      </w:r>
      <w:r w:rsidR="00692885">
        <w:rPr>
          <w:b/>
          <w:bCs/>
          <w14:numForm w14:val="lining"/>
          <w14:numSpacing w14:val="proportional"/>
        </w:rPr>
        <w:t xml:space="preserve">involuntary </w:t>
      </w:r>
      <w:r w:rsidRPr="00E5087D">
        <w:rPr>
          <w:b/>
          <w:bCs/>
          <w14:numForm w14:val="lining"/>
          <w14:numSpacing w14:val="proportional"/>
        </w:rPr>
        <w:t>transitions</w:t>
      </w:r>
    </w:p>
    <w:tbl>
      <w:tblPr>
        <w:tblStyle w:val="TableGrid"/>
        <w:tblW w:w="9209" w:type="dxa"/>
        <w:tblLook w:val="04A0" w:firstRow="1" w:lastRow="0" w:firstColumn="1" w:lastColumn="0" w:noHBand="0" w:noVBand="1"/>
      </w:tblPr>
      <w:tblGrid>
        <w:gridCol w:w="1696"/>
        <w:gridCol w:w="2977"/>
        <w:gridCol w:w="2424"/>
        <w:gridCol w:w="2112"/>
      </w:tblGrid>
      <w:tr w:rsidR="003033B0" w:rsidRPr="00E5087D" w14:paraId="61D2FC62" w14:textId="77777777">
        <w:trPr>
          <w:trHeight w:val="397"/>
        </w:trPr>
        <w:tc>
          <w:tcPr>
            <w:tcW w:w="1696" w:type="dxa"/>
            <w:shd w:val="clear" w:color="auto" w:fill="D9D9D9" w:themeFill="background1" w:themeFillShade="D9"/>
            <w:vAlign w:val="center"/>
          </w:tcPr>
          <w:p w14:paraId="7428951F"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Type of transition</w:t>
            </w:r>
          </w:p>
        </w:tc>
        <w:tc>
          <w:tcPr>
            <w:tcW w:w="2977" w:type="dxa"/>
            <w:shd w:val="clear" w:color="auto" w:fill="D9D9D9" w:themeFill="background1" w:themeFillShade="D9"/>
            <w:vAlign w:val="center"/>
          </w:tcPr>
          <w:p w14:paraId="53EDB7DA"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Extent of change</w:t>
            </w:r>
          </w:p>
        </w:tc>
        <w:tc>
          <w:tcPr>
            <w:tcW w:w="2424" w:type="dxa"/>
            <w:shd w:val="clear" w:color="auto" w:fill="D9D9D9" w:themeFill="background1" w:themeFillShade="D9"/>
            <w:vAlign w:val="center"/>
          </w:tcPr>
          <w:p w14:paraId="61B30E1E"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Example</w:t>
            </w:r>
          </w:p>
        </w:tc>
        <w:tc>
          <w:tcPr>
            <w:tcW w:w="2112" w:type="dxa"/>
            <w:shd w:val="clear" w:color="auto" w:fill="D9D9D9" w:themeFill="background1" w:themeFillShade="D9"/>
            <w:vAlign w:val="center"/>
          </w:tcPr>
          <w:p w14:paraId="2D3192A1" w14:textId="77777777" w:rsidR="003033B0" w:rsidRPr="007E1A90" w:rsidRDefault="003033B0">
            <w:pPr>
              <w:spacing w:line="276" w:lineRule="auto"/>
              <w:rPr>
                <w:b/>
                <w:bCs/>
                <w:color w:val="auto"/>
                <w:sz w:val="21"/>
                <w:szCs w:val="21"/>
                <w14:numForm w14:val="lining"/>
                <w14:numSpacing w14:val="proportional"/>
              </w:rPr>
            </w:pPr>
            <w:r w:rsidRPr="007E1A90">
              <w:rPr>
                <w:b/>
                <w:bCs/>
                <w:color w:val="auto"/>
                <w:sz w:val="21"/>
                <w:szCs w:val="21"/>
                <w14:numForm w14:val="lining"/>
                <w14:numSpacing w14:val="proportional"/>
              </w:rPr>
              <w:t>Type of supports</w:t>
            </w:r>
          </w:p>
        </w:tc>
      </w:tr>
      <w:tr w:rsidR="003033B0" w:rsidRPr="00E5087D" w14:paraId="1DEB5C95" w14:textId="77777777">
        <w:trPr>
          <w:trHeight w:val="913"/>
        </w:trPr>
        <w:tc>
          <w:tcPr>
            <w:tcW w:w="1696" w:type="dxa"/>
            <w:shd w:val="clear" w:color="auto" w:fill="D2DE5A" w:themeFill="background2"/>
            <w:vAlign w:val="center"/>
          </w:tcPr>
          <w:p w14:paraId="762929E5" w14:textId="77777777" w:rsidR="003033B0" w:rsidRPr="007E1A90" w:rsidRDefault="003033B0">
            <w:pPr>
              <w:spacing w:line="276" w:lineRule="auto"/>
              <w:rPr>
                <w:b/>
                <w:bCs/>
                <w:sz w:val="21"/>
                <w:szCs w:val="21"/>
                <w14:numForm w14:val="lining"/>
                <w14:numSpacing w14:val="proportional"/>
              </w:rPr>
            </w:pPr>
            <w:r w:rsidRPr="007E1A90">
              <w:rPr>
                <w:b/>
                <w:bCs/>
                <w:sz w:val="21"/>
                <w:szCs w:val="21"/>
                <w14:numForm w14:val="lining"/>
                <w14:numSpacing w14:val="proportional"/>
              </w:rPr>
              <w:t>Changing work type</w:t>
            </w:r>
          </w:p>
        </w:tc>
        <w:tc>
          <w:tcPr>
            <w:tcW w:w="2977" w:type="dxa"/>
            <w:vAlign w:val="center"/>
          </w:tcPr>
          <w:p w14:paraId="24391E6B" w14:textId="489F332D"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Same employer and occupation, but the focus shifts</w:t>
            </w:r>
            <w:r w:rsidR="00CC0D34">
              <w:rPr>
                <w:sz w:val="21"/>
                <w:szCs w:val="21"/>
                <w14:numForm w14:val="lining"/>
                <w14:numSpacing w14:val="proportional"/>
              </w:rPr>
              <w:t>.</w:t>
            </w:r>
          </w:p>
        </w:tc>
        <w:tc>
          <w:tcPr>
            <w:tcW w:w="2424" w:type="dxa"/>
            <w:vAlign w:val="center"/>
          </w:tcPr>
          <w:p w14:paraId="3E50BBD3" w14:textId="6AF6DE93"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Petroleum refining moving towards biofuels</w:t>
            </w:r>
            <w:r w:rsidR="00CC0D34">
              <w:rPr>
                <w:sz w:val="21"/>
                <w:szCs w:val="21"/>
                <w14:numForm w14:val="lining"/>
                <w14:numSpacing w14:val="proportional"/>
              </w:rPr>
              <w:t>.</w:t>
            </w:r>
          </w:p>
        </w:tc>
        <w:tc>
          <w:tcPr>
            <w:tcW w:w="2112" w:type="dxa"/>
            <w:vAlign w:val="center"/>
          </w:tcPr>
          <w:p w14:paraId="3A425609" w14:textId="7C0047B0"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In-house people management. Minor upskilling and familiarisation. </w:t>
            </w:r>
          </w:p>
        </w:tc>
      </w:tr>
      <w:tr w:rsidR="003033B0" w:rsidRPr="00E5087D" w14:paraId="76F89F8F" w14:textId="77777777">
        <w:trPr>
          <w:trHeight w:val="1234"/>
        </w:trPr>
        <w:tc>
          <w:tcPr>
            <w:tcW w:w="1696" w:type="dxa"/>
            <w:shd w:val="clear" w:color="auto" w:fill="FFDE5A"/>
            <w:vAlign w:val="center"/>
          </w:tcPr>
          <w:p w14:paraId="694B7447" w14:textId="77777777" w:rsidR="003033B0" w:rsidRPr="007E1A90" w:rsidRDefault="003033B0">
            <w:pPr>
              <w:spacing w:line="276" w:lineRule="auto"/>
              <w:rPr>
                <w:b/>
                <w:bCs/>
                <w:sz w:val="21"/>
                <w:szCs w:val="21"/>
                <w14:numForm w14:val="lining"/>
                <w14:numSpacing w14:val="proportional"/>
              </w:rPr>
            </w:pPr>
            <w:r w:rsidRPr="007E1A90">
              <w:rPr>
                <w:b/>
                <w:bCs/>
                <w:sz w:val="21"/>
                <w:szCs w:val="21"/>
                <w14:numForm w14:val="lining"/>
                <w14:numSpacing w14:val="proportional"/>
              </w:rPr>
              <w:t>Changing worksite</w:t>
            </w:r>
          </w:p>
        </w:tc>
        <w:tc>
          <w:tcPr>
            <w:tcW w:w="2977" w:type="dxa"/>
            <w:vAlign w:val="center"/>
          </w:tcPr>
          <w:p w14:paraId="0EB8B1D2"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Worksite closes but similar opportunities exist with same employer. Requires relocation.</w:t>
            </w:r>
          </w:p>
        </w:tc>
        <w:tc>
          <w:tcPr>
            <w:tcW w:w="2424" w:type="dxa"/>
            <w:vAlign w:val="center"/>
          </w:tcPr>
          <w:p w14:paraId="5E8A7996" w14:textId="1BC59990"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Individual coal mine or power station closures</w:t>
            </w:r>
            <w:r w:rsidR="00CC0D34">
              <w:rPr>
                <w:sz w:val="21"/>
                <w:szCs w:val="21"/>
                <w14:numForm w14:val="lining"/>
                <w14:numSpacing w14:val="proportional"/>
              </w:rPr>
              <w:t>.</w:t>
            </w:r>
          </w:p>
        </w:tc>
        <w:tc>
          <w:tcPr>
            <w:tcW w:w="2112" w:type="dxa"/>
            <w:vAlign w:val="center"/>
          </w:tcPr>
          <w:p w14:paraId="01676775"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In-house people management. Relocation support.</w:t>
            </w:r>
          </w:p>
        </w:tc>
      </w:tr>
      <w:tr w:rsidR="003033B0" w:rsidRPr="00E5087D" w14:paraId="55718F11" w14:textId="77777777">
        <w:trPr>
          <w:trHeight w:val="913"/>
        </w:trPr>
        <w:tc>
          <w:tcPr>
            <w:tcW w:w="1696" w:type="dxa"/>
            <w:shd w:val="clear" w:color="auto" w:fill="FFC000"/>
            <w:vAlign w:val="center"/>
          </w:tcPr>
          <w:p w14:paraId="3B0E29A9" w14:textId="77777777" w:rsidR="003033B0" w:rsidRPr="007E1A90" w:rsidRDefault="003033B0">
            <w:pPr>
              <w:spacing w:line="276" w:lineRule="auto"/>
              <w:rPr>
                <w:b/>
                <w:bCs/>
                <w:sz w:val="21"/>
                <w:szCs w:val="21"/>
                <w14:numForm w14:val="lining"/>
                <w14:numSpacing w14:val="proportional"/>
              </w:rPr>
            </w:pPr>
            <w:r w:rsidRPr="007E1A90">
              <w:rPr>
                <w:b/>
                <w:bCs/>
                <w:sz w:val="21"/>
                <w:szCs w:val="21"/>
                <w14:numForm w14:val="lining"/>
                <w14:numSpacing w14:val="proportional"/>
              </w:rPr>
              <w:t>Changing employer</w:t>
            </w:r>
          </w:p>
        </w:tc>
        <w:tc>
          <w:tcPr>
            <w:tcW w:w="2977" w:type="dxa"/>
            <w:vAlign w:val="center"/>
          </w:tcPr>
          <w:p w14:paraId="29610F63"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Employer retrenches staff due to changing needs. Requires job searching for same role.</w:t>
            </w:r>
          </w:p>
        </w:tc>
        <w:tc>
          <w:tcPr>
            <w:tcW w:w="2424" w:type="dxa"/>
            <w:vAlign w:val="center"/>
          </w:tcPr>
          <w:p w14:paraId="0B981E63" w14:textId="06DFA9DC"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Individual coal mine and power station closures but others exist</w:t>
            </w:r>
            <w:r w:rsidR="00CC0D34">
              <w:rPr>
                <w:sz w:val="21"/>
                <w:szCs w:val="21"/>
                <w14:numForm w14:val="lining"/>
                <w14:numSpacing w14:val="proportional"/>
              </w:rPr>
              <w:t>.</w:t>
            </w:r>
          </w:p>
        </w:tc>
        <w:tc>
          <w:tcPr>
            <w:tcW w:w="2112" w:type="dxa"/>
            <w:vAlign w:val="center"/>
          </w:tcPr>
          <w:p w14:paraId="65D27223"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Retrenchment supports to find new job.</w:t>
            </w:r>
          </w:p>
        </w:tc>
      </w:tr>
      <w:tr w:rsidR="003033B0" w:rsidRPr="00E5087D" w14:paraId="5A438C0E" w14:textId="77777777">
        <w:trPr>
          <w:trHeight w:val="1234"/>
        </w:trPr>
        <w:tc>
          <w:tcPr>
            <w:tcW w:w="1696" w:type="dxa"/>
            <w:shd w:val="clear" w:color="auto" w:fill="F5353E" w:themeFill="accent6" w:themeFillTint="80"/>
            <w:vAlign w:val="center"/>
          </w:tcPr>
          <w:p w14:paraId="008A5DAA" w14:textId="77777777" w:rsidR="003033B0" w:rsidRPr="007E1A90" w:rsidRDefault="003033B0">
            <w:pPr>
              <w:spacing w:line="276" w:lineRule="auto"/>
              <w:rPr>
                <w:b/>
                <w:bCs/>
                <w:sz w:val="21"/>
                <w:szCs w:val="21"/>
                <w14:numForm w14:val="lining"/>
                <w14:numSpacing w14:val="proportional"/>
              </w:rPr>
            </w:pPr>
            <w:r w:rsidRPr="007E1A90">
              <w:rPr>
                <w:b/>
                <w:bCs/>
                <w:color w:val="FFFFFF" w:themeColor="background1"/>
                <w:sz w:val="21"/>
                <w:szCs w:val="21"/>
                <w14:numForm w14:val="lining"/>
                <w14:numSpacing w14:val="proportional"/>
              </w:rPr>
              <w:t>Changing industry</w:t>
            </w:r>
          </w:p>
        </w:tc>
        <w:tc>
          <w:tcPr>
            <w:tcW w:w="2977" w:type="dxa"/>
            <w:vAlign w:val="center"/>
          </w:tcPr>
          <w:p w14:paraId="5737F81B" w14:textId="513ABA29" w:rsidR="003033B0" w:rsidRPr="007E1A90" w:rsidRDefault="00FF19E2">
            <w:pPr>
              <w:spacing w:line="276" w:lineRule="auto"/>
              <w:rPr>
                <w:sz w:val="21"/>
                <w:szCs w:val="21"/>
                <w14:numForm w14:val="lining"/>
                <w14:numSpacing w14:val="proportional"/>
              </w:rPr>
            </w:pPr>
            <w:r w:rsidRPr="007E1A90">
              <w:rPr>
                <w:sz w:val="21"/>
                <w:szCs w:val="21"/>
                <w14:numForm w14:val="lining"/>
                <w14:numSpacing w14:val="proportional"/>
              </w:rPr>
              <w:t>Limited</w:t>
            </w:r>
            <w:r w:rsidR="003033B0" w:rsidRPr="007E1A90">
              <w:rPr>
                <w:sz w:val="21"/>
                <w:szCs w:val="21"/>
                <w14:numForm w14:val="lining"/>
                <w14:numSpacing w14:val="proportional"/>
              </w:rPr>
              <w:t xml:space="preserve"> opportunities within same industry</w:t>
            </w:r>
            <w:r w:rsidR="00DA6D2E" w:rsidRPr="007E1A90">
              <w:rPr>
                <w:sz w:val="21"/>
                <w:szCs w:val="21"/>
                <w14:numForm w14:val="lining"/>
                <w14:numSpacing w14:val="proportional"/>
              </w:rPr>
              <w:t>,</w:t>
            </w:r>
            <w:r w:rsidR="008326A2" w:rsidRPr="007E1A90">
              <w:rPr>
                <w:sz w:val="21"/>
                <w:szCs w:val="21"/>
                <w14:numForm w14:val="lining"/>
                <w14:numSpacing w14:val="proportional"/>
              </w:rPr>
              <w:t xml:space="preserve"> or wanting to </w:t>
            </w:r>
            <w:r w:rsidR="00DA6D2E" w:rsidRPr="007E1A90">
              <w:rPr>
                <w:sz w:val="21"/>
                <w:szCs w:val="21"/>
                <w14:numForm w14:val="lining"/>
                <w14:numSpacing w14:val="proportional"/>
              </w:rPr>
              <w:t>learn about new markets and trends</w:t>
            </w:r>
            <w:r w:rsidR="003033B0" w:rsidRPr="007E1A90">
              <w:rPr>
                <w:sz w:val="21"/>
                <w:szCs w:val="21"/>
                <w14:numForm w14:val="lining"/>
                <w14:numSpacing w14:val="proportional"/>
              </w:rPr>
              <w:t xml:space="preserve">. Can apply majority of skills to new industry. </w:t>
            </w:r>
          </w:p>
        </w:tc>
        <w:tc>
          <w:tcPr>
            <w:tcW w:w="2424" w:type="dxa"/>
            <w:vAlign w:val="center"/>
          </w:tcPr>
          <w:p w14:paraId="19360A3D"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Electrician moving from coal power station to renewables. </w:t>
            </w:r>
          </w:p>
        </w:tc>
        <w:tc>
          <w:tcPr>
            <w:tcW w:w="2112" w:type="dxa"/>
            <w:vAlign w:val="center"/>
          </w:tcPr>
          <w:p w14:paraId="493390B7"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Retrenchment supports to find job in new industry. Upskilling likely.</w:t>
            </w:r>
          </w:p>
        </w:tc>
      </w:tr>
      <w:tr w:rsidR="003033B0" w:rsidRPr="00E5087D" w14:paraId="4F5488BC" w14:textId="77777777">
        <w:trPr>
          <w:trHeight w:val="609"/>
        </w:trPr>
        <w:tc>
          <w:tcPr>
            <w:tcW w:w="1696" w:type="dxa"/>
            <w:shd w:val="clear" w:color="auto" w:fill="BB0811" w:themeFill="accent6" w:themeFillTint="BF"/>
            <w:vAlign w:val="center"/>
          </w:tcPr>
          <w:p w14:paraId="6C60CB2D" w14:textId="77777777" w:rsidR="003033B0" w:rsidRPr="007E1A90" w:rsidRDefault="003033B0">
            <w:pPr>
              <w:spacing w:line="276" w:lineRule="auto"/>
              <w:rPr>
                <w:b/>
                <w:bCs/>
                <w:sz w:val="21"/>
                <w:szCs w:val="21"/>
                <w14:numForm w14:val="lining"/>
                <w14:numSpacing w14:val="proportional"/>
              </w:rPr>
            </w:pPr>
            <w:r w:rsidRPr="007E1A90">
              <w:rPr>
                <w:b/>
                <w:bCs/>
                <w:color w:val="FFFFFF" w:themeColor="background1"/>
                <w:sz w:val="21"/>
                <w:szCs w:val="21"/>
                <w14:numForm w14:val="lining"/>
                <w14:numSpacing w14:val="proportional"/>
              </w:rPr>
              <w:t>Changing occupation</w:t>
            </w:r>
          </w:p>
        </w:tc>
        <w:tc>
          <w:tcPr>
            <w:tcW w:w="2977" w:type="dxa"/>
            <w:vAlign w:val="center"/>
          </w:tcPr>
          <w:p w14:paraId="585F723C" w14:textId="78727090" w:rsidR="003033B0" w:rsidRPr="007E1A90" w:rsidRDefault="00FF19E2">
            <w:pPr>
              <w:spacing w:line="276" w:lineRule="auto"/>
              <w:rPr>
                <w:sz w:val="21"/>
                <w:szCs w:val="21"/>
                <w14:numForm w14:val="lining"/>
                <w14:numSpacing w14:val="proportional"/>
              </w:rPr>
            </w:pPr>
            <w:r w:rsidRPr="007E1A90">
              <w:rPr>
                <w:sz w:val="21"/>
                <w:szCs w:val="21"/>
                <w14:numForm w14:val="lining"/>
                <w14:numSpacing w14:val="proportional"/>
              </w:rPr>
              <w:t>Limited</w:t>
            </w:r>
            <w:r w:rsidR="008C3DD5" w:rsidRPr="007E1A90">
              <w:rPr>
                <w:sz w:val="21"/>
                <w:szCs w:val="21"/>
                <w14:numForm w14:val="lining"/>
                <w14:numSpacing w14:val="proportional"/>
              </w:rPr>
              <w:t xml:space="preserve"> opportunities within same occupation. </w:t>
            </w:r>
            <w:r w:rsidR="003033B0" w:rsidRPr="007E1A90">
              <w:rPr>
                <w:sz w:val="21"/>
                <w:szCs w:val="21"/>
                <w14:numForm w14:val="lining"/>
                <w14:numSpacing w14:val="proportional"/>
              </w:rPr>
              <w:t>Requires major reskilling or upskilling.</w:t>
            </w:r>
          </w:p>
        </w:tc>
        <w:tc>
          <w:tcPr>
            <w:tcW w:w="2424" w:type="dxa"/>
            <w:vAlign w:val="center"/>
          </w:tcPr>
          <w:p w14:paraId="60AE4F6C" w14:textId="069438B0"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Power plant operator</w:t>
            </w:r>
            <w:r w:rsidR="00CC0D34">
              <w:rPr>
                <w:sz w:val="21"/>
                <w:szCs w:val="21"/>
                <w14:numForm w14:val="lining"/>
                <w14:numSpacing w14:val="proportional"/>
              </w:rPr>
              <w:t>.</w:t>
            </w:r>
          </w:p>
        </w:tc>
        <w:tc>
          <w:tcPr>
            <w:tcW w:w="2112" w:type="dxa"/>
            <w:vAlign w:val="center"/>
          </w:tcPr>
          <w:p w14:paraId="1A29C418" w14:textId="7E9A1A41"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Retrenchment supports and major reskilling</w:t>
            </w:r>
            <w:r w:rsidR="00CC0D34">
              <w:rPr>
                <w:sz w:val="21"/>
                <w:szCs w:val="21"/>
                <w14:numForm w14:val="lining"/>
                <w14:numSpacing w14:val="proportional"/>
              </w:rPr>
              <w:t>.</w:t>
            </w:r>
          </w:p>
        </w:tc>
      </w:tr>
      <w:tr w:rsidR="003033B0" w:rsidRPr="00615CA7" w14:paraId="5C879084" w14:textId="77777777">
        <w:trPr>
          <w:trHeight w:val="609"/>
        </w:trPr>
        <w:tc>
          <w:tcPr>
            <w:tcW w:w="1696" w:type="dxa"/>
            <w:shd w:val="clear" w:color="auto" w:fill="595959" w:themeFill="text1" w:themeFillTint="A6"/>
            <w:vAlign w:val="center"/>
          </w:tcPr>
          <w:p w14:paraId="790E8117" w14:textId="77777777" w:rsidR="003033B0" w:rsidRPr="007E1A90" w:rsidRDefault="003033B0">
            <w:pPr>
              <w:spacing w:line="276" w:lineRule="auto"/>
              <w:rPr>
                <w:b/>
                <w:bCs/>
                <w:color w:val="FFFFFF" w:themeColor="background1"/>
                <w:sz w:val="21"/>
                <w:szCs w:val="21"/>
                <w14:numForm w14:val="lining"/>
                <w14:numSpacing w14:val="proportional"/>
              </w:rPr>
            </w:pPr>
            <w:r w:rsidRPr="007E1A90">
              <w:rPr>
                <w:b/>
                <w:bCs/>
                <w:color w:val="FFFFFF" w:themeColor="background1"/>
                <w:sz w:val="21"/>
                <w:szCs w:val="21"/>
                <w14:numForm w14:val="lining"/>
                <w14:numSpacing w14:val="proportional"/>
              </w:rPr>
              <w:t>Exiting the labour force</w:t>
            </w:r>
          </w:p>
        </w:tc>
        <w:tc>
          <w:tcPr>
            <w:tcW w:w="2977" w:type="dxa"/>
            <w:vAlign w:val="center"/>
          </w:tcPr>
          <w:p w14:paraId="3C7B45AB" w14:textId="77777777"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Leaving employment. </w:t>
            </w:r>
          </w:p>
        </w:tc>
        <w:tc>
          <w:tcPr>
            <w:tcW w:w="2424" w:type="dxa"/>
            <w:vAlign w:val="center"/>
          </w:tcPr>
          <w:p w14:paraId="602C83C4" w14:textId="12C70915" w:rsidR="003033B0" w:rsidRPr="007E1A90" w:rsidRDefault="003033B0">
            <w:pPr>
              <w:spacing w:line="276" w:lineRule="auto"/>
              <w:rPr>
                <w:sz w:val="21"/>
                <w:szCs w:val="21"/>
                <w14:numForm w14:val="lining"/>
                <w14:numSpacing w14:val="proportional"/>
              </w:rPr>
            </w:pPr>
            <w:r w:rsidRPr="007E1A90">
              <w:rPr>
                <w:sz w:val="21"/>
                <w:szCs w:val="21"/>
                <w14:numForm w14:val="lining"/>
                <w14:numSpacing w14:val="proportional"/>
              </w:rPr>
              <w:t xml:space="preserve">Unemployment, </w:t>
            </w:r>
            <w:r w:rsidR="008C3DD5" w:rsidRPr="007E1A90">
              <w:rPr>
                <w:sz w:val="21"/>
                <w:szCs w:val="21"/>
                <w14:numForm w14:val="lining"/>
                <w14:numSpacing w14:val="proportional"/>
              </w:rPr>
              <w:t xml:space="preserve">unplanned early </w:t>
            </w:r>
            <w:r w:rsidRPr="007E1A90">
              <w:rPr>
                <w:sz w:val="21"/>
                <w:szCs w:val="21"/>
                <w14:numForm w14:val="lining"/>
                <w14:numSpacing w14:val="proportional"/>
              </w:rPr>
              <w:t>retirement, full-time study or short-term breaks from employment.</w:t>
            </w:r>
          </w:p>
        </w:tc>
        <w:tc>
          <w:tcPr>
            <w:tcW w:w="2112" w:type="dxa"/>
            <w:vAlign w:val="center"/>
          </w:tcPr>
          <w:p w14:paraId="26C7DD75" w14:textId="2B3C1CD7" w:rsidR="003033B0" w:rsidRPr="007E1A90" w:rsidRDefault="00AB0033">
            <w:pPr>
              <w:spacing w:line="276" w:lineRule="auto"/>
              <w:rPr>
                <w:sz w:val="21"/>
                <w:szCs w:val="21"/>
                <w14:numForm w14:val="lining"/>
                <w14:numSpacing w14:val="proportional"/>
              </w:rPr>
            </w:pPr>
            <w:r w:rsidRPr="007E1A90">
              <w:rPr>
                <w:sz w:val="21"/>
                <w:szCs w:val="21"/>
                <w14:numForm w14:val="lining"/>
                <w14:numSpacing w14:val="proportional"/>
              </w:rPr>
              <w:t>Specialist financial advice for workers</w:t>
            </w:r>
            <w:r w:rsidR="00E27DBE" w:rsidRPr="007E1A90">
              <w:rPr>
                <w:sz w:val="21"/>
                <w:szCs w:val="21"/>
                <w14:numForm w14:val="lining"/>
                <w14:numSpacing w14:val="proportional"/>
              </w:rPr>
              <w:t>. Employment services for partners.</w:t>
            </w:r>
          </w:p>
        </w:tc>
      </w:tr>
    </w:tbl>
    <w:p w14:paraId="7E09F81B" w14:textId="3168E607" w:rsidR="003033B0" w:rsidRPr="004F5391" w:rsidRDefault="004F5391" w:rsidP="007E1A90">
      <w:pPr>
        <w:spacing w:before="240"/>
        <w:rPr>
          <w:rFonts w:eastAsiaTheme="majorEastAsia" w:cstheme="majorBidi"/>
          <w:bCs/>
          <w:szCs w:val="16"/>
          <w14:numForm w14:val="lining"/>
          <w14:numSpacing w14:val="proportional"/>
        </w:rPr>
      </w:pPr>
      <w:r w:rsidRPr="004F5391">
        <w:rPr>
          <w:rFonts w:eastAsiaTheme="majorEastAsia" w:cstheme="majorBidi"/>
          <w:bCs/>
          <w:szCs w:val="16"/>
          <w14:numForm w14:val="lining"/>
          <w14:numSpacing w14:val="proportional"/>
        </w:rPr>
        <w:t xml:space="preserve">Broader </w:t>
      </w:r>
      <w:r w:rsidR="00AD2571">
        <w:rPr>
          <w:rFonts w:eastAsiaTheme="majorEastAsia" w:cstheme="majorBidi"/>
          <w:bCs/>
          <w:szCs w:val="16"/>
          <w14:numForm w14:val="lining"/>
          <w14:numSpacing w14:val="proportional"/>
        </w:rPr>
        <w:t xml:space="preserve">employee assistance programs </w:t>
      </w:r>
      <w:r w:rsidR="000A4F43">
        <w:rPr>
          <w:rFonts w:eastAsiaTheme="majorEastAsia" w:cstheme="majorBidi"/>
          <w:bCs/>
          <w:szCs w:val="16"/>
          <w14:numForm w14:val="lining"/>
          <w14:numSpacing w14:val="proportional"/>
        </w:rPr>
        <w:t xml:space="preserve">(EAP) </w:t>
      </w:r>
      <w:r w:rsidR="00AD2571">
        <w:rPr>
          <w:rFonts w:eastAsiaTheme="majorEastAsia" w:cstheme="majorBidi"/>
          <w:bCs/>
          <w:szCs w:val="16"/>
          <w14:numForm w14:val="lining"/>
          <w14:numSpacing w14:val="proportional"/>
        </w:rPr>
        <w:t xml:space="preserve">and supports </w:t>
      </w:r>
      <w:r w:rsidRPr="004F5391">
        <w:rPr>
          <w:rFonts w:eastAsiaTheme="majorEastAsia" w:cstheme="majorBidi"/>
          <w:bCs/>
          <w:szCs w:val="16"/>
          <w14:numForm w14:val="lining"/>
          <w14:numSpacing w14:val="proportional"/>
        </w:rPr>
        <w:t>like</w:t>
      </w:r>
      <w:r w:rsidR="00AD2571">
        <w:rPr>
          <w:rFonts w:eastAsiaTheme="majorEastAsia" w:cstheme="majorBidi"/>
          <w:bCs/>
          <w:szCs w:val="16"/>
          <w14:numForm w14:val="lining"/>
          <w14:numSpacing w14:val="proportional"/>
        </w:rPr>
        <w:t xml:space="preserve"> counselling</w:t>
      </w:r>
      <w:r w:rsidRPr="004F5391">
        <w:rPr>
          <w:rFonts w:eastAsiaTheme="majorEastAsia" w:cstheme="majorBidi"/>
          <w:bCs/>
          <w:szCs w:val="16"/>
          <w14:numForm w14:val="lining"/>
          <w14:numSpacing w14:val="proportional"/>
        </w:rPr>
        <w:t>, financial</w:t>
      </w:r>
      <w:r>
        <w:rPr>
          <w:rFonts w:eastAsiaTheme="majorEastAsia" w:cstheme="majorBidi"/>
          <w:bCs/>
          <w:szCs w:val="16"/>
          <w14:numForm w14:val="lining"/>
          <w14:numSpacing w14:val="proportional"/>
        </w:rPr>
        <w:t xml:space="preserve"> advice and return to work </w:t>
      </w:r>
      <w:r w:rsidR="00AD2571">
        <w:rPr>
          <w:rFonts w:eastAsiaTheme="majorEastAsia" w:cstheme="majorBidi"/>
          <w:bCs/>
          <w:szCs w:val="16"/>
          <w14:numForm w14:val="lining"/>
          <w14:numSpacing w14:val="proportional"/>
        </w:rPr>
        <w:t xml:space="preserve">mechanisms </w:t>
      </w:r>
      <w:r>
        <w:rPr>
          <w:rFonts w:eastAsiaTheme="majorEastAsia" w:cstheme="majorBidi"/>
          <w:bCs/>
          <w:szCs w:val="16"/>
          <w14:numForm w14:val="lining"/>
          <w14:numSpacing w14:val="proportional"/>
        </w:rPr>
        <w:t xml:space="preserve">are relevant </w:t>
      </w:r>
      <w:r w:rsidR="001D13B0">
        <w:rPr>
          <w:rFonts w:eastAsiaTheme="majorEastAsia" w:cstheme="majorBidi"/>
          <w:bCs/>
          <w:szCs w:val="16"/>
          <w14:numForm w14:val="lining"/>
          <w14:numSpacing w14:val="proportional"/>
        </w:rPr>
        <w:t>for workers undergoing all types of transitions.</w:t>
      </w:r>
    </w:p>
    <w:p w14:paraId="5F802BBA" w14:textId="27DAC67B" w:rsidR="003033B0" w:rsidRPr="00E5087D" w:rsidRDefault="003033B0" w:rsidP="003033B0">
      <w:pPr>
        <w:pStyle w:val="Heading3"/>
      </w:pPr>
      <w:r w:rsidRPr="00E5087D">
        <w:t>Workers that may need to transition</w:t>
      </w:r>
    </w:p>
    <w:p w14:paraId="531A6B97" w14:textId="77777777" w:rsidR="003033B0" w:rsidRPr="00E5087D" w:rsidRDefault="003033B0" w:rsidP="003033B0">
      <w:pPr>
        <w:pStyle w:val="Heading4"/>
      </w:pPr>
      <w:r w:rsidRPr="00E5087D">
        <w:t>Impacted industries</w:t>
      </w:r>
    </w:p>
    <w:p w14:paraId="379E64B6" w14:textId="3C127065" w:rsidR="003033B0" w:rsidRPr="007E1A90" w:rsidRDefault="003033B0" w:rsidP="003033B0">
      <w:pPr>
        <w:spacing w:after="120" w:line="276" w:lineRule="auto"/>
        <w:rPr>
          <w14:numForm w14:val="lining"/>
          <w14:numSpacing w14:val="proportional"/>
        </w:rPr>
      </w:pPr>
      <w:r w:rsidRPr="007E1A90">
        <w:rPr>
          <w14:numForm w14:val="lining"/>
          <w14:numSpacing w14:val="proportional"/>
        </w:rPr>
        <w:t xml:space="preserve">As explored in </w:t>
      </w:r>
      <w:r w:rsidRPr="007E1A90">
        <w:rPr>
          <w:b/>
          <w:bCs/>
          <w14:numForm w14:val="lining"/>
          <w14:numSpacing w14:val="proportional"/>
        </w:rPr>
        <w:t>Chapter 2</w:t>
      </w:r>
      <w:r w:rsidRPr="007E1A90">
        <w:rPr>
          <w14:numForm w14:val="lining"/>
          <w14:numSpacing w14:val="proportional"/>
        </w:rPr>
        <w:t xml:space="preserve">, the primary industry that will be impacted in the short term is fossil fuel power generation, particularly coal-fired power. </w:t>
      </w:r>
      <w:r w:rsidR="00F75CE6" w:rsidRPr="007E1A90">
        <w:rPr>
          <w14:numForm w14:val="lining"/>
          <w14:numSpacing w14:val="proportional"/>
        </w:rPr>
        <w:t>The Australian Government has committed to support workers in emissions intensive sectors to access new employment, skills and support as the net zero transformation continues.</w:t>
      </w:r>
    </w:p>
    <w:p w14:paraId="528A6053" w14:textId="7BAC1E51" w:rsidR="003033B0" w:rsidRPr="007E1A90" w:rsidRDefault="003033B0" w:rsidP="003033B0">
      <w:pPr>
        <w:spacing w:before="120" w:after="120" w:line="276" w:lineRule="auto"/>
        <w:ind w:right="170"/>
        <w:rPr>
          <w14:numForm w14:val="lining"/>
          <w14:numSpacing w14:val="proportional"/>
        </w:rPr>
      </w:pPr>
      <w:r w:rsidRPr="007E1A90">
        <w:rPr>
          <w14:numForm w14:val="lining"/>
          <w14:numSpacing w14:val="proportional"/>
        </w:rPr>
        <w:t>Fossil-fuel-related groups will decline or transform substantially as a result of decarbonisation</w:t>
      </w:r>
      <w:r w:rsidR="003D0D5D" w:rsidRPr="007E1A90">
        <w:rPr>
          <w14:numForm w14:val="lining"/>
          <w14:numSpacing w14:val="proportional"/>
        </w:rPr>
        <w:t xml:space="preserve"> (</w:t>
      </w:r>
      <w:r w:rsidR="007E6C39" w:rsidRPr="007E1A90">
        <w:rPr>
          <w14:numForm w14:val="lining"/>
          <w14:numSpacing w14:val="proportional"/>
        </w:rPr>
        <w:t>Table 4.13)</w:t>
      </w:r>
      <w:r w:rsidRPr="007E1A90">
        <w:rPr>
          <w14:numForm w14:val="lining"/>
          <w14:numSpacing w14:val="proportional"/>
        </w:rPr>
        <w:t>. None are expected to completely disappear by 2050 based on existing policy targets and settings, but there will be substantial change:</w:t>
      </w:r>
    </w:p>
    <w:p w14:paraId="219E3190" w14:textId="77777777"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Coal mining to service domestic electricity generation will substantially reduce, while the current policy settings have less of an impact on coal mining for industrial purposes (metallurgical coal) and export.</w:t>
      </w:r>
    </w:p>
    <w:p w14:paraId="4CE019E2" w14:textId="532471A0"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Oil extraction and petroleum exploration are in a similar situation.</w:t>
      </w:r>
    </w:p>
    <w:p w14:paraId="4C4DD243" w14:textId="1D83C045"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 xml:space="preserve">Gas supply and pipeline transport (predominantly involving gas transport at present) will likely see change. However, the extent of change will depend on whether hydrogen becomes a viable replacement for the current industrial, domestic and transport applications of natural gas. </w:t>
      </w:r>
      <w:r w:rsidR="00646911" w:rsidRPr="007E1A90">
        <w:rPr>
          <w14:numForm w14:val="lining"/>
          <w14:numSpacing w14:val="proportional"/>
        </w:rPr>
        <w:t>The Australian Government is developing a Future Gas Strategy that will outline an approach to managing gas through the energy transformation.</w:t>
      </w:r>
    </w:p>
    <w:p w14:paraId="6088220A" w14:textId="77777777"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There will likely be continued reduced demand for petroleum refining, petroleum fuel manufacturing (and manufacturing of other petroleum and coal products), petroleum product wholesaling and fuel retailing. These sectors will increasingly be directed toward producing and distributing sustainable fuels.</w:t>
      </w:r>
    </w:p>
    <w:p w14:paraId="618EC155" w14:textId="77777777" w:rsidR="003033B0" w:rsidRPr="007E1A90" w:rsidRDefault="003033B0" w:rsidP="00F25595">
      <w:pPr>
        <w:pStyle w:val="ListParagraph"/>
        <w:numPr>
          <w:ilvl w:val="0"/>
          <w:numId w:val="35"/>
        </w:numPr>
        <w:spacing w:before="80" w:after="120" w:line="276" w:lineRule="auto"/>
        <w:ind w:left="567" w:right="170" w:hanging="357"/>
        <w:contextualSpacing w:val="0"/>
        <w:rPr>
          <w14:numForm w14:val="lining"/>
          <w14:numSpacing w14:val="proportional"/>
        </w:rPr>
      </w:pPr>
      <w:r w:rsidRPr="007E1A90">
        <w:rPr>
          <w14:numForm w14:val="lining"/>
          <w14:numSpacing w14:val="proportional"/>
        </w:rPr>
        <w:t xml:space="preserve">Most of Australia’s coal-powered electricity generators are expected to close by 2050 (see </w:t>
      </w:r>
      <w:r w:rsidRPr="007E1A90">
        <w:rPr>
          <w:b/>
          <w:bCs/>
          <w14:numForm w14:val="lining"/>
          <w14:numSpacing w14:val="proportional"/>
        </w:rPr>
        <w:t>Chapter 1</w:t>
      </w:r>
      <w:r w:rsidRPr="007E1A90">
        <w:rPr>
          <w14:numForm w14:val="lining"/>
          <w14:numSpacing w14:val="proportional"/>
        </w:rPr>
        <w:t>), but it is expected there will be an ongoing role for gas-fired electricity generation as part of load management.</w:t>
      </w:r>
    </w:p>
    <w:p w14:paraId="01B6BDCC" w14:textId="3C84BD92" w:rsidR="00F75CE6" w:rsidRPr="007E1A90" w:rsidRDefault="00F75CE6" w:rsidP="00F75CE6">
      <w:pPr>
        <w:spacing w:before="120" w:after="120" w:line="276" w:lineRule="auto"/>
        <w:ind w:right="170"/>
        <w:rPr>
          <w14:numForm w14:val="lining"/>
          <w14:numSpacing w14:val="proportional"/>
        </w:rPr>
      </w:pPr>
      <w:r w:rsidRPr="007E1A90">
        <w:rPr>
          <w14:numForm w14:val="lining"/>
          <w14:numSpacing w14:val="proportional"/>
        </w:rPr>
        <w:t xml:space="preserve">As explored earlier in </w:t>
      </w:r>
      <w:r w:rsidRPr="007E1A90">
        <w:rPr>
          <w:b/>
          <w:bCs/>
          <w14:numForm w14:val="lining"/>
          <w14:numSpacing w14:val="proportional"/>
        </w:rPr>
        <w:t>Chapter 1</w:t>
      </w:r>
      <w:r w:rsidRPr="007E1A90">
        <w:rPr>
          <w14:numForm w14:val="lining"/>
          <w14:numSpacing w14:val="proportional"/>
        </w:rPr>
        <w:t>, the Australian Government is committed to support workers in emissions-intensive sectors to access new employment, skills and support as the net zero transformation continues.</w:t>
      </w:r>
    </w:p>
    <w:p w14:paraId="201010B0" w14:textId="77777777" w:rsidR="00F75CE6" w:rsidRDefault="00F75CE6">
      <w:r>
        <w:br w:type="page"/>
      </w:r>
    </w:p>
    <w:p w14:paraId="3C9BC2B4" w14:textId="2BA088FD" w:rsidR="003033B0" w:rsidRPr="007E1A90" w:rsidRDefault="003033B0" w:rsidP="005C0D10">
      <w:pPr>
        <w:spacing w:before="240" w:after="0" w:line="276" w:lineRule="auto"/>
        <w:rPr>
          <w:b/>
          <w:bCs/>
          <w14:numForm w14:val="lining"/>
          <w14:numSpacing w14:val="proportional"/>
        </w:rPr>
      </w:pPr>
      <w:r w:rsidRPr="007E1A90">
        <w:rPr>
          <w:b/>
          <w:bCs/>
          <w14:numForm w14:val="lining"/>
          <w14:numSpacing w14:val="proportional"/>
        </w:rPr>
        <w:t xml:space="preserve">Table </w:t>
      </w:r>
      <w:r w:rsidR="00630FA9" w:rsidRPr="007E1A90">
        <w:rPr>
          <w:b/>
          <w:bCs/>
          <w14:numForm w14:val="lining"/>
          <w14:numSpacing w14:val="proportional"/>
        </w:rPr>
        <w:t>4.1</w:t>
      </w:r>
      <w:r w:rsidR="00A3542A" w:rsidRPr="007E1A90">
        <w:rPr>
          <w:b/>
          <w:bCs/>
          <w14:numForm w14:val="lining"/>
          <w14:numSpacing w14:val="proportional"/>
        </w:rPr>
        <w:t>3</w:t>
      </w:r>
      <w:r w:rsidRPr="007E1A90">
        <w:rPr>
          <w:b/>
          <w:bCs/>
          <w14:numForm w14:val="lining"/>
          <w14:numSpacing w14:val="proportional"/>
        </w:rPr>
        <w:t>. Major industries groups that will transition and employment size, 2021</w:t>
      </w:r>
    </w:p>
    <w:tbl>
      <w:tblPr>
        <w:tblStyle w:val="TableGrid"/>
        <w:tblW w:w="0" w:type="auto"/>
        <w:tblLook w:val="04A0" w:firstRow="1" w:lastRow="0" w:firstColumn="1" w:lastColumn="0" w:noHBand="0" w:noVBand="1"/>
      </w:tblPr>
      <w:tblGrid>
        <w:gridCol w:w="1537"/>
        <w:gridCol w:w="839"/>
        <w:gridCol w:w="1540"/>
        <w:gridCol w:w="730"/>
        <w:gridCol w:w="1334"/>
        <w:gridCol w:w="781"/>
        <w:gridCol w:w="1413"/>
        <w:gridCol w:w="842"/>
      </w:tblGrid>
      <w:tr w:rsidR="003033B0" w:rsidRPr="007E1A90" w14:paraId="4070BBB6" w14:textId="77777777" w:rsidTr="00A77125">
        <w:trPr>
          <w:trHeight w:val="624"/>
        </w:trPr>
        <w:tc>
          <w:tcPr>
            <w:tcW w:w="2376" w:type="dxa"/>
            <w:gridSpan w:val="2"/>
            <w:shd w:val="clear" w:color="auto" w:fill="084974" w:themeFill="accent3" w:themeFillShade="80"/>
            <w:vAlign w:val="center"/>
          </w:tcPr>
          <w:p w14:paraId="3E8951A7" w14:textId="77777777" w:rsidR="003033B0" w:rsidRPr="007E1A90" w:rsidRDefault="003033B0" w:rsidP="009B1A9C">
            <w:pPr>
              <w:rPr>
                <w:b/>
                <w:bCs/>
                <w:color w:val="FFFFFF" w:themeColor="background1"/>
                <w:sz w:val="20"/>
                <w:szCs w:val="20"/>
                <w14:numForm w14:val="lining"/>
                <w14:numSpacing w14:val="proportional"/>
              </w:rPr>
            </w:pPr>
            <w:r w:rsidRPr="007E1A90">
              <w:rPr>
                <w:b/>
                <w:bCs/>
                <w:color w:val="FFFFFF" w:themeColor="background1"/>
                <w:sz w:val="20"/>
                <w:szCs w:val="20"/>
                <w14:numForm w14:val="lining"/>
                <w14:numSpacing w14:val="proportional"/>
              </w:rPr>
              <w:t>Mining</w:t>
            </w:r>
          </w:p>
        </w:tc>
        <w:tc>
          <w:tcPr>
            <w:tcW w:w="2270" w:type="dxa"/>
            <w:gridSpan w:val="2"/>
            <w:shd w:val="clear" w:color="auto" w:fill="1192E8" w:themeFill="accent3"/>
            <w:vAlign w:val="center"/>
          </w:tcPr>
          <w:p w14:paraId="350E3A7A" w14:textId="77777777" w:rsidR="003033B0" w:rsidRPr="007E1A90" w:rsidRDefault="003033B0" w:rsidP="009B1A9C">
            <w:pPr>
              <w:rPr>
                <w:b/>
                <w:bCs/>
                <w:color w:val="FFFFFF" w:themeColor="background1"/>
                <w:sz w:val="20"/>
                <w:szCs w:val="20"/>
                <w14:numForm w14:val="lining"/>
                <w14:numSpacing w14:val="proportional"/>
              </w:rPr>
            </w:pPr>
            <w:r w:rsidRPr="007E1A90">
              <w:rPr>
                <w:b/>
                <w:bCs/>
                <w:color w:val="FFFFFF" w:themeColor="background1"/>
                <w:sz w:val="20"/>
                <w:szCs w:val="20"/>
                <w14:numForm w14:val="lining"/>
                <w14:numSpacing w14:val="proportional"/>
              </w:rPr>
              <w:t>Manufacturing</w:t>
            </w:r>
          </w:p>
        </w:tc>
        <w:tc>
          <w:tcPr>
            <w:tcW w:w="2115" w:type="dxa"/>
            <w:gridSpan w:val="2"/>
            <w:shd w:val="clear" w:color="auto" w:fill="9DD3F8" w:themeFill="accent3" w:themeFillTint="66"/>
            <w:vAlign w:val="center"/>
          </w:tcPr>
          <w:p w14:paraId="7DE626BE" w14:textId="58B265AA" w:rsidR="003033B0" w:rsidRPr="007E1A90" w:rsidRDefault="003033B0" w:rsidP="009B1A9C">
            <w:pPr>
              <w:rPr>
                <w:b/>
                <w:bCs/>
                <w:color w:val="FFFFFF" w:themeColor="background1"/>
                <w:sz w:val="20"/>
                <w:szCs w:val="20"/>
                <w14:numForm w14:val="lining"/>
                <w14:numSpacing w14:val="proportional"/>
              </w:rPr>
            </w:pPr>
            <w:r w:rsidRPr="007E1A90">
              <w:rPr>
                <w:b/>
                <w:bCs/>
                <w:sz w:val="20"/>
                <w:szCs w:val="20"/>
                <w14:numForm w14:val="lining"/>
                <w14:numSpacing w14:val="proportional"/>
              </w:rPr>
              <w:t xml:space="preserve">Electricity, Gas, Water </w:t>
            </w:r>
            <w:r w:rsidR="00A77125" w:rsidRPr="007E1A90">
              <w:rPr>
                <w:b/>
                <w:bCs/>
                <w:sz w:val="20"/>
                <w:szCs w:val="20"/>
                <w14:numForm w14:val="lining"/>
                <w14:numSpacing w14:val="proportional"/>
              </w:rPr>
              <w:t>&amp;</w:t>
            </w:r>
            <w:r w:rsidRPr="007E1A90">
              <w:rPr>
                <w:b/>
                <w:bCs/>
                <w:sz w:val="20"/>
                <w:szCs w:val="20"/>
                <w14:numForm w14:val="lining"/>
                <w14:numSpacing w14:val="proportional"/>
              </w:rPr>
              <w:t xml:space="preserve"> Waste </w:t>
            </w:r>
          </w:p>
        </w:tc>
        <w:tc>
          <w:tcPr>
            <w:tcW w:w="2255" w:type="dxa"/>
            <w:gridSpan w:val="2"/>
            <w:shd w:val="clear" w:color="auto" w:fill="CEE9FB" w:themeFill="accent3" w:themeFillTint="33"/>
            <w:vAlign w:val="center"/>
          </w:tcPr>
          <w:p w14:paraId="016951B8" w14:textId="77777777" w:rsidR="003033B0" w:rsidRPr="007E1A90" w:rsidRDefault="003033B0" w:rsidP="009B1A9C">
            <w:pPr>
              <w:rPr>
                <w:b/>
                <w:bCs/>
                <w:sz w:val="20"/>
                <w:szCs w:val="20"/>
                <w14:numForm w14:val="lining"/>
                <w14:numSpacing w14:val="proportional"/>
              </w:rPr>
            </w:pPr>
            <w:r w:rsidRPr="007E1A90">
              <w:rPr>
                <w:b/>
                <w:bCs/>
                <w:sz w:val="20"/>
                <w:szCs w:val="20"/>
                <w14:numForm w14:val="lining"/>
                <w14:numSpacing w14:val="proportional"/>
              </w:rPr>
              <w:t>Wholesale and Retail Trade</w:t>
            </w:r>
          </w:p>
        </w:tc>
      </w:tr>
      <w:tr w:rsidR="003033B0" w:rsidRPr="007E1A90" w14:paraId="102C6233" w14:textId="77777777">
        <w:tc>
          <w:tcPr>
            <w:tcW w:w="1537" w:type="dxa"/>
            <w:tcBorders>
              <w:bottom w:val="single" w:sz="4" w:space="0" w:color="auto"/>
              <w:right w:val="nil"/>
            </w:tcBorders>
          </w:tcPr>
          <w:p w14:paraId="3FDE13FA"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Coal mining</w:t>
            </w:r>
          </w:p>
        </w:tc>
        <w:tc>
          <w:tcPr>
            <w:tcW w:w="839" w:type="dxa"/>
            <w:tcBorders>
              <w:left w:val="nil"/>
            </w:tcBorders>
          </w:tcPr>
          <w:p w14:paraId="45B1417A"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49,616</w:t>
            </w:r>
          </w:p>
        </w:tc>
        <w:tc>
          <w:tcPr>
            <w:tcW w:w="1540" w:type="dxa"/>
            <w:tcBorders>
              <w:bottom w:val="single" w:sz="4" w:space="0" w:color="auto"/>
              <w:right w:val="nil"/>
            </w:tcBorders>
          </w:tcPr>
          <w:p w14:paraId="3C29AF20"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Refining and Petroleum Fuel Manufacturing</w:t>
            </w:r>
          </w:p>
        </w:tc>
        <w:tc>
          <w:tcPr>
            <w:tcW w:w="730" w:type="dxa"/>
            <w:tcBorders>
              <w:left w:val="nil"/>
            </w:tcBorders>
          </w:tcPr>
          <w:p w14:paraId="2630353E"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1,475</w:t>
            </w:r>
          </w:p>
        </w:tc>
        <w:tc>
          <w:tcPr>
            <w:tcW w:w="1334" w:type="dxa"/>
            <w:tcBorders>
              <w:right w:val="nil"/>
            </w:tcBorders>
          </w:tcPr>
          <w:p w14:paraId="22776477"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Fossil Fuel Electricity Generation</w:t>
            </w:r>
          </w:p>
        </w:tc>
        <w:tc>
          <w:tcPr>
            <w:tcW w:w="781" w:type="dxa"/>
            <w:tcBorders>
              <w:left w:val="nil"/>
            </w:tcBorders>
          </w:tcPr>
          <w:p w14:paraId="5955F402"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6,630</w:t>
            </w:r>
          </w:p>
        </w:tc>
        <w:tc>
          <w:tcPr>
            <w:tcW w:w="1413" w:type="dxa"/>
            <w:tcBorders>
              <w:right w:val="nil"/>
            </w:tcBorders>
          </w:tcPr>
          <w:p w14:paraId="517ED534"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Product Wholesaling</w:t>
            </w:r>
          </w:p>
        </w:tc>
        <w:tc>
          <w:tcPr>
            <w:tcW w:w="842" w:type="dxa"/>
            <w:tcBorders>
              <w:left w:val="nil"/>
            </w:tcBorders>
          </w:tcPr>
          <w:p w14:paraId="09C61BFD"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7,115</w:t>
            </w:r>
          </w:p>
        </w:tc>
      </w:tr>
      <w:tr w:rsidR="003033B0" w:rsidRPr="007E1A90" w14:paraId="64E6685C" w14:textId="77777777">
        <w:tc>
          <w:tcPr>
            <w:tcW w:w="1537" w:type="dxa"/>
            <w:tcBorders>
              <w:bottom w:val="single" w:sz="4" w:space="0" w:color="auto"/>
              <w:right w:val="nil"/>
            </w:tcBorders>
          </w:tcPr>
          <w:p w14:paraId="11BFF53A"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Oil and gas extraction</w:t>
            </w:r>
          </w:p>
        </w:tc>
        <w:tc>
          <w:tcPr>
            <w:tcW w:w="839" w:type="dxa"/>
            <w:tcBorders>
              <w:left w:val="nil"/>
            </w:tcBorders>
          </w:tcPr>
          <w:p w14:paraId="0C2F7C7A"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18,693</w:t>
            </w:r>
          </w:p>
        </w:tc>
        <w:tc>
          <w:tcPr>
            <w:tcW w:w="1540" w:type="dxa"/>
            <w:tcBorders>
              <w:bottom w:val="single" w:sz="4" w:space="0" w:color="auto"/>
              <w:right w:val="nil"/>
            </w:tcBorders>
          </w:tcPr>
          <w:p w14:paraId="14C715F6" w14:textId="4BE0BA6D"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 xml:space="preserve">Other Petroleum </w:t>
            </w:r>
            <w:r w:rsidR="00A77125" w:rsidRPr="007E1A90">
              <w:rPr>
                <w:sz w:val="20"/>
                <w:szCs w:val="20"/>
                <w14:numForm w14:val="lining"/>
                <w14:numSpacing w14:val="proportional"/>
              </w:rPr>
              <w:t xml:space="preserve">&amp; </w:t>
            </w:r>
            <w:r w:rsidRPr="007E1A90">
              <w:rPr>
                <w:sz w:val="20"/>
                <w:szCs w:val="20"/>
                <w14:numForm w14:val="lining"/>
                <w14:numSpacing w14:val="proportional"/>
              </w:rPr>
              <w:t>Coal Product Manufacturing</w:t>
            </w:r>
          </w:p>
        </w:tc>
        <w:tc>
          <w:tcPr>
            <w:tcW w:w="730" w:type="dxa"/>
            <w:tcBorders>
              <w:left w:val="nil"/>
            </w:tcBorders>
          </w:tcPr>
          <w:p w14:paraId="34A23657"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938</w:t>
            </w:r>
          </w:p>
        </w:tc>
        <w:tc>
          <w:tcPr>
            <w:tcW w:w="1334" w:type="dxa"/>
            <w:tcBorders>
              <w:right w:val="nil"/>
            </w:tcBorders>
          </w:tcPr>
          <w:p w14:paraId="4E0B7561"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Gas Supply</w:t>
            </w:r>
          </w:p>
        </w:tc>
        <w:tc>
          <w:tcPr>
            <w:tcW w:w="781" w:type="dxa"/>
            <w:tcBorders>
              <w:left w:val="nil"/>
            </w:tcBorders>
          </w:tcPr>
          <w:p w14:paraId="28A2F8E9"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5,104</w:t>
            </w:r>
          </w:p>
        </w:tc>
        <w:tc>
          <w:tcPr>
            <w:tcW w:w="1413" w:type="dxa"/>
            <w:tcBorders>
              <w:right w:val="nil"/>
            </w:tcBorders>
          </w:tcPr>
          <w:p w14:paraId="0F33C0FD"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Fuel Retailing</w:t>
            </w:r>
          </w:p>
        </w:tc>
        <w:tc>
          <w:tcPr>
            <w:tcW w:w="842" w:type="dxa"/>
            <w:tcBorders>
              <w:left w:val="nil"/>
            </w:tcBorders>
          </w:tcPr>
          <w:p w14:paraId="4F7F622E"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35,761</w:t>
            </w:r>
          </w:p>
        </w:tc>
      </w:tr>
      <w:tr w:rsidR="003033B0" w:rsidRPr="007E1A90" w14:paraId="6226B1C7" w14:textId="77777777">
        <w:tc>
          <w:tcPr>
            <w:tcW w:w="1537" w:type="dxa"/>
            <w:tcBorders>
              <w:bottom w:val="single" w:sz="4" w:space="0" w:color="auto"/>
              <w:right w:val="nil"/>
            </w:tcBorders>
          </w:tcPr>
          <w:p w14:paraId="763E6F9B"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Fuel Manufacturing</w:t>
            </w:r>
          </w:p>
        </w:tc>
        <w:tc>
          <w:tcPr>
            <w:tcW w:w="839" w:type="dxa"/>
            <w:tcBorders>
              <w:left w:val="nil"/>
            </w:tcBorders>
          </w:tcPr>
          <w:p w14:paraId="544C7383"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1,114</w:t>
            </w:r>
          </w:p>
        </w:tc>
        <w:tc>
          <w:tcPr>
            <w:tcW w:w="1540" w:type="dxa"/>
            <w:tcBorders>
              <w:right w:val="nil"/>
            </w:tcBorders>
          </w:tcPr>
          <w:p w14:paraId="13F83924"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Petroleum and Coal Product Manufacturing</w:t>
            </w:r>
          </w:p>
        </w:tc>
        <w:tc>
          <w:tcPr>
            <w:tcW w:w="730" w:type="dxa"/>
            <w:tcBorders>
              <w:left w:val="nil"/>
              <w:bottom w:val="single" w:sz="4" w:space="0" w:color="auto"/>
            </w:tcBorders>
          </w:tcPr>
          <w:p w14:paraId="34B4D7AC"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31</w:t>
            </w:r>
          </w:p>
        </w:tc>
        <w:tc>
          <w:tcPr>
            <w:tcW w:w="1334" w:type="dxa"/>
            <w:tcBorders>
              <w:right w:val="nil"/>
            </w:tcBorders>
          </w:tcPr>
          <w:p w14:paraId="18C2A0CD" w14:textId="77777777" w:rsidR="003033B0" w:rsidRPr="007E1A90" w:rsidRDefault="003033B0">
            <w:pPr>
              <w:spacing w:before="80" w:after="80"/>
              <w:rPr>
                <w:sz w:val="20"/>
                <w:szCs w:val="20"/>
                <w14:numForm w14:val="lining"/>
                <w14:numSpacing w14:val="proportional"/>
              </w:rPr>
            </w:pPr>
          </w:p>
        </w:tc>
        <w:tc>
          <w:tcPr>
            <w:tcW w:w="781" w:type="dxa"/>
            <w:tcBorders>
              <w:left w:val="nil"/>
              <w:bottom w:val="single" w:sz="4" w:space="0" w:color="auto"/>
            </w:tcBorders>
          </w:tcPr>
          <w:p w14:paraId="7D9F9E9A" w14:textId="77777777" w:rsidR="003033B0" w:rsidRPr="007E1A90" w:rsidRDefault="003033B0">
            <w:pPr>
              <w:spacing w:before="80" w:after="80"/>
              <w:jc w:val="right"/>
              <w:rPr>
                <w:sz w:val="20"/>
                <w:szCs w:val="20"/>
                <w14:numForm w14:val="lining"/>
                <w14:numSpacing w14:val="proportional"/>
              </w:rPr>
            </w:pPr>
          </w:p>
        </w:tc>
        <w:tc>
          <w:tcPr>
            <w:tcW w:w="1413" w:type="dxa"/>
            <w:tcBorders>
              <w:right w:val="nil"/>
            </w:tcBorders>
          </w:tcPr>
          <w:p w14:paraId="6F947ABF" w14:textId="77777777" w:rsidR="003033B0" w:rsidRPr="007E1A90" w:rsidRDefault="003033B0">
            <w:pPr>
              <w:spacing w:before="80" w:after="80"/>
              <w:rPr>
                <w:sz w:val="20"/>
                <w:szCs w:val="20"/>
                <w14:numForm w14:val="lining"/>
                <w14:numSpacing w14:val="proportional"/>
              </w:rPr>
            </w:pPr>
            <w:r w:rsidRPr="007E1A90">
              <w:rPr>
                <w:sz w:val="20"/>
                <w:szCs w:val="20"/>
                <w14:numForm w14:val="lining"/>
                <w14:numSpacing w14:val="proportional"/>
              </w:rPr>
              <w:t>Pipeline Transport</w:t>
            </w:r>
          </w:p>
        </w:tc>
        <w:tc>
          <w:tcPr>
            <w:tcW w:w="842" w:type="dxa"/>
            <w:tcBorders>
              <w:left w:val="nil"/>
              <w:bottom w:val="single" w:sz="4" w:space="0" w:color="auto"/>
            </w:tcBorders>
          </w:tcPr>
          <w:p w14:paraId="2E35D485" w14:textId="77777777" w:rsidR="003033B0" w:rsidRPr="007E1A90" w:rsidRDefault="003033B0">
            <w:pPr>
              <w:spacing w:before="80" w:after="80"/>
              <w:jc w:val="right"/>
              <w:rPr>
                <w:sz w:val="20"/>
                <w:szCs w:val="20"/>
                <w14:numForm w14:val="lining"/>
                <w14:numSpacing w14:val="proportional"/>
              </w:rPr>
            </w:pPr>
            <w:r w:rsidRPr="007E1A90">
              <w:rPr>
                <w:sz w:val="20"/>
                <w:szCs w:val="20"/>
                <w14:numForm w14:val="lining"/>
                <w14:numSpacing w14:val="proportional"/>
              </w:rPr>
              <w:t>2,089</w:t>
            </w:r>
          </w:p>
        </w:tc>
      </w:tr>
      <w:tr w:rsidR="003033B0" w:rsidRPr="007E1A90" w14:paraId="25532E7A" w14:textId="77777777">
        <w:tc>
          <w:tcPr>
            <w:tcW w:w="1537" w:type="dxa"/>
            <w:tcBorders>
              <w:right w:val="nil"/>
            </w:tcBorders>
          </w:tcPr>
          <w:p w14:paraId="017F19BB"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839" w:type="dxa"/>
            <w:tcBorders>
              <w:left w:val="nil"/>
            </w:tcBorders>
            <w:vAlign w:val="center"/>
          </w:tcPr>
          <w:p w14:paraId="040AC6C5"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69,423</w:t>
            </w:r>
          </w:p>
        </w:tc>
        <w:tc>
          <w:tcPr>
            <w:tcW w:w="1540" w:type="dxa"/>
            <w:tcBorders>
              <w:right w:val="nil"/>
            </w:tcBorders>
          </w:tcPr>
          <w:p w14:paraId="2C783103"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730" w:type="dxa"/>
            <w:tcBorders>
              <w:left w:val="nil"/>
            </w:tcBorders>
            <w:vAlign w:val="center"/>
          </w:tcPr>
          <w:p w14:paraId="19FCFCF8"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2,444</w:t>
            </w:r>
          </w:p>
        </w:tc>
        <w:tc>
          <w:tcPr>
            <w:tcW w:w="1334" w:type="dxa"/>
            <w:tcBorders>
              <w:right w:val="nil"/>
            </w:tcBorders>
          </w:tcPr>
          <w:p w14:paraId="1981651D"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781" w:type="dxa"/>
            <w:tcBorders>
              <w:left w:val="nil"/>
            </w:tcBorders>
          </w:tcPr>
          <w:p w14:paraId="1410CF69"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11,734</w:t>
            </w:r>
          </w:p>
        </w:tc>
        <w:tc>
          <w:tcPr>
            <w:tcW w:w="1413" w:type="dxa"/>
            <w:tcBorders>
              <w:right w:val="nil"/>
            </w:tcBorders>
          </w:tcPr>
          <w:p w14:paraId="63F19E03"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Total</w:t>
            </w:r>
          </w:p>
        </w:tc>
        <w:tc>
          <w:tcPr>
            <w:tcW w:w="842" w:type="dxa"/>
            <w:tcBorders>
              <w:left w:val="nil"/>
            </w:tcBorders>
            <w:vAlign w:val="center"/>
          </w:tcPr>
          <w:p w14:paraId="4747B763" w14:textId="77777777" w:rsidR="003033B0" w:rsidRPr="007E1A90" w:rsidRDefault="003033B0">
            <w:pPr>
              <w:spacing w:before="80" w:after="80"/>
              <w:rPr>
                <w:b/>
                <w:bCs/>
                <w:sz w:val="20"/>
                <w:szCs w:val="20"/>
                <w14:numForm w14:val="lining"/>
                <w14:numSpacing w14:val="proportional"/>
              </w:rPr>
            </w:pPr>
            <w:r w:rsidRPr="007E1A90">
              <w:rPr>
                <w:b/>
                <w:bCs/>
                <w:sz w:val="20"/>
                <w:szCs w:val="20"/>
                <w14:numForm w14:val="lining"/>
                <w14:numSpacing w14:val="proportional"/>
              </w:rPr>
              <w:t>44,965</w:t>
            </w:r>
          </w:p>
        </w:tc>
      </w:tr>
    </w:tbl>
    <w:p w14:paraId="032ACC2D" w14:textId="77777777" w:rsidR="003033B0" w:rsidRPr="007E1A90" w:rsidRDefault="003033B0" w:rsidP="003033B0">
      <w:pPr>
        <w:spacing w:after="120" w:line="276" w:lineRule="auto"/>
        <w:rPr>
          <w:sz w:val="18"/>
          <w:szCs w:val="18"/>
          <w14:numForm w14:val="lining"/>
          <w14:numSpacing w14:val="proportional"/>
        </w:rPr>
      </w:pPr>
      <w:r w:rsidRPr="007E1A90">
        <w:rPr>
          <w:sz w:val="18"/>
          <w:szCs w:val="18"/>
          <w14:numForm w14:val="lining"/>
          <w14:numSpacing w14:val="proportional"/>
        </w:rPr>
        <w:t>Source: ABS Census 2021, JSA analysis</w:t>
      </w:r>
    </w:p>
    <w:p w14:paraId="1BA35B90" w14:textId="77777777" w:rsidR="003033B0" w:rsidRPr="007E1A90" w:rsidRDefault="003033B0" w:rsidP="009527A5">
      <w:pPr>
        <w:pStyle w:val="Heading4"/>
        <w:spacing w:before="240" w:after="120"/>
        <w:rPr>
          <w14:numForm w14:val="lining"/>
          <w14:numSpacing w14:val="proportional"/>
        </w:rPr>
      </w:pPr>
      <w:r w:rsidRPr="007E1A90">
        <w:rPr>
          <w14:numForm w14:val="lining"/>
          <w14:numSpacing w14:val="proportional"/>
        </w:rPr>
        <w:t>Impacted regions</w:t>
      </w:r>
    </w:p>
    <w:p w14:paraId="48A8B131" w14:textId="4C04A0E2" w:rsidR="00EE0041" w:rsidRPr="007E1A90" w:rsidRDefault="00EE0041" w:rsidP="00EE0041">
      <w:pPr>
        <w:spacing w:before="120" w:after="120"/>
        <w:rPr>
          <w14:numForm w14:val="lining"/>
          <w14:numSpacing w14:val="proportional"/>
        </w:rPr>
      </w:pPr>
      <w:r w:rsidRPr="007E1A90">
        <w:rPr>
          <w14:numForm w14:val="lining"/>
          <w14:numSpacing w14:val="proportional"/>
        </w:rPr>
        <w:t xml:space="preserve">Fossil fuel electricity generation employment is </w:t>
      </w:r>
      <w:r w:rsidR="009B1A9C" w:rsidRPr="007E1A90">
        <w:rPr>
          <w14:numForm w14:val="lining"/>
          <w14:numSpacing w14:val="proportional"/>
        </w:rPr>
        <w:t xml:space="preserve">located </w:t>
      </w:r>
      <w:r w:rsidRPr="007E1A90">
        <w:rPr>
          <w14:numForm w14:val="lining"/>
          <w14:numSpacing w14:val="proportional"/>
        </w:rPr>
        <w:t>across Queensland (31%), Western Australia (21%), NSW (20%) and Victoria (19%). Conversely, coal mining employment is heavily concentrated in Queensland (52%</w:t>
      </w:r>
      <w:r w:rsidR="009B1A9C" w:rsidRPr="007E1A90">
        <w:rPr>
          <w14:numForm w14:val="lining"/>
          <w14:numSpacing w14:val="proportional"/>
        </w:rPr>
        <w:t xml:space="preserve">) </w:t>
      </w:r>
      <w:r w:rsidRPr="007E1A90">
        <w:rPr>
          <w14:numForm w14:val="lining"/>
          <w14:numSpacing w14:val="proportional"/>
        </w:rPr>
        <w:t>and New South Wales (42%)</w:t>
      </w:r>
      <w:r w:rsidR="00807D00" w:rsidRPr="007E1A90">
        <w:rPr>
          <w14:numForm w14:val="lining"/>
          <w14:numSpacing w14:val="proportional"/>
        </w:rPr>
        <w:t xml:space="preserve"> (Table 4.14)</w:t>
      </w:r>
      <w:r w:rsidRPr="007E1A90">
        <w:rPr>
          <w14:numForm w14:val="lining"/>
          <w14:numSpacing w14:val="proportional"/>
        </w:rPr>
        <w:t>. Many of the key impacted regions, including Latrobe and Hunter Valley, are key focus areas of the new Net Zero Authority established by the Australian Government.</w:t>
      </w:r>
    </w:p>
    <w:p w14:paraId="64FC72F6" w14:textId="48B42771" w:rsidR="003033B0" w:rsidRPr="007E1A90" w:rsidRDefault="003033B0" w:rsidP="003033B0">
      <w:pPr>
        <w:spacing w:before="120" w:after="0" w:line="276" w:lineRule="auto"/>
        <w:rPr>
          <w:b/>
          <w:bCs/>
          <w14:numForm w14:val="lining"/>
          <w14:numSpacing w14:val="proportional"/>
        </w:rPr>
      </w:pPr>
      <w:r w:rsidRPr="007E1A90">
        <w:rPr>
          <w:b/>
          <w:bCs/>
          <w14:numForm w14:val="lining"/>
          <w14:numSpacing w14:val="proportional"/>
        </w:rPr>
        <w:t xml:space="preserve">Table </w:t>
      </w:r>
      <w:r w:rsidR="008F305E" w:rsidRPr="007E1A90">
        <w:rPr>
          <w:b/>
          <w:bCs/>
          <w14:numForm w14:val="lining"/>
          <w14:numSpacing w14:val="proportional"/>
        </w:rPr>
        <w:t>4.</w:t>
      </w:r>
      <w:r w:rsidR="00171964" w:rsidRPr="007E1A90">
        <w:rPr>
          <w:b/>
          <w:bCs/>
          <w14:numForm w14:val="lining"/>
          <w14:numSpacing w14:val="proportional"/>
        </w:rPr>
        <w:t>1</w:t>
      </w:r>
      <w:r w:rsidR="00A3542A" w:rsidRPr="007E1A90">
        <w:rPr>
          <w:b/>
          <w:bCs/>
          <w14:numForm w14:val="lining"/>
          <w14:numSpacing w14:val="proportional"/>
        </w:rPr>
        <w:t>4</w:t>
      </w:r>
      <w:r w:rsidRPr="007E1A90">
        <w:rPr>
          <w:b/>
          <w:bCs/>
          <w14:numForm w14:val="lining"/>
          <w14:numSpacing w14:val="proportional"/>
        </w:rPr>
        <w:t>.</w:t>
      </w:r>
      <w:r w:rsidR="009B1A9C" w:rsidRPr="007E1A90">
        <w:rPr>
          <w:b/>
          <w:bCs/>
          <w14:numForm w14:val="lining"/>
          <w14:numSpacing w14:val="proportional"/>
        </w:rPr>
        <w:t xml:space="preserve"> Regions with high</w:t>
      </w:r>
      <w:r w:rsidRPr="007E1A90">
        <w:rPr>
          <w:b/>
          <w:bCs/>
          <w14:numForm w14:val="lining"/>
          <w14:numSpacing w14:val="proportional"/>
        </w:rPr>
        <w:t xml:space="preserve"> </w:t>
      </w:r>
      <w:r w:rsidR="006976B2" w:rsidRPr="007E1A90">
        <w:rPr>
          <w:b/>
          <w:bCs/>
          <w14:numForm w14:val="lining"/>
          <w14:numSpacing w14:val="proportional"/>
        </w:rPr>
        <w:t xml:space="preserve">employment in </w:t>
      </w:r>
      <w:r w:rsidR="009B1A9C" w:rsidRPr="007E1A90">
        <w:rPr>
          <w:b/>
          <w:bCs/>
          <w14:numForm w14:val="lining"/>
          <w14:numSpacing w14:val="proportional"/>
        </w:rPr>
        <w:t xml:space="preserve">emissions </w:t>
      </w:r>
      <w:r w:rsidR="00F42C15" w:rsidRPr="007E1A90">
        <w:rPr>
          <w:b/>
          <w:bCs/>
          <w14:numForm w14:val="lining"/>
          <w14:numSpacing w14:val="proportional"/>
        </w:rPr>
        <w:t>intensive</w:t>
      </w:r>
      <w:r w:rsidR="009B1A9C" w:rsidRPr="007E1A90">
        <w:rPr>
          <w:b/>
          <w:bCs/>
          <w14:numForm w14:val="lining"/>
          <w14:numSpacing w14:val="proportional"/>
        </w:rPr>
        <w:t xml:space="preserve"> industries </w:t>
      </w:r>
      <w:r w:rsidRPr="007E1A90">
        <w:rPr>
          <w:b/>
          <w:bCs/>
          <w14:numForm w14:val="lining"/>
          <w14:numSpacing w14:val="proportional"/>
        </w:rPr>
        <w:t xml:space="preserve">(SA3) </w:t>
      </w:r>
    </w:p>
    <w:tbl>
      <w:tblPr>
        <w:tblW w:w="8745" w:type="dxa"/>
        <w:tblLook w:val="04A0" w:firstRow="1" w:lastRow="0" w:firstColumn="1" w:lastColumn="0" w:noHBand="0" w:noVBand="1"/>
      </w:tblPr>
      <w:tblGrid>
        <w:gridCol w:w="730"/>
        <w:gridCol w:w="2914"/>
        <w:gridCol w:w="586"/>
        <w:gridCol w:w="907"/>
        <w:gridCol w:w="2719"/>
        <w:gridCol w:w="889"/>
      </w:tblGrid>
      <w:tr w:rsidR="003033B0" w:rsidRPr="007E1A90" w14:paraId="03BEC25C" w14:textId="77777777">
        <w:trPr>
          <w:trHeight w:val="397"/>
        </w:trPr>
        <w:tc>
          <w:tcPr>
            <w:tcW w:w="4228" w:type="dxa"/>
            <w:gridSpan w:val="3"/>
            <w:tcBorders>
              <w:top w:val="single" w:sz="4" w:space="0" w:color="auto"/>
              <w:left w:val="single" w:sz="4" w:space="0" w:color="auto"/>
              <w:bottom w:val="nil"/>
              <w:right w:val="single" w:sz="4" w:space="0" w:color="auto"/>
            </w:tcBorders>
            <w:shd w:val="clear" w:color="auto" w:fill="084974" w:themeFill="accent3" w:themeFillShade="80"/>
            <w:vAlign w:val="center"/>
          </w:tcPr>
          <w:p w14:paraId="43D3246E"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FFFFFF" w:themeColor="background1"/>
                <w:lang w:eastAsia="en-AU"/>
                <w14:numForm w14:val="lining"/>
                <w14:numSpacing w14:val="proportional"/>
              </w:rPr>
              <w:t>Fossil Fuel Electricity Generation</w:t>
            </w:r>
          </w:p>
        </w:tc>
        <w:tc>
          <w:tcPr>
            <w:tcW w:w="3628" w:type="dxa"/>
            <w:gridSpan w:val="2"/>
            <w:tcBorders>
              <w:top w:val="single" w:sz="4" w:space="0" w:color="auto"/>
              <w:left w:val="single" w:sz="4" w:space="0" w:color="auto"/>
              <w:bottom w:val="nil"/>
            </w:tcBorders>
            <w:shd w:val="clear" w:color="auto" w:fill="CEE9FB" w:themeFill="accent3" w:themeFillTint="33"/>
            <w:vAlign w:val="center"/>
          </w:tcPr>
          <w:p w14:paraId="16295A5E" w14:textId="77777777" w:rsidR="003033B0" w:rsidRPr="007E1A90" w:rsidRDefault="003033B0">
            <w:pPr>
              <w:spacing w:after="0" w:line="240" w:lineRule="auto"/>
              <w:rPr>
                <w:rFonts w:asciiTheme="minorHAnsi" w:hAnsiTheme="minorHAnsi" w:cstheme="minorHAnsi"/>
                <w:b/>
                <w:bCs/>
                <w:color w:val="000000"/>
                <w14:numForm w14:val="lining"/>
                <w14:numSpacing w14:val="proportional"/>
              </w:rPr>
            </w:pPr>
            <w:r w:rsidRPr="007E1A90">
              <w:rPr>
                <w:rFonts w:asciiTheme="minorHAnsi" w:hAnsiTheme="minorHAnsi" w:cstheme="minorHAnsi"/>
                <w:b/>
                <w:bCs/>
                <w:color w:val="000000"/>
                <w14:numForm w14:val="lining"/>
                <w14:numSpacing w14:val="proportional"/>
              </w:rPr>
              <w:t>Coal Mining</w:t>
            </w:r>
          </w:p>
        </w:tc>
        <w:tc>
          <w:tcPr>
            <w:tcW w:w="889" w:type="dxa"/>
            <w:tcBorders>
              <w:top w:val="single" w:sz="4" w:space="0" w:color="auto"/>
              <w:bottom w:val="nil"/>
              <w:right w:val="single" w:sz="4" w:space="0" w:color="auto"/>
            </w:tcBorders>
            <w:shd w:val="clear" w:color="auto" w:fill="CEE9FB" w:themeFill="accent3" w:themeFillTint="33"/>
            <w:vAlign w:val="bottom"/>
          </w:tcPr>
          <w:p w14:paraId="4B7C89C9" w14:textId="77777777" w:rsidR="003033B0" w:rsidRPr="007E1A90" w:rsidRDefault="003033B0">
            <w:pPr>
              <w:spacing w:after="0" w:line="240" w:lineRule="auto"/>
              <w:jc w:val="right"/>
              <w:rPr>
                <w:rFonts w:asciiTheme="minorHAnsi" w:hAnsiTheme="minorHAnsi" w:cstheme="minorHAnsi"/>
                <w:color w:val="000000"/>
                <w14:numForm w14:val="lining"/>
                <w14:numSpacing w14:val="proportional"/>
              </w:rPr>
            </w:pPr>
          </w:p>
        </w:tc>
      </w:tr>
      <w:tr w:rsidR="003033B0" w:rsidRPr="007E1A90" w14:paraId="351F95BB" w14:textId="77777777">
        <w:trPr>
          <w:trHeight w:val="300"/>
        </w:trPr>
        <w:tc>
          <w:tcPr>
            <w:tcW w:w="730" w:type="dxa"/>
            <w:tcBorders>
              <w:top w:val="nil"/>
              <w:left w:val="single" w:sz="4" w:space="0" w:color="auto"/>
              <w:bottom w:val="nil"/>
              <w:right w:val="nil"/>
            </w:tcBorders>
            <w:vAlign w:val="center"/>
          </w:tcPr>
          <w:p w14:paraId="4832EAD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VIC</w:t>
            </w:r>
          </w:p>
        </w:tc>
        <w:tc>
          <w:tcPr>
            <w:tcW w:w="2914" w:type="dxa"/>
            <w:tcBorders>
              <w:top w:val="nil"/>
              <w:left w:val="nil"/>
              <w:bottom w:val="nil"/>
              <w:right w:val="nil"/>
            </w:tcBorders>
            <w:shd w:val="clear" w:color="auto" w:fill="auto"/>
            <w:noWrap/>
            <w:vAlign w:val="center"/>
            <w:hideMark/>
          </w:tcPr>
          <w:p w14:paraId="6467DC0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Latrobe Valley</w:t>
            </w:r>
          </w:p>
        </w:tc>
        <w:tc>
          <w:tcPr>
            <w:tcW w:w="584" w:type="dxa"/>
            <w:tcBorders>
              <w:top w:val="nil"/>
              <w:left w:val="nil"/>
              <w:bottom w:val="nil"/>
              <w:right w:val="single" w:sz="4" w:space="0" w:color="auto"/>
            </w:tcBorders>
            <w:shd w:val="clear" w:color="auto" w:fill="auto"/>
            <w:noWrap/>
            <w:vAlign w:val="center"/>
            <w:hideMark/>
          </w:tcPr>
          <w:p w14:paraId="7F719D0F"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664</w:t>
            </w:r>
          </w:p>
        </w:tc>
        <w:tc>
          <w:tcPr>
            <w:tcW w:w="907" w:type="dxa"/>
            <w:tcBorders>
              <w:top w:val="nil"/>
              <w:left w:val="single" w:sz="4" w:space="0" w:color="auto"/>
              <w:bottom w:val="nil"/>
              <w:right w:val="nil"/>
            </w:tcBorders>
            <w:vAlign w:val="center"/>
          </w:tcPr>
          <w:p w14:paraId="44A34D7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tcBorders>
            <w:vAlign w:val="center"/>
          </w:tcPr>
          <w:p w14:paraId="47DEF823"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Bowen Basin - North</w:t>
            </w:r>
          </w:p>
        </w:tc>
        <w:tc>
          <w:tcPr>
            <w:tcW w:w="889" w:type="dxa"/>
            <w:tcBorders>
              <w:top w:val="nil"/>
              <w:bottom w:val="nil"/>
              <w:right w:val="single" w:sz="4" w:space="0" w:color="auto"/>
            </w:tcBorders>
            <w:vAlign w:val="center"/>
          </w:tcPr>
          <w:p w14:paraId="4FE23BDE"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11,074</w:t>
            </w:r>
          </w:p>
        </w:tc>
      </w:tr>
      <w:tr w:rsidR="003033B0" w:rsidRPr="007E1A90" w14:paraId="64B31317" w14:textId="77777777">
        <w:trPr>
          <w:trHeight w:val="300"/>
        </w:trPr>
        <w:tc>
          <w:tcPr>
            <w:tcW w:w="730" w:type="dxa"/>
            <w:tcBorders>
              <w:top w:val="nil"/>
              <w:left w:val="single" w:sz="4" w:space="0" w:color="auto"/>
              <w:bottom w:val="nil"/>
              <w:right w:val="nil"/>
            </w:tcBorders>
            <w:shd w:val="clear" w:color="auto" w:fill="F2F2F2"/>
            <w:vAlign w:val="center"/>
          </w:tcPr>
          <w:p w14:paraId="17BFF7D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3A946CFE"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Brisbane Inner</w:t>
            </w:r>
          </w:p>
        </w:tc>
        <w:tc>
          <w:tcPr>
            <w:tcW w:w="584" w:type="dxa"/>
            <w:tcBorders>
              <w:top w:val="nil"/>
              <w:left w:val="nil"/>
              <w:bottom w:val="nil"/>
              <w:right w:val="single" w:sz="4" w:space="0" w:color="auto"/>
            </w:tcBorders>
            <w:shd w:val="clear" w:color="auto" w:fill="F2F2F2"/>
            <w:noWrap/>
            <w:vAlign w:val="center"/>
            <w:hideMark/>
          </w:tcPr>
          <w:p w14:paraId="6B261D58"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498</w:t>
            </w:r>
          </w:p>
        </w:tc>
        <w:tc>
          <w:tcPr>
            <w:tcW w:w="907" w:type="dxa"/>
            <w:tcBorders>
              <w:top w:val="nil"/>
              <w:left w:val="single" w:sz="4" w:space="0" w:color="auto"/>
              <w:bottom w:val="nil"/>
              <w:right w:val="nil"/>
            </w:tcBorders>
            <w:shd w:val="clear" w:color="auto" w:fill="F2F2F2"/>
            <w:vAlign w:val="center"/>
          </w:tcPr>
          <w:p w14:paraId="3040A75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3B607D83"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Lower Hunter</w:t>
            </w:r>
          </w:p>
        </w:tc>
        <w:tc>
          <w:tcPr>
            <w:tcW w:w="889" w:type="dxa"/>
            <w:tcBorders>
              <w:top w:val="nil"/>
              <w:left w:val="nil"/>
              <w:bottom w:val="nil"/>
              <w:right w:val="single" w:sz="4" w:space="0" w:color="auto"/>
            </w:tcBorders>
            <w:shd w:val="clear" w:color="auto" w:fill="F2F2F2"/>
            <w:vAlign w:val="center"/>
          </w:tcPr>
          <w:p w14:paraId="7FBBDA4F"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6,095</w:t>
            </w:r>
          </w:p>
        </w:tc>
      </w:tr>
      <w:tr w:rsidR="003033B0" w:rsidRPr="007E1A90" w14:paraId="2A47CF0E" w14:textId="77777777">
        <w:trPr>
          <w:trHeight w:val="300"/>
        </w:trPr>
        <w:tc>
          <w:tcPr>
            <w:tcW w:w="730" w:type="dxa"/>
            <w:tcBorders>
              <w:top w:val="nil"/>
              <w:left w:val="single" w:sz="4" w:space="0" w:color="auto"/>
              <w:bottom w:val="nil"/>
              <w:right w:val="nil"/>
            </w:tcBorders>
            <w:vAlign w:val="center"/>
          </w:tcPr>
          <w:p w14:paraId="44F0461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auto"/>
            <w:noWrap/>
            <w:vAlign w:val="center"/>
            <w:hideMark/>
          </w:tcPr>
          <w:p w14:paraId="50BD363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Gladstone</w:t>
            </w:r>
          </w:p>
        </w:tc>
        <w:tc>
          <w:tcPr>
            <w:tcW w:w="584" w:type="dxa"/>
            <w:tcBorders>
              <w:top w:val="nil"/>
              <w:left w:val="nil"/>
              <w:bottom w:val="nil"/>
              <w:right w:val="single" w:sz="4" w:space="0" w:color="auto"/>
            </w:tcBorders>
            <w:shd w:val="clear" w:color="auto" w:fill="auto"/>
            <w:noWrap/>
            <w:vAlign w:val="center"/>
            <w:hideMark/>
          </w:tcPr>
          <w:p w14:paraId="05D6E595"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322</w:t>
            </w:r>
          </w:p>
        </w:tc>
        <w:tc>
          <w:tcPr>
            <w:tcW w:w="907" w:type="dxa"/>
            <w:tcBorders>
              <w:top w:val="nil"/>
              <w:left w:val="single" w:sz="4" w:space="0" w:color="auto"/>
              <w:bottom w:val="nil"/>
              <w:right w:val="nil"/>
            </w:tcBorders>
            <w:vAlign w:val="center"/>
          </w:tcPr>
          <w:p w14:paraId="20323EA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vAlign w:val="center"/>
          </w:tcPr>
          <w:p w14:paraId="429B3981"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Central Highlands</w:t>
            </w:r>
          </w:p>
        </w:tc>
        <w:tc>
          <w:tcPr>
            <w:tcW w:w="889" w:type="dxa"/>
            <w:tcBorders>
              <w:top w:val="nil"/>
              <w:left w:val="nil"/>
              <w:bottom w:val="nil"/>
              <w:right w:val="single" w:sz="4" w:space="0" w:color="auto"/>
            </w:tcBorders>
            <w:vAlign w:val="center"/>
          </w:tcPr>
          <w:p w14:paraId="57F9EEB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5,495</w:t>
            </w:r>
          </w:p>
        </w:tc>
      </w:tr>
      <w:tr w:rsidR="003033B0" w:rsidRPr="007E1A90" w14:paraId="7B8536CC" w14:textId="77777777">
        <w:trPr>
          <w:trHeight w:val="300"/>
        </w:trPr>
        <w:tc>
          <w:tcPr>
            <w:tcW w:w="730" w:type="dxa"/>
            <w:tcBorders>
              <w:top w:val="nil"/>
              <w:left w:val="single" w:sz="4" w:space="0" w:color="auto"/>
              <w:bottom w:val="nil"/>
              <w:right w:val="nil"/>
            </w:tcBorders>
            <w:shd w:val="clear" w:color="auto" w:fill="F2F2F2"/>
            <w:vAlign w:val="center"/>
          </w:tcPr>
          <w:p w14:paraId="1FDF072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F2F2F2"/>
            <w:noWrap/>
            <w:vAlign w:val="center"/>
            <w:hideMark/>
          </w:tcPr>
          <w:p w14:paraId="4A215BE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Canning</w:t>
            </w:r>
          </w:p>
        </w:tc>
        <w:tc>
          <w:tcPr>
            <w:tcW w:w="584" w:type="dxa"/>
            <w:tcBorders>
              <w:top w:val="nil"/>
              <w:left w:val="nil"/>
              <w:bottom w:val="nil"/>
              <w:right w:val="single" w:sz="4" w:space="0" w:color="auto"/>
            </w:tcBorders>
            <w:shd w:val="clear" w:color="auto" w:fill="F2F2F2"/>
            <w:noWrap/>
            <w:vAlign w:val="center"/>
            <w:hideMark/>
          </w:tcPr>
          <w:p w14:paraId="7CD04BE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321</w:t>
            </w:r>
          </w:p>
        </w:tc>
        <w:tc>
          <w:tcPr>
            <w:tcW w:w="907" w:type="dxa"/>
            <w:tcBorders>
              <w:top w:val="nil"/>
              <w:left w:val="single" w:sz="4" w:space="0" w:color="auto"/>
              <w:bottom w:val="nil"/>
              <w:right w:val="nil"/>
            </w:tcBorders>
            <w:shd w:val="clear" w:color="auto" w:fill="F2F2F2"/>
            <w:vAlign w:val="center"/>
          </w:tcPr>
          <w:p w14:paraId="5DFC5DE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35AADB9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Upper Hunter</w:t>
            </w:r>
          </w:p>
        </w:tc>
        <w:tc>
          <w:tcPr>
            <w:tcW w:w="889" w:type="dxa"/>
            <w:tcBorders>
              <w:top w:val="nil"/>
              <w:left w:val="nil"/>
              <w:bottom w:val="nil"/>
              <w:right w:val="single" w:sz="4" w:space="0" w:color="auto"/>
            </w:tcBorders>
            <w:shd w:val="clear" w:color="auto" w:fill="F2F2F2"/>
            <w:vAlign w:val="center"/>
          </w:tcPr>
          <w:p w14:paraId="76B792BC"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3,274</w:t>
            </w:r>
          </w:p>
        </w:tc>
      </w:tr>
      <w:tr w:rsidR="003033B0" w:rsidRPr="007E1A90" w14:paraId="4768DCA9" w14:textId="77777777">
        <w:trPr>
          <w:trHeight w:val="300"/>
        </w:trPr>
        <w:tc>
          <w:tcPr>
            <w:tcW w:w="730" w:type="dxa"/>
            <w:tcBorders>
              <w:top w:val="nil"/>
              <w:left w:val="single" w:sz="4" w:space="0" w:color="auto"/>
              <w:bottom w:val="nil"/>
              <w:right w:val="nil"/>
            </w:tcBorders>
            <w:vAlign w:val="center"/>
          </w:tcPr>
          <w:p w14:paraId="40941DBB" w14:textId="3A6C88AF" w:rsidR="003033B0" w:rsidRPr="007E1A90" w:rsidRDefault="006934F8">
            <w:pPr>
              <w:spacing w:after="0" w:line="240" w:lineRule="auto"/>
              <w:jc w:val="right"/>
              <w:rPr>
                <w:rFonts w:asciiTheme="majorHAnsi" w:eastAsia="Times New Roman" w:hAnsiTheme="majorHAnsi" w:cstheme="majorHAnsi"/>
                <w:color w:val="000000"/>
                <w:lang w:eastAsia="en-AU"/>
                <w14:numForm w14:val="lining"/>
                <w14:numSpacing w14:val="proportional"/>
              </w:rPr>
            </w:pPr>
            <w:r>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auto"/>
            <w:noWrap/>
            <w:vAlign w:val="center"/>
            <w:hideMark/>
          </w:tcPr>
          <w:p w14:paraId="0D455EE3"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Biloela</w:t>
            </w:r>
          </w:p>
        </w:tc>
        <w:tc>
          <w:tcPr>
            <w:tcW w:w="584" w:type="dxa"/>
            <w:tcBorders>
              <w:top w:val="nil"/>
              <w:left w:val="nil"/>
              <w:bottom w:val="nil"/>
              <w:right w:val="single" w:sz="4" w:space="0" w:color="auto"/>
            </w:tcBorders>
            <w:shd w:val="clear" w:color="auto" w:fill="auto"/>
            <w:noWrap/>
            <w:vAlign w:val="center"/>
            <w:hideMark/>
          </w:tcPr>
          <w:p w14:paraId="3955D6A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260</w:t>
            </w:r>
          </w:p>
        </w:tc>
        <w:tc>
          <w:tcPr>
            <w:tcW w:w="907" w:type="dxa"/>
            <w:tcBorders>
              <w:top w:val="nil"/>
              <w:left w:val="single" w:sz="4" w:space="0" w:color="auto"/>
              <w:bottom w:val="nil"/>
              <w:right w:val="nil"/>
            </w:tcBorders>
            <w:vAlign w:val="center"/>
          </w:tcPr>
          <w:p w14:paraId="2D1964C5"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423B9CB4"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Lithgow - Mudgee</w:t>
            </w:r>
          </w:p>
        </w:tc>
        <w:tc>
          <w:tcPr>
            <w:tcW w:w="889" w:type="dxa"/>
            <w:tcBorders>
              <w:top w:val="nil"/>
              <w:left w:val="nil"/>
              <w:bottom w:val="nil"/>
              <w:right w:val="single" w:sz="4" w:space="0" w:color="auto"/>
            </w:tcBorders>
            <w:vAlign w:val="center"/>
          </w:tcPr>
          <w:p w14:paraId="03F775A5"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2,641</w:t>
            </w:r>
          </w:p>
        </w:tc>
      </w:tr>
      <w:tr w:rsidR="003033B0" w:rsidRPr="007E1A90" w14:paraId="721BAA68" w14:textId="77777777">
        <w:trPr>
          <w:trHeight w:val="300"/>
        </w:trPr>
        <w:tc>
          <w:tcPr>
            <w:tcW w:w="730" w:type="dxa"/>
            <w:tcBorders>
              <w:top w:val="nil"/>
              <w:left w:val="single" w:sz="4" w:space="0" w:color="auto"/>
              <w:bottom w:val="nil"/>
              <w:right w:val="nil"/>
            </w:tcBorders>
            <w:shd w:val="clear" w:color="auto" w:fill="F2F2F2"/>
            <w:vAlign w:val="center"/>
          </w:tcPr>
          <w:p w14:paraId="1CE60F3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VIC</w:t>
            </w:r>
          </w:p>
        </w:tc>
        <w:tc>
          <w:tcPr>
            <w:tcW w:w="2914" w:type="dxa"/>
            <w:tcBorders>
              <w:top w:val="nil"/>
              <w:left w:val="nil"/>
              <w:bottom w:val="nil"/>
              <w:right w:val="nil"/>
            </w:tcBorders>
            <w:shd w:val="clear" w:color="auto" w:fill="F2F2F2"/>
            <w:noWrap/>
            <w:vAlign w:val="center"/>
            <w:hideMark/>
          </w:tcPr>
          <w:p w14:paraId="40E1B5C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Melbourne City</w:t>
            </w:r>
          </w:p>
        </w:tc>
        <w:tc>
          <w:tcPr>
            <w:tcW w:w="584" w:type="dxa"/>
            <w:tcBorders>
              <w:top w:val="nil"/>
              <w:left w:val="nil"/>
              <w:bottom w:val="nil"/>
              <w:right w:val="single" w:sz="4" w:space="0" w:color="auto"/>
            </w:tcBorders>
            <w:shd w:val="clear" w:color="auto" w:fill="F2F2F2"/>
            <w:noWrap/>
            <w:vAlign w:val="center"/>
            <w:hideMark/>
          </w:tcPr>
          <w:p w14:paraId="2E083BA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227</w:t>
            </w:r>
          </w:p>
        </w:tc>
        <w:tc>
          <w:tcPr>
            <w:tcW w:w="907" w:type="dxa"/>
            <w:tcBorders>
              <w:top w:val="nil"/>
              <w:left w:val="single" w:sz="4" w:space="0" w:color="auto"/>
              <w:bottom w:val="nil"/>
              <w:right w:val="nil"/>
            </w:tcBorders>
            <w:shd w:val="clear" w:color="auto" w:fill="F2F2F2"/>
            <w:vAlign w:val="center"/>
          </w:tcPr>
          <w:p w14:paraId="0CE49E9B"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shd w:val="clear" w:color="auto" w:fill="F2F2F2"/>
            <w:vAlign w:val="center"/>
          </w:tcPr>
          <w:p w14:paraId="39A5513D"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Brisbane Inner</w:t>
            </w:r>
          </w:p>
        </w:tc>
        <w:tc>
          <w:tcPr>
            <w:tcW w:w="889" w:type="dxa"/>
            <w:tcBorders>
              <w:top w:val="nil"/>
              <w:left w:val="nil"/>
              <w:bottom w:val="nil"/>
              <w:right w:val="single" w:sz="4" w:space="0" w:color="auto"/>
            </w:tcBorders>
            <w:shd w:val="clear" w:color="auto" w:fill="F2F2F2"/>
            <w:vAlign w:val="center"/>
          </w:tcPr>
          <w:p w14:paraId="162A5C1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2,231</w:t>
            </w:r>
          </w:p>
        </w:tc>
      </w:tr>
      <w:tr w:rsidR="003033B0" w:rsidRPr="007E1A90" w14:paraId="00086BC5" w14:textId="77777777">
        <w:trPr>
          <w:trHeight w:val="300"/>
        </w:trPr>
        <w:tc>
          <w:tcPr>
            <w:tcW w:w="730" w:type="dxa"/>
            <w:tcBorders>
              <w:top w:val="nil"/>
              <w:left w:val="single" w:sz="4" w:space="0" w:color="auto"/>
              <w:bottom w:val="nil"/>
              <w:right w:val="nil"/>
            </w:tcBorders>
            <w:vAlign w:val="center"/>
          </w:tcPr>
          <w:p w14:paraId="2A653FA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auto"/>
            <w:noWrap/>
            <w:vAlign w:val="center"/>
            <w:hideMark/>
          </w:tcPr>
          <w:p w14:paraId="0946FA67"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Wyong</w:t>
            </w:r>
          </w:p>
        </w:tc>
        <w:tc>
          <w:tcPr>
            <w:tcW w:w="584" w:type="dxa"/>
            <w:tcBorders>
              <w:top w:val="nil"/>
              <w:left w:val="nil"/>
              <w:bottom w:val="nil"/>
              <w:right w:val="single" w:sz="4" w:space="0" w:color="auto"/>
            </w:tcBorders>
            <w:shd w:val="clear" w:color="auto" w:fill="auto"/>
            <w:noWrap/>
            <w:vAlign w:val="center"/>
            <w:hideMark/>
          </w:tcPr>
          <w:p w14:paraId="0300FF0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213</w:t>
            </w:r>
          </w:p>
        </w:tc>
        <w:tc>
          <w:tcPr>
            <w:tcW w:w="907" w:type="dxa"/>
            <w:tcBorders>
              <w:top w:val="nil"/>
              <w:left w:val="single" w:sz="4" w:space="0" w:color="auto"/>
              <w:bottom w:val="nil"/>
              <w:right w:val="nil"/>
            </w:tcBorders>
            <w:vAlign w:val="center"/>
          </w:tcPr>
          <w:p w14:paraId="5843D56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vAlign w:val="center"/>
          </w:tcPr>
          <w:p w14:paraId="3D5EBCE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Mackay</w:t>
            </w:r>
          </w:p>
        </w:tc>
        <w:tc>
          <w:tcPr>
            <w:tcW w:w="889" w:type="dxa"/>
            <w:tcBorders>
              <w:top w:val="nil"/>
              <w:left w:val="nil"/>
              <w:bottom w:val="nil"/>
              <w:right w:val="single" w:sz="4" w:space="0" w:color="auto"/>
            </w:tcBorders>
            <w:vAlign w:val="center"/>
          </w:tcPr>
          <w:p w14:paraId="76824E72"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2,224</w:t>
            </w:r>
          </w:p>
        </w:tc>
      </w:tr>
      <w:tr w:rsidR="003033B0" w:rsidRPr="007E1A90" w14:paraId="5863FA86" w14:textId="77777777">
        <w:trPr>
          <w:trHeight w:val="300"/>
        </w:trPr>
        <w:tc>
          <w:tcPr>
            <w:tcW w:w="730" w:type="dxa"/>
            <w:tcBorders>
              <w:top w:val="nil"/>
              <w:left w:val="single" w:sz="4" w:space="0" w:color="auto"/>
              <w:bottom w:val="nil"/>
              <w:right w:val="nil"/>
            </w:tcBorders>
            <w:shd w:val="clear" w:color="auto" w:fill="F2F2F2"/>
            <w:vAlign w:val="center"/>
          </w:tcPr>
          <w:p w14:paraId="5E1B1DE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F2F2F2"/>
            <w:noWrap/>
            <w:vAlign w:val="center"/>
            <w:hideMark/>
          </w:tcPr>
          <w:p w14:paraId="51566595"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Bunbury</w:t>
            </w:r>
          </w:p>
        </w:tc>
        <w:tc>
          <w:tcPr>
            <w:tcW w:w="584" w:type="dxa"/>
            <w:tcBorders>
              <w:top w:val="nil"/>
              <w:left w:val="nil"/>
              <w:bottom w:val="nil"/>
              <w:right w:val="single" w:sz="4" w:space="0" w:color="auto"/>
            </w:tcBorders>
            <w:shd w:val="clear" w:color="auto" w:fill="F2F2F2"/>
            <w:noWrap/>
            <w:vAlign w:val="center"/>
            <w:hideMark/>
          </w:tcPr>
          <w:p w14:paraId="7A83DD9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209</w:t>
            </w:r>
          </w:p>
        </w:tc>
        <w:tc>
          <w:tcPr>
            <w:tcW w:w="907" w:type="dxa"/>
            <w:tcBorders>
              <w:top w:val="nil"/>
              <w:left w:val="single" w:sz="4" w:space="0" w:color="auto"/>
              <w:bottom w:val="nil"/>
              <w:right w:val="nil"/>
            </w:tcBorders>
            <w:shd w:val="clear" w:color="auto" w:fill="F2F2F2"/>
            <w:vAlign w:val="center"/>
          </w:tcPr>
          <w:p w14:paraId="2FD9E418"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721" w:type="dxa"/>
            <w:tcBorders>
              <w:top w:val="nil"/>
              <w:left w:val="nil"/>
              <w:bottom w:val="nil"/>
              <w:right w:val="nil"/>
            </w:tcBorders>
            <w:shd w:val="clear" w:color="auto" w:fill="F2F2F2"/>
            <w:vAlign w:val="center"/>
          </w:tcPr>
          <w:p w14:paraId="5510438F"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Biloela</w:t>
            </w:r>
          </w:p>
        </w:tc>
        <w:tc>
          <w:tcPr>
            <w:tcW w:w="889" w:type="dxa"/>
            <w:tcBorders>
              <w:top w:val="nil"/>
              <w:left w:val="nil"/>
              <w:bottom w:val="nil"/>
              <w:right w:val="single" w:sz="4" w:space="0" w:color="auto"/>
            </w:tcBorders>
            <w:shd w:val="clear" w:color="auto" w:fill="F2F2F2"/>
            <w:vAlign w:val="center"/>
          </w:tcPr>
          <w:p w14:paraId="6BFCB2CB"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1,450</w:t>
            </w:r>
          </w:p>
        </w:tc>
      </w:tr>
      <w:tr w:rsidR="003033B0" w:rsidRPr="007E1A90" w14:paraId="68A4516B" w14:textId="77777777">
        <w:trPr>
          <w:trHeight w:val="300"/>
        </w:trPr>
        <w:tc>
          <w:tcPr>
            <w:tcW w:w="730" w:type="dxa"/>
            <w:tcBorders>
              <w:top w:val="nil"/>
              <w:left w:val="single" w:sz="4" w:space="0" w:color="auto"/>
              <w:bottom w:val="nil"/>
              <w:right w:val="nil"/>
            </w:tcBorders>
            <w:vAlign w:val="center"/>
          </w:tcPr>
          <w:p w14:paraId="0E8ECC5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auto"/>
            <w:noWrap/>
            <w:vAlign w:val="center"/>
            <w:hideMark/>
          </w:tcPr>
          <w:p w14:paraId="1742AB8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Rockhampton</w:t>
            </w:r>
          </w:p>
        </w:tc>
        <w:tc>
          <w:tcPr>
            <w:tcW w:w="584" w:type="dxa"/>
            <w:tcBorders>
              <w:top w:val="nil"/>
              <w:left w:val="nil"/>
              <w:bottom w:val="nil"/>
              <w:right w:val="single" w:sz="4" w:space="0" w:color="auto"/>
            </w:tcBorders>
            <w:shd w:val="clear" w:color="auto" w:fill="auto"/>
            <w:noWrap/>
            <w:vAlign w:val="center"/>
            <w:hideMark/>
          </w:tcPr>
          <w:p w14:paraId="73BC410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196</w:t>
            </w:r>
          </w:p>
        </w:tc>
        <w:tc>
          <w:tcPr>
            <w:tcW w:w="907" w:type="dxa"/>
            <w:tcBorders>
              <w:top w:val="nil"/>
              <w:left w:val="single" w:sz="4" w:space="0" w:color="auto"/>
              <w:bottom w:val="nil"/>
              <w:right w:val="nil"/>
            </w:tcBorders>
            <w:vAlign w:val="center"/>
          </w:tcPr>
          <w:p w14:paraId="1817663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54B9EAB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Wollondilly</w:t>
            </w:r>
          </w:p>
        </w:tc>
        <w:tc>
          <w:tcPr>
            <w:tcW w:w="889" w:type="dxa"/>
            <w:tcBorders>
              <w:top w:val="nil"/>
              <w:left w:val="nil"/>
              <w:bottom w:val="nil"/>
              <w:right w:val="single" w:sz="4" w:space="0" w:color="auto"/>
            </w:tcBorders>
            <w:vAlign w:val="center"/>
          </w:tcPr>
          <w:p w14:paraId="7B6EE71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1,400</w:t>
            </w:r>
          </w:p>
        </w:tc>
      </w:tr>
      <w:tr w:rsidR="003033B0" w:rsidRPr="007E1A90" w14:paraId="34BEE5E4" w14:textId="77777777">
        <w:trPr>
          <w:trHeight w:val="300"/>
        </w:trPr>
        <w:tc>
          <w:tcPr>
            <w:tcW w:w="730" w:type="dxa"/>
            <w:tcBorders>
              <w:top w:val="nil"/>
              <w:left w:val="single" w:sz="4" w:space="0" w:color="auto"/>
              <w:bottom w:val="nil"/>
              <w:right w:val="nil"/>
            </w:tcBorders>
            <w:shd w:val="clear" w:color="auto" w:fill="F2F2F2"/>
            <w:vAlign w:val="center"/>
          </w:tcPr>
          <w:p w14:paraId="02D45DA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281972BC"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Burnett</w:t>
            </w:r>
          </w:p>
        </w:tc>
        <w:tc>
          <w:tcPr>
            <w:tcW w:w="584" w:type="dxa"/>
            <w:tcBorders>
              <w:top w:val="nil"/>
              <w:left w:val="nil"/>
              <w:bottom w:val="nil"/>
              <w:right w:val="single" w:sz="4" w:space="0" w:color="auto"/>
            </w:tcBorders>
            <w:shd w:val="clear" w:color="auto" w:fill="F2F2F2"/>
            <w:noWrap/>
            <w:vAlign w:val="center"/>
            <w:hideMark/>
          </w:tcPr>
          <w:p w14:paraId="7353706F"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191</w:t>
            </w:r>
          </w:p>
        </w:tc>
        <w:tc>
          <w:tcPr>
            <w:tcW w:w="907" w:type="dxa"/>
            <w:tcBorders>
              <w:top w:val="nil"/>
              <w:left w:val="single" w:sz="4" w:space="0" w:color="auto"/>
              <w:bottom w:val="nil"/>
              <w:right w:val="nil"/>
            </w:tcBorders>
            <w:shd w:val="clear" w:color="auto" w:fill="F2F2F2"/>
            <w:vAlign w:val="center"/>
          </w:tcPr>
          <w:p w14:paraId="630D56DF"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11CA8F4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Tamworth - Gunnedah</w:t>
            </w:r>
          </w:p>
        </w:tc>
        <w:tc>
          <w:tcPr>
            <w:tcW w:w="889" w:type="dxa"/>
            <w:tcBorders>
              <w:top w:val="nil"/>
              <w:left w:val="nil"/>
              <w:bottom w:val="nil"/>
              <w:right w:val="single" w:sz="4" w:space="0" w:color="auto"/>
            </w:tcBorders>
            <w:shd w:val="clear" w:color="auto" w:fill="F2F2F2"/>
            <w:vAlign w:val="center"/>
          </w:tcPr>
          <w:p w14:paraId="22E7E167"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1,207</w:t>
            </w:r>
          </w:p>
        </w:tc>
      </w:tr>
      <w:tr w:rsidR="003033B0" w:rsidRPr="007E1A90" w14:paraId="291BFFC8" w14:textId="77777777">
        <w:trPr>
          <w:trHeight w:val="300"/>
        </w:trPr>
        <w:tc>
          <w:tcPr>
            <w:tcW w:w="730" w:type="dxa"/>
            <w:tcBorders>
              <w:top w:val="nil"/>
              <w:left w:val="single" w:sz="4" w:space="0" w:color="auto"/>
              <w:bottom w:val="nil"/>
              <w:right w:val="nil"/>
            </w:tcBorders>
            <w:vAlign w:val="center"/>
          </w:tcPr>
          <w:p w14:paraId="1A861B85"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nil"/>
              <w:right w:val="nil"/>
            </w:tcBorders>
            <w:shd w:val="clear" w:color="auto" w:fill="auto"/>
            <w:noWrap/>
            <w:vAlign w:val="center"/>
            <w:hideMark/>
          </w:tcPr>
          <w:p w14:paraId="25DA7FEE"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Perth City</w:t>
            </w:r>
          </w:p>
        </w:tc>
        <w:tc>
          <w:tcPr>
            <w:tcW w:w="584" w:type="dxa"/>
            <w:tcBorders>
              <w:top w:val="nil"/>
              <w:left w:val="nil"/>
              <w:bottom w:val="nil"/>
              <w:right w:val="single" w:sz="4" w:space="0" w:color="auto"/>
            </w:tcBorders>
            <w:shd w:val="clear" w:color="auto" w:fill="auto"/>
            <w:noWrap/>
            <w:vAlign w:val="center"/>
            <w:hideMark/>
          </w:tcPr>
          <w:p w14:paraId="4A6A934B"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171</w:t>
            </w:r>
          </w:p>
        </w:tc>
        <w:tc>
          <w:tcPr>
            <w:tcW w:w="907" w:type="dxa"/>
            <w:tcBorders>
              <w:top w:val="nil"/>
              <w:left w:val="single" w:sz="4" w:space="0" w:color="auto"/>
              <w:bottom w:val="nil"/>
              <w:right w:val="nil"/>
            </w:tcBorders>
            <w:vAlign w:val="center"/>
          </w:tcPr>
          <w:p w14:paraId="75A1892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51185086"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Lake Macquarie - West</w:t>
            </w:r>
          </w:p>
        </w:tc>
        <w:tc>
          <w:tcPr>
            <w:tcW w:w="889" w:type="dxa"/>
            <w:tcBorders>
              <w:top w:val="nil"/>
              <w:left w:val="nil"/>
              <w:bottom w:val="nil"/>
              <w:right w:val="single" w:sz="4" w:space="0" w:color="auto"/>
            </w:tcBorders>
            <w:vAlign w:val="center"/>
          </w:tcPr>
          <w:p w14:paraId="2CD6021E"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1,202</w:t>
            </w:r>
          </w:p>
        </w:tc>
      </w:tr>
      <w:tr w:rsidR="003033B0" w:rsidRPr="007E1A90" w14:paraId="5808245D" w14:textId="77777777">
        <w:trPr>
          <w:trHeight w:val="300"/>
        </w:trPr>
        <w:tc>
          <w:tcPr>
            <w:tcW w:w="730" w:type="dxa"/>
            <w:tcBorders>
              <w:top w:val="nil"/>
              <w:left w:val="single" w:sz="4" w:space="0" w:color="auto"/>
              <w:bottom w:val="nil"/>
              <w:right w:val="nil"/>
            </w:tcBorders>
            <w:shd w:val="clear" w:color="auto" w:fill="F2F2F2"/>
            <w:vAlign w:val="center"/>
          </w:tcPr>
          <w:p w14:paraId="32306F0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F2F2F2"/>
            <w:noWrap/>
            <w:vAlign w:val="center"/>
            <w:hideMark/>
          </w:tcPr>
          <w:p w14:paraId="072125E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Upper Hunter</w:t>
            </w:r>
          </w:p>
        </w:tc>
        <w:tc>
          <w:tcPr>
            <w:tcW w:w="584" w:type="dxa"/>
            <w:tcBorders>
              <w:top w:val="nil"/>
              <w:left w:val="nil"/>
              <w:bottom w:val="nil"/>
              <w:right w:val="single" w:sz="4" w:space="0" w:color="auto"/>
            </w:tcBorders>
            <w:shd w:val="clear" w:color="auto" w:fill="F2F2F2"/>
            <w:noWrap/>
            <w:vAlign w:val="center"/>
            <w:hideMark/>
          </w:tcPr>
          <w:p w14:paraId="1DB8FDF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150</w:t>
            </w:r>
          </w:p>
        </w:tc>
        <w:tc>
          <w:tcPr>
            <w:tcW w:w="907" w:type="dxa"/>
            <w:tcBorders>
              <w:top w:val="nil"/>
              <w:left w:val="single" w:sz="4" w:space="0" w:color="auto"/>
              <w:bottom w:val="nil"/>
              <w:right w:val="nil"/>
            </w:tcBorders>
            <w:shd w:val="clear" w:color="auto" w:fill="F2F2F2"/>
            <w:vAlign w:val="center"/>
          </w:tcPr>
          <w:p w14:paraId="5CF4CDA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721" w:type="dxa"/>
            <w:tcBorders>
              <w:top w:val="nil"/>
              <w:left w:val="nil"/>
              <w:bottom w:val="nil"/>
              <w:right w:val="nil"/>
            </w:tcBorders>
            <w:shd w:val="clear" w:color="auto" w:fill="F2F2F2"/>
            <w:vAlign w:val="center"/>
          </w:tcPr>
          <w:p w14:paraId="3681FAA6"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No Fixed Address (Qld)</w:t>
            </w:r>
          </w:p>
        </w:tc>
        <w:tc>
          <w:tcPr>
            <w:tcW w:w="889" w:type="dxa"/>
            <w:tcBorders>
              <w:top w:val="nil"/>
              <w:left w:val="nil"/>
              <w:bottom w:val="nil"/>
              <w:right w:val="single" w:sz="4" w:space="0" w:color="auto"/>
            </w:tcBorders>
            <w:shd w:val="clear" w:color="auto" w:fill="F2F2F2"/>
            <w:vAlign w:val="center"/>
          </w:tcPr>
          <w:p w14:paraId="337985A0"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986</w:t>
            </w:r>
          </w:p>
        </w:tc>
      </w:tr>
      <w:tr w:rsidR="003033B0" w:rsidRPr="007E1A90" w14:paraId="4806075C" w14:textId="77777777">
        <w:trPr>
          <w:trHeight w:val="300"/>
        </w:trPr>
        <w:tc>
          <w:tcPr>
            <w:tcW w:w="730" w:type="dxa"/>
            <w:tcBorders>
              <w:top w:val="nil"/>
              <w:left w:val="single" w:sz="4" w:space="0" w:color="auto"/>
              <w:bottom w:val="nil"/>
              <w:right w:val="nil"/>
            </w:tcBorders>
            <w:vAlign w:val="center"/>
          </w:tcPr>
          <w:p w14:paraId="4B67EA70"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auto"/>
            <w:noWrap/>
            <w:vAlign w:val="center"/>
            <w:hideMark/>
          </w:tcPr>
          <w:p w14:paraId="6C999EAE"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Sydney Inner City</w:t>
            </w:r>
          </w:p>
        </w:tc>
        <w:tc>
          <w:tcPr>
            <w:tcW w:w="584" w:type="dxa"/>
            <w:tcBorders>
              <w:top w:val="nil"/>
              <w:left w:val="nil"/>
              <w:bottom w:val="nil"/>
              <w:right w:val="single" w:sz="4" w:space="0" w:color="auto"/>
            </w:tcBorders>
            <w:shd w:val="clear" w:color="auto" w:fill="auto"/>
            <w:noWrap/>
            <w:vAlign w:val="center"/>
            <w:hideMark/>
          </w:tcPr>
          <w:p w14:paraId="5C696AC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129</w:t>
            </w:r>
          </w:p>
        </w:tc>
        <w:tc>
          <w:tcPr>
            <w:tcW w:w="907" w:type="dxa"/>
            <w:tcBorders>
              <w:top w:val="nil"/>
              <w:left w:val="single" w:sz="4" w:space="0" w:color="auto"/>
              <w:bottom w:val="nil"/>
              <w:right w:val="nil"/>
            </w:tcBorders>
            <w:vAlign w:val="center"/>
          </w:tcPr>
          <w:p w14:paraId="5333226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6BBB7A6B"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Dapto - Port Kembla</w:t>
            </w:r>
          </w:p>
        </w:tc>
        <w:tc>
          <w:tcPr>
            <w:tcW w:w="889" w:type="dxa"/>
            <w:tcBorders>
              <w:top w:val="nil"/>
              <w:left w:val="nil"/>
              <w:bottom w:val="nil"/>
              <w:right w:val="single" w:sz="4" w:space="0" w:color="auto"/>
            </w:tcBorders>
            <w:vAlign w:val="center"/>
          </w:tcPr>
          <w:p w14:paraId="12545322"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752</w:t>
            </w:r>
          </w:p>
        </w:tc>
      </w:tr>
      <w:tr w:rsidR="003033B0" w:rsidRPr="007E1A90" w14:paraId="4EDCD5EA" w14:textId="77777777">
        <w:trPr>
          <w:trHeight w:val="300"/>
        </w:trPr>
        <w:tc>
          <w:tcPr>
            <w:tcW w:w="730" w:type="dxa"/>
            <w:tcBorders>
              <w:top w:val="nil"/>
              <w:left w:val="single" w:sz="4" w:space="0" w:color="auto"/>
              <w:bottom w:val="nil"/>
              <w:right w:val="nil"/>
            </w:tcBorders>
            <w:shd w:val="clear" w:color="auto" w:fill="F2F2F2"/>
            <w:vAlign w:val="center"/>
          </w:tcPr>
          <w:p w14:paraId="2A551D41"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1E500F5F"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Darling Downs West</w:t>
            </w:r>
          </w:p>
        </w:tc>
        <w:tc>
          <w:tcPr>
            <w:tcW w:w="584" w:type="dxa"/>
            <w:tcBorders>
              <w:top w:val="nil"/>
              <w:left w:val="nil"/>
              <w:bottom w:val="nil"/>
              <w:right w:val="single" w:sz="4" w:space="0" w:color="auto"/>
            </w:tcBorders>
            <w:shd w:val="clear" w:color="auto" w:fill="F2F2F2"/>
            <w:noWrap/>
            <w:vAlign w:val="center"/>
            <w:hideMark/>
          </w:tcPr>
          <w:p w14:paraId="006A714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118</w:t>
            </w:r>
          </w:p>
        </w:tc>
        <w:tc>
          <w:tcPr>
            <w:tcW w:w="907" w:type="dxa"/>
            <w:tcBorders>
              <w:top w:val="nil"/>
              <w:left w:val="single" w:sz="4" w:space="0" w:color="auto"/>
              <w:bottom w:val="nil"/>
              <w:right w:val="nil"/>
            </w:tcBorders>
            <w:shd w:val="clear" w:color="auto" w:fill="F2F2F2"/>
            <w:vAlign w:val="center"/>
          </w:tcPr>
          <w:p w14:paraId="0E895CE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46BD0FA3"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Newcastle</w:t>
            </w:r>
          </w:p>
        </w:tc>
        <w:tc>
          <w:tcPr>
            <w:tcW w:w="889" w:type="dxa"/>
            <w:tcBorders>
              <w:top w:val="nil"/>
              <w:left w:val="nil"/>
              <w:bottom w:val="nil"/>
              <w:right w:val="single" w:sz="4" w:space="0" w:color="auto"/>
            </w:tcBorders>
            <w:shd w:val="clear" w:color="auto" w:fill="F2F2F2"/>
            <w:vAlign w:val="center"/>
          </w:tcPr>
          <w:p w14:paraId="5E0DB4C5"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720</w:t>
            </w:r>
          </w:p>
        </w:tc>
      </w:tr>
      <w:tr w:rsidR="003033B0" w:rsidRPr="007E1A90" w14:paraId="2C0BDF0A" w14:textId="77777777">
        <w:trPr>
          <w:trHeight w:val="300"/>
        </w:trPr>
        <w:tc>
          <w:tcPr>
            <w:tcW w:w="730" w:type="dxa"/>
            <w:tcBorders>
              <w:top w:val="nil"/>
              <w:left w:val="single" w:sz="4" w:space="0" w:color="auto"/>
              <w:bottom w:val="nil"/>
              <w:right w:val="nil"/>
            </w:tcBorders>
            <w:vAlign w:val="center"/>
          </w:tcPr>
          <w:p w14:paraId="09073E8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auto"/>
            <w:noWrap/>
            <w:vAlign w:val="center"/>
            <w:hideMark/>
          </w:tcPr>
          <w:p w14:paraId="75F5EC85"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Lake Macquarie - West</w:t>
            </w:r>
          </w:p>
        </w:tc>
        <w:tc>
          <w:tcPr>
            <w:tcW w:w="584" w:type="dxa"/>
            <w:tcBorders>
              <w:top w:val="nil"/>
              <w:left w:val="nil"/>
              <w:bottom w:val="nil"/>
              <w:right w:val="single" w:sz="4" w:space="0" w:color="auto"/>
            </w:tcBorders>
            <w:shd w:val="clear" w:color="auto" w:fill="auto"/>
            <w:noWrap/>
            <w:vAlign w:val="center"/>
            <w:hideMark/>
          </w:tcPr>
          <w:p w14:paraId="767FAEB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117</w:t>
            </w:r>
          </w:p>
        </w:tc>
        <w:tc>
          <w:tcPr>
            <w:tcW w:w="907" w:type="dxa"/>
            <w:tcBorders>
              <w:top w:val="nil"/>
              <w:left w:val="single" w:sz="4" w:space="0" w:color="auto"/>
              <w:bottom w:val="nil"/>
              <w:right w:val="nil"/>
            </w:tcBorders>
            <w:vAlign w:val="center"/>
          </w:tcPr>
          <w:p w14:paraId="1B5E7AD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721" w:type="dxa"/>
            <w:tcBorders>
              <w:top w:val="nil"/>
              <w:left w:val="nil"/>
              <w:bottom w:val="nil"/>
              <w:right w:val="nil"/>
            </w:tcBorders>
            <w:vAlign w:val="center"/>
          </w:tcPr>
          <w:p w14:paraId="129AAA20"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Bunbury</w:t>
            </w:r>
          </w:p>
        </w:tc>
        <w:tc>
          <w:tcPr>
            <w:tcW w:w="889" w:type="dxa"/>
            <w:tcBorders>
              <w:top w:val="nil"/>
              <w:left w:val="nil"/>
              <w:bottom w:val="nil"/>
              <w:right w:val="single" w:sz="4" w:space="0" w:color="auto"/>
            </w:tcBorders>
            <w:vAlign w:val="center"/>
          </w:tcPr>
          <w:p w14:paraId="527D4D50"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659</w:t>
            </w:r>
          </w:p>
        </w:tc>
      </w:tr>
      <w:tr w:rsidR="003033B0" w:rsidRPr="007E1A90" w14:paraId="48EEF6D2" w14:textId="77777777">
        <w:trPr>
          <w:trHeight w:val="300"/>
        </w:trPr>
        <w:tc>
          <w:tcPr>
            <w:tcW w:w="730" w:type="dxa"/>
            <w:tcBorders>
              <w:top w:val="nil"/>
              <w:left w:val="single" w:sz="4" w:space="0" w:color="auto"/>
              <w:bottom w:val="nil"/>
              <w:right w:val="nil"/>
            </w:tcBorders>
            <w:shd w:val="clear" w:color="auto" w:fill="F2F2F2"/>
            <w:vAlign w:val="center"/>
          </w:tcPr>
          <w:p w14:paraId="5E78487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914" w:type="dxa"/>
            <w:tcBorders>
              <w:top w:val="nil"/>
              <w:left w:val="nil"/>
              <w:bottom w:val="nil"/>
              <w:right w:val="nil"/>
            </w:tcBorders>
            <w:shd w:val="clear" w:color="auto" w:fill="F2F2F2"/>
            <w:noWrap/>
            <w:vAlign w:val="center"/>
            <w:hideMark/>
          </w:tcPr>
          <w:p w14:paraId="4780E229"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Lithgow - Mudgee</w:t>
            </w:r>
          </w:p>
        </w:tc>
        <w:tc>
          <w:tcPr>
            <w:tcW w:w="584" w:type="dxa"/>
            <w:tcBorders>
              <w:top w:val="nil"/>
              <w:left w:val="nil"/>
              <w:bottom w:val="nil"/>
              <w:right w:val="single" w:sz="4" w:space="0" w:color="auto"/>
            </w:tcBorders>
            <w:shd w:val="clear" w:color="auto" w:fill="F2F2F2"/>
            <w:noWrap/>
            <w:vAlign w:val="center"/>
            <w:hideMark/>
          </w:tcPr>
          <w:p w14:paraId="36710C12"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116</w:t>
            </w:r>
          </w:p>
        </w:tc>
        <w:tc>
          <w:tcPr>
            <w:tcW w:w="907" w:type="dxa"/>
            <w:tcBorders>
              <w:top w:val="nil"/>
              <w:left w:val="single" w:sz="4" w:space="0" w:color="auto"/>
              <w:bottom w:val="nil"/>
              <w:right w:val="nil"/>
            </w:tcBorders>
            <w:shd w:val="clear" w:color="auto" w:fill="F2F2F2"/>
            <w:vAlign w:val="center"/>
          </w:tcPr>
          <w:p w14:paraId="29E8EBD4"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67ABDCF6"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Wollongong</w:t>
            </w:r>
          </w:p>
        </w:tc>
        <w:tc>
          <w:tcPr>
            <w:tcW w:w="889" w:type="dxa"/>
            <w:tcBorders>
              <w:top w:val="nil"/>
              <w:left w:val="nil"/>
              <w:bottom w:val="nil"/>
              <w:right w:val="single" w:sz="4" w:space="0" w:color="auto"/>
            </w:tcBorders>
            <w:shd w:val="clear" w:color="auto" w:fill="F2F2F2"/>
            <w:vAlign w:val="center"/>
          </w:tcPr>
          <w:p w14:paraId="4748A501"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542</w:t>
            </w:r>
          </w:p>
        </w:tc>
      </w:tr>
      <w:tr w:rsidR="003033B0" w:rsidRPr="007E1A90" w14:paraId="7D90ABE7" w14:textId="77777777">
        <w:trPr>
          <w:trHeight w:val="300"/>
        </w:trPr>
        <w:tc>
          <w:tcPr>
            <w:tcW w:w="730" w:type="dxa"/>
            <w:tcBorders>
              <w:top w:val="nil"/>
              <w:left w:val="single" w:sz="4" w:space="0" w:color="auto"/>
              <w:bottom w:val="nil"/>
              <w:right w:val="nil"/>
            </w:tcBorders>
            <w:vAlign w:val="center"/>
          </w:tcPr>
          <w:p w14:paraId="127FBFD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SA</w:t>
            </w:r>
          </w:p>
        </w:tc>
        <w:tc>
          <w:tcPr>
            <w:tcW w:w="2914" w:type="dxa"/>
            <w:tcBorders>
              <w:top w:val="nil"/>
              <w:left w:val="nil"/>
              <w:bottom w:val="nil"/>
              <w:right w:val="nil"/>
            </w:tcBorders>
            <w:shd w:val="clear" w:color="auto" w:fill="auto"/>
            <w:noWrap/>
            <w:vAlign w:val="center"/>
            <w:hideMark/>
          </w:tcPr>
          <w:p w14:paraId="49F05880"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Port Adelaide - West</w:t>
            </w:r>
          </w:p>
        </w:tc>
        <w:tc>
          <w:tcPr>
            <w:tcW w:w="584" w:type="dxa"/>
            <w:tcBorders>
              <w:top w:val="nil"/>
              <w:left w:val="nil"/>
              <w:bottom w:val="nil"/>
              <w:right w:val="single" w:sz="4" w:space="0" w:color="auto"/>
            </w:tcBorders>
            <w:shd w:val="clear" w:color="auto" w:fill="auto"/>
            <w:noWrap/>
            <w:vAlign w:val="center"/>
            <w:hideMark/>
          </w:tcPr>
          <w:p w14:paraId="248010D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105</w:t>
            </w:r>
          </w:p>
        </w:tc>
        <w:tc>
          <w:tcPr>
            <w:tcW w:w="907" w:type="dxa"/>
            <w:tcBorders>
              <w:top w:val="nil"/>
              <w:left w:val="single" w:sz="4" w:space="0" w:color="auto"/>
              <w:bottom w:val="nil"/>
              <w:right w:val="nil"/>
            </w:tcBorders>
            <w:vAlign w:val="center"/>
          </w:tcPr>
          <w:p w14:paraId="60123ED3"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vAlign w:val="center"/>
          </w:tcPr>
          <w:p w14:paraId="37010C21"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Maitland</w:t>
            </w:r>
          </w:p>
        </w:tc>
        <w:tc>
          <w:tcPr>
            <w:tcW w:w="889" w:type="dxa"/>
            <w:tcBorders>
              <w:top w:val="nil"/>
              <w:left w:val="nil"/>
              <w:bottom w:val="nil"/>
              <w:right w:val="single" w:sz="4" w:space="0" w:color="auto"/>
            </w:tcBorders>
            <w:vAlign w:val="center"/>
          </w:tcPr>
          <w:p w14:paraId="3E3B21E9"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496</w:t>
            </w:r>
          </w:p>
        </w:tc>
      </w:tr>
      <w:tr w:rsidR="003033B0" w:rsidRPr="007E1A90" w14:paraId="79F5B66D" w14:textId="77777777">
        <w:trPr>
          <w:trHeight w:val="300"/>
        </w:trPr>
        <w:tc>
          <w:tcPr>
            <w:tcW w:w="730" w:type="dxa"/>
            <w:tcBorders>
              <w:top w:val="nil"/>
              <w:left w:val="single" w:sz="4" w:space="0" w:color="auto"/>
              <w:bottom w:val="nil"/>
              <w:right w:val="nil"/>
            </w:tcBorders>
            <w:shd w:val="clear" w:color="auto" w:fill="F2F2F2"/>
            <w:vAlign w:val="center"/>
          </w:tcPr>
          <w:p w14:paraId="321FA8F7"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QLD</w:t>
            </w:r>
          </w:p>
        </w:tc>
        <w:tc>
          <w:tcPr>
            <w:tcW w:w="2914" w:type="dxa"/>
            <w:tcBorders>
              <w:top w:val="nil"/>
              <w:left w:val="nil"/>
              <w:bottom w:val="nil"/>
              <w:right w:val="nil"/>
            </w:tcBorders>
            <w:shd w:val="clear" w:color="auto" w:fill="F2F2F2"/>
            <w:noWrap/>
            <w:vAlign w:val="center"/>
            <w:hideMark/>
          </w:tcPr>
          <w:p w14:paraId="03A1E2E0"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Darling Downs - East</w:t>
            </w:r>
          </w:p>
        </w:tc>
        <w:tc>
          <w:tcPr>
            <w:tcW w:w="584" w:type="dxa"/>
            <w:tcBorders>
              <w:top w:val="nil"/>
              <w:left w:val="nil"/>
              <w:bottom w:val="nil"/>
              <w:right w:val="single" w:sz="4" w:space="0" w:color="auto"/>
            </w:tcBorders>
            <w:shd w:val="clear" w:color="auto" w:fill="F2F2F2"/>
            <w:noWrap/>
            <w:vAlign w:val="center"/>
            <w:hideMark/>
          </w:tcPr>
          <w:p w14:paraId="7489685D"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101</w:t>
            </w:r>
          </w:p>
        </w:tc>
        <w:tc>
          <w:tcPr>
            <w:tcW w:w="907" w:type="dxa"/>
            <w:tcBorders>
              <w:top w:val="nil"/>
              <w:left w:val="single" w:sz="4" w:space="0" w:color="auto"/>
              <w:bottom w:val="nil"/>
              <w:right w:val="nil"/>
            </w:tcBorders>
            <w:shd w:val="clear" w:color="auto" w:fill="F2F2F2"/>
            <w:vAlign w:val="center"/>
          </w:tcPr>
          <w:p w14:paraId="5675B271"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bottom w:val="nil"/>
              <w:right w:val="nil"/>
            </w:tcBorders>
            <w:shd w:val="clear" w:color="auto" w:fill="F2F2F2"/>
            <w:vAlign w:val="center"/>
          </w:tcPr>
          <w:p w14:paraId="7C4B8039"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Moree - Narrabri</w:t>
            </w:r>
          </w:p>
        </w:tc>
        <w:tc>
          <w:tcPr>
            <w:tcW w:w="889" w:type="dxa"/>
            <w:tcBorders>
              <w:top w:val="nil"/>
              <w:left w:val="nil"/>
              <w:bottom w:val="nil"/>
              <w:right w:val="single" w:sz="4" w:space="0" w:color="auto"/>
            </w:tcBorders>
            <w:shd w:val="clear" w:color="auto" w:fill="F2F2F2"/>
            <w:vAlign w:val="center"/>
          </w:tcPr>
          <w:p w14:paraId="77830F7A"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476</w:t>
            </w:r>
          </w:p>
        </w:tc>
      </w:tr>
      <w:tr w:rsidR="003033B0" w:rsidRPr="007E1A90" w14:paraId="3C4814AF" w14:textId="77777777">
        <w:trPr>
          <w:trHeight w:val="300"/>
        </w:trPr>
        <w:tc>
          <w:tcPr>
            <w:tcW w:w="730" w:type="dxa"/>
            <w:tcBorders>
              <w:top w:val="nil"/>
              <w:left w:val="single" w:sz="4" w:space="0" w:color="auto"/>
              <w:right w:val="nil"/>
            </w:tcBorders>
            <w:vAlign w:val="center"/>
          </w:tcPr>
          <w:p w14:paraId="62645E38"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NT</w:t>
            </w:r>
          </w:p>
        </w:tc>
        <w:tc>
          <w:tcPr>
            <w:tcW w:w="2914" w:type="dxa"/>
            <w:tcBorders>
              <w:top w:val="nil"/>
              <w:left w:val="nil"/>
              <w:right w:val="nil"/>
            </w:tcBorders>
            <w:shd w:val="clear" w:color="auto" w:fill="auto"/>
            <w:noWrap/>
            <w:vAlign w:val="center"/>
            <w:hideMark/>
          </w:tcPr>
          <w:p w14:paraId="3F7F7677"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Darwin Suburbs</w:t>
            </w:r>
          </w:p>
        </w:tc>
        <w:tc>
          <w:tcPr>
            <w:tcW w:w="584" w:type="dxa"/>
            <w:tcBorders>
              <w:top w:val="nil"/>
              <w:left w:val="nil"/>
              <w:right w:val="single" w:sz="4" w:space="0" w:color="auto"/>
            </w:tcBorders>
            <w:shd w:val="clear" w:color="auto" w:fill="auto"/>
            <w:noWrap/>
            <w:vAlign w:val="center"/>
            <w:hideMark/>
          </w:tcPr>
          <w:p w14:paraId="17F09131"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75</w:t>
            </w:r>
          </w:p>
        </w:tc>
        <w:tc>
          <w:tcPr>
            <w:tcW w:w="907" w:type="dxa"/>
            <w:tcBorders>
              <w:top w:val="nil"/>
              <w:left w:val="single" w:sz="4" w:space="0" w:color="auto"/>
              <w:right w:val="nil"/>
            </w:tcBorders>
            <w:vAlign w:val="center"/>
          </w:tcPr>
          <w:p w14:paraId="02FED61A"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NSW</w:t>
            </w:r>
          </w:p>
        </w:tc>
        <w:tc>
          <w:tcPr>
            <w:tcW w:w="2721" w:type="dxa"/>
            <w:tcBorders>
              <w:top w:val="nil"/>
              <w:left w:val="nil"/>
              <w:right w:val="nil"/>
            </w:tcBorders>
            <w:vAlign w:val="center"/>
          </w:tcPr>
          <w:p w14:paraId="056859FF"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No Fixed Address (NSW)</w:t>
            </w:r>
          </w:p>
        </w:tc>
        <w:tc>
          <w:tcPr>
            <w:tcW w:w="889" w:type="dxa"/>
            <w:tcBorders>
              <w:top w:val="nil"/>
              <w:left w:val="nil"/>
              <w:right w:val="single" w:sz="4" w:space="0" w:color="auto"/>
            </w:tcBorders>
            <w:vAlign w:val="center"/>
          </w:tcPr>
          <w:p w14:paraId="0F51481C"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380</w:t>
            </w:r>
          </w:p>
        </w:tc>
      </w:tr>
      <w:tr w:rsidR="003033B0" w:rsidRPr="007E1A90" w14:paraId="7B04DFA7" w14:textId="77777777">
        <w:trPr>
          <w:trHeight w:val="300"/>
        </w:trPr>
        <w:tc>
          <w:tcPr>
            <w:tcW w:w="730" w:type="dxa"/>
            <w:tcBorders>
              <w:top w:val="nil"/>
              <w:left w:val="single" w:sz="4" w:space="0" w:color="auto"/>
              <w:bottom w:val="single" w:sz="4" w:space="0" w:color="auto"/>
              <w:right w:val="nil"/>
            </w:tcBorders>
            <w:shd w:val="clear" w:color="auto" w:fill="F2F2F2"/>
            <w:vAlign w:val="center"/>
          </w:tcPr>
          <w:p w14:paraId="344E42D9"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914" w:type="dxa"/>
            <w:tcBorders>
              <w:top w:val="nil"/>
              <w:left w:val="nil"/>
              <w:bottom w:val="single" w:sz="4" w:space="0" w:color="auto"/>
              <w:right w:val="nil"/>
            </w:tcBorders>
            <w:shd w:val="clear" w:color="auto" w:fill="F2F2F2"/>
            <w:noWrap/>
            <w:vAlign w:val="center"/>
            <w:hideMark/>
          </w:tcPr>
          <w:p w14:paraId="396742B8" w14:textId="77777777" w:rsidR="003033B0" w:rsidRPr="007E1A90" w:rsidRDefault="003033B0">
            <w:pPr>
              <w:spacing w:after="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East Pilbara</w:t>
            </w:r>
          </w:p>
        </w:tc>
        <w:tc>
          <w:tcPr>
            <w:tcW w:w="584" w:type="dxa"/>
            <w:tcBorders>
              <w:top w:val="nil"/>
              <w:left w:val="nil"/>
              <w:bottom w:val="single" w:sz="4" w:space="0" w:color="auto"/>
              <w:right w:val="single" w:sz="4" w:space="0" w:color="auto"/>
            </w:tcBorders>
            <w:shd w:val="clear" w:color="auto" w:fill="F2F2F2"/>
            <w:noWrap/>
            <w:vAlign w:val="center"/>
            <w:hideMark/>
          </w:tcPr>
          <w:p w14:paraId="4977560C"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73</w:t>
            </w:r>
          </w:p>
        </w:tc>
        <w:tc>
          <w:tcPr>
            <w:tcW w:w="907" w:type="dxa"/>
            <w:tcBorders>
              <w:top w:val="nil"/>
              <w:left w:val="single" w:sz="4" w:space="0" w:color="auto"/>
              <w:bottom w:val="single" w:sz="4" w:space="0" w:color="auto"/>
              <w:right w:val="nil"/>
            </w:tcBorders>
            <w:shd w:val="clear" w:color="auto" w:fill="F2F2F2"/>
            <w:vAlign w:val="center"/>
          </w:tcPr>
          <w:p w14:paraId="022CF5F6"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WA</w:t>
            </w:r>
          </w:p>
        </w:tc>
        <w:tc>
          <w:tcPr>
            <w:tcW w:w="2721" w:type="dxa"/>
            <w:tcBorders>
              <w:top w:val="nil"/>
              <w:left w:val="nil"/>
              <w:bottom w:val="single" w:sz="4" w:space="0" w:color="auto"/>
              <w:right w:val="nil"/>
            </w:tcBorders>
            <w:shd w:val="clear" w:color="auto" w:fill="F2F2F2"/>
            <w:vAlign w:val="center"/>
          </w:tcPr>
          <w:p w14:paraId="11E48B8D" w14:textId="77777777" w:rsidR="003033B0" w:rsidRPr="007E1A90" w:rsidRDefault="003033B0">
            <w:pPr>
              <w:spacing w:after="0" w:line="240" w:lineRule="auto"/>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Perth City</w:t>
            </w:r>
          </w:p>
        </w:tc>
        <w:tc>
          <w:tcPr>
            <w:tcW w:w="889" w:type="dxa"/>
            <w:tcBorders>
              <w:top w:val="nil"/>
              <w:left w:val="nil"/>
              <w:bottom w:val="single" w:sz="4" w:space="0" w:color="auto"/>
              <w:right w:val="single" w:sz="4" w:space="0" w:color="auto"/>
            </w:tcBorders>
            <w:shd w:val="clear" w:color="auto" w:fill="F2F2F2"/>
            <w:vAlign w:val="center"/>
          </w:tcPr>
          <w:p w14:paraId="07CA6803" w14:textId="77777777" w:rsidR="003033B0" w:rsidRPr="007E1A90" w:rsidRDefault="003033B0">
            <w:pPr>
              <w:spacing w:after="0" w:line="240" w:lineRule="auto"/>
              <w:jc w:val="right"/>
              <w:rPr>
                <w:rFonts w:asciiTheme="minorHAnsi" w:eastAsia="Times New Roman" w:hAnsiTheme="minorHAnsi" w:cstheme="minorHAnsi"/>
                <w:color w:val="000000"/>
                <w:lang w:eastAsia="en-AU"/>
                <w14:numForm w14:val="lining"/>
                <w14:numSpacing w14:val="proportional"/>
              </w:rPr>
            </w:pPr>
            <w:r w:rsidRPr="007E1A90">
              <w:rPr>
                <w:rFonts w:asciiTheme="minorHAnsi" w:hAnsiTheme="minorHAnsi" w:cstheme="minorHAnsi"/>
                <w:color w:val="000000"/>
                <w14:numForm w14:val="lining"/>
                <w14:numSpacing w14:val="proportional"/>
              </w:rPr>
              <w:t>378</w:t>
            </w:r>
          </w:p>
        </w:tc>
      </w:tr>
    </w:tbl>
    <w:p w14:paraId="2B47998E" w14:textId="20ECE432" w:rsidR="003033B0" w:rsidRPr="007E1A90" w:rsidRDefault="003033B0" w:rsidP="00AC4C25">
      <w:pPr>
        <w:spacing w:after="0" w:line="276" w:lineRule="auto"/>
        <w:rPr>
          <w:sz w:val="18"/>
          <w:szCs w:val="18"/>
          <w14:numForm w14:val="lining"/>
          <w14:numSpacing w14:val="proportional"/>
        </w:rPr>
      </w:pPr>
      <w:r w:rsidRPr="007E1A90">
        <w:rPr>
          <w:sz w:val="18"/>
          <w:szCs w:val="18"/>
          <w14:numForm w14:val="lining"/>
          <w14:numSpacing w14:val="proportional"/>
        </w:rPr>
        <w:t>Source: ABS Census 2021, JSA analysis</w:t>
      </w:r>
    </w:p>
    <w:p w14:paraId="74DAB3F3" w14:textId="77777777" w:rsidR="003033B0" w:rsidRPr="007E1A90" w:rsidRDefault="003033B0" w:rsidP="003033B0">
      <w:pPr>
        <w:pStyle w:val="Heading4"/>
        <w:rPr>
          <w14:numForm w14:val="lining"/>
          <w14:numSpacing w14:val="proportional"/>
        </w:rPr>
      </w:pPr>
      <w:r w:rsidRPr="007E1A90">
        <w:rPr>
          <w14:numForm w14:val="lining"/>
          <w14:numSpacing w14:val="proportional"/>
        </w:rPr>
        <w:t>Impacted occupations</w:t>
      </w:r>
    </w:p>
    <w:p w14:paraId="0536698B" w14:textId="4259EDDC" w:rsidR="003033B0" w:rsidRPr="007E1A90" w:rsidRDefault="003033B0" w:rsidP="003033B0">
      <w:pPr>
        <w:spacing w:before="120" w:after="0" w:line="276" w:lineRule="auto"/>
        <w:rPr>
          <w14:numForm w14:val="lining"/>
          <w14:numSpacing w14:val="proportional"/>
        </w:rPr>
      </w:pPr>
      <w:r w:rsidRPr="007E1A90">
        <w:rPr>
          <w14:numForm w14:val="lining"/>
          <w14:numSpacing w14:val="proportional"/>
        </w:rPr>
        <w:t xml:space="preserve">Fossil Fuel Electricity Generation and Coal Mining employ a diverse range of occupations. Many generalist occupations, like </w:t>
      </w:r>
      <w:r w:rsidR="418AE8D4" w:rsidRPr="007E1A90">
        <w:rPr>
          <w14:numForm w14:val="lining"/>
          <w14:numSpacing w14:val="proportional"/>
        </w:rPr>
        <w:t>A</w:t>
      </w:r>
      <w:r w:rsidRPr="007E1A90">
        <w:rPr>
          <w14:numForm w14:val="lining"/>
          <w14:numSpacing w14:val="proportional"/>
        </w:rPr>
        <w:t xml:space="preserve">ccountants and </w:t>
      </w:r>
      <w:r w:rsidR="2134814B" w:rsidRPr="007E1A90">
        <w:rPr>
          <w14:numForm w14:val="lining"/>
          <w14:numSpacing w14:val="proportional"/>
        </w:rPr>
        <w:t>T</w:t>
      </w:r>
      <w:r w:rsidRPr="007E1A90">
        <w:rPr>
          <w14:numForm w14:val="lining"/>
          <w14:numSpacing w14:val="proportional"/>
        </w:rPr>
        <w:t xml:space="preserve">ruck </w:t>
      </w:r>
      <w:r w:rsidR="444AECEA" w:rsidRPr="007E1A90">
        <w:rPr>
          <w14:numForm w14:val="lining"/>
          <w14:numSpacing w14:val="proportional"/>
        </w:rPr>
        <w:t>D</w:t>
      </w:r>
      <w:r w:rsidRPr="007E1A90">
        <w:rPr>
          <w14:numForm w14:val="lining"/>
          <w14:numSpacing w14:val="proportional"/>
        </w:rPr>
        <w:t xml:space="preserve">rivers, are also employed in high numbers outside of these industries. Other occupations, like Power Generation Plant Operator, have limited employment prospects outside these industries and are therefore at greater risk (see Table </w:t>
      </w:r>
      <w:r w:rsidR="008F305E" w:rsidRPr="007E1A90">
        <w:rPr>
          <w14:numForm w14:val="lining"/>
          <w14:numSpacing w14:val="proportional"/>
        </w:rPr>
        <w:t>4.1</w:t>
      </w:r>
      <w:r w:rsidR="00A3542A" w:rsidRPr="007E1A90">
        <w:rPr>
          <w14:numForm w14:val="lining"/>
          <w14:numSpacing w14:val="proportional"/>
        </w:rPr>
        <w:t>5</w:t>
      </w:r>
      <w:r w:rsidRPr="007E1A90">
        <w:rPr>
          <w14:numForm w14:val="lining"/>
          <w14:numSpacing w14:val="proportional"/>
        </w:rPr>
        <w:t>).</w:t>
      </w:r>
    </w:p>
    <w:p w14:paraId="137B9B24" w14:textId="6D9DB893" w:rsidR="003033B0" w:rsidRPr="007E1A90" w:rsidRDefault="003033B0" w:rsidP="003033B0">
      <w:pPr>
        <w:spacing w:before="120" w:after="80" w:line="276" w:lineRule="auto"/>
        <w:rPr>
          <w:b/>
          <w:bCs/>
          <w14:numForm w14:val="lining"/>
          <w14:numSpacing w14:val="proportional"/>
        </w:rPr>
      </w:pPr>
      <w:r w:rsidRPr="007E1A90">
        <w:rPr>
          <w:b/>
          <w:bCs/>
          <w14:numForm w14:val="lining"/>
          <w14:numSpacing w14:val="proportional"/>
        </w:rPr>
        <w:t xml:space="preserve">Table </w:t>
      </w:r>
      <w:r w:rsidR="008F305E" w:rsidRPr="007E1A90">
        <w:rPr>
          <w:b/>
          <w:bCs/>
          <w14:numForm w14:val="lining"/>
          <w14:numSpacing w14:val="proportional"/>
        </w:rPr>
        <w:t>4.1</w:t>
      </w:r>
      <w:r w:rsidR="00A3542A" w:rsidRPr="007E1A90">
        <w:rPr>
          <w:b/>
          <w:bCs/>
          <w14:numForm w14:val="lining"/>
          <w14:numSpacing w14:val="proportional"/>
        </w:rPr>
        <w:t>5</w:t>
      </w:r>
      <w:r w:rsidRPr="007E1A90">
        <w:rPr>
          <w:b/>
          <w:bCs/>
          <w14:numForm w14:val="lining"/>
          <w14:numSpacing w14:val="proportional"/>
        </w:rPr>
        <w:t xml:space="preserve">. </w:t>
      </w:r>
      <w:r w:rsidR="007B60F2">
        <w:rPr>
          <w:b/>
          <w:bCs/>
          <w14:numForm w14:val="lining"/>
          <w14:numSpacing w14:val="proportional"/>
        </w:rPr>
        <w:t>O</w:t>
      </w:r>
      <w:r w:rsidRPr="007E1A90">
        <w:rPr>
          <w:b/>
          <w:bCs/>
          <w14:numForm w14:val="lining"/>
          <w14:numSpacing w14:val="proportional"/>
        </w:rPr>
        <w:t>ccupations and their concentration in impacted industries</w:t>
      </w:r>
    </w:p>
    <w:tbl>
      <w:tblPr>
        <w:tblW w:w="8784" w:type="dxa"/>
        <w:tblLayout w:type="fixed"/>
        <w:tblLook w:val="04A0" w:firstRow="1" w:lastRow="0" w:firstColumn="1" w:lastColumn="0" w:noHBand="0" w:noVBand="1"/>
      </w:tblPr>
      <w:tblGrid>
        <w:gridCol w:w="2971"/>
        <w:gridCol w:w="709"/>
        <w:gridCol w:w="691"/>
        <w:gridCol w:w="2711"/>
        <w:gridCol w:w="755"/>
        <w:gridCol w:w="237"/>
        <w:gridCol w:w="710"/>
      </w:tblGrid>
      <w:tr w:rsidR="003033B0" w:rsidRPr="007E1A90" w14:paraId="14FC7B2A" w14:textId="77777777">
        <w:trPr>
          <w:trHeight w:val="397"/>
        </w:trPr>
        <w:tc>
          <w:tcPr>
            <w:tcW w:w="4371" w:type="dxa"/>
            <w:gridSpan w:val="3"/>
            <w:tcBorders>
              <w:top w:val="single" w:sz="4" w:space="0" w:color="auto"/>
              <w:left w:val="single" w:sz="4" w:space="0" w:color="auto"/>
              <w:bottom w:val="single" w:sz="4" w:space="0" w:color="auto"/>
            </w:tcBorders>
            <w:shd w:val="clear" w:color="auto" w:fill="084974" w:themeFill="accent3" w:themeFillShade="80"/>
            <w:vAlign w:val="center"/>
          </w:tcPr>
          <w:p w14:paraId="07FB7CEA"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FFFFFF" w:themeColor="background1"/>
                <w:lang w:eastAsia="en-AU"/>
                <w14:numForm w14:val="lining"/>
                <w14:numSpacing w14:val="proportional"/>
              </w:rPr>
              <w:t>Fossil Fuel Electricity Generation</w:t>
            </w:r>
          </w:p>
        </w:tc>
        <w:tc>
          <w:tcPr>
            <w:tcW w:w="3466" w:type="dxa"/>
            <w:gridSpan w:val="2"/>
            <w:tcBorders>
              <w:top w:val="single" w:sz="4" w:space="0" w:color="auto"/>
              <w:left w:val="nil"/>
              <w:bottom w:val="single" w:sz="4" w:space="0" w:color="auto"/>
            </w:tcBorders>
            <w:shd w:val="clear" w:color="auto" w:fill="CEE9FB" w:themeFill="accent3" w:themeFillTint="33"/>
            <w:vAlign w:val="center"/>
          </w:tcPr>
          <w:p w14:paraId="55F3BF66" w14:textId="77777777" w:rsidR="003033B0" w:rsidRPr="007E1A90" w:rsidRDefault="003033B0">
            <w:pPr>
              <w:spacing w:after="0" w:line="240" w:lineRule="auto"/>
              <w:rPr>
                <w:rFonts w:asciiTheme="majorHAnsi" w:hAnsiTheme="majorHAnsi" w:cstheme="majorHAnsi"/>
                <w:b/>
                <w:bCs/>
                <w:color w:val="000000"/>
                <w14:numForm w14:val="lining"/>
                <w14:numSpacing w14:val="proportional"/>
              </w:rPr>
            </w:pPr>
            <w:r w:rsidRPr="007E1A90">
              <w:rPr>
                <w:rFonts w:asciiTheme="majorHAnsi" w:hAnsiTheme="majorHAnsi" w:cstheme="majorHAnsi"/>
                <w:b/>
                <w:bCs/>
                <w:color w:val="000000"/>
                <w14:numForm w14:val="lining"/>
                <w14:numSpacing w14:val="proportional"/>
              </w:rPr>
              <w:t>Coal Mining</w:t>
            </w:r>
          </w:p>
        </w:tc>
        <w:tc>
          <w:tcPr>
            <w:tcW w:w="947" w:type="dxa"/>
            <w:gridSpan w:val="2"/>
            <w:tcBorders>
              <w:top w:val="single" w:sz="4" w:space="0" w:color="auto"/>
              <w:bottom w:val="single" w:sz="4" w:space="0" w:color="auto"/>
              <w:right w:val="single" w:sz="4" w:space="0" w:color="auto"/>
            </w:tcBorders>
            <w:shd w:val="clear" w:color="auto" w:fill="CEE9FB" w:themeFill="accent3" w:themeFillTint="33"/>
            <w:vAlign w:val="bottom"/>
          </w:tcPr>
          <w:p w14:paraId="03029436" w14:textId="77777777" w:rsidR="003033B0" w:rsidRPr="007E1A90" w:rsidRDefault="003033B0">
            <w:pPr>
              <w:spacing w:after="0" w:line="240" w:lineRule="auto"/>
              <w:jc w:val="right"/>
              <w:rPr>
                <w:rFonts w:asciiTheme="majorHAnsi" w:hAnsiTheme="majorHAnsi" w:cstheme="majorHAnsi"/>
                <w:color w:val="000000"/>
                <w14:numForm w14:val="lining"/>
                <w14:numSpacing w14:val="proportional"/>
              </w:rPr>
            </w:pPr>
          </w:p>
        </w:tc>
      </w:tr>
      <w:tr w:rsidR="003033B0" w:rsidRPr="007E1A90" w14:paraId="3E75314F" w14:textId="77777777">
        <w:trPr>
          <w:trHeight w:val="300"/>
        </w:trPr>
        <w:tc>
          <w:tcPr>
            <w:tcW w:w="2971" w:type="dxa"/>
            <w:tcBorders>
              <w:top w:val="single" w:sz="4" w:space="0" w:color="auto"/>
              <w:left w:val="single" w:sz="4" w:space="0" w:color="auto"/>
              <w:bottom w:val="single" w:sz="4" w:space="0" w:color="auto"/>
              <w:right w:val="nil"/>
            </w:tcBorders>
            <w:vAlign w:val="center"/>
          </w:tcPr>
          <w:p w14:paraId="350DBFCB"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Occupation</w:t>
            </w:r>
          </w:p>
        </w:tc>
        <w:tc>
          <w:tcPr>
            <w:tcW w:w="709" w:type="dxa"/>
            <w:tcBorders>
              <w:top w:val="single" w:sz="4" w:space="0" w:color="auto"/>
              <w:left w:val="nil"/>
              <w:bottom w:val="single" w:sz="4" w:space="0" w:color="auto"/>
              <w:right w:val="nil"/>
            </w:tcBorders>
            <w:shd w:val="clear" w:color="auto" w:fill="auto"/>
            <w:noWrap/>
            <w:vAlign w:val="center"/>
          </w:tcPr>
          <w:p w14:paraId="6B83AECD" w14:textId="0B4876F5" w:rsidR="003033B0" w:rsidRPr="007E1A90" w:rsidRDefault="0062198E">
            <w:pPr>
              <w:spacing w:after="0" w:line="240" w:lineRule="auto"/>
              <w:jc w:val="right"/>
              <w:rPr>
                <w:rFonts w:asciiTheme="majorHAnsi" w:eastAsia="Times New Roman" w:hAnsiTheme="majorHAnsi" w:cstheme="majorHAnsi"/>
                <w:b/>
                <w:bCs/>
                <w:color w:val="000000"/>
                <w:lang w:eastAsia="en-AU"/>
                <w14:numForm w14:val="lining"/>
                <w14:numSpacing w14:val="proportional"/>
              </w:rPr>
            </w:pPr>
            <w:r>
              <w:rPr>
                <w:rFonts w:asciiTheme="majorHAnsi" w:eastAsia="Times New Roman" w:hAnsiTheme="majorHAnsi" w:cstheme="majorHAnsi"/>
                <w:b/>
                <w:bCs/>
                <w:color w:val="000000"/>
                <w:lang w:eastAsia="en-AU"/>
                <w14:numForm w14:val="lining"/>
                <w14:numSpacing w14:val="proportional"/>
              </w:rPr>
              <w:t>#</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D5E96E" w14:textId="77777777" w:rsidR="003033B0" w:rsidRPr="007E1A90" w:rsidRDefault="003033B0">
            <w:pPr>
              <w:spacing w:after="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w:t>
            </w:r>
          </w:p>
        </w:tc>
        <w:tc>
          <w:tcPr>
            <w:tcW w:w="2711" w:type="dxa"/>
            <w:tcBorders>
              <w:top w:val="single" w:sz="4" w:space="0" w:color="auto"/>
              <w:left w:val="single" w:sz="4" w:space="0" w:color="auto"/>
              <w:bottom w:val="single" w:sz="4" w:space="0" w:color="auto"/>
              <w:right w:val="nil"/>
            </w:tcBorders>
            <w:vAlign w:val="center"/>
          </w:tcPr>
          <w:p w14:paraId="6A68FDA5" w14:textId="77777777" w:rsidR="003033B0" w:rsidRPr="007E1A90" w:rsidRDefault="003033B0">
            <w:pPr>
              <w:spacing w:after="0" w:line="240" w:lineRule="auto"/>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Occupation</w:t>
            </w:r>
          </w:p>
        </w:tc>
        <w:tc>
          <w:tcPr>
            <w:tcW w:w="992" w:type="dxa"/>
            <w:gridSpan w:val="2"/>
            <w:tcBorders>
              <w:top w:val="single" w:sz="4" w:space="0" w:color="auto"/>
              <w:left w:val="nil"/>
              <w:bottom w:val="single" w:sz="4" w:space="0" w:color="auto"/>
            </w:tcBorders>
            <w:vAlign w:val="center"/>
          </w:tcPr>
          <w:p w14:paraId="58D7973B" w14:textId="77777777" w:rsidR="003033B0" w:rsidRPr="007E1A90" w:rsidRDefault="003033B0">
            <w:pPr>
              <w:spacing w:after="0" w:line="240" w:lineRule="auto"/>
              <w:jc w:val="right"/>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w:t>
            </w:r>
          </w:p>
        </w:tc>
        <w:tc>
          <w:tcPr>
            <w:tcW w:w="710" w:type="dxa"/>
            <w:tcBorders>
              <w:top w:val="single" w:sz="4" w:space="0" w:color="auto"/>
              <w:bottom w:val="single" w:sz="4" w:space="0" w:color="auto"/>
              <w:right w:val="single" w:sz="4" w:space="0" w:color="auto"/>
            </w:tcBorders>
            <w:vAlign w:val="center"/>
          </w:tcPr>
          <w:p w14:paraId="61D188AD" w14:textId="77777777" w:rsidR="003033B0" w:rsidRPr="007E1A90" w:rsidRDefault="003033B0">
            <w:pPr>
              <w:spacing w:after="0" w:line="240" w:lineRule="auto"/>
              <w:jc w:val="right"/>
              <w:rPr>
                <w:rFonts w:asciiTheme="majorHAnsi" w:eastAsia="Times New Roman" w:hAnsiTheme="majorHAnsi" w:cstheme="majorHAnsi"/>
                <w:b/>
                <w:bCs/>
                <w:color w:val="000000"/>
                <w:lang w:eastAsia="en-AU"/>
                <w14:numForm w14:val="lining"/>
                <w14:numSpacing w14:val="proportional"/>
              </w:rPr>
            </w:pPr>
            <w:r w:rsidRPr="007E1A90">
              <w:rPr>
                <w:rFonts w:asciiTheme="majorHAnsi" w:eastAsia="Times New Roman" w:hAnsiTheme="majorHAnsi" w:cstheme="majorHAnsi"/>
                <w:b/>
                <w:bCs/>
                <w:color w:val="000000"/>
                <w:lang w:eastAsia="en-AU"/>
                <w14:numForm w14:val="lining"/>
                <w14:numSpacing w14:val="proportional"/>
              </w:rPr>
              <w:t>%</w:t>
            </w:r>
          </w:p>
        </w:tc>
      </w:tr>
      <w:tr w:rsidR="003033B0" w:rsidRPr="007E1A90" w14:paraId="6E19F626" w14:textId="77777777" w:rsidTr="001064AE">
        <w:trPr>
          <w:trHeight w:val="300"/>
        </w:trPr>
        <w:tc>
          <w:tcPr>
            <w:tcW w:w="2971" w:type="dxa"/>
            <w:tcBorders>
              <w:top w:val="single" w:sz="4" w:space="0" w:color="auto"/>
              <w:left w:val="single" w:sz="4" w:space="0" w:color="auto"/>
              <w:bottom w:val="nil"/>
              <w:right w:val="nil"/>
            </w:tcBorders>
            <w:shd w:val="clear" w:color="auto" w:fill="F2F2F2"/>
            <w:vAlign w:val="center"/>
          </w:tcPr>
          <w:p w14:paraId="30F1831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Power Generation Plant Operator</w:t>
            </w:r>
          </w:p>
        </w:tc>
        <w:tc>
          <w:tcPr>
            <w:tcW w:w="709" w:type="dxa"/>
            <w:tcBorders>
              <w:top w:val="single" w:sz="4" w:space="0" w:color="auto"/>
              <w:left w:val="nil"/>
              <w:bottom w:val="nil"/>
              <w:right w:val="nil"/>
            </w:tcBorders>
            <w:shd w:val="clear" w:color="auto" w:fill="F2F2F2"/>
            <w:noWrap/>
            <w:vAlign w:val="center"/>
          </w:tcPr>
          <w:p w14:paraId="3C3E9F3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705</w:t>
            </w:r>
          </w:p>
        </w:tc>
        <w:tc>
          <w:tcPr>
            <w:tcW w:w="691" w:type="dxa"/>
            <w:tcBorders>
              <w:top w:val="single" w:sz="4" w:space="0" w:color="auto"/>
              <w:left w:val="nil"/>
              <w:bottom w:val="nil"/>
              <w:right w:val="single" w:sz="4" w:space="0" w:color="auto"/>
            </w:tcBorders>
            <w:shd w:val="clear" w:color="auto" w:fill="FA4D56" w:themeFill="accent5"/>
            <w:noWrap/>
            <w:vAlign w:val="center"/>
          </w:tcPr>
          <w:p w14:paraId="496F9C22" w14:textId="2F4308B8" w:rsidR="003033B0" w:rsidRPr="007E1A90" w:rsidRDefault="00B65CF5">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463253">
              <w:rPr>
                <w:rFonts w:asciiTheme="majorHAnsi" w:eastAsia="Times New Roman" w:hAnsiTheme="majorHAnsi" w:cstheme="majorHAnsi"/>
                <w:color w:val="FFFFFF" w:themeColor="background1"/>
                <w:lang w:eastAsia="en-AU"/>
                <w14:numForm w14:val="lining"/>
                <w14:numSpacing w14:val="proportional"/>
              </w:rPr>
              <w:t>33.7</w:t>
            </w:r>
          </w:p>
        </w:tc>
        <w:tc>
          <w:tcPr>
            <w:tcW w:w="2711" w:type="dxa"/>
            <w:tcBorders>
              <w:top w:val="single" w:sz="4" w:space="0" w:color="auto"/>
              <w:left w:val="single" w:sz="4" w:space="0" w:color="auto"/>
              <w:bottom w:val="nil"/>
              <w:right w:val="nil"/>
            </w:tcBorders>
            <w:shd w:val="clear" w:color="auto" w:fill="F2F2F2"/>
            <w:vAlign w:val="center"/>
          </w:tcPr>
          <w:p w14:paraId="59C5AE4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Miner</w:t>
            </w:r>
          </w:p>
        </w:tc>
        <w:tc>
          <w:tcPr>
            <w:tcW w:w="992" w:type="dxa"/>
            <w:gridSpan w:val="2"/>
            <w:tcBorders>
              <w:top w:val="single" w:sz="4" w:space="0" w:color="auto"/>
              <w:left w:val="nil"/>
              <w:bottom w:val="nil"/>
              <w:right w:val="nil"/>
            </w:tcBorders>
            <w:shd w:val="clear" w:color="auto" w:fill="F2F2F2"/>
            <w:vAlign w:val="center"/>
          </w:tcPr>
          <w:p w14:paraId="0FBC93A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14,808</w:t>
            </w:r>
          </w:p>
        </w:tc>
        <w:tc>
          <w:tcPr>
            <w:tcW w:w="710" w:type="dxa"/>
            <w:tcBorders>
              <w:top w:val="single" w:sz="4" w:space="0" w:color="auto"/>
              <w:left w:val="nil"/>
              <w:bottom w:val="nil"/>
              <w:right w:val="single" w:sz="4" w:space="0" w:color="auto"/>
            </w:tcBorders>
            <w:shd w:val="clear" w:color="auto" w:fill="FA4D56" w:themeFill="accent5"/>
            <w:vAlign w:val="center"/>
          </w:tcPr>
          <w:p w14:paraId="5079DCD7" w14:textId="5009C62A" w:rsidR="003033B0" w:rsidRPr="007E1A90" w:rsidRDefault="007B78C2">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463253">
              <w:rPr>
                <w:rFonts w:asciiTheme="majorHAnsi" w:eastAsia="Times New Roman" w:hAnsiTheme="majorHAnsi" w:cstheme="majorHAnsi"/>
                <w:color w:val="FFFFFF" w:themeColor="background1"/>
                <w:lang w:eastAsia="en-AU"/>
                <w14:numForm w14:val="lining"/>
                <w14:numSpacing w14:val="proportional"/>
              </w:rPr>
              <w:t>36.5</w:t>
            </w:r>
          </w:p>
        </w:tc>
      </w:tr>
      <w:tr w:rsidR="003033B0" w:rsidRPr="007E1A90" w14:paraId="3B7ECD70" w14:textId="77777777" w:rsidTr="00463253">
        <w:trPr>
          <w:trHeight w:val="300"/>
        </w:trPr>
        <w:tc>
          <w:tcPr>
            <w:tcW w:w="2971" w:type="dxa"/>
            <w:tcBorders>
              <w:top w:val="nil"/>
              <w:left w:val="single" w:sz="4" w:space="0" w:color="auto"/>
              <w:bottom w:val="nil"/>
              <w:right w:val="nil"/>
            </w:tcBorders>
            <w:vAlign w:val="center"/>
          </w:tcPr>
          <w:p w14:paraId="75050C08"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Electrician (General)</w:t>
            </w:r>
          </w:p>
        </w:tc>
        <w:tc>
          <w:tcPr>
            <w:tcW w:w="709" w:type="dxa"/>
            <w:tcBorders>
              <w:top w:val="nil"/>
              <w:left w:val="nil"/>
              <w:bottom w:val="nil"/>
              <w:right w:val="nil"/>
            </w:tcBorders>
            <w:shd w:val="clear" w:color="auto" w:fill="auto"/>
            <w:noWrap/>
            <w:vAlign w:val="center"/>
          </w:tcPr>
          <w:p w14:paraId="5DAB956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528</w:t>
            </w:r>
          </w:p>
        </w:tc>
        <w:tc>
          <w:tcPr>
            <w:tcW w:w="691" w:type="dxa"/>
            <w:tcBorders>
              <w:top w:val="nil"/>
              <w:left w:val="nil"/>
              <w:bottom w:val="nil"/>
              <w:right w:val="single" w:sz="4" w:space="0" w:color="auto"/>
            </w:tcBorders>
            <w:shd w:val="clear" w:color="auto" w:fill="E3EB9B" w:themeFill="background2" w:themeFillTint="99"/>
            <w:noWrap/>
            <w:vAlign w:val="center"/>
          </w:tcPr>
          <w:p w14:paraId="1A8F6C0F"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0.4</w:t>
            </w:r>
          </w:p>
        </w:tc>
        <w:tc>
          <w:tcPr>
            <w:tcW w:w="2711" w:type="dxa"/>
            <w:tcBorders>
              <w:top w:val="nil"/>
              <w:left w:val="single" w:sz="4" w:space="0" w:color="auto"/>
              <w:bottom w:val="nil"/>
              <w:right w:val="nil"/>
            </w:tcBorders>
            <w:vAlign w:val="center"/>
          </w:tcPr>
          <w:p w14:paraId="0B31348C"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Fitter (General)</w:t>
            </w:r>
          </w:p>
        </w:tc>
        <w:tc>
          <w:tcPr>
            <w:tcW w:w="992" w:type="dxa"/>
            <w:gridSpan w:val="2"/>
            <w:tcBorders>
              <w:top w:val="nil"/>
              <w:left w:val="nil"/>
              <w:bottom w:val="nil"/>
              <w:right w:val="nil"/>
            </w:tcBorders>
            <w:vAlign w:val="center"/>
          </w:tcPr>
          <w:p w14:paraId="79B9A21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5,983</w:t>
            </w:r>
          </w:p>
        </w:tc>
        <w:tc>
          <w:tcPr>
            <w:tcW w:w="710" w:type="dxa"/>
            <w:tcBorders>
              <w:top w:val="nil"/>
              <w:left w:val="nil"/>
              <w:bottom w:val="nil"/>
              <w:right w:val="single" w:sz="4" w:space="0" w:color="auto"/>
            </w:tcBorders>
            <w:shd w:val="clear" w:color="auto" w:fill="FCC274"/>
            <w:vAlign w:val="center"/>
          </w:tcPr>
          <w:p w14:paraId="618B63C1" w14:textId="2426DD71" w:rsidR="003033B0" w:rsidRPr="007E1A90" w:rsidRDefault="007B78C2">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Pr>
                <w:rFonts w:asciiTheme="majorHAnsi" w:eastAsia="Times New Roman" w:hAnsiTheme="majorHAnsi" w:cstheme="majorHAnsi"/>
                <w:color w:val="000000"/>
                <w:lang w:eastAsia="en-AU"/>
                <w14:numForm w14:val="lining"/>
                <w14:numSpacing w14:val="proportional"/>
              </w:rPr>
              <w:t>8.7</w:t>
            </w:r>
          </w:p>
        </w:tc>
      </w:tr>
      <w:tr w:rsidR="003033B0" w:rsidRPr="007E1A90" w14:paraId="671D9481" w14:textId="77777777" w:rsidTr="00463253">
        <w:trPr>
          <w:trHeight w:val="300"/>
        </w:trPr>
        <w:tc>
          <w:tcPr>
            <w:tcW w:w="2971" w:type="dxa"/>
            <w:tcBorders>
              <w:top w:val="nil"/>
              <w:left w:val="single" w:sz="4" w:space="0" w:color="auto"/>
              <w:bottom w:val="nil"/>
              <w:right w:val="nil"/>
            </w:tcBorders>
            <w:shd w:val="clear" w:color="auto" w:fill="F2F2F2"/>
            <w:vAlign w:val="center"/>
          </w:tcPr>
          <w:p w14:paraId="0A9C11D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Fitter (General)</w:t>
            </w:r>
          </w:p>
        </w:tc>
        <w:tc>
          <w:tcPr>
            <w:tcW w:w="709" w:type="dxa"/>
            <w:tcBorders>
              <w:top w:val="nil"/>
              <w:left w:val="nil"/>
              <w:bottom w:val="nil"/>
              <w:right w:val="nil"/>
            </w:tcBorders>
            <w:shd w:val="clear" w:color="auto" w:fill="F2F2F2"/>
            <w:noWrap/>
            <w:vAlign w:val="center"/>
          </w:tcPr>
          <w:p w14:paraId="20660C66"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344</w:t>
            </w:r>
          </w:p>
        </w:tc>
        <w:tc>
          <w:tcPr>
            <w:tcW w:w="691" w:type="dxa"/>
            <w:tcBorders>
              <w:top w:val="nil"/>
              <w:left w:val="nil"/>
              <w:bottom w:val="nil"/>
              <w:right w:val="single" w:sz="4" w:space="0" w:color="auto"/>
            </w:tcBorders>
            <w:shd w:val="clear" w:color="auto" w:fill="E3EB9B" w:themeFill="background2" w:themeFillTint="99"/>
            <w:noWrap/>
            <w:vAlign w:val="center"/>
          </w:tcPr>
          <w:p w14:paraId="05F678FA" w14:textId="5DF427E2"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w:t>
            </w:r>
            <w:r w:rsidR="00423489">
              <w:rPr>
                <w:rFonts w:asciiTheme="majorHAnsi" w:eastAsia="Times New Roman" w:hAnsiTheme="majorHAnsi" w:cstheme="majorHAnsi"/>
                <w:color w:val="000000"/>
                <w:lang w:eastAsia="en-AU"/>
                <w14:numForm w14:val="lining"/>
                <w14:numSpacing w14:val="proportional"/>
              </w:rPr>
              <w:t>5</w:t>
            </w:r>
          </w:p>
        </w:tc>
        <w:tc>
          <w:tcPr>
            <w:tcW w:w="2711" w:type="dxa"/>
            <w:tcBorders>
              <w:top w:val="nil"/>
              <w:left w:val="single" w:sz="4" w:space="0" w:color="auto"/>
              <w:bottom w:val="nil"/>
              <w:right w:val="nil"/>
            </w:tcBorders>
            <w:shd w:val="clear" w:color="auto" w:fill="F2F2F2"/>
            <w:vAlign w:val="center"/>
          </w:tcPr>
          <w:p w14:paraId="5B8BD314"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Electrician (General)</w:t>
            </w:r>
          </w:p>
        </w:tc>
        <w:tc>
          <w:tcPr>
            <w:tcW w:w="992" w:type="dxa"/>
            <w:gridSpan w:val="2"/>
            <w:tcBorders>
              <w:top w:val="nil"/>
              <w:left w:val="nil"/>
              <w:bottom w:val="nil"/>
              <w:right w:val="nil"/>
            </w:tcBorders>
            <w:shd w:val="clear" w:color="auto" w:fill="F2F2F2"/>
            <w:vAlign w:val="center"/>
          </w:tcPr>
          <w:p w14:paraId="1E2D925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2,639</w:t>
            </w:r>
          </w:p>
        </w:tc>
        <w:tc>
          <w:tcPr>
            <w:tcW w:w="710" w:type="dxa"/>
            <w:tcBorders>
              <w:top w:val="nil"/>
              <w:left w:val="nil"/>
              <w:bottom w:val="nil"/>
              <w:right w:val="single" w:sz="4" w:space="0" w:color="auto"/>
            </w:tcBorders>
            <w:shd w:val="clear" w:color="auto" w:fill="F7F28F"/>
            <w:vAlign w:val="center"/>
          </w:tcPr>
          <w:p w14:paraId="5552DE0E"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2.1</w:t>
            </w:r>
          </w:p>
        </w:tc>
      </w:tr>
      <w:tr w:rsidR="003033B0" w:rsidRPr="007E1A90" w14:paraId="2105C012" w14:textId="77777777" w:rsidTr="004553AC">
        <w:trPr>
          <w:trHeight w:val="300"/>
        </w:trPr>
        <w:tc>
          <w:tcPr>
            <w:tcW w:w="2971" w:type="dxa"/>
            <w:tcBorders>
              <w:top w:val="nil"/>
              <w:left w:val="single" w:sz="4" w:space="0" w:color="auto"/>
              <w:bottom w:val="nil"/>
              <w:right w:val="nil"/>
            </w:tcBorders>
            <w:vAlign w:val="center"/>
          </w:tcPr>
          <w:p w14:paraId="74D6F56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Electrical Engineer</w:t>
            </w:r>
          </w:p>
        </w:tc>
        <w:tc>
          <w:tcPr>
            <w:tcW w:w="709" w:type="dxa"/>
            <w:tcBorders>
              <w:top w:val="nil"/>
              <w:left w:val="nil"/>
              <w:bottom w:val="nil"/>
              <w:right w:val="nil"/>
            </w:tcBorders>
            <w:shd w:val="clear" w:color="auto" w:fill="auto"/>
            <w:noWrap/>
            <w:vAlign w:val="center"/>
          </w:tcPr>
          <w:p w14:paraId="7591306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237</w:t>
            </w:r>
          </w:p>
        </w:tc>
        <w:tc>
          <w:tcPr>
            <w:tcW w:w="691" w:type="dxa"/>
            <w:tcBorders>
              <w:top w:val="nil"/>
              <w:left w:val="nil"/>
              <w:bottom w:val="nil"/>
              <w:right w:val="single" w:sz="4" w:space="0" w:color="auto"/>
            </w:tcBorders>
            <w:shd w:val="clear" w:color="auto" w:fill="E8E150"/>
            <w:noWrap/>
            <w:vAlign w:val="center"/>
          </w:tcPr>
          <w:p w14:paraId="5DFAE46A"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1.3</w:t>
            </w:r>
          </w:p>
        </w:tc>
        <w:tc>
          <w:tcPr>
            <w:tcW w:w="2711" w:type="dxa"/>
            <w:tcBorders>
              <w:top w:val="nil"/>
              <w:left w:val="single" w:sz="4" w:space="0" w:color="auto"/>
              <w:bottom w:val="nil"/>
              <w:right w:val="nil"/>
            </w:tcBorders>
            <w:vAlign w:val="center"/>
          </w:tcPr>
          <w:p w14:paraId="7D19A03A"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Truck Driver (General)</w:t>
            </w:r>
          </w:p>
        </w:tc>
        <w:tc>
          <w:tcPr>
            <w:tcW w:w="992" w:type="dxa"/>
            <w:gridSpan w:val="2"/>
            <w:tcBorders>
              <w:top w:val="nil"/>
              <w:left w:val="nil"/>
              <w:bottom w:val="nil"/>
              <w:right w:val="nil"/>
            </w:tcBorders>
            <w:vAlign w:val="center"/>
          </w:tcPr>
          <w:p w14:paraId="5B24DC96"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2,369</w:t>
            </w:r>
          </w:p>
        </w:tc>
        <w:tc>
          <w:tcPr>
            <w:tcW w:w="710" w:type="dxa"/>
            <w:tcBorders>
              <w:top w:val="nil"/>
              <w:left w:val="nil"/>
              <w:bottom w:val="nil"/>
              <w:right w:val="single" w:sz="4" w:space="0" w:color="auto"/>
            </w:tcBorders>
            <w:shd w:val="clear" w:color="auto" w:fill="E8E150"/>
            <w:vAlign w:val="center"/>
          </w:tcPr>
          <w:p w14:paraId="302F48B9" w14:textId="5E51BA96" w:rsidR="003033B0" w:rsidRPr="007E1A90" w:rsidRDefault="004553AC">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Pr>
                <w:rFonts w:asciiTheme="majorHAnsi" w:eastAsia="Times New Roman" w:hAnsiTheme="majorHAnsi" w:cstheme="majorHAnsi"/>
                <w:color w:val="000000"/>
                <w:lang w:eastAsia="en-AU"/>
                <w14:numForm w14:val="lining"/>
                <w14:numSpacing w14:val="proportional"/>
              </w:rPr>
              <w:t>1.2</w:t>
            </w:r>
          </w:p>
        </w:tc>
      </w:tr>
      <w:tr w:rsidR="003033B0" w:rsidRPr="007E1A90" w14:paraId="6B3B7B3C" w14:textId="77777777" w:rsidTr="00804CAF">
        <w:trPr>
          <w:trHeight w:val="300"/>
        </w:trPr>
        <w:tc>
          <w:tcPr>
            <w:tcW w:w="2971" w:type="dxa"/>
            <w:tcBorders>
              <w:top w:val="nil"/>
              <w:left w:val="single" w:sz="4" w:space="0" w:color="auto"/>
              <w:bottom w:val="nil"/>
              <w:right w:val="nil"/>
            </w:tcBorders>
            <w:shd w:val="clear" w:color="auto" w:fill="F2F2F2"/>
            <w:vAlign w:val="center"/>
          </w:tcPr>
          <w:p w14:paraId="74A6245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Specialist Managers nec</w:t>
            </w:r>
          </w:p>
        </w:tc>
        <w:tc>
          <w:tcPr>
            <w:tcW w:w="709" w:type="dxa"/>
            <w:tcBorders>
              <w:top w:val="nil"/>
              <w:left w:val="nil"/>
              <w:bottom w:val="nil"/>
              <w:right w:val="nil"/>
            </w:tcBorders>
            <w:shd w:val="clear" w:color="auto" w:fill="F2F2F2"/>
            <w:noWrap/>
            <w:vAlign w:val="center"/>
          </w:tcPr>
          <w:p w14:paraId="24CDFBF9"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186</w:t>
            </w:r>
          </w:p>
        </w:tc>
        <w:tc>
          <w:tcPr>
            <w:tcW w:w="691" w:type="dxa"/>
            <w:tcBorders>
              <w:top w:val="nil"/>
              <w:left w:val="nil"/>
              <w:bottom w:val="nil"/>
              <w:right w:val="single" w:sz="4" w:space="0" w:color="auto"/>
            </w:tcBorders>
            <w:shd w:val="clear" w:color="auto" w:fill="E3EB9B" w:themeFill="background2" w:themeFillTint="99"/>
            <w:noWrap/>
            <w:vAlign w:val="center"/>
          </w:tcPr>
          <w:p w14:paraId="0D48406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0.6</w:t>
            </w:r>
          </w:p>
        </w:tc>
        <w:tc>
          <w:tcPr>
            <w:tcW w:w="2711" w:type="dxa"/>
            <w:tcBorders>
              <w:top w:val="nil"/>
              <w:left w:val="single" w:sz="4" w:space="0" w:color="auto"/>
              <w:bottom w:val="nil"/>
              <w:right w:val="nil"/>
            </w:tcBorders>
            <w:shd w:val="clear" w:color="auto" w:fill="F2F2F2"/>
            <w:vAlign w:val="center"/>
          </w:tcPr>
          <w:p w14:paraId="27DC3538"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Mine Deputy</w:t>
            </w:r>
          </w:p>
        </w:tc>
        <w:tc>
          <w:tcPr>
            <w:tcW w:w="992" w:type="dxa"/>
            <w:gridSpan w:val="2"/>
            <w:tcBorders>
              <w:top w:val="nil"/>
              <w:left w:val="nil"/>
              <w:bottom w:val="nil"/>
              <w:right w:val="nil"/>
            </w:tcBorders>
            <w:shd w:val="clear" w:color="auto" w:fill="F2F2F2"/>
            <w:vAlign w:val="center"/>
          </w:tcPr>
          <w:p w14:paraId="45F271D8"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2,051</w:t>
            </w:r>
          </w:p>
        </w:tc>
        <w:tc>
          <w:tcPr>
            <w:tcW w:w="710" w:type="dxa"/>
            <w:tcBorders>
              <w:top w:val="nil"/>
              <w:left w:val="nil"/>
              <w:bottom w:val="nil"/>
              <w:right w:val="single" w:sz="4" w:space="0" w:color="auto"/>
            </w:tcBorders>
            <w:shd w:val="clear" w:color="auto" w:fill="FF969A"/>
            <w:vAlign w:val="center"/>
          </w:tcPr>
          <w:p w14:paraId="010656C5" w14:textId="6038A899" w:rsidR="003033B0" w:rsidRPr="007E1A90" w:rsidRDefault="001B42C1">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Pr>
                <w:rFonts w:asciiTheme="majorHAnsi" w:eastAsia="Times New Roman" w:hAnsiTheme="majorHAnsi" w:cstheme="majorHAnsi"/>
                <w:color w:val="000000"/>
                <w:lang w:eastAsia="en-AU"/>
                <w14:numForm w14:val="lining"/>
                <w14:numSpacing w14:val="proportional"/>
              </w:rPr>
              <w:t>27.8</w:t>
            </w:r>
          </w:p>
        </w:tc>
      </w:tr>
      <w:tr w:rsidR="003033B0" w:rsidRPr="007E1A90" w14:paraId="40FF6998" w14:textId="77777777" w:rsidTr="00B432FF">
        <w:trPr>
          <w:trHeight w:val="300"/>
        </w:trPr>
        <w:tc>
          <w:tcPr>
            <w:tcW w:w="2971" w:type="dxa"/>
            <w:tcBorders>
              <w:top w:val="nil"/>
              <w:left w:val="single" w:sz="4" w:space="0" w:color="auto"/>
              <w:bottom w:val="nil"/>
              <w:right w:val="nil"/>
            </w:tcBorders>
            <w:vAlign w:val="center"/>
          </w:tcPr>
          <w:p w14:paraId="63F3AB6D"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Program or Project Administrator</w:t>
            </w:r>
          </w:p>
        </w:tc>
        <w:tc>
          <w:tcPr>
            <w:tcW w:w="709" w:type="dxa"/>
            <w:tcBorders>
              <w:top w:val="nil"/>
              <w:left w:val="nil"/>
              <w:bottom w:val="nil"/>
              <w:right w:val="nil"/>
            </w:tcBorders>
            <w:shd w:val="clear" w:color="auto" w:fill="auto"/>
            <w:noWrap/>
            <w:vAlign w:val="center"/>
          </w:tcPr>
          <w:p w14:paraId="160458EE"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172</w:t>
            </w:r>
          </w:p>
        </w:tc>
        <w:tc>
          <w:tcPr>
            <w:tcW w:w="691" w:type="dxa"/>
            <w:tcBorders>
              <w:top w:val="nil"/>
              <w:left w:val="nil"/>
              <w:bottom w:val="nil"/>
              <w:right w:val="single" w:sz="4" w:space="0" w:color="auto"/>
            </w:tcBorders>
            <w:shd w:val="clear" w:color="auto" w:fill="E3EB9B" w:themeFill="background2" w:themeFillTint="99"/>
            <w:noWrap/>
            <w:vAlign w:val="center"/>
          </w:tcPr>
          <w:p w14:paraId="3FD45E4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0.2</w:t>
            </w:r>
          </w:p>
        </w:tc>
        <w:tc>
          <w:tcPr>
            <w:tcW w:w="2711" w:type="dxa"/>
            <w:tcBorders>
              <w:top w:val="nil"/>
              <w:left w:val="single" w:sz="4" w:space="0" w:color="auto"/>
              <w:bottom w:val="nil"/>
              <w:right w:val="nil"/>
            </w:tcBorders>
            <w:vAlign w:val="center"/>
          </w:tcPr>
          <w:p w14:paraId="5130BB81"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Production Manager (Mining)</w:t>
            </w:r>
          </w:p>
        </w:tc>
        <w:tc>
          <w:tcPr>
            <w:tcW w:w="992" w:type="dxa"/>
            <w:gridSpan w:val="2"/>
            <w:tcBorders>
              <w:top w:val="nil"/>
              <w:left w:val="nil"/>
              <w:bottom w:val="nil"/>
              <w:right w:val="nil"/>
            </w:tcBorders>
            <w:vAlign w:val="center"/>
          </w:tcPr>
          <w:p w14:paraId="5596202D"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1,479</w:t>
            </w:r>
          </w:p>
        </w:tc>
        <w:tc>
          <w:tcPr>
            <w:tcW w:w="710" w:type="dxa"/>
            <w:tcBorders>
              <w:top w:val="nil"/>
              <w:left w:val="nil"/>
              <w:bottom w:val="nil"/>
              <w:right w:val="single" w:sz="4" w:space="0" w:color="auto"/>
            </w:tcBorders>
            <w:shd w:val="clear" w:color="auto" w:fill="FCC274"/>
            <w:vAlign w:val="center"/>
          </w:tcPr>
          <w:p w14:paraId="7B5D2FCB" w14:textId="024890FF" w:rsidR="003033B0" w:rsidRPr="007E1A90" w:rsidRDefault="001B42C1">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Pr>
                <w:rFonts w:asciiTheme="majorHAnsi" w:eastAsia="Times New Roman" w:hAnsiTheme="majorHAnsi" w:cstheme="majorHAnsi"/>
                <w:color w:val="000000"/>
                <w:lang w:eastAsia="en-AU"/>
                <w14:numForm w14:val="lining"/>
                <w14:numSpacing w14:val="proportional"/>
              </w:rPr>
              <w:t>13.5</w:t>
            </w:r>
          </w:p>
        </w:tc>
      </w:tr>
      <w:tr w:rsidR="003033B0" w:rsidRPr="007E1A90" w14:paraId="51489190" w14:textId="77777777" w:rsidTr="00463253">
        <w:trPr>
          <w:trHeight w:val="300"/>
        </w:trPr>
        <w:tc>
          <w:tcPr>
            <w:tcW w:w="2971" w:type="dxa"/>
            <w:tcBorders>
              <w:top w:val="nil"/>
              <w:left w:val="single" w:sz="4" w:space="0" w:color="auto"/>
              <w:bottom w:val="nil"/>
              <w:right w:val="nil"/>
            </w:tcBorders>
            <w:shd w:val="clear" w:color="auto" w:fill="F2F2F2"/>
            <w:vAlign w:val="center"/>
          </w:tcPr>
          <w:p w14:paraId="2182C6F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Mechanical Engineer</w:t>
            </w:r>
          </w:p>
        </w:tc>
        <w:tc>
          <w:tcPr>
            <w:tcW w:w="709" w:type="dxa"/>
            <w:tcBorders>
              <w:top w:val="nil"/>
              <w:left w:val="nil"/>
              <w:bottom w:val="nil"/>
              <w:right w:val="nil"/>
            </w:tcBorders>
            <w:shd w:val="clear" w:color="auto" w:fill="F2F2F2"/>
            <w:noWrap/>
            <w:vAlign w:val="center"/>
          </w:tcPr>
          <w:p w14:paraId="31177D92"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138</w:t>
            </w:r>
          </w:p>
        </w:tc>
        <w:tc>
          <w:tcPr>
            <w:tcW w:w="691" w:type="dxa"/>
            <w:tcBorders>
              <w:top w:val="nil"/>
              <w:left w:val="nil"/>
              <w:bottom w:val="nil"/>
              <w:right w:val="single" w:sz="4" w:space="0" w:color="auto"/>
            </w:tcBorders>
            <w:shd w:val="clear" w:color="auto" w:fill="E3EB9B" w:themeFill="background2" w:themeFillTint="99"/>
            <w:noWrap/>
            <w:vAlign w:val="center"/>
          </w:tcPr>
          <w:p w14:paraId="6D391856"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0.6</w:t>
            </w:r>
          </w:p>
        </w:tc>
        <w:tc>
          <w:tcPr>
            <w:tcW w:w="2711" w:type="dxa"/>
            <w:tcBorders>
              <w:top w:val="nil"/>
              <w:left w:val="single" w:sz="4" w:space="0" w:color="auto"/>
              <w:bottom w:val="nil"/>
              <w:right w:val="nil"/>
            </w:tcBorders>
            <w:shd w:val="clear" w:color="auto" w:fill="F2F2F2"/>
            <w:vAlign w:val="center"/>
          </w:tcPr>
          <w:p w14:paraId="42679454"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Metal Fabricator</w:t>
            </w:r>
          </w:p>
        </w:tc>
        <w:tc>
          <w:tcPr>
            <w:tcW w:w="992" w:type="dxa"/>
            <w:gridSpan w:val="2"/>
            <w:tcBorders>
              <w:top w:val="nil"/>
              <w:left w:val="nil"/>
              <w:bottom w:val="nil"/>
              <w:right w:val="nil"/>
            </w:tcBorders>
            <w:shd w:val="clear" w:color="auto" w:fill="F2F2F2"/>
            <w:vAlign w:val="center"/>
          </w:tcPr>
          <w:p w14:paraId="1AB22260"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939</w:t>
            </w:r>
          </w:p>
        </w:tc>
        <w:tc>
          <w:tcPr>
            <w:tcW w:w="710" w:type="dxa"/>
            <w:tcBorders>
              <w:top w:val="nil"/>
              <w:left w:val="nil"/>
              <w:bottom w:val="nil"/>
              <w:right w:val="single" w:sz="4" w:space="0" w:color="auto"/>
            </w:tcBorders>
            <w:shd w:val="clear" w:color="auto" w:fill="F7F28F"/>
            <w:vAlign w:val="center"/>
          </w:tcPr>
          <w:p w14:paraId="3EDD77C5" w14:textId="4EAF8C25"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w:t>
            </w:r>
            <w:r w:rsidR="001B42C1">
              <w:rPr>
                <w:rFonts w:asciiTheme="majorHAnsi" w:eastAsia="Times New Roman" w:hAnsiTheme="majorHAnsi" w:cstheme="majorHAnsi"/>
                <w:color w:val="000000"/>
                <w:lang w:eastAsia="en-AU"/>
                <w14:numForm w14:val="lining"/>
                <w14:numSpacing w14:val="proportional"/>
              </w:rPr>
              <w:t>2</w:t>
            </w:r>
          </w:p>
        </w:tc>
      </w:tr>
      <w:tr w:rsidR="003033B0" w:rsidRPr="007E1A90" w14:paraId="2F513B03" w14:textId="77777777" w:rsidTr="00B432FF">
        <w:trPr>
          <w:trHeight w:val="300"/>
        </w:trPr>
        <w:tc>
          <w:tcPr>
            <w:tcW w:w="2971" w:type="dxa"/>
            <w:tcBorders>
              <w:top w:val="nil"/>
              <w:left w:val="single" w:sz="4" w:space="0" w:color="auto"/>
              <w:bottom w:val="nil"/>
              <w:right w:val="nil"/>
            </w:tcBorders>
            <w:vAlign w:val="center"/>
          </w:tcPr>
          <w:p w14:paraId="680528B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Metal Fabricator</w:t>
            </w:r>
          </w:p>
        </w:tc>
        <w:tc>
          <w:tcPr>
            <w:tcW w:w="709" w:type="dxa"/>
            <w:tcBorders>
              <w:top w:val="nil"/>
              <w:left w:val="nil"/>
              <w:bottom w:val="nil"/>
              <w:right w:val="nil"/>
            </w:tcBorders>
            <w:shd w:val="clear" w:color="auto" w:fill="auto"/>
            <w:noWrap/>
            <w:vAlign w:val="center"/>
          </w:tcPr>
          <w:p w14:paraId="28F7C16F"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114</w:t>
            </w:r>
          </w:p>
        </w:tc>
        <w:tc>
          <w:tcPr>
            <w:tcW w:w="691" w:type="dxa"/>
            <w:tcBorders>
              <w:top w:val="nil"/>
              <w:left w:val="nil"/>
              <w:bottom w:val="nil"/>
              <w:right w:val="single" w:sz="4" w:space="0" w:color="auto"/>
            </w:tcBorders>
            <w:shd w:val="clear" w:color="auto" w:fill="E3EB9B" w:themeFill="background2" w:themeFillTint="99"/>
            <w:noWrap/>
            <w:vAlign w:val="center"/>
          </w:tcPr>
          <w:p w14:paraId="43C487B4"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0.3</w:t>
            </w:r>
          </w:p>
        </w:tc>
        <w:tc>
          <w:tcPr>
            <w:tcW w:w="2711" w:type="dxa"/>
            <w:tcBorders>
              <w:top w:val="nil"/>
              <w:left w:val="single" w:sz="4" w:space="0" w:color="auto"/>
              <w:bottom w:val="nil"/>
              <w:right w:val="nil"/>
            </w:tcBorders>
            <w:vAlign w:val="center"/>
          </w:tcPr>
          <w:p w14:paraId="6596F010"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Mining Engineer</w:t>
            </w:r>
          </w:p>
        </w:tc>
        <w:tc>
          <w:tcPr>
            <w:tcW w:w="992" w:type="dxa"/>
            <w:gridSpan w:val="2"/>
            <w:tcBorders>
              <w:top w:val="nil"/>
              <w:left w:val="nil"/>
              <w:bottom w:val="nil"/>
              <w:right w:val="nil"/>
            </w:tcBorders>
            <w:vAlign w:val="center"/>
          </w:tcPr>
          <w:p w14:paraId="6A847053"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929</w:t>
            </w:r>
          </w:p>
        </w:tc>
        <w:tc>
          <w:tcPr>
            <w:tcW w:w="710" w:type="dxa"/>
            <w:tcBorders>
              <w:top w:val="nil"/>
              <w:left w:val="nil"/>
              <w:bottom w:val="nil"/>
              <w:right w:val="single" w:sz="4" w:space="0" w:color="auto"/>
            </w:tcBorders>
            <w:shd w:val="clear" w:color="auto" w:fill="FCC274"/>
            <w:vAlign w:val="center"/>
          </w:tcPr>
          <w:p w14:paraId="75D60A2C" w14:textId="7F515252"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w:t>
            </w:r>
            <w:r w:rsidR="001B42C1">
              <w:rPr>
                <w:rFonts w:asciiTheme="majorHAnsi" w:eastAsia="Times New Roman" w:hAnsiTheme="majorHAnsi" w:cstheme="majorHAnsi"/>
                <w:color w:val="000000"/>
                <w:lang w:eastAsia="en-AU"/>
                <w14:numForm w14:val="lining"/>
                <w14:numSpacing w14:val="proportional"/>
              </w:rPr>
              <w:t>5.8</w:t>
            </w:r>
          </w:p>
        </w:tc>
      </w:tr>
      <w:tr w:rsidR="003033B0" w:rsidRPr="007E1A90" w14:paraId="4464B1CE" w14:textId="77777777">
        <w:trPr>
          <w:trHeight w:val="300"/>
        </w:trPr>
        <w:tc>
          <w:tcPr>
            <w:tcW w:w="2971" w:type="dxa"/>
            <w:tcBorders>
              <w:top w:val="nil"/>
              <w:left w:val="single" w:sz="4" w:space="0" w:color="auto"/>
              <w:bottom w:val="nil"/>
              <w:right w:val="nil"/>
            </w:tcBorders>
            <w:shd w:val="clear" w:color="auto" w:fill="F2F2F2"/>
            <w:vAlign w:val="center"/>
          </w:tcPr>
          <w:p w14:paraId="5A51B3D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Accountant (General)</w:t>
            </w:r>
          </w:p>
        </w:tc>
        <w:tc>
          <w:tcPr>
            <w:tcW w:w="709" w:type="dxa"/>
            <w:tcBorders>
              <w:top w:val="nil"/>
              <w:left w:val="nil"/>
              <w:bottom w:val="nil"/>
              <w:right w:val="nil"/>
            </w:tcBorders>
            <w:shd w:val="clear" w:color="auto" w:fill="F2F2F2"/>
            <w:noWrap/>
            <w:vAlign w:val="center"/>
          </w:tcPr>
          <w:p w14:paraId="0B6CF91A"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106</w:t>
            </w:r>
          </w:p>
        </w:tc>
        <w:tc>
          <w:tcPr>
            <w:tcW w:w="691" w:type="dxa"/>
            <w:tcBorders>
              <w:top w:val="nil"/>
              <w:left w:val="nil"/>
              <w:bottom w:val="nil"/>
              <w:right w:val="single" w:sz="4" w:space="0" w:color="auto"/>
            </w:tcBorders>
            <w:shd w:val="clear" w:color="auto" w:fill="E3EB9B" w:themeFill="background2" w:themeFillTint="99"/>
            <w:noWrap/>
            <w:vAlign w:val="center"/>
          </w:tcPr>
          <w:p w14:paraId="6E9D248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0.1</w:t>
            </w:r>
          </w:p>
        </w:tc>
        <w:tc>
          <w:tcPr>
            <w:tcW w:w="2711" w:type="dxa"/>
            <w:tcBorders>
              <w:top w:val="nil"/>
              <w:left w:val="single" w:sz="4" w:space="0" w:color="auto"/>
              <w:bottom w:val="nil"/>
              <w:right w:val="nil"/>
            </w:tcBorders>
            <w:shd w:val="clear" w:color="auto" w:fill="F2F2F2"/>
            <w:vAlign w:val="center"/>
          </w:tcPr>
          <w:p w14:paraId="1D90015A"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Maintenance Planner</w:t>
            </w:r>
          </w:p>
        </w:tc>
        <w:tc>
          <w:tcPr>
            <w:tcW w:w="992" w:type="dxa"/>
            <w:gridSpan w:val="2"/>
            <w:tcBorders>
              <w:top w:val="nil"/>
              <w:left w:val="nil"/>
              <w:bottom w:val="nil"/>
              <w:right w:val="nil"/>
            </w:tcBorders>
            <w:shd w:val="clear" w:color="auto" w:fill="F2F2F2"/>
            <w:vAlign w:val="center"/>
          </w:tcPr>
          <w:p w14:paraId="3890A227"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641</w:t>
            </w:r>
          </w:p>
        </w:tc>
        <w:tc>
          <w:tcPr>
            <w:tcW w:w="710" w:type="dxa"/>
            <w:tcBorders>
              <w:top w:val="nil"/>
              <w:left w:val="nil"/>
              <w:bottom w:val="nil"/>
              <w:right w:val="single" w:sz="4" w:space="0" w:color="auto"/>
            </w:tcBorders>
            <w:shd w:val="clear" w:color="auto" w:fill="FFEA8F"/>
            <w:vAlign w:val="center"/>
          </w:tcPr>
          <w:p w14:paraId="1FA97E73" w14:textId="33FDB33E" w:rsidR="003033B0" w:rsidRPr="007E1A90" w:rsidRDefault="001B42C1">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Pr>
                <w:rFonts w:asciiTheme="majorHAnsi" w:eastAsia="Times New Roman" w:hAnsiTheme="majorHAnsi" w:cstheme="majorHAnsi"/>
                <w:color w:val="000000"/>
                <w:lang w:eastAsia="en-AU"/>
                <w14:numForm w14:val="lining"/>
                <w14:numSpacing w14:val="proportional"/>
              </w:rPr>
              <w:t>7.7</w:t>
            </w:r>
          </w:p>
        </w:tc>
      </w:tr>
      <w:tr w:rsidR="003033B0" w:rsidRPr="007E1A90" w14:paraId="16D10847" w14:textId="77777777" w:rsidTr="00804CAF">
        <w:trPr>
          <w:trHeight w:val="300"/>
        </w:trPr>
        <w:tc>
          <w:tcPr>
            <w:tcW w:w="2971" w:type="dxa"/>
            <w:tcBorders>
              <w:top w:val="nil"/>
              <w:left w:val="single" w:sz="4" w:space="0" w:color="auto"/>
              <w:right w:val="nil"/>
            </w:tcBorders>
            <w:vAlign w:val="center"/>
          </w:tcPr>
          <w:p w14:paraId="6606163B"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Electrical Engineering Technician</w:t>
            </w:r>
          </w:p>
        </w:tc>
        <w:tc>
          <w:tcPr>
            <w:tcW w:w="709" w:type="dxa"/>
            <w:tcBorders>
              <w:top w:val="nil"/>
              <w:left w:val="nil"/>
              <w:right w:val="nil"/>
            </w:tcBorders>
            <w:shd w:val="clear" w:color="auto" w:fill="auto"/>
            <w:noWrap/>
            <w:vAlign w:val="center"/>
          </w:tcPr>
          <w:p w14:paraId="128FD2F1"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101</w:t>
            </w:r>
          </w:p>
        </w:tc>
        <w:tc>
          <w:tcPr>
            <w:tcW w:w="691" w:type="dxa"/>
            <w:tcBorders>
              <w:top w:val="nil"/>
              <w:left w:val="nil"/>
              <w:right w:val="single" w:sz="4" w:space="0" w:color="auto"/>
            </w:tcBorders>
            <w:shd w:val="clear" w:color="auto" w:fill="E8E150"/>
            <w:noWrap/>
            <w:vAlign w:val="center"/>
          </w:tcPr>
          <w:p w14:paraId="329C248B"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1.5</w:t>
            </w:r>
          </w:p>
        </w:tc>
        <w:tc>
          <w:tcPr>
            <w:tcW w:w="2711" w:type="dxa"/>
            <w:tcBorders>
              <w:top w:val="nil"/>
              <w:left w:val="single" w:sz="4" w:space="0" w:color="auto"/>
              <w:right w:val="nil"/>
            </w:tcBorders>
            <w:vAlign w:val="center"/>
          </w:tcPr>
          <w:p w14:paraId="2B32BCCB"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Driller</w:t>
            </w:r>
          </w:p>
        </w:tc>
        <w:tc>
          <w:tcPr>
            <w:tcW w:w="992" w:type="dxa"/>
            <w:gridSpan w:val="2"/>
            <w:tcBorders>
              <w:top w:val="nil"/>
              <w:left w:val="nil"/>
              <w:right w:val="nil"/>
            </w:tcBorders>
            <w:vAlign w:val="center"/>
          </w:tcPr>
          <w:p w14:paraId="5481787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565</w:t>
            </w:r>
          </w:p>
        </w:tc>
        <w:tc>
          <w:tcPr>
            <w:tcW w:w="710" w:type="dxa"/>
            <w:tcBorders>
              <w:top w:val="nil"/>
              <w:left w:val="nil"/>
              <w:right w:val="single" w:sz="4" w:space="0" w:color="auto"/>
            </w:tcBorders>
            <w:shd w:val="clear" w:color="auto" w:fill="FFEA8F"/>
            <w:vAlign w:val="center"/>
          </w:tcPr>
          <w:p w14:paraId="05F8047E" w14:textId="33920913"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7.</w:t>
            </w:r>
            <w:r w:rsidR="001B42C1">
              <w:rPr>
                <w:rFonts w:asciiTheme="majorHAnsi" w:eastAsia="Times New Roman" w:hAnsiTheme="majorHAnsi" w:cstheme="majorHAnsi"/>
                <w:color w:val="000000"/>
                <w:lang w:eastAsia="en-AU"/>
                <w14:numForm w14:val="lining"/>
                <w14:numSpacing w14:val="proportional"/>
              </w:rPr>
              <w:t>0</w:t>
            </w:r>
          </w:p>
        </w:tc>
      </w:tr>
      <w:tr w:rsidR="003033B0" w:rsidRPr="007E1A90" w14:paraId="4B24E7A8" w14:textId="77777777" w:rsidTr="00B432FF">
        <w:trPr>
          <w:trHeight w:val="300"/>
        </w:trPr>
        <w:tc>
          <w:tcPr>
            <w:tcW w:w="2971" w:type="dxa"/>
            <w:tcBorders>
              <w:top w:val="nil"/>
              <w:left w:val="single" w:sz="4" w:space="0" w:color="auto"/>
              <w:bottom w:val="single" w:sz="4" w:space="0" w:color="auto"/>
              <w:right w:val="nil"/>
            </w:tcBorders>
            <w:shd w:val="clear" w:color="auto" w:fill="F2F2F2"/>
            <w:vAlign w:val="center"/>
          </w:tcPr>
          <w:p w14:paraId="6C374F9A"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General Clerk</w:t>
            </w:r>
          </w:p>
        </w:tc>
        <w:tc>
          <w:tcPr>
            <w:tcW w:w="709" w:type="dxa"/>
            <w:tcBorders>
              <w:top w:val="nil"/>
              <w:left w:val="nil"/>
              <w:bottom w:val="single" w:sz="4" w:space="0" w:color="auto"/>
              <w:right w:val="nil"/>
            </w:tcBorders>
            <w:shd w:val="clear" w:color="auto" w:fill="F2F2F2"/>
            <w:noWrap/>
            <w:vAlign w:val="center"/>
          </w:tcPr>
          <w:p w14:paraId="20F5AF8C"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99</w:t>
            </w:r>
          </w:p>
        </w:tc>
        <w:tc>
          <w:tcPr>
            <w:tcW w:w="691" w:type="dxa"/>
            <w:tcBorders>
              <w:top w:val="nil"/>
              <w:left w:val="nil"/>
              <w:bottom w:val="single" w:sz="4" w:space="0" w:color="auto"/>
              <w:right w:val="single" w:sz="4" w:space="0" w:color="auto"/>
            </w:tcBorders>
            <w:shd w:val="clear" w:color="auto" w:fill="E3EB9B" w:themeFill="background2" w:themeFillTint="99"/>
            <w:noWrap/>
            <w:vAlign w:val="center"/>
          </w:tcPr>
          <w:p w14:paraId="0C5C5738" w14:textId="36F47F5F"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0</w:t>
            </w:r>
            <w:r w:rsidR="00423489">
              <w:rPr>
                <w:rFonts w:asciiTheme="majorHAnsi" w:eastAsia="Times New Roman" w:hAnsiTheme="majorHAnsi" w:cstheme="majorHAnsi"/>
                <w:color w:val="000000"/>
                <w:lang w:eastAsia="en-AU"/>
                <w14:numForm w14:val="lining"/>
                <w14:numSpacing w14:val="proportional"/>
              </w:rPr>
              <w:t>&lt;</w:t>
            </w:r>
          </w:p>
        </w:tc>
        <w:tc>
          <w:tcPr>
            <w:tcW w:w="2711" w:type="dxa"/>
            <w:tcBorders>
              <w:top w:val="nil"/>
              <w:left w:val="single" w:sz="4" w:space="0" w:color="auto"/>
              <w:bottom w:val="single" w:sz="4" w:space="0" w:color="auto"/>
              <w:right w:val="nil"/>
            </w:tcBorders>
            <w:shd w:val="clear" w:color="auto" w:fill="F2F2F2"/>
            <w:vAlign w:val="center"/>
          </w:tcPr>
          <w:p w14:paraId="4D8AAC26" w14:textId="77777777" w:rsidR="003033B0" w:rsidRPr="007E1A90" w:rsidRDefault="003033B0">
            <w:pPr>
              <w:spacing w:before="60" w:after="60" w:line="240" w:lineRule="auto"/>
              <w:rPr>
                <w:rFonts w:asciiTheme="majorHAnsi" w:eastAsia="Times New Roman" w:hAnsiTheme="majorHAnsi" w:cstheme="majorHAnsi"/>
                <w:color w:val="000000"/>
                <w:lang w:eastAsia="en-AU"/>
                <w14:numForm w14:val="lining"/>
                <w14:numSpacing w14:val="proportional"/>
              </w:rPr>
            </w:pPr>
            <w:r w:rsidRPr="007E1A90">
              <w:rPr>
                <w:rFonts w:asciiTheme="majorHAnsi" w:hAnsiTheme="majorHAnsi" w:cstheme="majorHAnsi"/>
                <w14:numForm w14:val="lining"/>
                <w14:numSpacing w14:val="proportional"/>
              </w:rPr>
              <w:t>Shot Firer</w:t>
            </w:r>
          </w:p>
        </w:tc>
        <w:tc>
          <w:tcPr>
            <w:tcW w:w="992" w:type="dxa"/>
            <w:gridSpan w:val="2"/>
            <w:tcBorders>
              <w:top w:val="nil"/>
              <w:left w:val="nil"/>
              <w:bottom w:val="single" w:sz="4" w:space="0" w:color="auto"/>
              <w:right w:val="nil"/>
            </w:tcBorders>
            <w:shd w:val="clear" w:color="auto" w:fill="F2F2F2"/>
            <w:vAlign w:val="center"/>
          </w:tcPr>
          <w:p w14:paraId="5BFB1F78" w14:textId="77777777"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528</w:t>
            </w:r>
          </w:p>
        </w:tc>
        <w:tc>
          <w:tcPr>
            <w:tcW w:w="710" w:type="dxa"/>
            <w:tcBorders>
              <w:top w:val="nil"/>
              <w:left w:val="nil"/>
              <w:bottom w:val="single" w:sz="4" w:space="0" w:color="auto"/>
              <w:right w:val="single" w:sz="4" w:space="0" w:color="auto"/>
            </w:tcBorders>
            <w:shd w:val="clear" w:color="auto" w:fill="FCC274"/>
            <w:vAlign w:val="center"/>
          </w:tcPr>
          <w:p w14:paraId="4BF32D7D" w14:textId="4D2D5D1F" w:rsidR="003033B0" w:rsidRPr="007E1A90" w:rsidRDefault="003033B0">
            <w:pPr>
              <w:spacing w:before="60" w:after="60" w:line="240" w:lineRule="auto"/>
              <w:jc w:val="right"/>
              <w:rPr>
                <w:rFonts w:asciiTheme="majorHAnsi" w:eastAsia="Times New Roman" w:hAnsiTheme="majorHAnsi" w:cstheme="majorHAnsi"/>
                <w:color w:val="000000"/>
                <w:lang w:eastAsia="en-AU"/>
                <w14:numForm w14:val="lining"/>
                <w14:numSpacing w14:val="proportional"/>
              </w:rPr>
            </w:pPr>
            <w:r w:rsidRPr="007E1A90">
              <w:rPr>
                <w:rFonts w:asciiTheme="majorHAnsi" w:eastAsia="Times New Roman" w:hAnsiTheme="majorHAnsi" w:cstheme="majorHAnsi"/>
                <w:color w:val="000000"/>
                <w:lang w:eastAsia="en-AU"/>
                <w14:numForm w14:val="lining"/>
                <w14:numSpacing w14:val="proportional"/>
              </w:rPr>
              <w:t>2</w:t>
            </w:r>
            <w:r w:rsidR="001B42C1">
              <w:rPr>
                <w:rFonts w:asciiTheme="majorHAnsi" w:eastAsia="Times New Roman" w:hAnsiTheme="majorHAnsi" w:cstheme="majorHAnsi"/>
                <w:color w:val="000000"/>
                <w:lang w:eastAsia="en-AU"/>
                <w14:numForm w14:val="lining"/>
                <w14:numSpacing w14:val="proportional"/>
              </w:rPr>
              <w:t>0.3</w:t>
            </w:r>
          </w:p>
        </w:tc>
      </w:tr>
    </w:tbl>
    <w:p w14:paraId="61D7EA4D" w14:textId="2C7EC2ED" w:rsidR="003033B0" w:rsidRPr="007E1A90" w:rsidRDefault="003033B0" w:rsidP="003033B0">
      <w:pPr>
        <w:spacing w:after="0" w:line="276" w:lineRule="auto"/>
        <w:rPr>
          <w:sz w:val="18"/>
          <w:szCs w:val="18"/>
          <w14:numForm w14:val="lining"/>
          <w14:numSpacing w14:val="proportional"/>
        </w:rPr>
      </w:pPr>
      <w:r w:rsidRPr="007E1A90">
        <w:rPr>
          <w:sz w:val="18"/>
          <w:szCs w:val="18"/>
          <w14:numForm w14:val="lining"/>
          <w14:numSpacing w14:val="proportional"/>
        </w:rPr>
        <w:t>Source: ABS Census 2021, JSA analysis. # is the total number of workers in this industry and occupation. % is the proportion of the entire occupation that works within this one industry.</w:t>
      </w:r>
      <w:r w:rsidR="00755A25" w:rsidRPr="007E1A90">
        <w:rPr>
          <w:sz w:val="18"/>
          <w:szCs w:val="18"/>
          <w14:numForm w14:val="lining"/>
          <w14:numSpacing w14:val="proportional"/>
        </w:rPr>
        <w:t xml:space="preserve"> Red indicates occupations with a high reliance on transitioning industries for employment, </w:t>
      </w:r>
      <w:r w:rsidR="00DF6B3C" w:rsidRPr="007E1A90">
        <w:rPr>
          <w:sz w:val="18"/>
          <w:szCs w:val="18"/>
          <w14:numForm w14:val="lining"/>
          <w14:numSpacing w14:val="proportional"/>
        </w:rPr>
        <w:t>while green indicates a low reliance (and therefore lower risk).</w:t>
      </w:r>
    </w:p>
    <w:p w14:paraId="334476BF" w14:textId="77777777" w:rsidR="003033B0" w:rsidRPr="007E1A90" w:rsidRDefault="003033B0" w:rsidP="003033B0">
      <w:pPr>
        <w:rPr>
          <w:rFonts w:eastAsiaTheme="majorEastAsia" w:cstheme="majorBidi"/>
          <w:b/>
          <w:sz w:val="32"/>
          <w:szCs w:val="26"/>
          <w14:numForm w14:val="lining"/>
          <w14:numSpacing w14:val="proportional"/>
        </w:rPr>
      </w:pPr>
      <w:r w:rsidRPr="007E1A90">
        <w:rPr>
          <w14:numForm w14:val="lining"/>
          <w14:numSpacing w14:val="proportional"/>
        </w:rPr>
        <w:br w:type="page"/>
      </w:r>
    </w:p>
    <w:p w14:paraId="648C5101" w14:textId="77777777" w:rsidR="003033B0" w:rsidRPr="00E5087D" w:rsidRDefault="003033B0" w:rsidP="003033B0">
      <w:pPr>
        <w:pStyle w:val="Heading3"/>
      </w:pPr>
      <w:r w:rsidRPr="00E5087D">
        <w:t>What are the viable transition pathways?</w:t>
      </w:r>
    </w:p>
    <w:p w14:paraId="760C8879" w14:textId="77777777" w:rsidR="003033B0" w:rsidRPr="00E5087D" w:rsidRDefault="003033B0" w:rsidP="003033B0">
      <w:pPr>
        <w:spacing w:after="120" w:line="276" w:lineRule="auto"/>
        <w:rPr>
          <w14:numForm w14:val="lining"/>
          <w14:numSpacing w14:val="proportional"/>
        </w:rPr>
      </w:pPr>
      <w:r w:rsidRPr="00E5087D">
        <w:rPr>
          <w14:numForm w14:val="lining"/>
          <w14:numSpacing w14:val="proportional"/>
        </w:rPr>
        <w:t>JSA has identified potential transition pathways for fossil fuel power generation workers using three methods:</w:t>
      </w:r>
    </w:p>
    <w:p w14:paraId="59DC867D" w14:textId="77777777" w:rsidR="003033B0" w:rsidRPr="00E5087D" w:rsidRDefault="003033B0" w:rsidP="00F25595">
      <w:pPr>
        <w:pStyle w:val="ListParagraph"/>
        <w:numPr>
          <w:ilvl w:val="0"/>
          <w:numId w:val="32"/>
        </w:numPr>
        <w:spacing w:before="240" w:after="80" w:line="276" w:lineRule="auto"/>
        <w:ind w:left="426" w:hanging="357"/>
        <w:contextualSpacing w:val="0"/>
        <w:rPr>
          <w:b/>
          <w:bCs/>
          <w14:numForm w14:val="lining"/>
          <w14:numSpacing w14:val="proportional"/>
        </w:rPr>
      </w:pPr>
      <w:r w:rsidRPr="00E5087D">
        <w:rPr>
          <w:b/>
          <w:bCs/>
          <w:color w:val="005D5D" w:themeColor="accent2"/>
          <w14:numForm w14:val="lining"/>
          <w14:numSpacing w14:val="proportional"/>
        </w:rPr>
        <w:t>Finding the industries that employ the same occupations in large numbers</w:t>
      </w:r>
      <w:r w:rsidRPr="00E5087D">
        <w:rPr>
          <w:b/>
          <w:bCs/>
          <w14:numForm w14:val="lining"/>
          <w14:numSpacing w14:val="proportional"/>
        </w:rPr>
        <w:t xml:space="preserve">. </w:t>
      </w:r>
      <w:r w:rsidRPr="00E5087D">
        <w:rPr>
          <w14:numForm w14:val="lining"/>
          <w14:numSpacing w14:val="proportional"/>
        </w:rPr>
        <w:t>For example, Power Generation Plant Operators are also commonly employed in:</w:t>
      </w:r>
    </w:p>
    <w:p w14:paraId="7C203F0D" w14:textId="77777777"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On Selling Electricity and Electricity Market Operation</w:t>
      </w:r>
    </w:p>
    <w:p w14:paraId="7C1FC729" w14:textId="77777777"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Electricity Distribution</w:t>
      </w:r>
    </w:p>
    <w:p w14:paraId="6A287065" w14:textId="77777777"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Alumina Production</w:t>
      </w:r>
    </w:p>
    <w:p w14:paraId="2C6CC050" w14:textId="49AC6EFA" w:rsidR="003033B0" w:rsidRPr="00E5087D" w:rsidRDefault="003033B0" w:rsidP="00F25595">
      <w:pPr>
        <w:pStyle w:val="ListParagraph"/>
        <w:numPr>
          <w:ilvl w:val="1"/>
          <w:numId w:val="33"/>
        </w:numPr>
        <w:spacing w:after="80" w:line="276" w:lineRule="auto"/>
        <w:ind w:left="1417" w:hanging="357"/>
        <w:contextualSpacing w:val="0"/>
        <w:rPr>
          <w14:numForm w14:val="lining"/>
          <w14:numSpacing w14:val="proportional"/>
        </w:rPr>
      </w:pPr>
      <w:r w:rsidRPr="00E5087D">
        <w:rPr>
          <w14:numForm w14:val="lining"/>
          <w14:numSpacing w14:val="proportional"/>
        </w:rPr>
        <w:t>Hydro</w:t>
      </w:r>
      <w:r w:rsidR="00C806CB">
        <w:rPr>
          <w14:numForm w14:val="lining"/>
          <w14:numSpacing w14:val="proportional"/>
        </w:rPr>
        <w:t>e</w:t>
      </w:r>
      <w:r w:rsidRPr="00E5087D">
        <w:rPr>
          <w14:numForm w14:val="lining"/>
          <w14:numSpacing w14:val="proportional"/>
        </w:rPr>
        <w:t xml:space="preserve">lectricity Generation </w:t>
      </w:r>
    </w:p>
    <w:p w14:paraId="631A8CEF" w14:textId="03F9767D" w:rsidR="003033B0" w:rsidRPr="00E5087D" w:rsidRDefault="003033B0" w:rsidP="00F25595">
      <w:pPr>
        <w:pStyle w:val="ListParagraph"/>
        <w:numPr>
          <w:ilvl w:val="1"/>
          <w:numId w:val="33"/>
        </w:numPr>
        <w:spacing w:after="80" w:line="276" w:lineRule="auto"/>
        <w:ind w:left="1417" w:hanging="357"/>
        <w:contextualSpacing w:val="0"/>
        <w:rPr>
          <w:b/>
          <w:bCs/>
          <w14:numForm w14:val="lining"/>
          <w14:numSpacing w14:val="proportional"/>
        </w:rPr>
      </w:pPr>
      <w:r w:rsidRPr="00E5087D">
        <w:rPr>
          <w14:numForm w14:val="lining"/>
          <w14:numSpacing w14:val="proportional"/>
        </w:rPr>
        <w:t>Other Electricity Generation (e.g. solar and wind)</w:t>
      </w:r>
      <w:r w:rsidR="0016385D">
        <w:rPr>
          <w14:numForm w14:val="lining"/>
          <w14:numSpacing w14:val="proportional"/>
        </w:rPr>
        <w:t>.</w:t>
      </w:r>
    </w:p>
    <w:p w14:paraId="2643568E" w14:textId="72803EE6" w:rsidR="00D3612C" w:rsidRDefault="007E1A90" w:rsidP="007E1A90">
      <w:pPr>
        <w:spacing w:before="120" w:after="240" w:line="276" w:lineRule="auto"/>
        <w:ind w:left="357"/>
        <w:rPr>
          <w14:numForm w14:val="lining"/>
          <w14:numSpacing w14:val="proportional"/>
        </w:rPr>
      </w:pPr>
      <w:r w:rsidRPr="00BB2E09">
        <w:rPr>
          <w:noProof/>
        </w:rPr>
        <mc:AlternateContent>
          <mc:Choice Requires="wpg">
            <w:drawing>
              <wp:anchor distT="0" distB="0" distL="114300" distR="114300" simplePos="0" relativeHeight="251658298" behindDoc="1" locked="0" layoutInCell="1" allowOverlap="1" wp14:anchorId="7B0217A5" wp14:editId="4D9B1D29">
                <wp:simplePos x="0" y="0"/>
                <wp:positionH relativeFrom="column">
                  <wp:posOffset>185738</wp:posOffset>
                </wp:positionH>
                <wp:positionV relativeFrom="page">
                  <wp:posOffset>4300220</wp:posOffset>
                </wp:positionV>
                <wp:extent cx="5651500" cy="1071245"/>
                <wp:effectExtent l="0" t="0" r="25400" b="14605"/>
                <wp:wrapNone/>
                <wp:docPr id="1341085151" name="Group 1341085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1500" cy="1071245"/>
                          <a:chOff x="0" y="0"/>
                          <a:chExt cx="5798799" cy="1102072"/>
                        </a:xfrm>
                      </wpg:grpSpPr>
                      <wps:wsp>
                        <wps:cNvPr id="1341085152" name="Rectangle: Top Corners Rounded 1341085152"/>
                        <wps:cNvSpPr/>
                        <wps:spPr>
                          <a:xfrm>
                            <a:off x="0" y="0"/>
                            <a:ext cx="1736053" cy="232792"/>
                          </a:xfrm>
                          <a:prstGeom prst="round2SameRect">
                            <a:avLst/>
                          </a:prstGeom>
                          <a:solidFill>
                            <a:srgbClr val="DAE3F5"/>
                          </a:solidFill>
                          <a:ln>
                            <a:solidFill>
                              <a:srgbClr val="DAE3F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C1E060" w14:textId="25A2E6B7" w:rsidR="00D3612C" w:rsidRPr="006E07A7" w:rsidRDefault="00D3612C" w:rsidP="00D3612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53" name="Rectangle 1341085153"/>
                        <wps:cNvSpPr/>
                        <wps:spPr>
                          <a:xfrm>
                            <a:off x="0" y="230539"/>
                            <a:ext cx="5798799" cy="871533"/>
                          </a:xfrm>
                          <a:prstGeom prst="rect">
                            <a:avLst/>
                          </a:prstGeom>
                          <a:solidFill>
                            <a:srgbClr val="F2F2F2"/>
                          </a:solidFill>
                          <a:ln>
                            <a:solidFill>
                              <a:srgbClr val="DAE3F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9972C" w14:textId="0378A124" w:rsidR="00D3612C" w:rsidRPr="008C176A" w:rsidRDefault="00D3612C" w:rsidP="00D3612C">
                              <w:pPr>
                                <w:spacing w:after="0" w:line="276" w:lineRule="auto"/>
                                <w:ind w:left="113" w:right="113"/>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B0217A5" id="Group 1341085151" o:spid="_x0000_s1105" alt="&quot;&quot;" style="position:absolute;left:0;text-align:left;margin-left:14.65pt;margin-top:338.6pt;width:445pt;height:84.35pt;z-index:-251658182;mso-position-vertical-relative:page;mso-height-relative:margin" coordsize="57987,1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">
                <v:shape id="Rectangle: Top Corners Rounded 1341085152" o:spid="_x0000_s1106"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" adj="-11796480,,5400" path="m38799,l1697254,v21428,,38799,17371,38799,38799l1736053,232792r,l,232792r,l,38799c,17371,17371,,38799,xe" fillcolor="#dae3f5" strokecolor="#dae3f5" strokeweight="1pt">
                  <v:stroke joinstyle="miter"/>
                  <v:formulas/>
                  <v:path arrowok="t" o:connecttype="custom" o:connectlocs="38799,0;1697254,0;1736053,38799;1736053,232792;1736053,232792;0,232792;0,232792;0,38799;38799,0" o:connectangles="0,0,0,0,0,0,0,0,0" textboxrect="0,0,1736053,232792"/>
                  <v:textbox inset=",0,,0">
                    <w:txbxContent>
                      <w:p w14:paraId="3BC1E060" w14:textId="25A2E6B7" w:rsidR="00D3612C" w:rsidRPr="006E07A7" w:rsidRDefault="00D3612C" w:rsidP="00D3612C">
                        <w:pPr>
                          <w:spacing w:after="0" w:line="240" w:lineRule="auto"/>
                          <w:rPr>
                            <w:b/>
                            <w:bCs/>
                            <w14:numForm w14:val="lining"/>
                            <w14:numSpacing w14:val="proportional"/>
                          </w:rPr>
                        </w:pPr>
                      </w:p>
                    </w:txbxContent>
                  </v:textbox>
                </v:shape>
                <v:rect id="Rectangle 1341085153" o:spid="_x0000_s1107" style="position:absolute;top:2305;width:57987;height:8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" fillcolor="#f2f2f2" strokecolor="#dae3f5" strokeweight="1pt">
                  <v:textbox inset="2mm,1mm,2mm,1mm">
                    <w:txbxContent>
                      <w:p w14:paraId="17C9972C" w14:textId="0378A124" w:rsidR="00D3612C" w:rsidRPr="008C176A" w:rsidRDefault="00D3612C" w:rsidP="00D3612C">
                        <w:pPr>
                          <w:spacing w:after="0" w:line="276" w:lineRule="auto"/>
                          <w:ind w:left="113" w:right="113"/>
                        </w:pPr>
                      </w:p>
                    </w:txbxContent>
                  </v:textbox>
                </v:rect>
                <w10:wrap anchory="page"/>
              </v:group>
            </w:pict>
          </mc:Fallback>
        </mc:AlternateContent>
      </w:r>
      <w:r w:rsidR="00031463" w:rsidRPr="00E5087D">
        <w:rPr>
          <w14:numForm w14:val="lining"/>
          <w14:numSpacing w14:val="proportional"/>
        </w:rPr>
        <w:t xml:space="preserve">However, it’s important to acknowledge that </w:t>
      </w:r>
      <w:r w:rsidR="00F7762F" w:rsidRPr="00E5087D">
        <w:rPr>
          <w14:numForm w14:val="lining"/>
          <w14:numSpacing w14:val="proportional"/>
        </w:rPr>
        <w:t xml:space="preserve">occupations can have different skills needs or experience requirements in different industries. For example, it is unlikely that an electrician </w:t>
      </w:r>
      <w:r w:rsidR="00A87FE8">
        <w:rPr>
          <w14:numForm w14:val="lining"/>
          <w14:numSpacing w14:val="proportional"/>
        </w:rPr>
        <w:t>who</w:t>
      </w:r>
      <w:r w:rsidR="00F7762F" w:rsidRPr="00E5087D">
        <w:rPr>
          <w14:numForm w14:val="lining"/>
          <w14:numSpacing w14:val="proportional"/>
        </w:rPr>
        <w:t xml:space="preserve"> worked exclusively in coal-fired power will have the experience they need to work with a large scale battery installation.</w:t>
      </w:r>
    </w:p>
    <w:p w14:paraId="49C1AD09" w14:textId="4C0B3254" w:rsidR="007E1A90" w:rsidRPr="006E07A7" w:rsidRDefault="007E1A90" w:rsidP="007E1A90">
      <w:pPr>
        <w:spacing w:after="0" w:line="240" w:lineRule="auto"/>
        <w:ind w:left="454"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4.7</w:t>
      </w:r>
    </w:p>
    <w:p w14:paraId="45CA97F4" w14:textId="0C84526C" w:rsidR="007E1A90" w:rsidRPr="008C176A" w:rsidRDefault="007E1A90" w:rsidP="007E1A90">
      <w:pPr>
        <w:spacing w:before="200" w:after="0" w:line="240" w:lineRule="auto"/>
        <w:ind w:left="454" w:right="113"/>
      </w:pPr>
      <w:r w:rsidRPr="00111EA0">
        <w:t>Jobs and Skills Councils should explore accessible familiarisation training for qualified trade workers to gain exposure and experience with clean energy technologies and practices. This will be particularly important for supporting and encouraging workers in transitioning sectors to access clean energy jobs.</w:t>
      </w:r>
    </w:p>
    <w:p w14:paraId="0C9D9ECB" w14:textId="6D777256" w:rsidR="003033B0" w:rsidRPr="00E5087D" w:rsidRDefault="003033B0" w:rsidP="00F25595">
      <w:pPr>
        <w:pStyle w:val="ListParagraph"/>
        <w:numPr>
          <w:ilvl w:val="0"/>
          <w:numId w:val="32"/>
        </w:numPr>
        <w:spacing w:before="600" w:after="120" w:line="276" w:lineRule="auto"/>
        <w:ind w:left="426" w:hanging="357"/>
        <w:rPr>
          <w:b/>
          <w:bCs/>
          <w14:numForm w14:val="lining"/>
          <w14:numSpacing w14:val="proportional"/>
        </w:rPr>
      </w:pPr>
      <w:r w:rsidRPr="00E5087D">
        <w:rPr>
          <w:b/>
          <w:bCs/>
          <w:color w:val="005D5D" w:themeColor="accent2"/>
          <w14:numForm w14:val="lining"/>
          <w14:numSpacing w14:val="proportional"/>
        </w:rPr>
        <w:t xml:space="preserve">Finding the real-world occupation to occupation transitions that have occurred in the past. </w:t>
      </w:r>
      <w:r w:rsidRPr="00E5087D">
        <w:rPr>
          <w14:numForm w14:val="lining"/>
          <w14:numSpacing w14:val="proportional"/>
        </w:rPr>
        <w:t xml:space="preserve">For example, between 2011-12 and 2020-21, over 250 Power Plant Operators became Earthmoving Plant Operators (see Figure </w:t>
      </w:r>
      <w:r w:rsidR="00434CEA">
        <w:rPr>
          <w14:numForm w14:val="lining"/>
          <w14:numSpacing w14:val="proportional"/>
        </w:rPr>
        <w:t>4.22</w:t>
      </w:r>
      <w:r w:rsidRPr="00E5087D">
        <w:rPr>
          <w14:numForm w14:val="lining"/>
          <w14:numSpacing w14:val="proportional"/>
        </w:rPr>
        <w:t>).</w:t>
      </w:r>
    </w:p>
    <w:p w14:paraId="15E18FCA" w14:textId="692D2F5D" w:rsidR="003033B0" w:rsidRPr="00E5087D" w:rsidRDefault="003033B0" w:rsidP="00C37281">
      <w:pPr>
        <w:pBdr>
          <w:top w:val="single" w:sz="4" w:space="5" w:color="BFBFBF" w:themeColor="background1" w:themeShade="BF"/>
        </w:pBdr>
        <w:spacing w:before="120" w:after="0"/>
        <w:ind w:left="426"/>
      </w:pPr>
      <w:r w:rsidRPr="00E5087D">
        <w:rPr>
          <w:b/>
          <w:bCs/>
        </w:rPr>
        <w:t xml:space="preserve">Figure </w:t>
      </w:r>
      <w:r w:rsidR="00D5464B">
        <w:rPr>
          <w:b/>
          <w:bCs/>
        </w:rPr>
        <w:t>4.22</w:t>
      </w:r>
      <w:r w:rsidR="004B5F96">
        <w:rPr>
          <w:b/>
          <w:bCs/>
        </w:rPr>
        <w:t>.</w:t>
      </w:r>
      <w:r w:rsidRPr="00E5087D">
        <w:rPr>
          <w:b/>
          <w:bCs/>
        </w:rPr>
        <w:t xml:space="preserve"> Occupation transitions for Power Plant Operators </w:t>
      </w:r>
    </w:p>
    <w:p w14:paraId="11F4BB83" w14:textId="1723B079" w:rsidR="003E655F" w:rsidRPr="00E5087D" w:rsidRDefault="00590F45" w:rsidP="006D6DAB">
      <w:pPr>
        <w:spacing w:after="0"/>
        <w:ind w:left="426"/>
        <w:rPr>
          <w:b/>
          <w:bCs/>
        </w:rPr>
      </w:pPr>
      <w:r w:rsidRPr="00590F45">
        <w:rPr>
          <w:b/>
          <w:bCs/>
          <w:noProof/>
        </w:rPr>
        <w:drawing>
          <wp:inline distT="0" distB="0" distL="0" distR="0" wp14:anchorId="2E652CFF" wp14:editId="3DB9DB6D">
            <wp:extent cx="5657578" cy="2743438"/>
            <wp:effectExtent l="0" t="0" r="0" b="0"/>
            <wp:docPr id="124" name="Picture 124" descr="This figure captures the most common occupation transitions for Power Plant Operators between 2011 and 2021. The figure shows that for this period Power Plant Operators were most likely to transition to Earthmoving Plan Operator (General) positions. &#10;">
              <a:extLst xmlns:a="http://schemas.openxmlformats.org/drawingml/2006/main">
                <a:ext uri="{FF2B5EF4-FFF2-40B4-BE49-F238E27FC236}">
                  <a16:creationId xmlns:a16="http://schemas.microsoft.com/office/drawing/2014/main" id="{F949B9E6-B476-E0DC-6F7C-6F889AE8B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his figure captures the most common occupation transitions for Power Plant Operators between 2011 and 2021. The figure shows that for this period Power Plant Operators were most likely to transition to Earthmoving Plan Operator (General) positions. &#10;">
                      <a:extLst>
                        <a:ext uri="{FF2B5EF4-FFF2-40B4-BE49-F238E27FC236}">
                          <a16:creationId xmlns:a16="http://schemas.microsoft.com/office/drawing/2014/main" id="{F949B9E6-B476-E0DC-6F7C-6F889AE8B7E8}"/>
                        </a:ext>
                      </a:extLst>
                    </pic:cNvPr>
                    <pic:cNvPicPr>
                      <a:picLocks noChangeAspect="1"/>
                    </pic:cNvPicPr>
                  </pic:nvPicPr>
                  <pic:blipFill>
                    <a:blip r:embed="rId145">
                      <a:clrChange>
                        <a:clrFrom>
                          <a:srgbClr val="F2F2F2"/>
                        </a:clrFrom>
                        <a:clrTo>
                          <a:srgbClr val="F2F2F2">
                            <a:alpha val="0"/>
                          </a:srgbClr>
                        </a:clrTo>
                      </a:clrChange>
                    </a:blip>
                    <a:stretch>
                      <a:fillRect/>
                    </a:stretch>
                  </pic:blipFill>
                  <pic:spPr>
                    <a:xfrm>
                      <a:off x="0" y="0"/>
                      <a:ext cx="5657578" cy="2743438"/>
                    </a:xfrm>
                    <a:prstGeom prst="rect">
                      <a:avLst/>
                    </a:prstGeom>
                  </pic:spPr>
                </pic:pic>
              </a:graphicData>
            </a:graphic>
          </wp:inline>
        </w:drawing>
      </w:r>
    </w:p>
    <w:p w14:paraId="48B0F22F" w14:textId="55F2D129" w:rsidR="00005748" w:rsidRDefault="003033B0" w:rsidP="00005748">
      <w:pPr>
        <w:spacing w:after="0"/>
        <w:ind w:left="851" w:hanging="426"/>
        <w:rPr>
          <w:sz w:val="18"/>
          <w:szCs w:val="18"/>
        </w:rPr>
      </w:pPr>
      <w:r w:rsidRPr="00E5087D">
        <w:rPr>
          <w:sz w:val="18"/>
          <w:szCs w:val="18"/>
        </w:rPr>
        <w:t>Source: JSA analysis of unit record taxation statistics</w:t>
      </w:r>
      <w:r w:rsidR="00111EA0">
        <w:rPr>
          <w:sz w:val="18"/>
          <w:szCs w:val="18"/>
        </w:rPr>
        <w:t xml:space="preserve">, covers transitions from </w:t>
      </w:r>
      <w:r w:rsidR="00111EA0" w:rsidRPr="00111EA0">
        <w:rPr>
          <w:sz w:val="18"/>
          <w:szCs w:val="18"/>
        </w:rPr>
        <w:t>2011-12 to 2020-21</w:t>
      </w:r>
      <w:r w:rsidR="00111EA0">
        <w:rPr>
          <w:sz w:val="18"/>
          <w:szCs w:val="18"/>
        </w:rPr>
        <w:t>.</w:t>
      </w:r>
    </w:p>
    <w:p w14:paraId="5F4F0668" w14:textId="77777777" w:rsidR="00005748" w:rsidRDefault="00005748">
      <w:pPr>
        <w:rPr>
          <w:sz w:val="18"/>
          <w:szCs w:val="18"/>
        </w:rPr>
      </w:pPr>
      <w:r>
        <w:rPr>
          <w:sz w:val="18"/>
          <w:szCs w:val="18"/>
        </w:rPr>
        <w:br w:type="page"/>
      </w:r>
    </w:p>
    <w:p w14:paraId="50E82D3F" w14:textId="1595C46E" w:rsidR="009D38A7" w:rsidRDefault="007170C4" w:rsidP="007170C4">
      <w:pPr>
        <w:spacing w:before="120" w:after="120" w:line="240" w:lineRule="auto"/>
        <w:ind w:left="227" w:right="170"/>
        <w:rPr>
          <w:rFonts w:eastAsia="Arial" w:cs="Arial"/>
          <w:b/>
          <w:sz w:val="24"/>
          <w:szCs w:val="24"/>
          <w14:ligatures w14:val="standard"/>
          <w14:numForm w14:val="lining"/>
          <w14:numSpacing w14:val="proportional"/>
        </w:rPr>
      </w:pPr>
      <w:r w:rsidRPr="00BB2E09">
        <w:rPr>
          <w:noProof/>
        </w:rPr>
        <mc:AlternateContent>
          <mc:Choice Requires="wpg">
            <w:drawing>
              <wp:anchor distT="0" distB="0" distL="114300" distR="114300" simplePos="0" relativeHeight="251658299" behindDoc="1" locked="0" layoutInCell="1" allowOverlap="1" wp14:anchorId="6AB6D164" wp14:editId="59CEC141">
                <wp:simplePos x="0" y="0"/>
                <wp:positionH relativeFrom="column">
                  <wp:posOffset>-103909</wp:posOffset>
                </wp:positionH>
                <wp:positionV relativeFrom="page">
                  <wp:posOffset>845128</wp:posOffset>
                </wp:positionV>
                <wp:extent cx="5731510" cy="8215746"/>
                <wp:effectExtent l="0" t="0" r="2540" b="0"/>
                <wp:wrapNone/>
                <wp:docPr id="1433023294" name="Group 14330232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215746"/>
                          <a:chOff x="0" y="-2"/>
                          <a:chExt cx="5817170" cy="5937958"/>
                        </a:xfrm>
                      </wpg:grpSpPr>
                      <wps:wsp>
                        <wps:cNvPr id="1433023295" name="Rectangle 1433023295"/>
                        <wps:cNvSpPr/>
                        <wps:spPr>
                          <a:xfrm>
                            <a:off x="6994" y="-2"/>
                            <a:ext cx="5810176" cy="5937958"/>
                          </a:xfrm>
                          <a:prstGeom prst="rect">
                            <a:avLst/>
                          </a:prstGeom>
                          <a:solidFill>
                            <a:srgbClr val="F2F2F2"/>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4EAAF787" w14:textId="77777777" w:rsidR="005F0CDE" w:rsidRDefault="005F0CDE" w:rsidP="005F0CDE"/>
                            <w:p w14:paraId="0FE6C4DF" w14:textId="77777777" w:rsidR="005F0CDE" w:rsidRPr="006F7DEB" w:rsidRDefault="005F0CDE" w:rsidP="005F0CDE">
                              <w:pPr>
                                <w:spacing w:line="276" w:lineRule="auto"/>
                                <w:rPr>
                                  <w:rFonts w:eastAsia="Arial" w:cs="Arial"/>
                                  <w:bCs/>
                                  <w:sz w:val="20"/>
                                  <w:szCs w:val="20"/>
                                  <w14:ligatures w14:val="standard"/>
                                  <w14:numForm w14:val="lining"/>
                                  <w14:numSpacing w14:val="proportional"/>
                                </w:rPr>
                              </w:pPr>
                            </w:p>
                          </w:txbxContent>
                        </wps:txbx>
                        <wps:bodyPr spcFirstLastPara="0" wrap="square" lIns="288000" tIns="72000" rIns="144000" bIns="72000" anchor="t">
                          <a:noAutofit/>
                        </wps:bodyPr>
                      </wps:wsp>
                      <wps:wsp>
                        <wps:cNvPr id="129" name="Rectangle 129"/>
                        <wps:cNvSpPr/>
                        <wps:spPr>
                          <a:xfrm>
                            <a:off x="0" y="-2"/>
                            <a:ext cx="133350" cy="5937495"/>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AB6D164" id="Group 1433023294" o:spid="_x0000_s1108" alt="&quot;&quot;" style="position:absolute;left:0;text-align:left;margin-left:-8.2pt;margin-top:66.55pt;width:451.3pt;height:646.9pt;z-index:-251658181;mso-position-vertical-relative:page" coordorigin="" coordsize="58171,5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">
                <v:rect id="Rectangle 1433023295" o:spid="_x0000_s1109" style="position:absolute;left:69;width:58102;height:59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" fillcolor="#f2f2f2" stroked="f" strokeweight="1pt">
                  <v:textbox inset="8mm,2mm,4mm,2mm">
                    <w:txbxContent>
                      <w:p w14:paraId="4EAAF787" w14:textId="77777777" w:rsidR="005F0CDE" w:rsidRDefault="005F0CDE" w:rsidP="005F0CDE"/>
                      <w:p w14:paraId="0FE6C4DF" w14:textId="77777777" w:rsidR="005F0CDE" w:rsidRPr="006F7DEB" w:rsidRDefault="005F0CDE" w:rsidP="005F0CDE">
                        <w:pPr>
                          <w:spacing w:line="276" w:lineRule="auto"/>
                          <w:rPr>
                            <w:rFonts w:eastAsia="Arial" w:cs="Arial"/>
                            <w:bCs/>
                            <w:sz w:val="20"/>
                            <w:szCs w:val="20"/>
                            <w14:ligatures w14:val="standard"/>
                            <w14:numForm w14:val="lining"/>
                            <w14:numSpacing w14:val="proportional"/>
                          </w:rPr>
                        </w:pPr>
                      </w:p>
                    </w:txbxContent>
                  </v:textbox>
                </v:rect>
                <v:rect id="Rectangle 129" o:spid="_x0000_s1110" style="position:absolute;width:1333;height:59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" fillcolor="#dae3f5" stroked="f" strokeweight="1pt"/>
                <w10:wrap anchory="page"/>
              </v:group>
            </w:pict>
          </mc:Fallback>
        </mc:AlternateContent>
      </w:r>
      <w:r w:rsidR="009D38A7">
        <w:rPr>
          <w:rFonts w:eastAsia="Arial" w:cs="Arial"/>
          <w:b/>
          <w:sz w:val="24"/>
          <w:szCs w:val="24"/>
          <w14:ligatures w14:val="standard"/>
          <w14:numForm w14:val="lining"/>
          <w14:numSpacing w14:val="proportional"/>
        </w:rPr>
        <w:t xml:space="preserve">CASE STUDY: Real world transitions </w:t>
      </w:r>
    </w:p>
    <w:p w14:paraId="761CAD17" w14:textId="450984DA" w:rsidR="009D38A7" w:rsidRPr="00EB3585" w:rsidRDefault="009D38A7" w:rsidP="007170C4">
      <w:pPr>
        <w:ind w:left="227" w:right="170"/>
        <w:rPr>
          <w:sz w:val="20"/>
          <w:szCs w:val="20"/>
        </w:rPr>
      </w:pPr>
      <w:r w:rsidRPr="00EB3585">
        <w:rPr>
          <w:sz w:val="20"/>
          <w:szCs w:val="20"/>
        </w:rPr>
        <w:t xml:space="preserve">Alongside the skill similarity analysis of occupations, we can analyse the </w:t>
      </w:r>
      <w:r>
        <w:rPr>
          <w:sz w:val="20"/>
          <w:szCs w:val="20"/>
        </w:rPr>
        <w:t xml:space="preserve">actual </w:t>
      </w:r>
      <w:r w:rsidRPr="00EB3585">
        <w:rPr>
          <w:sz w:val="20"/>
          <w:szCs w:val="20"/>
        </w:rPr>
        <w:t xml:space="preserve">transitions of six critical occupations in the clean energy and fossil-fuel sectors over the four years to 2021, using new multi-agency government data. </w:t>
      </w:r>
    </w:p>
    <w:p w14:paraId="45293814" w14:textId="77777777" w:rsidR="009D38A7" w:rsidRPr="00EB3585" w:rsidRDefault="009D38A7" w:rsidP="007170C4">
      <w:pPr>
        <w:spacing w:after="0"/>
        <w:ind w:left="227" w:right="170"/>
        <w:rPr>
          <w:sz w:val="20"/>
          <w:szCs w:val="20"/>
        </w:rPr>
      </w:pPr>
      <w:r w:rsidRPr="00EB3585">
        <w:rPr>
          <w:sz w:val="20"/>
          <w:szCs w:val="20"/>
        </w:rPr>
        <w:t xml:space="preserve">The six </w:t>
      </w:r>
      <w:r>
        <w:rPr>
          <w:sz w:val="20"/>
          <w:szCs w:val="20"/>
        </w:rPr>
        <w:t xml:space="preserve">core </w:t>
      </w:r>
      <w:r w:rsidRPr="00EB3585">
        <w:rPr>
          <w:sz w:val="20"/>
          <w:szCs w:val="20"/>
        </w:rPr>
        <w:t>occupations analysed were:</w:t>
      </w:r>
    </w:p>
    <w:p w14:paraId="59592052" w14:textId="77777777" w:rsidR="009D38A7" w:rsidRPr="00EB3585" w:rsidRDefault="009D38A7" w:rsidP="00F25595">
      <w:pPr>
        <w:pStyle w:val="ListParagraph"/>
        <w:numPr>
          <w:ilvl w:val="0"/>
          <w:numId w:val="65"/>
        </w:numPr>
        <w:ind w:left="814"/>
        <w:rPr>
          <w:sz w:val="20"/>
          <w:szCs w:val="20"/>
        </w:rPr>
      </w:pPr>
      <w:r w:rsidRPr="00EB3585">
        <w:rPr>
          <w:sz w:val="20"/>
          <w:szCs w:val="20"/>
        </w:rPr>
        <w:t>Electricians</w:t>
      </w:r>
    </w:p>
    <w:p w14:paraId="4B39C773" w14:textId="77777777" w:rsidR="009D38A7" w:rsidRPr="00EB3585" w:rsidRDefault="009D38A7" w:rsidP="00F25595">
      <w:pPr>
        <w:pStyle w:val="ListParagraph"/>
        <w:numPr>
          <w:ilvl w:val="0"/>
          <w:numId w:val="65"/>
        </w:numPr>
        <w:ind w:left="814"/>
        <w:rPr>
          <w:sz w:val="20"/>
          <w:szCs w:val="20"/>
        </w:rPr>
      </w:pPr>
      <w:r w:rsidRPr="00EB3585">
        <w:rPr>
          <w:sz w:val="20"/>
          <w:szCs w:val="20"/>
        </w:rPr>
        <w:t>Electrical Engineers</w:t>
      </w:r>
    </w:p>
    <w:p w14:paraId="02A56292" w14:textId="77777777" w:rsidR="009D38A7" w:rsidRPr="00EB3585" w:rsidRDefault="009D38A7" w:rsidP="00F25595">
      <w:pPr>
        <w:pStyle w:val="ListParagraph"/>
        <w:numPr>
          <w:ilvl w:val="0"/>
          <w:numId w:val="65"/>
        </w:numPr>
        <w:ind w:left="814"/>
        <w:rPr>
          <w:sz w:val="20"/>
          <w:szCs w:val="20"/>
        </w:rPr>
      </w:pPr>
      <w:r w:rsidRPr="00EB3585">
        <w:rPr>
          <w:sz w:val="20"/>
          <w:szCs w:val="20"/>
        </w:rPr>
        <w:t>Drillers, Miners and Shot Firers</w:t>
      </w:r>
    </w:p>
    <w:p w14:paraId="1DC31BB6" w14:textId="77777777" w:rsidR="009D38A7" w:rsidRPr="00EB3585" w:rsidRDefault="009D38A7" w:rsidP="00F25595">
      <w:pPr>
        <w:pStyle w:val="ListParagraph"/>
        <w:numPr>
          <w:ilvl w:val="0"/>
          <w:numId w:val="65"/>
        </w:numPr>
        <w:ind w:left="814"/>
        <w:rPr>
          <w:sz w:val="20"/>
          <w:szCs w:val="20"/>
        </w:rPr>
      </w:pPr>
      <w:r w:rsidRPr="00EB3585">
        <w:rPr>
          <w:sz w:val="20"/>
          <w:szCs w:val="20"/>
        </w:rPr>
        <w:t>Airconditioning and Refrigeration Mechanics</w:t>
      </w:r>
    </w:p>
    <w:p w14:paraId="610AD016" w14:textId="77777777" w:rsidR="009D38A7" w:rsidRPr="00EB3585" w:rsidRDefault="009D38A7" w:rsidP="00F25595">
      <w:pPr>
        <w:pStyle w:val="ListParagraph"/>
        <w:numPr>
          <w:ilvl w:val="0"/>
          <w:numId w:val="65"/>
        </w:numPr>
        <w:ind w:left="814"/>
        <w:rPr>
          <w:sz w:val="20"/>
          <w:szCs w:val="20"/>
        </w:rPr>
      </w:pPr>
      <w:r w:rsidRPr="00EB3585">
        <w:rPr>
          <w:sz w:val="20"/>
          <w:szCs w:val="20"/>
        </w:rPr>
        <w:t>Chemical, Gas, Petroleum and Power Generation Plant Operators; and,</w:t>
      </w:r>
    </w:p>
    <w:p w14:paraId="76DDCAF5" w14:textId="77777777" w:rsidR="009D38A7" w:rsidRPr="00EB3585" w:rsidRDefault="009D38A7" w:rsidP="00F25595">
      <w:pPr>
        <w:pStyle w:val="ListParagraph"/>
        <w:numPr>
          <w:ilvl w:val="0"/>
          <w:numId w:val="65"/>
        </w:numPr>
        <w:ind w:left="814"/>
        <w:rPr>
          <w:sz w:val="20"/>
          <w:szCs w:val="20"/>
        </w:rPr>
      </w:pPr>
      <w:r w:rsidRPr="00EB3585">
        <w:rPr>
          <w:sz w:val="20"/>
          <w:szCs w:val="20"/>
        </w:rPr>
        <w:t>Electrical distribution trades workers.</w:t>
      </w:r>
    </w:p>
    <w:p w14:paraId="35C01995" w14:textId="64FD0E7B" w:rsidR="009D38A7" w:rsidRDefault="009D38A7" w:rsidP="007170C4">
      <w:pPr>
        <w:ind w:left="227" w:right="170"/>
        <w:rPr>
          <w:sz w:val="20"/>
          <w:szCs w:val="20"/>
        </w:rPr>
      </w:pPr>
      <w:r w:rsidRPr="00EB3585">
        <w:rPr>
          <w:sz w:val="20"/>
          <w:szCs w:val="20"/>
        </w:rPr>
        <w:t xml:space="preserve">Workers in these occupations were much more stable than the average </w:t>
      </w:r>
      <w:r>
        <w:rPr>
          <w:sz w:val="20"/>
          <w:szCs w:val="20"/>
        </w:rPr>
        <w:t>for</w:t>
      </w:r>
      <w:r w:rsidRPr="00EB3585">
        <w:rPr>
          <w:sz w:val="20"/>
          <w:szCs w:val="20"/>
        </w:rPr>
        <w:t xml:space="preserve"> Australia. We found that most workers did not change occupations in the four-year period</w:t>
      </w:r>
      <w:r>
        <w:rPr>
          <w:sz w:val="20"/>
          <w:szCs w:val="20"/>
        </w:rPr>
        <w:t>,</w:t>
      </w:r>
      <w:r w:rsidRPr="00EB3585">
        <w:rPr>
          <w:sz w:val="20"/>
          <w:szCs w:val="20"/>
        </w:rPr>
        <w:t xml:space="preserve"> potentially reflecting the short time frame as well as the high retention in these occupations (between 85.8</w:t>
      </w:r>
      <w:r>
        <w:rPr>
          <w:sz w:val="20"/>
          <w:szCs w:val="20"/>
        </w:rPr>
        <w:t>%</w:t>
      </w:r>
      <w:r w:rsidRPr="00EB3585">
        <w:rPr>
          <w:sz w:val="20"/>
          <w:szCs w:val="20"/>
        </w:rPr>
        <w:t xml:space="preserve"> to 91.6</w:t>
      </w:r>
      <w:r>
        <w:rPr>
          <w:sz w:val="20"/>
          <w:szCs w:val="20"/>
        </w:rPr>
        <w:t>%</w:t>
      </w:r>
      <w:r w:rsidRPr="00EB3585">
        <w:rPr>
          <w:sz w:val="20"/>
          <w:szCs w:val="20"/>
        </w:rPr>
        <w:t xml:space="preserve"> across all six). </w:t>
      </w:r>
      <w:r>
        <w:rPr>
          <w:sz w:val="20"/>
          <w:szCs w:val="20"/>
        </w:rPr>
        <w:t xml:space="preserve">Table 4.16 shows the most common inflow and outflow occupations. </w:t>
      </w:r>
    </w:p>
    <w:p w14:paraId="25A23748" w14:textId="4A17FEC6" w:rsidR="009D38A7" w:rsidRPr="00A707E3" w:rsidRDefault="009D38A7" w:rsidP="007170C4">
      <w:pPr>
        <w:spacing w:before="240" w:after="120"/>
        <w:ind w:left="227" w:right="170"/>
        <w:rPr>
          <w:b/>
          <w:bCs/>
          <w:sz w:val="20"/>
          <w:szCs w:val="20"/>
        </w:rPr>
      </w:pPr>
      <w:r w:rsidRPr="00A707E3">
        <w:rPr>
          <w:b/>
          <w:bCs/>
          <w:sz w:val="20"/>
          <w:szCs w:val="20"/>
        </w:rPr>
        <w:t xml:space="preserve">Table </w:t>
      </w:r>
      <w:r>
        <w:rPr>
          <w:b/>
          <w:bCs/>
          <w:sz w:val="20"/>
          <w:szCs w:val="20"/>
        </w:rPr>
        <w:t>4.16</w:t>
      </w:r>
      <w:r w:rsidRPr="00A707E3">
        <w:rPr>
          <w:b/>
          <w:bCs/>
          <w:sz w:val="20"/>
          <w:szCs w:val="20"/>
        </w:rPr>
        <w:t>. Common occupation inflows and outflows</w:t>
      </w:r>
    </w:p>
    <w:tbl>
      <w:tblPr>
        <w:tblW w:w="8320" w:type="dxa"/>
        <w:tblInd w:w="227" w:type="dxa"/>
        <w:tblLook w:val="04A0" w:firstRow="1" w:lastRow="0" w:firstColumn="1" w:lastColumn="0" w:noHBand="0" w:noVBand="1"/>
      </w:tblPr>
      <w:tblGrid>
        <w:gridCol w:w="2835"/>
        <w:gridCol w:w="2835"/>
        <w:gridCol w:w="2650"/>
      </w:tblGrid>
      <w:tr w:rsidR="009D38A7" w:rsidRPr="00F107AB" w14:paraId="33BB859B" w14:textId="77777777" w:rsidTr="007170C4">
        <w:trPr>
          <w:trHeight w:val="290"/>
        </w:trPr>
        <w:tc>
          <w:tcPr>
            <w:tcW w:w="2835" w:type="dxa"/>
            <w:tcBorders>
              <w:top w:val="single" w:sz="4" w:space="0" w:color="auto"/>
              <w:bottom w:val="single" w:sz="4" w:space="0" w:color="auto"/>
            </w:tcBorders>
            <w:shd w:val="clear" w:color="auto" w:fill="CEE9FB" w:themeFill="accent3" w:themeFillTint="33"/>
            <w:noWrap/>
            <w:vAlign w:val="bottom"/>
            <w:hideMark/>
          </w:tcPr>
          <w:p w14:paraId="5B2F89F0" w14:textId="77777777" w:rsidR="009D38A7" w:rsidRPr="00ED4338" w:rsidRDefault="009D38A7" w:rsidP="009F6AF5">
            <w:pPr>
              <w:spacing w:before="40" w:after="40" w:line="240" w:lineRule="auto"/>
              <w:rPr>
                <w:rFonts w:eastAsia="Times New Roman" w:cs="Arial"/>
                <w:b/>
                <w:bCs/>
                <w:color w:val="000000"/>
                <w:lang w:eastAsia="en-AU"/>
              </w:rPr>
            </w:pPr>
            <w:r w:rsidRPr="00ED4338">
              <w:rPr>
                <w:rFonts w:eastAsia="Times New Roman" w:cs="Arial"/>
                <w:b/>
                <w:bCs/>
                <w:color w:val="000000"/>
                <w:lang w:eastAsia="en-AU"/>
              </w:rPr>
              <w:t>Main inflow</w:t>
            </w:r>
          </w:p>
        </w:tc>
        <w:tc>
          <w:tcPr>
            <w:tcW w:w="2835" w:type="dxa"/>
            <w:tcBorders>
              <w:top w:val="single" w:sz="4" w:space="0" w:color="auto"/>
              <w:bottom w:val="single" w:sz="4" w:space="0" w:color="auto"/>
            </w:tcBorders>
            <w:shd w:val="clear" w:color="auto" w:fill="084974" w:themeFill="accent3" w:themeFillShade="80"/>
            <w:noWrap/>
            <w:vAlign w:val="bottom"/>
            <w:hideMark/>
          </w:tcPr>
          <w:p w14:paraId="49CBB2A6" w14:textId="77777777" w:rsidR="009D38A7" w:rsidRPr="00ED4338" w:rsidRDefault="009D38A7" w:rsidP="009F6AF5">
            <w:pPr>
              <w:spacing w:before="40" w:after="40" w:line="240" w:lineRule="auto"/>
              <w:rPr>
                <w:rFonts w:eastAsia="Times New Roman" w:cs="Arial"/>
                <w:b/>
                <w:bCs/>
                <w:color w:val="000000"/>
                <w:lang w:eastAsia="en-AU"/>
              </w:rPr>
            </w:pPr>
            <w:r>
              <w:rPr>
                <w:rFonts w:eastAsia="Times New Roman" w:cs="Arial"/>
                <w:b/>
                <w:bCs/>
                <w:color w:val="FFFFFF" w:themeColor="background1"/>
                <w:lang w:eastAsia="en-AU"/>
              </w:rPr>
              <w:t>Core o</w:t>
            </w:r>
            <w:r w:rsidRPr="00ED4338">
              <w:rPr>
                <w:rFonts w:eastAsia="Times New Roman" w:cs="Arial"/>
                <w:b/>
                <w:bCs/>
                <w:color w:val="FFFFFF" w:themeColor="background1"/>
                <w:lang w:eastAsia="en-AU"/>
              </w:rPr>
              <w:t>ccupation</w:t>
            </w:r>
          </w:p>
        </w:tc>
        <w:tc>
          <w:tcPr>
            <w:tcW w:w="2650" w:type="dxa"/>
            <w:tcBorders>
              <w:top w:val="single" w:sz="4" w:space="0" w:color="auto"/>
              <w:bottom w:val="single" w:sz="4" w:space="0" w:color="auto"/>
            </w:tcBorders>
            <w:shd w:val="clear" w:color="auto" w:fill="CEE9FB" w:themeFill="accent3" w:themeFillTint="33"/>
          </w:tcPr>
          <w:p w14:paraId="26916AD0" w14:textId="77777777" w:rsidR="009D38A7" w:rsidRPr="00ED4338" w:rsidRDefault="009D38A7" w:rsidP="009F6AF5">
            <w:pPr>
              <w:spacing w:before="40" w:after="40" w:line="240" w:lineRule="auto"/>
              <w:rPr>
                <w:rFonts w:eastAsia="Times New Roman" w:cs="Arial"/>
                <w:b/>
                <w:bCs/>
                <w:color w:val="000000"/>
                <w:lang w:eastAsia="en-AU"/>
              </w:rPr>
            </w:pPr>
            <w:r w:rsidRPr="00ED4338">
              <w:rPr>
                <w:rFonts w:eastAsia="Times New Roman" w:cs="Arial"/>
                <w:b/>
                <w:bCs/>
                <w:color w:val="000000"/>
                <w:lang w:eastAsia="en-AU"/>
              </w:rPr>
              <w:t>Main outflow</w:t>
            </w:r>
          </w:p>
        </w:tc>
      </w:tr>
      <w:tr w:rsidR="009D38A7" w:rsidRPr="00F107AB" w14:paraId="5ED3ADAE" w14:textId="77777777" w:rsidTr="007170C4">
        <w:trPr>
          <w:trHeight w:val="580"/>
        </w:trPr>
        <w:tc>
          <w:tcPr>
            <w:tcW w:w="2835" w:type="dxa"/>
            <w:tcBorders>
              <w:top w:val="single" w:sz="4" w:space="0" w:color="auto"/>
              <w:bottom w:val="single" w:sz="4" w:space="0" w:color="auto"/>
            </w:tcBorders>
            <w:shd w:val="clear" w:color="auto" w:fill="FFFFFF" w:themeFill="background1"/>
          </w:tcPr>
          <w:p w14:paraId="3C014F32"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trades assistant/labourer</w:t>
            </w:r>
          </w:p>
          <w:p w14:paraId="1947FA5F"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Telecommunications trades assistant</w:t>
            </w:r>
          </w:p>
        </w:tc>
        <w:tc>
          <w:tcPr>
            <w:tcW w:w="2835" w:type="dxa"/>
            <w:tcBorders>
              <w:top w:val="single" w:sz="4" w:space="0" w:color="auto"/>
              <w:bottom w:val="single" w:sz="4" w:space="0" w:color="auto"/>
            </w:tcBorders>
            <w:shd w:val="clear" w:color="auto" w:fill="FFFFFF" w:themeFill="background1"/>
            <w:hideMark/>
          </w:tcPr>
          <w:p w14:paraId="795CD3BE"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Electricians</w:t>
            </w:r>
          </w:p>
        </w:tc>
        <w:tc>
          <w:tcPr>
            <w:tcW w:w="2650" w:type="dxa"/>
            <w:tcBorders>
              <w:top w:val="single" w:sz="4" w:space="0" w:color="auto"/>
              <w:bottom w:val="single" w:sz="4" w:space="0" w:color="auto"/>
            </w:tcBorders>
            <w:shd w:val="clear" w:color="auto" w:fill="FFFFFF" w:themeFill="background1"/>
          </w:tcPr>
          <w:p w14:paraId="793419EE"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eastAsia="Times New Roman" w:hAnsiTheme="majorHAnsi" w:cstheme="majorHAnsi"/>
                <w:color w:val="000000"/>
                <w:sz w:val="20"/>
                <w:szCs w:val="20"/>
                <w:lang w:eastAsia="en-AU"/>
              </w:rPr>
              <w:t>Electrical Engineer</w:t>
            </w:r>
          </w:p>
        </w:tc>
      </w:tr>
      <w:tr w:rsidR="009D38A7" w:rsidRPr="00F107AB" w14:paraId="71179E16" w14:textId="77777777" w:rsidTr="007170C4">
        <w:trPr>
          <w:trHeight w:val="290"/>
        </w:trPr>
        <w:tc>
          <w:tcPr>
            <w:tcW w:w="2835" w:type="dxa"/>
            <w:tcBorders>
              <w:top w:val="single" w:sz="4" w:space="0" w:color="auto"/>
              <w:bottom w:val="single" w:sz="4" w:space="0" w:color="auto"/>
            </w:tcBorders>
            <w:shd w:val="clear" w:color="auto" w:fill="FFFFFF" w:themeFill="background1"/>
          </w:tcPr>
          <w:p w14:paraId="79BACD8A"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Electricians</w:t>
            </w:r>
          </w:p>
        </w:tc>
        <w:tc>
          <w:tcPr>
            <w:tcW w:w="2835" w:type="dxa"/>
            <w:tcBorders>
              <w:top w:val="single" w:sz="4" w:space="0" w:color="auto"/>
              <w:bottom w:val="single" w:sz="4" w:space="0" w:color="auto"/>
            </w:tcBorders>
            <w:shd w:val="clear" w:color="auto" w:fill="FFFFFF" w:themeFill="background1"/>
            <w:hideMark/>
          </w:tcPr>
          <w:p w14:paraId="0E6C2577"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Electrical Engineers</w:t>
            </w:r>
          </w:p>
        </w:tc>
        <w:tc>
          <w:tcPr>
            <w:tcW w:w="2650" w:type="dxa"/>
            <w:tcBorders>
              <w:top w:val="single" w:sz="4" w:space="0" w:color="auto"/>
              <w:bottom w:val="single" w:sz="4" w:space="0" w:color="auto"/>
            </w:tcBorders>
            <w:shd w:val="clear" w:color="auto" w:fill="FFFFFF" w:themeFill="background1"/>
          </w:tcPr>
          <w:p w14:paraId="65E6034C"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appliance servicer or repairer</w:t>
            </w:r>
          </w:p>
          <w:p w14:paraId="441955DF"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Pr>
                <w:rFonts w:asciiTheme="majorHAnsi" w:hAnsiTheme="majorHAnsi" w:cstheme="majorHAnsi"/>
                <w:color w:val="000000"/>
                <w:sz w:val="20"/>
                <w:szCs w:val="20"/>
                <w:lang w:eastAsia="en-AU"/>
              </w:rPr>
              <w:t>E</w:t>
            </w:r>
            <w:r w:rsidRPr="000715DD">
              <w:rPr>
                <w:rFonts w:asciiTheme="majorHAnsi" w:hAnsiTheme="majorHAnsi" w:cstheme="majorHAnsi"/>
                <w:color w:val="000000"/>
                <w:sz w:val="20"/>
                <w:szCs w:val="20"/>
                <w:lang w:eastAsia="en-AU"/>
              </w:rPr>
              <w:t>lectrical fitter</w:t>
            </w:r>
          </w:p>
          <w:p w14:paraId="1B002EFF" w14:textId="77777777" w:rsidR="009D38A7" w:rsidRPr="004675CC"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mechanic Electrician - general</w:t>
            </w:r>
          </w:p>
        </w:tc>
      </w:tr>
      <w:tr w:rsidR="009D38A7" w:rsidRPr="00F107AB" w14:paraId="1C4A8201" w14:textId="77777777" w:rsidTr="007170C4">
        <w:trPr>
          <w:trHeight w:val="290"/>
        </w:trPr>
        <w:tc>
          <w:tcPr>
            <w:tcW w:w="2835" w:type="dxa"/>
            <w:tcBorders>
              <w:top w:val="single" w:sz="4" w:space="0" w:color="auto"/>
              <w:bottom w:val="single" w:sz="4" w:space="0" w:color="auto"/>
            </w:tcBorders>
            <w:shd w:val="clear" w:color="auto" w:fill="FFFFFF" w:themeFill="background1"/>
          </w:tcPr>
          <w:p w14:paraId="3218ADB3"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Trades assistants</w:t>
            </w:r>
          </w:p>
          <w:p w14:paraId="77CC81AB" w14:textId="77777777" w:rsidR="009D38A7" w:rsidRDefault="009D38A7" w:rsidP="009F6AF5">
            <w:pPr>
              <w:spacing w:before="60" w:after="80" w:line="240" w:lineRule="auto"/>
              <w:rPr>
                <w:rFonts w:asciiTheme="majorHAnsi" w:hAnsiTheme="majorHAnsi" w:cstheme="majorHAnsi"/>
                <w:sz w:val="20"/>
                <w:szCs w:val="20"/>
              </w:rPr>
            </w:pPr>
            <w:r>
              <w:rPr>
                <w:rFonts w:asciiTheme="majorHAnsi" w:hAnsiTheme="majorHAnsi" w:cstheme="majorHAnsi"/>
                <w:sz w:val="20"/>
                <w:szCs w:val="20"/>
              </w:rPr>
              <w:t>T</w:t>
            </w:r>
            <w:r w:rsidRPr="000715DD">
              <w:rPr>
                <w:rFonts w:asciiTheme="majorHAnsi" w:hAnsiTheme="majorHAnsi" w:cstheme="majorHAnsi"/>
                <w:sz w:val="20"/>
                <w:szCs w:val="20"/>
              </w:rPr>
              <w:t xml:space="preserve">ruck drivers </w:t>
            </w:r>
          </w:p>
          <w:p w14:paraId="7B976E8F"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Pr>
                <w:rFonts w:asciiTheme="majorHAnsi" w:hAnsiTheme="majorHAnsi" w:cstheme="majorHAnsi"/>
                <w:sz w:val="20"/>
                <w:szCs w:val="20"/>
              </w:rPr>
              <w:t>La</w:t>
            </w:r>
            <w:r w:rsidRPr="000715DD">
              <w:rPr>
                <w:rFonts w:asciiTheme="majorHAnsi" w:hAnsiTheme="majorHAnsi" w:cstheme="majorHAnsi"/>
                <w:sz w:val="20"/>
                <w:szCs w:val="20"/>
              </w:rPr>
              <w:t>bourers</w:t>
            </w:r>
          </w:p>
        </w:tc>
        <w:tc>
          <w:tcPr>
            <w:tcW w:w="2835" w:type="dxa"/>
            <w:tcBorders>
              <w:top w:val="single" w:sz="4" w:space="0" w:color="auto"/>
              <w:bottom w:val="single" w:sz="4" w:space="0" w:color="auto"/>
            </w:tcBorders>
            <w:shd w:val="clear" w:color="auto" w:fill="FFFFFF" w:themeFill="background1"/>
            <w:hideMark/>
          </w:tcPr>
          <w:p w14:paraId="7B796473"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Drillers, Miners and Shot Firers</w:t>
            </w:r>
          </w:p>
        </w:tc>
        <w:tc>
          <w:tcPr>
            <w:tcW w:w="2650" w:type="dxa"/>
            <w:tcBorders>
              <w:top w:val="single" w:sz="4" w:space="0" w:color="auto"/>
              <w:bottom w:val="single" w:sz="4" w:space="0" w:color="auto"/>
            </w:tcBorders>
            <w:shd w:val="clear" w:color="auto" w:fill="FFFFFF" w:themeFill="background1"/>
          </w:tcPr>
          <w:p w14:paraId="7B0F7D65"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eastAsia="Times New Roman" w:hAnsiTheme="majorHAnsi" w:cstheme="majorHAnsi"/>
                <w:color w:val="000000"/>
                <w:sz w:val="20"/>
                <w:szCs w:val="20"/>
                <w:lang w:eastAsia="en-AU"/>
              </w:rPr>
              <w:t>Mining deputy Mine supervisor</w:t>
            </w:r>
          </w:p>
        </w:tc>
      </w:tr>
      <w:tr w:rsidR="009D38A7" w:rsidRPr="00F107AB" w14:paraId="1634CF83" w14:textId="77777777" w:rsidTr="007170C4">
        <w:trPr>
          <w:trHeight w:val="290"/>
        </w:trPr>
        <w:tc>
          <w:tcPr>
            <w:tcW w:w="2835" w:type="dxa"/>
            <w:tcBorders>
              <w:top w:val="single" w:sz="4" w:space="0" w:color="auto"/>
              <w:bottom w:val="single" w:sz="4" w:space="0" w:color="auto"/>
            </w:tcBorders>
            <w:shd w:val="clear" w:color="auto" w:fill="FFFFFF" w:themeFill="background1"/>
          </w:tcPr>
          <w:p w14:paraId="716A3302"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 xml:space="preserve">Labourers - other </w:t>
            </w:r>
          </w:p>
          <w:p w14:paraId="1233BAFB"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 xml:space="preserve">Trades </w:t>
            </w:r>
            <w:r>
              <w:rPr>
                <w:rFonts w:asciiTheme="majorHAnsi" w:hAnsiTheme="majorHAnsi" w:cstheme="majorHAnsi"/>
                <w:sz w:val="20"/>
                <w:szCs w:val="20"/>
              </w:rPr>
              <w:t>a</w:t>
            </w:r>
            <w:r w:rsidRPr="000715DD">
              <w:rPr>
                <w:rFonts w:asciiTheme="majorHAnsi" w:hAnsiTheme="majorHAnsi" w:cstheme="majorHAnsi"/>
                <w:sz w:val="20"/>
                <w:szCs w:val="20"/>
              </w:rPr>
              <w:t>ssistants</w:t>
            </w:r>
          </w:p>
        </w:tc>
        <w:tc>
          <w:tcPr>
            <w:tcW w:w="2835" w:type="dxa"/>
            <w:tcBorders>
              <w:top w:val="single" w:sz="4" w:space="0" w:color="auto"/>
              <w:bottom w:val="single" w:sz="4" w:space="0" w:color="auto"/>
            </w:tcBorders>
            <w:shd w:val="clear" w:color="auto" w:fill="FFFFFF" w:themeFill="background1"/>
            <w:hideMark/>
          </w:tcPr>
          <w:p w14:paraId="6598EE59"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Airconditioning and Refrigeration Mechanics</w:t>
            </w:r>
          </w:p>
        </w:tc>
        <w:tc>
          <w:tcPr>
            <w:tcW w:w="2650" w:type="dxa"/>
            <w:tcBorders>
              <w:top w:val="single" w:sz="4" w:space="0" w:color="auto"/>
              <w:bottom w:val="single" w:sz="4" w:space="0" w:color="auto"/>
            </w:tcBorders>
            <w:shd w:val="clear" w:color="auto" w:fill="FFFFFF" w:themeFill="background1"/>
          </w:tcPr>
          <w:p w14:paraId="36FCAAE4"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eastAsia="Times New Roman" w:hAnsiTheme="majorHAnsi" w:cstheme="majorHAnsi"/>
                <w:color w:val="000000"/>
                <w:sz w:val="20"/>
                <w:szCs w:val="20"/>
                <w:lang w:eastAsia="en-AU"/>
              </w:rPr>
              <w:t>Mechanical services plumber</w:t>
            </w:r>
          </w:p>
        </w:tc>
      </w:tr>
      <w:tr w:rsidR="009D38A7" w:rsidRPr="00F107AB" w14:paraId="3BD1219C" w14:textId="77777777" w:rsidTr="007170C4">
        <w:trPr>
          <w:trHeight w:val="580"/>
        </w:trPr>
        <w:tc>
          <w:tcPr>
            <w:tcW w:w="2835" w:type="dxa"/>
            <w:tcBorders>
              <w:top w:val="single" w:sz="4" w:space="0" w:color="auto"/>
              <w:bottom w:val="single" w:sz="4" w:space="0" w:color="auto"/>
            </w:tcBorders>
            <w:shd w:val="clear" w:color="auto" w:fill="FFFFFF" w:themeFill="background1"/>
          </w:tcPr>
          <w:p w14:paraId="03099089"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Earthmoving plant operator general</w:t>
            </w:r>
          </w:p>
          <w:p w14:paraId="20FA973C"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Labourers - other</w:t>
            </w:r>
          </w:p>
          <w:p w14:paraId="4888ACDE"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Trades assistants</w:t>
            </w:r>
          </w:p>
          <w:p w14:paraId="3E5CA9D9"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Pr>
                <w:rFonts w:asciiTheme="majorHAnsi" w:hAnsiTheme="majorHAnsi" w:cstheme="majorHAnsi"/>
                <w:sz w:val="20"/>
                <w:szCs w:val="20"/>
              </w:rPr>
              <w:t>P</w:t>
            </w:r>
            <w:r w:rsidRPr="000715DD">
              <w:rPr>
                <w:rFonts w:asciiTheme="majorHAnsi" w:hAnsiTheme="majorHAnsi" w:cstheme="majorHAnsi"/>
                <w:sz w:val="20"/>
                <w:szCs w:val="20"/>
              </w:rPr>
              <w:t>rospectors</w:t>
            </w:r>
          </w:p>
        </w:tc>
        <w:tc>
          <w:tcPr>
            <w:tcW w:w="2835" w:type="dxa"/>
            <w:tcBorders>
              <w:top w:val="single" w:sz="4" w:space="0" w:color="auto"/>
              <w:bottom w:val="single" w:sz="4" w:space="0" w:color="auto"/>
            </w:tcBorders>
            <w:shd w:val="clear" w:color="auto" w:fill="FFFFFF" w:themeFill="background1"/>
            <w:hideMark/>
          </w:tcPr>
          <w:p w14:paraId="03ECC493"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sz w:val="20"/>
                <w:szCs w:val="20"/>
                <w:lang w:eastAsia="en-AU"/>
              </w:rPr>
              <w:t>Chemical, Gas, Petroleum and Power Generation Plant Operators</w:t>
            </w:r>
          </w:p>
        </w:tc>
        <w:tc>
          <w:tcPr>
            <w:tcW w:w="2650" w:type="dxa"/>
            <w:tcBorders>
              <w:top w:val="single" w:sz="4" w:space="0" w:color="auto"/>
              <w:bottom w:val="single" w:sz="4" w:space="0" w:color="auto"/>
            </w:tcBorders>
            <w:shd w:val="clear" w:color="auto" w:fill="FFFFFF" w:themeFill="background1"/>
          </w:tcPr>
          <w:p w14:paraId="2D3DED9B" w14:textId="77777777" w:rsidR="009D38A7" w:rsidRPr="000715DD" w:rsidRDefault="009D38A7" w:rsidP="009F6AF5">
            <w:pPr>
              <w:spacing w:before="60" w:after="80" w:line="240" w:lineRule="auto"/>
              <w:rPr>
                <w:rFonts w:asciiTheme="majorHAnsi" w:eastAsia="Times New Roman" w:hAnsiTheme="majorHAnsi" w:cstheme="majorHAnsi"/>
                <w:sz w:val="20"/>
                <w:szCs w:val="20"/>
                <w:lang w:eastAsia="en-AU"/>
              </w:rPr>
            </w:pPr>
            <w:r w:rsidRPr="000715DD">
              <w:rPr>
                <w:rFonts w:asciiTheme="majorHAnsi" w:eastAsia="Times New Roman" w:hAnsiTheme="majorHAnsi" w:cstheme="majorHAnsi"/>
                <w:sz w:val="20"/>
                <w:szCs w:val="20"/>
                <w:lang w:eastAsia="en-AU"/>
              </w:rPr>
              <w:t>Earthmoving plant operator - general</w:t>
            </w:r>
          </w:p>
        </w:tc>
      </w:tr>
      <w:tr w:rsidR="009D38A7" w:rsidRPr="00F107AB" w14:paraId="1F5C9963" w14:textId="77777777" w:rsidTr="007170C4">
        <w:trPr>
          <w:trHeight w:val="580"/>
        </w:trPr>
        <w:tc>
          <w:tcPr>
            <w:tcW w:w="2835" w:type="dxa"/>
            <w:tcBorders>
              <w:top w:val="single" w:sz="4" w:space="0" w:color="auto"/>
              <w:bottom w:val="single" w:sz="4" w:space="0" w:color="auto"/>
            </w:tcBorders>
            <w:shd w:val="clear" w:color="auto" w:fill="FFFFFF" w:themeFill="background1"/>
          </w:tcPr>
          <w:p w14:paraId="61033064"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appliance servicer or repairer</w:t>
            </w:r>
          </w:p>
          <w:p w14:paraId="52645A8C"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fitter</w:t>
            </w:r>
          </w:p>
          <w:p w14:paraId="6EF28E1D" w14:textId="77777777" w:rsidR="009D38A7" w:rsidRDefault="009D38A7" w:rsidP="009F6AF5">
            <w:pPr>
              <w:spacing w:before="60" w:after="80" w:line="240" w:lineRule="auto"/>
              <w:rPr>
                <w:rFonts w:asciiTheme="majorHAnsi" w:hAnsiTheme="majorHAnsi" w:cstheme="majorHAnsi"/>
                <w:sz w:val="20"/>
                <w:szCs w:val="20"/>
              </w:rPr>
            </w:pPr>
            <w:r w:rsidRPr="000715DD">
              <w:rPr>
                <w:rFonts w:asciiTheme="majorHAnsi" w:hAnsiTheme="majorHAnsi" w:cstheme="majorHAnsi"/>
                <w:sz w:val="20"/>
                <w:szCs w:val="20"/>
              </w:rPr>
              <w:t>Electrical mechanic</w:t>
            </w:r>
          </w:p>
          <w:p w14:paraId="6A42E5E5"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sz w:val="20"/>
                <w:szCs w:val="20"/>
              </w:rPr>
              <w:t>Electrician - general</w:t>
            </w:r>
          </w:p>
        </w:tc>
        <w:tc>
          <w:tcPr>
            <w:tcW w:w="2835" w:type="dxa"/>
            <w:tcBorders>
              <w:top w:val="single" w:sz="4" w:space="0" w:color="auto"/>
              <w:bottom w:val="single" w:sz="4" w:space="0" w:color="auto"/>
            </w:tcBorders>
            <w:shd w:val="clear" w:color="auto" w:fill="FFFFFF" w:themeFill="background1"/>
            <w:hideMark/>
          </w:tcPr>
          <w:p w14:paraId="237A69AB" w14:textId="77777777" w:rsidR="009D38A7" w:rsidRPr="00AD38DA" w:rsidRDefault="009D38A7" w:rsidP="009F6AF5">
            <w:pPr>
              <w:spacing w:before="60" w:after="80" w:line="240" w:lineRule="auto"/>
              <w:rPr>
                <w:rFonts w:asciiTheme="majorHAnsi" w:eastAsia="Times New Roman" w:hAnsiTheme="majorHAnsi" w:cstheme="majorHAnsi"/>
                <w:b/>
                <w:bCs/>
                <w:color w:val="000000"/>
                <w:sz w:val="20"/>
                <w:szCs w:val="20"/>
                <w:lang w:eastAsia="en-AU"/>
              </w:rPr>
            </w:pPr>
            <w:r w:rsidRPr="00AD38DA">
              <w:rPr>
                <w:rFonts w:asciiTheme="majorHAnsi" w:eastAsia="Times New Roman" w:hAnsiTheme="majorHAnsi" w:cstheme="majorHAnsi"/>
                <w:b/>
                <w:bCs/>
                <w:color w:val="000000"/>
                <w:sz w:val="20"/>
                <w:szCs w:val="20"/>
                <w:lang w:eastAsia="en-AU"/>
              </w:rPr>
              <w:t>Electrical distribution trades workers</w:t>
            </w:r>
          </w:p>
        </w:tc>
        <w:tc>
          <w:tcPr>
            <w:tcW w:w="2650" w:type="dxa"/>
            <w:tcBorders>
              <w:top w:val="single" w:sz="4" w:space="0" w:color="auto"/>
              <w:bottom w:val="single" w:sz="4" w:space="0" w:color="auto"/>
            </w:tcBorders>
            <w:shd w:val="clear" w:color="auto" w:fill="FFFFFF" w:themeFill="background1"/>
          </w:tcPr>
          <w:p w14:paraId="2A34990B"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appliance servicer or repairer</w:t>
            </w:r>
          </w:p>
          <w:p w14:paraId="3EDFFF42"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Pr>
                <w:rFonts w:asciiTheme="majorHAnsi" w:hAnsiTheme="majorHAnsi" w:cstheme="majorHAnsi"/>
                <w:color w:val="000000"/>
                <w:sz w:val="20"/>
                <w:szCs w:val="20"/>
                <w:lang w:eastAsia="en-AU"/>
              </w:rPr>
              <w:t>E</w:t>
            </w:r>
            <w:r w:rsidRPr="000715DD">
              <w:rPr>
                <w:rFonts w:asciiTheme="majorHAnsi" w:hAnsiTheme="majorHAnsi" w:cstheme="majorHAnsi"/>
                <w:color w:val="000000"/>
                <w:sz w:val="20"/>
                <w:szCs w:val="20"/>
                <w:lang w:eastAsia="en-AU"/>
              </w:rPr>
              <w:t xml:space="preserve">lectrical fitter </w:t>
            </w:r>
          </w:p>
          <w:p w14:paraId="32504CA9" w14:textId="77777777" w:rsidR="009D38A7" w:rsidRDefault="009D38A7" w:rsidP="009F6AF5">
            <w:pPr>
              <w:spacing w:before="60" w:after="80" w:line="240" w:lineRule="auto"/>
              <w:rPr>
                <w:rFonts w:asciiTheme="majorHAnsi"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Electrical mechanic</w:t>
            </w:r>
          </w:p>
          <w:p w14:paraId="4D99C663" w14:textId="77777777" w:rsidR="009D38A7" w:rsidRPr="000715DD" w:rsidRDefault="009D38A7" w:rsidP="009F6AF5">
            <w:pPr>
              <w:spacing w:before="60" w:after="80" w:line="240" w:lineRule="auto"/>
              <w:rPr>
                <w:rFonts w:asciiTheme="majorHAnsi" w:eastAsia="Times New Roman" w:hAnsiTheme="majorHAnsi" w:cstheme="majorHAnsi"/>
                <w:color w:val="000000"/>
                <w:sz w:val="20"/>
                <w:szCs w:val="20"/>
                <w:lang w:eastAsia="en-AU"/>
              </w:rPr>
            </w:pPr>
            <w:r w:rsidRPr="000715DD">
              <w:rPr>
                <w:rFonts w:asciiTheme="majorHAnsi" w:hAnsiTheme="majorHAnsi" w:cstheme="majorHAnsi"/>
                <w:color w:val="000000"/>
                <w:sz w:val="20"/>
                <w:szCs w:val="20"/>
                <w:lang w:eastAsia="en-AU"/>
              </w:rPr>
              <w:t>Electrician - general</w:t>
            </w:r>
          </w:p>
        </w:tc>
      </w:tr>
    </w:tbl>
    <w:p w14:paraId="05EB6519" w14:textId="77777777" w:rsidR="00005748" w:rsidRDefault="00005748">
      <w:pPr>
        <w:rPr>
          <w:sz w:val="18"/>
          <w:szCs w:val="18"/>
        </w:rPr>
      </w:pPr>
      <w:r>
        <w:rPr>
          <w:sz w:val="18"/>
          <w:szCs w:val="18"/>
        </w:rPr>
        <w:br w:type="page"/>
      </w:r>
    </w:p>
    <w:p w14:paraId="42908E36" w14:textId="07ABD00E" w:rsidR="003033B0" w:rsidRPr="00E5087D" w:rsidRDefault="003033B0" w:rsidP="00F25595">
      <w:pPr>
        <w:pStyle w:val="ListParagraph"/>
        <w:numPr>
          <w:ilvl w:val="0"/>
          <w:numId w:val="32"/>
        </w:numPr>
        <w:spacing w:before="240" w:after="80" w:line="276" w:lineRule="auto"/>
        <w:ind w:left="284" w:hanging="357"/>
        <w:contextualSpacing w:val="0"/>
        <w:rPr>
          <w14:numForm w14:val="lining"/>
          <w14:numSpacing w14:val="proportional"/>
        </w:rPr>
      </w:pPr>
      <w:r w:rsidRPr="00E5087D">
        <w:rPr>
          <w:b/>
          <w:bCs/>
          <w:color w:val="005D5D" w:themeColor="accent2"/>
          <w14:numForm w14:val="lining"/>
          <w14:numSpacing w14:val="proportional"/>
        </w:rPr>
        <w:t xml:space="preserve">Finding occupations with high skills similarity that could be low-friction transitions. </w:t>
      </w:r>
      <w:r w:rsidRPr="00E5087D">
        <w:rPr>
          <w14:numForm w14:val="lining"/>
          <w14:numSpacing w14:val="proportional"/>
        </w:rPr>
        <w:t xml:space="preserve">For example, Power Generation Plant Operators share many of the same skills with Electricians and Fire Protection Equipment Technicians (see Figure </w:t>
      </w:r>
      <w:r w:rsidR="00D5464B">
        <w:rPr>
          <w14:numForm w14:val="lining"/>
          <w14:numSpacing w14:val="proportional"/>
        </w:rPr>
        <w:t>4.23</w:t>
      </w:r>
      <w:r w:rsidRPr="00E5087D">
        <w:rPr>
          <w14:numForm w14:val="lining"/>
          <w14:numSpacing w14:val="proportional"/>
        </w:rPr>
        <w:t>). However, it’s important to stress that occupations are defined by more than skills, including:</w:t>
      </w:r>
    </w:p>
    <w:p w14:paraId="3EAC8A4E" w14:textId="77777777" w:rsidR="003033B0" w:rsidRPr="00E5087D" w:rsidRDefault="003033B0" w:rsidP="00F25595">
      <w:pPr>
        <w:numPr>
          <w:ilvl w:val="2"/>
          <w:numId w:val="34"/>
        </w:numPr>
        <w:spacing w:after="0" w:line="276" w:lineRule="auto"/>
        <w:ind w:left="993"/>
        <w:rPr>
          <w14:numForm w14:val="lining"/>
          <w14:numSpacing w14:val="proportional"/>
        </w:rPr>
      </w:pPr>
      <w:r w:rsidRPr="00E5087D">
        <w:rPr>
          <w14:numForm w14:val="lining"/>
          <w14:numSpacing w14:val="proportional"/>
        </w:rPr>
        <w:t>Licensing</w:t>
      </w:r>
    </w:p>
    <w:p w14:paraId="7C42A042" w14:textId="5D1B5639" w:rsidR="003033B0" w:rsidRPr="00E5087D" w:rsidRDefault="003033B0" w:rsidP="00F25595">
      <w:pPr>
        <w:numPr>
          <w:ilvl w:val="2"/>
          <w:numId w:val="34"/>
        </w:numPr>
        <w:spacing w:after="0" w:line="276" w:lineRule="auto"/>
        <w:ind w:left="993"/>
      </w:pPr>
      <w:r w:rsidRPr="00E5087D">
        <w:rPr>
          <w14:numForm w14:val="lining"/>
          <w14:numSpacing w14:val="proportional"/>
        </w:rPr>
        <w:t xml:space="preserve">Training pathways </w:t>
      </w:r>
      <w:r w:rsidR="64BDC51F" w:rsidRPr="00E5087D">
        <w:rPr>
          <w14:numForm w14:val="lining"/>
          <w14:numSpacing w14:val="proportional"/>
        </w:rPr>
        <w:t>and</w:t>
      </w:r>
      <w:r w:rsidRPr="00E5087D">
        <w:rPr>
          <w14:numForm w14:val="lining"/>
          <w14:numSpacing w14:val="proportional"/>
        </w:rPr>
        <w:t xml:space="preserve"> their availability</w:t>
      </w:r>
    </w:p>
    <w:p w14:paraId="230B0096" w14:textId="77777777" w:rsidR="003033B0" w:rsidRPr="00E5087D" w:rsidRDefault="003033B0" w:rsidP="00F25595">
      <w:pPr>
        <w:numPr>
          <w:ilvl w:val="2"/>
          <w:numId w:val="34"/>
        </w:numPr>
        <w:spacing w:after="0" w:line="276" w:lineRule="auto"/>
        <w:ind w:left="993"/>
        <w:rPr>
          <w14:numForm w14:val="lining"/>
          <w14:numSpacing w14:val="proportional"/>
        </w:rPr>
      </w:pPr>
      <w:r w:rsidRPr="00E5087D">
        <w:rPr>
          <w14:numForm w14:val="lining"/>
          <w14:numSpacing w14:val="proportional"/>
        </w:rPr>
        <w:t>The organisation of work – physical, temporal and social dimensions</w:t>
      </w:r>
    </w:p>
    <w:p w14:paraId="782230AA" w14:textId="45080E5D" w:rsidR="003033B0" w:rsidRPr="00E5087D" w:rsidRDefault="003033B0" w:rsidP="00F25595">
      <w:pPr>
        <w:numPr>
          <w:ilvl w:val="2"/>
          <w:numId w:val="34"/>
        </w:numPr>
        <w:spacing w:after="0" w:line="276" w:lineRule="auto"/>
        <w:ind w:left="993"/>
      </w:pPr>
      <w:r w:rsidRPr="00E5087D">
        <w:rPr>
          <w14:numForm w14:val="lining"/>
          <w14:numSpacing w14:val="proportional"/>
        </w:rPr>
        <w:t xml:space="preserve">Perceived societal value </w:t>
      </w:r>
      <w:r w:rsidR="5B3CEF6C" w:rsidRPr="00E5087D">
        <w:rPr>
          <w14:numForm w14:val="lining"/>
          <w14:numSpacing w14:val="proportional"/>
        </w:rPr>
        <w:t>and</w:t>
      </w:r>
      <w:r w:rsidRPr="00E5087D">
        <w:rPr>
          <w14:numForm w14:val="lining"/>
          <w14:numSpacing w14:val="proportional"/>
        </w:rPr>
        <w:t xml:space="preserve"> status</w:t>
      </w:r>
    </w:p>
    <w:p w14:paraId="52B1D01C" w14:textId="77777777" w:rsidR="003033B0" w:rsidRPr="00E5087D" w:rsidRDefault="003033B0" w:rsidP="00F25595">
      <w:pPr>
        <w:numPr>
          <w:ilvl w:val="2"/>
          <w:numId w:val="34"/>
        </w:numPr>
        <w:spacing w:after="0" w:line="276" w:lineRule="auto"/>
        <w:ind w:left="993"/>
        <w:rPr>
          <w14:numForm w14:val="lining"/>
          <w14:numSpacing w14:val="proportional"/>
        </w:rPr>
      </w:pPr>
      <w:r w:rsidRPr="00E5087D">
        <w:rPr>
          <w14:numForm w14:val="lining"/>
          <w14:numSpacing w14:val="proportional"/>
        </w:rPr>
        <w:t>Monetary value as influenced by multiple factors – skill premium, balance of demand and supply, sector, unionisation.</w:t>
      </w:r>
    </w:p>
    <w:p w14:paraId="0A89A0CF" w14:textId="59DECBE7" w:rsidR="003033B0" w:rsidRPr="00E5087D" w:rsidRDefault="003033B0" w:rsidP="00BC3FB8">
      <w:pPr>
        <w:spacing w:before="80" w:after="0" w:line="276" w:lineRule="auto"/>
        <w:ind w:left="426"/>
      </w:pPr>
      <w:r w:rsidRPr="00E5087D">
        <w:rPr>
          <w14:numForm w14:val="lining"/>
          <w14:numSpacing w14:val="proportional"/>
        </w:rPr>
        <w:t>These factors can act as additional barriers, or incentives, that make some transition options more accessible than may appear on paper</w:t>
      </w:r>
      <w:r w:rsidRPr="00E5087D">
        <w:t>.</w:t>
      </w:r>
      <w:r w:rsidR="0006795B">
        <w:t xml:space="preserve"> </w:t>
      </w:r>
      <w:r w:rsidR="008022C9">
        <w:t>As such, s</w:t>
      </w:r>
      <w:r w:rsidR="0006795B">
        <w:t xml:space="preserve">kills similarity analysis is </w:t>
      </w:r>
      <w:r w:rsidR="003670E5">
        <w:t>conceptual only</w:t>
      </w:r>
      <w:r w:rsidR="008022C9">
        <w:t xml:space="preserve"> and can often overstate the ease of</w:t>
      </w:r>
      <w:r w:rsidR="00BC3FB8">
        <w:t xml:space="preserve"> </w:t>
      </w:r>
      <w:r w:rsidR="008022C9">
        <w:t>occupational transition</w:t>
      </w:r>
      <w:r w:rsidR="00BC3FB8">
        <w:t>s</w:t>
      </w:r>
      <w:r w:rsidR="008022C9">
        <w:t>.</w:t>
      </w:r>
    </w:p>
    <w:p w14:paraId="1BB2EE8F" w14:textId="7AAFEF2E" w:rsidR="00D155D4" w:rsidRPr="00E5087D" w:rsidRDefault="00D155D4" w:rsidP="00BC3FB8">
      <w:pPr>
        <w:pBdr>
          <w:top w:val="single" w:sz="4" w:space="6" w:color="A6A6A6" w:themeColor="background1" w:themeShade="A6"/>
        </w:pBdr>
        <w:spacing w:before="240" w:after="80"/>
        <w:rPr>
          <w:b/>
          <w:bCs/>
        </w:rPr>
      </w:pPr>
      <w:r w:rsidRPr="00E5087D">
        <w:rPr>
          <w:b/>
          <w:bCs/>
        </w:rPr>
        <w:t xml:space="preserve">Figure </w:t>
      </w:r>
      <w:r w:rsidR="00D5464B">
        <w:rPr>
          <w:b/>
          <w:bCs/>
        </w:rPr>
        <w:t>4.23</w:t>
      </w:r>
      <w:r w:rsidR="004B5F96">
        <w:rPr>
          <w:b/>
          <w:bCs/>
        </w:rPr>
        <w:t>.</w:t>
      </w:r>
      <w:r w:rsidRPr="00E5087D">
        <w:rPr>
          <w:b/>
          <w:bCs/>
        </w:rPr>
        <w:t xml:space="preserve"> Example skills similarity mapping</w:t>
      </w:r>
    </w:p>
    <w:p w14:paraId="4FC31372" w14:textId="57B6D159" w:rsidR="008C176A" w:rsidRDefault="007E3D1F" w:rsidP="00BC3FB8">
      <w:pPr>
        <w:spacing w:after="0"/>
        <w:jc w:val="center"/>
        <w:rPr>
          <w:sz w:val="18"/>
          <w:szCs w:val="18"/>
        </w:rPr>
      </w:pPr>
      <w:r>
        <w:rPr>
          <w:noProof/>
          <w:sz w:val="18"/>
          <w:szCs w:val="18"/>
        </w:rPr>
        <w:drawing>
          <wp:inline distT="0" distB="0" distL="0" distR="0" wp14:anchorId="5F80D96D" wp14:editId="749C920D">
            <wp:extent cx="4561393" cy="5582093"/>
            <wp:effectExtent l="0" t="0" r="0" b="0"/>
            <wp:docPr id="1341085332" name="Picture 1341085332" descr="This figure provides an example of skills similarities mapping across electricians, fire protection equipment technicians and power plant operators. Each occupation has a number of unique combination of skills, as well as some that are common within and among the three. For example, power generation plant operators and electricians share the skill of &quot;repairing equipment and electronics&quo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332" name="Picture 1341085332" descr="This figure provides an example of skills similarities mapping across electricians, fire protection equipment technicians and power plant operators. Each occupation has a number of unique combination of skills, as well as some that are common within and among the three. For example, power generation plant operators and electricians share the skill of &quot;repairing equipment and electronics&quot;. &#10;"/>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4567589" cy="5589676"/>
                    </a:xfrm>
                    <a:prstGeom prst="rect">
                      <a:avLst/>
                    </a:prstGeom>
                    <a:noFill/>
                  </pic:spPr>
                </pic:pic>
              </a:graphicData>
            </a:graphic>
          </wp:inline>
        </w:drawing>
      </w:r>
    </w:p>
    <w:p w14:paraId="28070B44" w14:textId="7E15C118" w:rsidR="00E91FE8" w:rsidRPr="008C176A" w:rsidRDefault="003033B0" w:rsidP="00BC3FB8">
      <w:pPr>
        <w:spacing w:before="40" w:after="120"/>
        <w:rPr>
          <w:sz w:val="18"/>
          <w:szCs w:val="18"/>
        </w:rPr>
        <w:sectPr w:rsidR="00E91FE8" w:rsidRPr="008C176A" w:rsidSect="007368E3">
          <w:headerReference w:type="even" r:id="rId147"/>
          <w:headerReference w:type="default" r:id="rId148"/>
          <w:footerReference w:type="even" r:id="rId149"/>
          <w:footerReference w:type="default" r:id="rId150"/>
          <w:headerReference w:type="first" r:id="rId151"/>
          <w:footerReference w:type="first" r:id="rId152"/>
          <w:endnotePr>
            <w:numFmt w:val="decimal"/>
          </w:endnotePr>
          <w:type w:val="continuous"/>
          <w:pgSz w:w="11906" w:h="16838" w:code="9"/>
          <w:pgMar w:top="1440" w:right="1440" w:bottom="1440" w:left="1440" w:header="0" w:footer="709" w:gutter="0"/>
          <w:cols w:space="708"/>
          <w:docGrid w:linePitch="360"/>
        </w:sectPr>
      </w:pPr>
      <w:r w:rsidRPr="00E5087D">
        <w:rPr>
          <w:sz w:val="18"/>
          <w:szCs w:val="18"/>
        </w:rPr>
        <w:t xml:space="preserve">Source: </w:t>
      </w:r>
      <w:r w:rsidR="00500A87" w:rsidRPr="00500A87">
        <w:rPr>
          <w:sz w:val="18"/>
          <w:szCs w:val="18"/>
        </w:rPr>
        <w:t>JSA</w:t>
      </w:r>
      <w:r w:rsidRPr="00E5087D">
        <w:rPr>
          <w:sz w:val="18"/>
          <w:szCs w:val="18"/>
        </w:rPr>
        <w:t xml:space="preserve">, Australian Skills </w:t>
      </w:r>
      <w:r w:rsidR="00EE2AD1">
        <w:rPr>
          <w:sz w:val="18"/>
          <w:szCs w:val="18"/>
        </w:rPr>
        <w:t>Classification</w:t>
      </w:r>
      <w:r w:rsidR="008A4C65">
        <w:rPr>
          <w:sz w:val="18"/>
          <w:szCs w:val="18"/>
        </w:rPr>
        <w:t xml:space="preserve"> November 2022</w:t>
      </w:r>
      <w:r w:rsidR="00EE2AD1">
        <w:rPr>
          <w:sz w:val="18"/>
          <w:szCs w:val="18"/>
        </w:rPr>
        <w:t>. Yellow skills are in common across all three occupations, while the orange skills are in common across two occupations.</w:t>
      </w:r>
    </w:p>
    <w:p w14:paraId="78592749" w14:textId="1C2D1763" w:rsidR="001755E4" w:rsidRPr="00E5087D" w:rsidRDefault="001755E4" w:rsidP="001755E4">
      <w:pPr>
        <w:spacing w:before="240" w:after="80"/>
        <w:ind w:left="-283"/>
        <w:rPr>
          <w:b/>
          <w:bCs/>
        </w:rPr>
      </w:pPr>
      <w:r w:rsidRPr="00E5087D">
        <w:t xml:space="preserve">Table </w:t>
      </w:r>
      <w:r w:rsidR="00434CEA">
        <w:t>4.17</w:t>
      </w:r>
      <w:r w:rsidRPr="00E5087D">
        <w:t xml:space="preserve"> shows potential transition pathways for the largest </w:t>
      </w:r>
      <w:r w:rsidRPr="00E5087D">
        <w:rPr>
          <w:i/>
          <w:iCs/>
        </w:rPr>
        <w:t xml:space="preserve">Fossil Fuel Electricity Generation </w:t>
      </w:r>
      <w:r w:rsidRPr="00E5087D">
        <w:t>occupations using each of these methods</w:t>
      </w:r>
      <w:r w:rsidRPr="00E5087D">
        <w:rPr>
          <w:b/>
          <w:bCs/>
        </w:rPr>
        <w:t xml:space="preserve"> </w:t>
      </w:r>
    </w:p>
    <w:p w14:paraId="20661D47" w14:textId="0B5F1B99" w:rsidR="006F6C07" w:rsidRPr="00E5087D" w:rsidRDefault="006F6C07" w:rsidP="001755E4">
      <w:pPr>
        <w:spacing w:before="480" w:after="80"/>
        <w:ind w:left="-283"/>
        <w:rPr>
          <w:b/>
          <w:bCs/>
        </w:rPr>
      </w:pPr>
      <w:r w:rsidRPr="00E5087D">
        <w:rPr>
          <w:b/>
          <w:bCs/>
        </w:rPr>
        <w:t>Table</w:t>
      </w:r>
      <w:r w:rsidR="004B5F96">
        <w:rPr>
          <w:b/>
          <w:bCs/>
        </w:rPr>
        <w:t xml:space="preserve"> </w:t>
      </w:r>
      <w:r w:rsidR="009942D7">
        <w:rPr>
          <w:b/>
          <w:bCs/>
        </w:rPr>
        <w:t>4.17</w:t>
      </w:r>
      <w:r w:rsidRPr="00E5087D">
        <w:rPr>
          <w:b/>
          <w:bCs/>
        </w:rPr>
        <w:t xml:space="preserve">. Pathways for largest </w:t>
      </w:r>
      <w:r w:rsidRPr="00E5087D">
        <w:rPr>
          <w:b/>
          <w:bCs/>
          <w:i/>
          <w:iCs/>
        </w:rPr>
        <w:t>Fossil Fuel Electricity Generation</w:t>
      </w:r>
      <w:r w:rsidRPr="00E5087D">
        <w:rPr>
          <w:b/>
          <w:bCs/>
        </w:rPr>
        <w:t xml:space="preserve"> occupations</w:t>
      </w:r>
    </w:p>
    <w:tbl>
      <w:tblPr>
        <w:tblStyle w:val="TableGrid"/>
        <w:tblW w:w="14885" w:type="dxa"/>
        <w:tblInd w:w="-289" w:type="dxa"/>
        <w:tblLook w:val="06A0" w:firstRow="1" w:lastRow="0" w:firstColumn="1" w:lastColumn="0" w:noHBand="1" w:noVBand="1"/>
      </w:tblPr>
      <w:tblGrid>
        <w:gridCol w:w="2269"/>
        <w:gridCol w:w="2932"/>
        <w:gridCol w:w="4722"/>
        <w:gridCol w:w="4962"/>
      </w:tblGrid>
      <w:tr w:rsidR="003D3E52" w:rsidRPr="00E5087D" w14:paraId="28C17011" w14:textId="77777777" w:rsidTr="000C3CAC">
        <w:trPr>
          <w:cantSplit/>
          <w:trHeight w:val="408"/>
          <w:tblHeader/>
        </w:trPr>
        <w:tc>
          <w:tcPr>
            <w:tcW w:w="2269" w:type="dxa"/>
            <w:shd w:val="clear" w:color="auto" w:fill="595959" w:themeFill="text1" w:themeFillTint="A6"/>
            <w:vAlign w:val="center"/>
          </w:tcPr>
          <w:p w14:paraId="087DF28E" w14:textId="77777777" w:rsidR="006F6C07" w:rsidRPr="00E5087D" w:rsidRDefault="006F6C07">
            <w:pPr>
              <w:spacing w:before="80" w:after="80"/>
              <w:rPr>
                <w:rFonts w:asciiTheme="majorHAnsi" w:hAnsiTheme="majorHAnsi" w:cstheme="majorHAnsi"/>
                <w:b/>
                <w:bCs/>
                <w:color w:val="FFFFFF" w:themeColor="background1"/>
              </w:rPr>
            </w:pPr>
            <w:r w:rsidRPr="00E5087D">
              <w:rPr>
                <w:rFonts w:asciiTheme="majorHAnsi" w:hAnsiTheme="majorHAnsi" w:cstheme="majorHAnsi"/>
                <w:b/>
                <w:bCs/>
                <w:color w:val="FFFFFF" w:themeColor="background1"/>
              </w:rPr>
              <w:t>Current Occupation</w:t>
            </w:r>
          </w:p>
        </w:tc>
        <w:tc>
          <w:tcPr>
            <w:tcW w:w="2932" w:type="dxa"/>
            <w:shd w:val="clear" w:color="auto" w:fill="084974" w:themeFill="accent3" w:themeFillShade="80"/>
            <w:vAlign w:val="center"/>
          </w:tcPr>
          <w:p w14:paraId="62CEE92E" w14:textId="77777777" w:rsidR="006F6C07" w:rsidRPr="00E5087D" w:rsidRDefault="006F6C07">
            <w:pPr>
              <w:spacing w:before="80" w:after="80"/>
              <w:rPr>
                <w:rFonts w:asciiTheme="majorHAnsi" w:hAnsiTheme="majorHAnsi" w:cstheme="majorHAnsi"/>
                <w:b/>
                <w:bCs/>
                <w:color w:val="FFFFFF" w:themeColor="background1"/>
              </w:rPr>
            </w:pPr>
            <w:r w:rsidRPr="00E5087D">
              <w:rPr>
                <w:rFonts w:asciiTheme="majorHAnsi" w:hAnsiTheme="majorHAnsi" w:cstheme="majorHAnsi"/>
                <w:b/>
                <w:bCs/>
                <w:color w:val="FFFFFF" w:themeColor="background1"/>
              </w:rPr>
              <w:t xml:space="preserve">Common industries </w:t>
            </w:r>
          </w:p>
        </w:tc>
        <w:tc>
          <w:tcPr>
            <w:tcW w:w="4722" w:type="dxa"/>
            <w:shd w:val="clear" w:color="auto" w:fill="CEE9FB" w:themeFill="accent3" w:themeFillTint="33"/>
            <w:vAlign w:val="center"/>
          </w:tcPr>
          <w:p w14:paraId="36D4815F" w14:textId="2367DF81" w:rsidR="006F6C07" w:rsidRPr="00E5087D" w:rsidRDefault="00B25046">
            <w:pPr>
              <w:spacing w:before="80" w:after="80"/>
              <w:rPr>
                <w:rFonts w:asciiTheme="majorHAnsi" w:hAnsiTheme="majorHAnsi" w:cstheme="majorHAnsi"/>
                <w:b/>
                <w:bCs/>
              </w:rPr>
            </w:pPr>
            <w:r>
              <w:rPr>
                <w:rFonts w:asciiTheme="majorHAnsi" w:hAnsiTheme="majorHAnsi" w:cstheme="majorHAnsi"/>
                <w:b/>
                <w:bCs/>
              </w:rPr>
              <w:t>Most c</w:t>
            </w:r>
            <w:r w:rsidR="006F6C07" w:rsidRPr="00E5087D">
              <w:rPr>
                <w:rFonts w:asciiTheme="majorHAnsi" w:hAnsiTheme="majorHAnsi" w:cstheme="majorHAnsi"/>
                <w:b/>
                <w:bCs/>
              </w:rPr>
              <w:t>ommon real-world transitions</w:t>
            </w:r>
          </w:p>
        </w:tc>
        <w:tc>
          <w:tcPr>
            <w:tcW w:w="4962" w:type="dxa"/>
            <w:shd w:val="clear" w:color="auto" w:fill="9DD3F8" w:themeFill="accent3" w:themeFillTint="66"/>
            <w:vAlign w:val="center"/>
          </w:tcPr>
          <w:p w14:paraId="1173F66D" w14:textId="77777777" w:rsidR="006F6C07" w:rsidRPr="00E5087D" w:rsidRDefault="006F6C07">
            <w:pPr>
              <w:spacing w:before="80" w:after="80"/>
              <w:rPr>
                <w:rFonts w:asciiTheme="majorHAnsi" w:hAnsiTheme="majorHAnsi" w:cstheme="majorHAnsi"/>
                <w:b/>
                <w:bCs/>
              </w:rPr>
            </w:pPr>
            <w:r w:rsidRPr="00E5087D">
              <w:rPr>
                <w:rFonts w:asciiTheme="majorHAnsi" w:hAnsiTheme="majorHAnsi" w:cstheme="majorHAnsi"/>
                <w:b/>
                <w:bCs/>
              </w:rPr>
              <w:t>Similar occupations (skills similarity)</w:t>
            </w:r>
          </w:p>
        </w:tc>
      </w:tr>
      <w:tr w:rsidR="006B0D17" w:rsidRPr="00E5087D" w14:paraId="2E619CB3" w14:textId="77777777" w:rsidTr="000C3CAC">
        <w:trPr>
          <w:cantSplit/>
        </w:trPr>
        <w:tc>
          <w:tcPr>
            <w:tcW w:w="2269" w:type="dxa"/>
            <w:vAlign w:val="center"/>
          </w:tcPr>
          <w:p w14:paraId="1FF5060F"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Power Generation Plant Operator</w:t>
            </w:r>
          </w:p>
        </w:tc>
        <w:tc>
          <w:tcPr>
            <w:tcW w:w="2932" w:type="dxa"/>
          </w:tcPr>
          <w:p w14:paraId="15F624A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On Selling Electricity and Electricity Market Operation</w:t>
            </w:r>
          </w:p>
          <w:p w14:paraId="1EE9AF4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05F70E7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Alumina Production</w:t>
            </w:r>
          </w:p>
          <w:p w14:paraId="71F3B25D" w14:textId="236CEAD8"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Hydro</w:t>
            </w:r>
            <w:r w:rsidR="00C806CB">
              <w:rPr>
                <w:rFonts w:asciiTheme="majorHAnsi" w:hAnsiTheme="majorHAnsi" w:cstheme="majorHAnsi"/>
                <w:color w:val="000000"/>
                <w:sz w:val="20"/>
                <w:szCs w:val="20"/>
              </w:rPr>
              <w:t>e</w:t>
            </w:r>
            <w:r w:rsidRPr="00E5087D">
              <w:rPr>
                <w:rFonts w:asciiTheme="majorHAnsi" w:hAnsiTheme="majorHAnsi" w:cstheme="majorHAnsi"/>
                <w:color w:val="000000"/>
                <w:sz w:val="20"/>
                <w:szCs w:val="20"/>
              </w:rPr>
              <w:t xml:space="preserve">lectricity Generation </w:t>
            </w:r>
          </w:p>
          <w:p w14:paraId="2D0E9BA3"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color w:val="000000"/>
                <w:sz w:val="20"/>
                <w:szCs w:val="20"/>
              </w:rPr>
              <w:t>Other Electricity Generation</w:t>
            </w:r>
          </w:p>
        </w:tc>
        <w:tc>
          <w:tcPr>
            <w:tcW w:w="4722" w:type="dxa"/>
          </w:tcPr>
          <w:p w14:paraId="24758DD0"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Earthmoving Plant Operator </w:t>
            </w:r>
          </w:p>
          <w:p w14:paraId="4CCE36F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Distribution Trades Workers</w:t>
            </w:r>
            <w:r w:rsidRPr="00E5087D">
              <w:rPr>
                <w:rFonts w:asciiTheme="majorHAnsi" w:hAnsiTheme="majorHAnsi" w:cstheme="majorHAnsi"/>
                <w:b/>
                <w:bCs/>
                <w:color w:val="000000"/>
                <w:sz w:val="20"/>
                <w:szCs w:val="20"/>
              </w:rPr>
              <w:t>^</w:t>
            </w:r>
          </w:p>
          <w:p w14:paraId="1E2033E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Machine Operators nec</w:t>
            </w:r>
          </w:p>
        </w:tc>
        <w:tc>
          <w:tcPr>
            <w:tcW w:w="4962" w:type="dxa"/>
          </w:tcPr>
          <w:p w14:paraId="5473A391" w14:textId="6BE6ABB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Boiler or Engine Operator</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7356E789" w14:textId="415E293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w:t>
            </w:r>
            <w:r w:rsidR="00B41982">
              <w:rPr>
                <w:rFonts w:asciiTheme="majorHAnsi" w:hAnsiTheme="majorHAnsi" w:cstheme="majorHAnsi"/>
                <w:sz w:val="20"/>
                <w:szCs w:val="20"/>
              </w:rPr>
              <w:t>s</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67FD6841" w14:textId="26C47F8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Fire Protection Equipment Technician</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7F957E9E" w14:textId="5D20655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Gas or Petroleum Operator</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25278104" w14:textId="32916F0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00DB70C5">
              <w:rPr>
                <w:rFonts w:asciiTheme="majorHAnsi" w:hAnsiTheme="majorHAnsi" w:cstheme="majorHAnsi"/>
                <w:sz w:val="20"/>
                <w:szCs w:val="20"/>
              </w:rPr>
              <w:t xml:space="preserve"> </w:t>
            </w:r>
            <w:r w:rsidR="00DB70C5" w:rsidRPr="00B25046">
              <w:rPr>
                <w:rFonts w:asciiTheme="majorHAnsi" w:hAnsiTheme="majorHAnsi" w:cstheme="majorHAnsi"/>
                <w:sz w:val="16"/>
                <w:szCs w:val="16"/>
              </w:rPr>
              <w:t>(HIGH)</w:t>
            </w:r>
          </w:p>
          <w:p w14:paraId="778D359D" w14:textId="599FD0DA" w:rsidR="006F6C07" w:rsidRPr="00B25046" w:rsidRDefault="006F6C07">
            <w:pPr>
              <w:spacing w:before="80" w:after="80"/>
              <w:rPr>
                <w:rFonts w:asciiTheme="majorHAnsi" w:hAnsiTheme="majorHAnsi" w:cstheme="majorHAnsi"/>
                <w:sz w:val="16"/>
                <w:szCs w:val="16"/>
              </w:rPr>
            </w:pPr>
            <w:r w:rsidRPr="00E5087D">
              <w:rPr>
                <w:rFonts w:asciiTheme="majorHAnsi" w:hAnsiTheme="majorHAnsi" w:cstheme="majorHAnsi"/>
                <w:sz w:val="20"/>
                <w:szCs w:val="20"/>
              </w:rPr>
              <w:t>Electrical Distribution Trades Workers</w:t>
            </w:r>
            <w:r w:rsidRPr="00E5087D">
              <w:rPr>
                <w:rFonts w:asciiTheme="majorHAnsi" w:hAnsiTheme="majorHAnsi" w:cstheme="majorHAnsi"/>
                <w:b/>
                <w:bCs/>
                <w:sz w:val="20"/>
                <w:szCs w:val="20"/>
              </w:rPr>
              <w:t>^</w:t>
            </w:r>
            <w:r w:rsidR="00DB70C5">
              <w:rPr>
                <w:rFonts w:asciiTheme="majorHAnsi" w:hAnsiTheme="majorHAnsi" w:cstheme="majorHAnsi"/>
                <w:b/>
                <w:bCs/>
                <w:sz w:val="20"/>
                <w:szCs w:val="20"/>
              </w:rPr>
              <w:t xml:space="preserve"> </w:t>
            </w:r>
            <w:r w:rsidR="00DB70C5" w:rsidRPr="00B25046">
              <w:rPr>
                <w:rFonts w:asciiTheme="majorHAnsi" w:hAnsiTheme="majorHAnsi" w:cstheme="majorHAnsi"/>
                <w:sz w:val="16"/>
                <w:szCs w:val="16"/>
              </w:rPr>
              <w:t>(HIGH)</w:t>
            </w:r>
          </w:p>
          <w:p w14:paraId="7F4ECCF4" w14:textId="17E5E0D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Production or Plant Engineer</w:t>
            </w:r>
            <w:r w:rsidR="00B25046">
              <w:rPr>
                <w:rFonts w:asciiTheme="majorHAnsi" w:hAnsiTheme="majorHAnsi" w:cstheme="majorHAnsi"/>
                <w:sz w:val="20"/>
                <w:szCs w:val="20"/>
              </w:rPr>
              <w:t xml:space="preserve"> </w:t>
            </w:r>
            <w:r w:rsidR="00B25046" w:rsidRPr="00B25046">
              <w:rPr>
                <w:rFonts w:asciiTheme="majorHAnsi" w:hAnsiTheme="majorHAnsi" w:cstheme="majorHAnsi"/>
                <w:sz w:val="16"/>
                <w:szCs w:val="16"/>
              </w:rPr>
              <w:t>(HIGH)</w:t>
            </w:r>
          </w:p>
          <w:p w14:paraId="0D19B5D6" w14:textId="432ABCF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Lift Mechanic</w:t>
            </w:r>
            <w:r w:rsidR="00B25046">
              <w:rPr>
                <w:rFonts w:asciiTheme="majorHAnsi" w:hAnsiTheme="majorHAnsi" w:cstheme="majorHAnsi"/>
                <w:sz w:val="20"/>
                <w:szCs w:val="20"/>
              </w:rPr>
              <w:t xml:space="preserve"> </w:t>
            </w:r>
            <w:r w:rsidR="00B25046" w:rsidRPr="00B25046">
              <w:rPr>
                <w:rFonts w:asciiTheme="majorHAnsi" w:hAnsiTheme="majorHAnsi" w:cstheme="majorHAnsi"/>
                <w:sz w:val="16"/>
                <w:szCs w:val="16"/>
              </w:rPr>
              <w:t>(MEDIUM)</w:t>
            </w:r>
          </w:p>
        </w:tc>
      </w:tr>
      <w:tr w:rsidR="003D3E52" w:rsidRPr="00E5087D" w14:paraId="6068888B" w14:textId="77777777" w:rsidTr="000C3CAC">
        <w:trPr>
          <w:cantSplit/>
        </w:trPr>
        <w:tc>
          <w:tcPr>
            <w:tcW w:w="2269" w:type="dxa"/>
            <w:shd w:val="clear" w:color="auto" w:fill="F2F2F2"/>
            <w:vAlign w:val="center"/>
          </w:tcPr>
          <w:p w14:paraId="71C53D37"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Electrician (General)</w:t>
            </w:r>
          </w:p>
        </w:tc>
        <w:tc>
          <w:tcPr>
            <w:tcW w:w="2932" w:type="dxa"/>
            <w:shd w:val="clear" w:color="auto" w:fill="F2F2F2"/>
          </w:tcPr>
          <w:p w14:paraId="36CA5E0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Services</w:t>
            </w:r>
          </w:p>
          <w:p w14:paraId="0C86979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2272ACF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246328A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Domestic Appliance Repair and Maintenance</w:t>
            </w:r>
          </w:p>
          <w:p w14:paraId="0B1C224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Rail Passenger Transport</w:t>
            </w:r>
          </w:p>
        </w:tc>
        <w:tc>
          <w:tcPr>
            <w:tcW w:w="4722" w:type="dxa"/>
            <w:shd w:val="clear" w:color="auto" w:fill="F2F2F2"/>
          </w:tcPr>
          <w:p w14:paraId="515AF44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Electrical Engineering Technician^ </w:t>
            </w:r>
          </w:p>
          <w:p w14:paraId="295AFBE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Engineer</w:t>
            </w:r>
          </w:p>
          <w:p w14:paraId="227E7CC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or Telecommunications Trades Assistant</w:t>
            </w:r>
          </w:p>
          <w:p w14:paraId="69867A9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Automotive Electrician</w:t>
            </w:r>
          </w:p>
          <w:p w14:paraId="6719126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Distribution Trades Workers</w:t>
            </w:r>
            <w:r w:rsidRPr="00E5087D">
              <w:rPr>
                <w:rFonts w:asciiTheme="majorHAnsi" w:hAnsiTheme="majorHAnsi" w:cstheme="majorHAnsi"/>
                <w:b/>
                <w:bCs/>
                <w:color w:val="000000"/>
                <w:sz w:val="20"/>
                <w:szCs w:val="20"/>
              </w:rPr>
              <w:t>^</w:t>
            </w:r>
          </w:p>
          <w:p w14:paraId="47E49BD7"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Airconditioning and Refrigeration Mechanic</w:t>
            </w:r>
          </w:p>
          <w:p w14:paraId="283B627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Electronic Instrument Trades Worker</w:t>
            </w:r>
            <w:r w:rsidRPr="00E5087D">
              <w:rPr>
                <w:rFonts w:asciiTheme="majorHAnsi" w:hAnsiTheme="majorHAnsi" w:cstheme="majorHAnsi"/>
                <w:b/>
                <w:bCs/>
                <w:color w:val="000000"/>
                <w:sz w:val="20"/>
                <w:szCs w:val="20"/>
              </w:rPr>
              <w:t>^</w:t>
            </w:r>
          </w:p>
          <w:p w14:paraId="093C730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Labourers</w:t>
            </w:r>
          </w:p>
          <w:p w14:paraId="6F149AB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Technicians and Trades Workers nec </w:t>
            </w:r>
          </w:p>
          <w:p w14:paraId="047F7463"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 xml:space="preserve">Motor Mechanic </w:t>
            </w:r>
          </w:p>
        </w:tc>
        <w:tc>
          <w:tcPr>
            <w:tcW w:w="4962" w:type="dxa"/>
            <w:shd w:val="clear" w:color="auto" w:fill="F2F2F2"/>
          </w:tcPr>
          <w:p w14:paraId="28A0A5A6" w14:textId="321E6D2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 (Special Class)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35FFA72C" w14:textId="7E1EA49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 Instrument Trades Worker^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BBD22F8" w14:textId="4A3E93BC"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Lift Mechanic</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1F351B9" w14:textId="3988B4C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Pr="00E5087D">
              <w:rPr>
                <w:rFonts w:asciiTheme="majorHAnsi" w:hAnsiTheme="majorHAnsi" w:cstheme="majorHAnsi"/>
                <w:b/>
                <w:bCs/>
                <w:sz w:val="20"/>
                <w:szCs w:val="20"/>
              </w:rPr>
              <w:t>^</w:t>
            </w:r>
            <w:r w:rsidR="00B41982">
              <w:rPr>
                <w:rFonts w:asciiTheme="majorHAnsi" w:hAnsiTheme="majorHAnsi" w:cstheme="majorHAnsi"/>
                <w:b/>
                <w:bCs/>
                <w:sz w:val="20"/>
                <w:szCs w:val="20"/>
              </w:rPr>
              <w:t xml:space="preserve"> </w:t>
            </w:r>
            <w:r w:rsidR="00B41982" w:rsidRPr="00B25046">
              <w:rPr>
                <w:rFonts w:asciiTheme="majorHAnsi" w:hAnsiTheme="majorHAnsi" w:cstheme="majorHAnsi"/>
                <w:sz w:val="16"/>
                <w:szCs w:val="16"/>
              </w:rPr>
              <w:t>(HIGH)</w:t>
            </w:r>
          </w:p>
          <w:p w14:paraId="3E92E094" w14:textId="259E237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Distribution Trades Workers</w:t>
            </w:r>
            <w:r w:rsidRPr="00E5087D">
              <w:rPr>
                <w:rFonts w:asciiTheme="majorHAnsi" w:hAnsiTheme="majorHAnsi" w:cstheme="majorHAnsi"/>
                <w:b/>
                <w:bCs/>
                <w:sz w:val="20"/>
                <w:szCs w:val="20"/>
              </w:rPr>
              <w:t>^</w:t>
            </w:r>
            <w:r w:rsidR="00B41982">
              <w:rPr>
                <w:rFonts w:asciiTheme="majorHAnsi" w:hAnsiTheme="majorHAnsi" w:cstheme="majorHAnsi"/>
                <w:b/>
                <w:bCs/>
                <w:sz w:val="20"/>
                <w:szCs w:val="20"/>
              </w:rPr>
              <w:t xml:space="preserve"> </w:t>
            </w:r>
            <w:r w:rsidR="00B41982" w:rsidRPr="00B25046">
              <w:rPr>
                <w:rFonts w:asciiTheme="majorHAnsi" w:hAnsiTheme="majorHAnsi" w:cstheme="majorHAnsi"/>
                <w:sz w:val="16"/>
                <w:szCs w:val="16"/>
              </w:rPr>
              <w:t>(HIGH)</w:t>
            </w:r>
          </w:p>
          <w:p w14:paraId="23BE545A" w14:textId="4507B2A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Draftsperson</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57B6B837" w14:textId="34B17D0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Telecommunications Trades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7C606AD" w14:textId="43311CE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Power Generation Plant Operator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2FAD585" w14:textId="164C0E7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 Equipment Trades Worker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0BDE0B6A" w14:textId="41BFF0A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tc>
      </w:tr>
      <w:tr w:rsidR="006B0D17" w:rsidRPr="00E5087D" w14:paraId="7B7C17CF" w14:textId="77777777" w:rsidTr="000C3CAC">
        <w:trPr>
          <w:cantSplit/>
        </w:trPr>
        <w:tc>
          <w:tcPr>
            <w:tcW w:w="2269" w:type="dxa"/>
            <w:vAlign w:val="center"/>
          </w:tcPr>
          <w:p w14:paraId="254B2EB0"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Fitter (General)</w:t>
            </w:r>
          </w:p>
        </w:tc>
        <w:tc>
          <w:tcPr>
            <w:tcW w:w="2932" w:type="dxa"/>
          </w:tcPr>
          <w:p w14:paraId="504AE8E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Machinery and Equipment Repair and Maintenance</w:t>
            </w:r>
          </w:p>
          <w:p w14:paraId="64D502D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Iron Ore Mining</w:t>
            </w:r>
          </w:p>
          <w:p w14:paraId="388F8FD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Automotive Repair and Maintenance</w:t>
            </w:r>
          </w:p>
          <w:p w14:paraId="768DBB3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Specialised Industrial Machinery and Equipment Wholesaling</w:t>
            </w:r>
          </w:p>
        </w:tc>
        <w:tc>
          <w:tcPr>
            <w:tcW w:w="4722" w:type="dxa"/>
          </w:tcPr>
          <w:p w14:paraId="365408D8"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Fitter and Turner</w:t>
            </w:r>
          </w:p>
          <w:p w14:paraId="50E4149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Diesel Motor Mechanic</w:t>
            </w:r>
          </w:p>
          <w:p w14:paraId="58F7DC8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Motor Mechanics</w:t>
            </w:r>
          </w:p>
          <w:p w14:paraId="37D4B6F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Miner</w:t>
            </w:r>
          </w:p>
          <w:p w14:paraId="767BB58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Fitter-Welder</w:t>
            </w:r>
          </w:p>
          <w:p w14:paraId="02EF3AA2"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Mechanical Engineer</w:t>
            </w:r>
          </w:p>
          <w:p w14:paraId="2EA91CD0"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Mechanical Engineering Technician</w:t>
            </w:r>
          </w:p>
          <w:p w14:paraId="28C327B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Maintenance Planner</w:t>
            </w:r>
          </w:p>
          <w:p w14:paraId="61D855C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Metal Fabricator</w:t>
            </w:r>
            <w:r w:rsidRPr="00E5087D">
              <w:rPr>
                <w:rFonts w:asciiTheme="majorHAnsi" w:hAnsiTheme="majorHAnsi" w:cstheme="majorHAnsi"/>
                <w:b/>
                <w:bCs/>
                <w:color w:val="000000"/>
                <w:sz w:val="20"/>
                <w:szCs w:val="20"/>
              </w:rPr>
              <w:t>^</w:t>
            </w:r>
          </w:p>
          <w:p w14:paraId="435F7E2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Mine Deputy</w:t>
            </w:r>
          </w:p>
        </w:tc>
        <w:tc>
          <w:tcPr>
            <w:tcW w:w="4962" w:type="dxa"/>
          </w:tcPr>
          <w:p w14:paraId="41773CE4" w14:textId="6D8CB81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Metal Machinist (First Class)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667BC70" w14:textId="0A06EAA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Welder (First Class)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4B4E4B7" w14:textId="0EEC1FE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Toolmaker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4AB6F3A8" w14:textId="517C6F8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Precision Instrument Maker and Repairer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67AE5031" w14:textId="096F33A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Metal Fabricator</w:t>
            </w:r>
            <w:r w:rsidRPr="00E5087D">
              <w:rPr>
                <w:rFonts w:asciiTheme="majorHAnsi" w:hAnsiTheme="majorHAnsi" w:cstheme="majorHAnsi"/>
                <w:b/>
                <w:bCs/>
                <w:sz w:val="20"/>
                <w:szCs w:val="20"/>
              </w:rPr>
              <w:t>^</w:t>
            </w:r>
            <w:r w:rsidR="00B41982">
              <w:rPr>
                <w:rFonts w:asciiTheme="majorHAnsi" w:hAnsiTheme="majorHAnsi" w:cstheme="majorHAnsi"/>
                <w:b/>
                <w:bCs/>
                <w:sz w:val="20"/>
                <w:szCs w:val="20"/>
              </w:rPr>
              <w:t xml:space="preserve"> </w:t>
            </w:r>
            <w:r w:rsidR="00B41982" w:rsidRPr="00B25046">
              <w:rPr>
                <w:rFonts w:asciiTheme="majorHAnsi" w:hAnsiTheme="majorHAnsi" w:cstheme="majorHAnsi"/>
                <w:sz w:val="16"/>
                <w:szCs w:val="16"/>
              </w:rPr>
              <w:t>(HIGH)</w:t>
            </w:r>
          </w:p>
          <w:p w14:paraId="254751AD" w14:textId="310E0E2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Precision Metal Trades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3C152693" w14:textId="781BA0B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Metal Casting, Forging </w:t>
            </w:r>
            <w:r w:rsidR="00B41982">
              <w:rPr>
                <w:rFonts w:asciiTheme="majorHAnsi" w:hAnsiTheme="majorHAnsi" w:cstheme="majorHAnsi"/>
                <w:sz w:val="20"/>
                <w:szCs w:val="20"/>
              </w:rPr>
              <w:t>&amp;</w:t>
            </w:r>
            <w:r w:rsidRPr="00E5087D">
              <w:rPr>
                <w:rFonts w:asciiTheme="majorHAnsi" w:hAnsiTheme="majorHAnsi" w:cstheme="majorHAnsi"/>
                <w:sz w:val="20"/>
                <w:szCs w:val="20"/>
              </w:rPr>
              <w:t xml:space="preserve"> Finishing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1275AF3F" w14:textId="230CBA1F"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 Assemblers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47D0AF32" w14:textId="3662A8F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Sheetmetal Trades Workers</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(HIGH)</w:t>
            </w:r>
          </w:p>
          <w:p w14:paraId="2BDDEA8E" w14:textId="43C5F74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Patternmaker</w:t>
            </w:r>
            <w:r w:rsidR="00B41982">
              <w:rPr>
                <w:rFonts w:asciiTheme="majorHAnsi" w:hAnsiTheme="majorHAnsi" w:cstheme="majorHAnsi"/>
                <w:sz w:val="20"/>
                <w:szCs w:val="20"/>
              </w:rPr>
              <w:t xml:space="preserve"> </w:t>
            </w:r>
            <w:r w:rsidR="00B41982" w:rsidRPr="00B25046">
              <w:rPr>
                <w:rFonts w:asciiTheme="majorHAnsi" w:hAnsiTheme="majorHAnsi" w:cstheme="majorHAnsi"/>
                <w:sz w:val="16"/>
                <w:szCs w:val="16"/>
              </w:rPr>
              <w:t>(</w:t>
            </w:r>
            <w:r w:rsidR="00B41982">
              <w:rPr>
                <w:rFonts w:asciiTheme="majorHAnsi" w:hAnsiTheme="majorHAnsi" w:cstheme="majorHAnsi"/>
                <w:sz w:val="16"/>
                <w:szCs w:val="16"/>
              </w:rPr>
              <w:t>MEDIUM</w:t>
            </w:r>
            <w:r w:rsidR="00B41982" w:rsidRPr="00B25046">
              <w:rPr>
                <w:rFonts w:asciiTheme="majorHAnsi" w:hAnsiTheme="majorHAnsi" w:cstheme="majorHAnsi"/>
                <w:sz w:val="16"/>
                <w:szCs w:val="16"/>
              </w:rPr>
              <w:t>)</w:t>
            </w:r>
          </w:p>
        </w:tc>
      </w:tr>
      <w:tr w:rsidR="003D3E52" w:rsidRPr="00E5087D" w14:paraId="14CECAC9" w14:textId="77777777" w:rsidTr="000C3CAC">
        <w:trPr>
          <w:cantSplit/>
        </w:trPr>
        <w:tc>
          <w:tcPr>
            <w:tcW w:w="2269" w:type="dxa"/>
            <w:shd w:val="clear" w:color="auto" w:fill="F2F2F2"/>
            <w:vAlign w:val="center"/>
          </w:tcPr>
          <w:p w14:paraId="62AA5250"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Electrical Engineer</w:t>
            </w:r>
          </w:p>
        </w:tc>
        <w:tc>
          <w:tcPr>
            <w:tcW w:w="2932" w:type="dxa"/>
            <w:shd w:val="clear" w:color="auto" w:fill="F2F2F2"/>
          </w:tcPr>
          <w:p w14:paraId="3B24B97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Engineering Design and Engineering Consulting Services</w:t>
            </w:r>
          </w:p>
          <w:p w14:paraId="0AEC652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47C49A9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Services</w:t>
            </w:r>
          </w:p>
          <w:p w14:paraId="5C6C8D5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4B76482C"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Transmission</w:t>
            </w:r>
          </w:p>
        </w:tc>
        <w:tc>
          <w:tcPr>
            <w:tcW w:w="4722" w:type="dxa"/>
            <w:shd w:val="clear" w:color="auto" w:fill="F2F2F2"/>
          </w:tcPr>
          <w:p w14:paraId="13BBA178"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w:t>
            </w:r>
          </w:p>
          <w:p w14:paraId="202E3823"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Electronics Engineer</w:t>
            </w:r>
          </w:p>
          <w:p w14:paraId="282C4B64"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Pr="00E5087D">
              <w:rPr>
                <w:rFonts w:asciiTheme="majorHAnsi" w:hAnsiTheme="majorHAnsi" w:cstheme="majorHAnsi"/>
                <w:b/>
                <w:bCs/>
                <w:color w:val="000000"/>
                <w:sz w:val="20"/>
                <w:szCs w:val="20"/>
              </w:rPr>
              <w:t>^</w:t>
            </w:r>
          </w:p>
          <w:p w14:paraId="46550967"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w:t>
            </w:r>
            <w:r w:rsidRPr="00E5087D">
              <w:rPr>
                <w:rFonts w:asciiTheme="majorHAnsi" w:hAnsiTheme="majorHAnsi" w:cstheme="majorHAnsi"/>
                <w:b/>
                <w:bCs/>
                <w:color w:val="000000"/>
                <w:sz w:val="20"/>
                <w:szCs w:val="20"/>
              </w:rPr>
              <w:t>^</w:t>
            </w:r>
          </w:p>
          <w:p w14:paraId="47569899"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Computer Network and Systems Engineer</w:t>
            </w:r>
          </w:p>
          <w:p w14:paraId="6028F9CD" w14:textId="77777777" w:rsidR="006F6C07" w:rsidRPr="00E5087D" w:rsidRDefault="006F6C07">
            <w:pPr>
              <w:spacing w:before="80" w:after="80"/>
              <w:rPr>
                <w:rFonts w:asciiTheme="majorHAnsi" w:hAnsiTheme="majorHAnsi" w:cstheme="majorHAnsi"/>
                <w:color w:val="000000"/>
                <w:sz w:val="20"/>
                <w:szCs w:val="20"/>
              </w:rPr>
            </w:pPr>
          </w:p>
        </w:tc>
        <w:tc>
          <w:tcPr>
            <w:tcW w:w="4962" w:type="dxa"/>
            <w:shd w:val="clear" w:color="auto" w:fill="F2F2F2"/>
          </w:tcPr>
          <w:p w14:paraId="1F040D9C" w14:textId="3AF5356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Production or Plant Engineer</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798ACEDE" w14:textId="1C5E08D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Technologist</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5D2F1980" w14:textId="5517877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w:t>
            </w:r>
            <w:r w:rsidRPr="00E5087D">
              <w:rPr>
                <w:rFonts w:asciiTheme="majorHAnsi" w:hAnsiTheme="majorHAnsi" w:cstheme="majorHAnsi"/>
                <w:b/>
                <w:bCs/>
                <w:color w:val="000000"/>
                <w:sz w:val="20"/>
                <w:szCs w:val="20"/>
              </w:rPr>
              <w:t>^</w:t>
            </w:r>
            <w:r w:rsidR="00213917">
              <w:rPr>
                <w:rFonts w:asciiTheme="majorHAnsi" w:hAnsiTheme="majorHAnsi" w:cstheme="majorHAnsi"/>
                <w:b/>
                <w:bCs/>
                <w:color w:val="000000"/>
                <w:sz w:val="20"/>
                <w:szCs w:val="20"/>
              </w:rPr>
              <w:t xml:space="preserve"> </w:t>
            </w:r>
            <w:r w:rsidR="00213917" w:rsidRPr="00B25046">
              <w:rPr>
                <w:rFonts w:asciiTheme="majorHAnsi" w:hAnsiTheme="majorHAnsi" w:cstheme="majorHAnsi"/>
                <w:sz w:val="16"/>
                <w:szCs w:val="16"/>
              </w:rPr>
              <w:t>(HIGH)</w:t>
            </w:r>
          </w:p>
          <w:p w14:paraId="72F23144" w14:textId="03ADB232"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Industrial Engineer</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505901E0" w14:textId="021B30E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Distribution Trades Workers</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01A9D81A" w14:textId="61C8ED4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Technician</w:t>
            </w:r>
            <w:r w:rsidRPr="00E5087D">
              <w:rPr>
                <w:rFonts w:asciiTheme="majorHAnsi" w:hAnsiTheme="majorHAnsi" w:cstheme="majorHAnsi"/>
                <w:b/>
                <w:bCs/>
                <w:color w:val="000000"/>
                <w:sz w:val="20"/>
                <w:szCs w:val="20"/>
              </w:rPr>
              <w:t>^</w:t>
            </w:r>
            <w:r w:rsidR="00213917">
              <w:rPr>
                <w:rFonts w:asciiTheme="majorHAnsi" w:hAnsiTheme="majorHAnsi" w:cstheme="majorHAnsi"/>
                <w:b/>
                <w:bCs/>
                <w:color w:val="000000"/>
                <w:sz w:val="20"/>
                <w:szCs w:val="20"/>
              </w:rPr>
              <w:t xml:space="preserve"> </w:t>
            </w:r>
            <w:r w:rsidR="00213917" w:rsidRPr="00B25046">
              <w:rPr>
                <w:rFonts w:asciiTheme="majorHAnsi" w:hAnsiTheme="majorHAnsi" w:cstheme="majorHAnsi"/>
                <w:sz w:val="16"/>
                <w:szCs w:val="16"/>
              </w:rPr>
              <w:t>(HIGH)</w:t>
            </w:r>
          </w:p>
          <w:p w14:paraId="6BD41C3C" w14:textId="6AE378B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Draftsperson</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434C0BE1" w14:textId="5FF2C683"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Telecommunications Engineering Profes</w:t>
            </w:r>
            <w:r w:rsidR="00857E6F">
              <w:rPr>
                <w:rFonts w:asciiTheme="majorHAnsi" w:hAnsiTheme="majorHAnsi" w:cstheme="majorHAnsi"/>
                <w:sz w:val="20"/>
                <w:szCs w:val="20"/>
              </w:rPr>
              <w:t>sional</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p w14:paraId="57709346" w14:textId="22C15F7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Materials Engineer</w:t>
            </w:r>
            <w:r w:rsidR="00213917">
              <w:rPr>
                <w:rFonts w:asciiTheme="majorHAnsi" w:hAnsiTheme="majorHAnsi" w:cstheme="majorHAnsi"/>
                <w:sz w:val="20"/>
                <w:szCs w:val="20"/>
              </w:rPr>
              <w:t xml:space="preserve"> </w:t>
            </w:r>
            <w:r w:rsidR="00213917" w:rsidRPr="00B25046">
              <w:rPr>
                <w:rFonts w:asciiTheme="majorHAnsi" w:hAnsiTheme="majorHAnsi" w:cstheme="majorHAnsi"/>
                <w:sz w:val="16"/>
                <w:szCs w:val="16"/>
              </w:rPr>
              <w:t>(HIGH)</w:t>
            </w:r>
          </w:p>
        </w:tc>
      </w:tr>
      <w:tr w:rsidR="006B0D17" w:rsidRPr="00E5087D" w14:paraId="4A800799" w14:textId="77777777" w:rsidTr="000C3CAC">
        <w:trPr>
          <w:cantSplit/>
        </w:trPr>
        <w:tc>
          <w:tcPr>
            <w:tcW w:w="2269" w:type="dxa"/>
            <w:vAlign w:val="center"/>
          </w:tcPr>
          <w:p w14:paraId="5C463924" w14:textId="77777777" w:rsidR="006F6C07" w:rsidRPr="00E5087D" w:rsidRDefault="006F6C07">
            <w:pPr>
              <w:spacing w:before="80" w:after="80"/>
              <w:rPr>
                <w:rFonts w:asciiTheme="majorHAnsi" w:hAnsiTheme="majorHAnsi" w:cstheme="majorHAnsi"/>
                <w:b/>
                <w:bCs/>
                <w:sz w:val="20"/>
                <w:szCs w:val="20"/>
              </w:rPr>
            </w:pPr>
            <w:r w:rsidRPr="00E5087D">
              <w:rPr>
                <w:rFonts w:asciiTheme="majorHAnsi" w:hAnsiTheme="majorHAnsi" w:cstheme="majorHAnsi"/>
                <w:b/>
                <w:bCs/>
                <w:sz w:val="20"/>
                <w:szCs w:val="20"/>
              </w:rPr>
              <w:t>Mechanical Engineer</w:t>
            </w:r>
          </w:p>
        </w:tc>
        <w:tc>
          <w:tcPr>
            <w:tcW w:w="2932" w:type="dxa"/>
          </w:tcPr>
          <w:p w14:paraId="0D0AF5C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Engineering Design and Engineering Consulting Services</w:t>
            </w:r>
          </w:p>
          <w:p w14:paraId="01B7E6A8"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07186C6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Manufacturing, nfd</w:t>
            </w:r>
          </w:p>
          <w:p w14:paraId="4F03C685"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Motor Vehicle Manufacturing</w:t>
            </w:r>
          </w:p>
          <w:p w14:paraId="5EE3CCFF"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Iron Ore Mining</w:t>
            </w:r>
          </w:p>
        </w:tc>
        <w:tc>
          <w:tcPr>
            <w:tcW w:w="4722" w:type="dxa"/>
          </w:tcPr>
          <w:p w14:paraId="643C4ABF"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Manager</w:t>
            </w:r>
          </w:p>
          <w:p w14:paraId="780C61BE"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Technician</w:t>
            </w:r>
            <w:r w:rsidRPr="00E5087D">
              <w:rPr>
                <w:rFonts w:asciiTheme="majorHAnsi" w:hAnsiTheme="majorHAnsi" w:cstheme="majorHAnsi"/>
                <w:b/>
                <w:bCs/>
                <w:color w:val="000000"/>
                <w:sz w:val="20"/>
                <w:szCs w:val="20"/>
              </w:rPr>
              <w:t>^</w:t>
            </w:r>
          </w:p>
          <w:p w14:paraId="0E0EA67F"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Construction Project Manager</w:t>
            </w:r>
          </w:p>
          <w:p w14:paraId="6315FBF9"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Motor Mechanic (General)</w:t>
            </w:r>
          </w:p>
          <w:p w14:paraId="5D70753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sz w:val="20"/>
                <w:szCs w:val="20"/>
              </w:rPr>
              <w:t>Civil Engineer</w:t>
            </w:r>
          </w:p>
        </w:tc>
        <w:tc>
          <w:tcPr>
            <w:tcW w:w="4962" w:type="dxa"/>
          </w:tcPr>
          <w:p w14:paraId="3E4EBA0B" w14:textId="1F45CADC"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Production or Plant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6D440EC3" w14:textId="10E53B7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Industrial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66F735B7" w14:textId="0FF776C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Technologist</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34D49675" w14:textId="2F8AF4B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Materials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5A9CCC56" w14:textId="088A965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Structural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C57E42C" w14:textId="21EBEDC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Technician</w:t>
            </w:r>
            <w:r w:rsidRPr="00E5087D">
              <w:rPr>
                <w:rFonts w:asciiTheme="majorHAnsi" w:hAnsiTheme="majorHAnsi" w:cstheme="majorHAnsi"/>
                <w:b/>
                <w:bCs/>
                <w:color w:val="000000"/>
                <w:sz w:val="20"/>
                <w:szCs w:val="20"/>
              </w:rPr>
              <w:t>^</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62D93929" w14:textId="7E5CD04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272B72E" w14:textId="3492EA2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Chemical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5EA3F05" w14:textId="06E775E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Geotechnical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6807E74" w14:textId="6FB4B5EE"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Aeronautical Engineer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tc>
      </w:tr>
      <w:tr w:rsidR="003D3E52" w:rsidRPr="00E5087D" w14:paraId="64470405" w14:textId="77777777" w:rsidTr="000C3CAC">
        <w:trPr>
          <w:cantSplit/>
        </w:trPr>
        <w:tc>
          <w:tcPr>
            <w:tcW w:w="2269" w:type="dxa"/>
            <w:shd w:val="clear" w:color="auto" w:fill="F2F2F2"/>
            <w:vAlign w:val="center"/>
          </w:tcPr>
          <w:p w14:paraId="2CB06228" w14:textId="77777777" w:rsidR="006F6C07" w:rsidRPr="00E5087D" w:rsidRDefault="006F6C07">
            <w:pPr>
              <w:spacing w:before="120" w:after="120"/>
              <w:rPr>
                <w:rFonts w:asciiTheme="majorHAnsi" w:hAnsiTheme="majorHAnsi" w:cstheme="majorHAnsi"/>
                <w:b/>
                <w:bCs/>
                <w:color w:val="000000"/>
                <w:sz w:val="20"/>
                <w:szCs w:val="20"/>
              </w:rPr>
            </w:pPr>
            <w:r w:rsidRPr="00E5087D">
              <w:rPr>
                <w:rFonts w:asciiTheme="majorHAnsi" w:hAnsiTheme="majorHAnsi" w:cstheme="majorHAnsi"/>
                <w:b/>
                <w:bCs/>
                <w:color w:val="000000"/>
                <w:sz w:val="20"/>
                <w:szCs w:val="20"/>
              </w:rPr>
              <w:t>Metal Fabricator</w:t>
            </w:r>
          </w:p>
        </w:tc>
        <w:tc>
          <w:tcPr>
            <w:tcW w:w="2932" w:type="dxa"/>
            <w:shd w:val="clear" w:color="auto" w:fill="F2F2F2"/>
          </w:tcPr>
          <w:p w14:paraId="05B26FC0"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Iron Smelting and Steel Manufacturing</w:t>
            </w:r>
          </w:p>
          <w:p w14:paraId="2975DCB6"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Basic Non-Ferrous Metal Manufacturing, nfd</w:t>
            </w:r>
          </w:p>
          <w:p w14:paraId="29A1024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Manufacturing, nfd</w:t>
            </w:r>
          </w:p>
          <w:p w14:paraId="0E6A7558"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Structural Steel Fabricating</w:t>
            </w:r>
          </w:p>
          <w:p w14:paraId="2524753B"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tc>
        <w:tc>
          <w:tcPr>
            <w:tcW w:w="4722" w:type="dxa"/>
            <w:shd w:val="clear" w:color="auto" w:fill="F2F2F2"/>
          </w:tcPr>
          <w:p w14:paraId="02B21E1F"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Welder (First Class)</w:t>
            </w:r>
            <w:r w:rsidRPr="00E5087D">
              <w:rPr>
                <w:rFonts w:asciiTheme="majorHAnsi" w:hAnsiTheme="majorHAnsi" w:cstheme="majorHAnsi"/>
                <w:b/>
                <w:bCs/>
                <w:color w:val="000000"/>
                <w:sz w:val="20"/>
                <w:szCs w:val="20"/>
              </w:rPr>
              <w:t>^</w:t>
            </w:r>
          </w:p>
          <w:p w14:paraId="063A3BE5"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Fabrication Engineering Trades Workers nfd</w:t>
            </w:r>
          </w:p>
          <w:p w14:paraId="03186F41"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Fitter (General)</w:t>
            </w:r>
            <w:r w:rsidRPr="00E5087D">
              <w:rPr>
                <w:rFonts w:asciiTheme="majorHAnsi" w:hAnsiTheme="majorHAnsi" w:cstheme="majorHAnsi"/>
                <w:b/>
                <w:bCs/>
                <w:color w:val="000000"/>
                <w:sz w:val="20"/>
                <w:szCs w:val="20"/>
              </w:rPr>
              <w:t>^</w:t>
            </w:r>
          </w:p>
          <w:p w14:paraId="5B70B76A"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Trades Workers nfd</w:t>
            </w:r>
          </w:p>
          <w:p w14:paraId="0E3951E8" w14:textId="7777777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Truck Driver (General)</w:t>
            </w:r>
          </w:p>
          <w:p w14:paraId="71306009" w14:textId="79DF62BA" w:rsidR="006F6C07" w:rsidRPr="00005748" w:rsidRDefault="006F6C07" w:rsidP="00005748">
            <w:pPr>
              <w:spacing w:before="80" w:after="80"/>
              <w:rPr>
                <w:rFonts w:asciiTheme="majorHAnsi" w:hAnsiTheme="majorHAnsi" w:cstheme="majorHAnsi"/>
                <w:b/>
                <w:bCs/>
                <w:color w:val="000000"/>
                <w:sz w:val="20"/>
                <w:szCs w:val="20"/>
              </w:rPr>
            </w:pPr>
            <w:r w:rsidRPr="00E5087D">
              <w:rPr>
                <w:rFonts w:asciiTheme="majorHAnsi" w:hAnsiTheme="majorHAnsi" w:cstheme="majorHAnsi"/>
                <w:sz w:val="20"/>
                <w:szCs w:val="20"/>
              </w:rPr>
              <w:t>Sheetmetal Trades Worker</w:t>
            </w:r>
            <w:r w:rsidRPr="00E5087D">
              <w:rPr>
                <w:rFonts w:asciiTheme="majorHAnsi" w:hAnsiTheme="majorHAnsi" w:cstheme="majorHAnsi"/>
                <w:b/>
                <w:bCs/>
                <w:color w:val="000000"/>
                <w:sz w:val="20"/>
                <w:szCs w:val="20"/>
              </w:rPr>
              <w:t>^</w:t>
            </w:r>
          </w:p>
        </w:tc>
        <w:tc>
          <w:tcPr>
            <w:tcW w:w="4962" w:type="dxa"/>
            <w:shd w:val="clear" w:color="auto" w:fill="F2F2F2"/>
          </w:tcPr>
          <w:p w14:paraId="67E127DD" w14:textId="2B00197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Welder (First </w:t>
            </w:r>
            <w:r w:rsidR="005B3997" w:rsidRPr="00E5087D">
              <w:rPr>
                <w:rFonts w:asciiTheme="majorHAnsi" w:hAnsiTheme="majorHAnsi" w:cstheme="majorHAnsi"/>
                <w:sz w:val="20"/>
                <w:szCs w:val="20"/>
              </w:rPr>
              <w:t>Class)</w:t>
            </w:r>
            <w:r w:rsidR="005B3997" w:rsidRPr="00E5087D">
              <w:rPr>
                <w:rFonts w:asciiTheme="majorHAnsi" w:hAnsiTheme="majorHAnsi" w:cstheme="majorHAnsi"/>
                <w:b/>
                <w:bCs/>
                <w:color w:val="000000"/>
                <w:sz w:val="20"/>
                <w:szCs w:val="20"/>
              </w:rPr>
              <w:t xml:space="preserve"> ^</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43C32705" w14:textId="63B41DD7"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Metal Casting, Forging </w:t>
            </w:r>
            <w:r w:rsidR="005B3997">
              <w:rPr>
                <w:rFonts w:asciiTheme="majorHAnsi" w:hAnsiTheme="majorHAnsi" w:cstheme="majorHAnsi"/>
                <w:sz w:val="20"/>
                <w:szCs w:val="20"/>
              </w:rPr>
              <w:t>&amp;</w:t>
            </w:r>
            <w:r w:rsidRPr="00E5087D">
              <w:rPr>
                <w:rFonts w:asciiTheme="majorHAnsi" w:hAnsiTheme="majorHAnsi" w:cstheme="majorHAnsi"/>
                <w:sz w:val="20"/>
                <w:szCs w:val="20"/>
              </w:rPr>
              <w:t xml:space="preserve"> Finishing Workers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30BCCD93" w14:textId="106881E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Metal Machinist (First Class)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56274350" w14:textId="455E1B40"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Fitter (General)</w:t>
            </w:r>
            <w:r w:rsidRPr="00E5087D">
              <w:rPr>
                <w:rFonts w:asciiTheme="majorHAnsi" w:hAnsiTheme="majorHAnsi" w:cstheme="majorHAnsi"/>
                <w:b/>
                <w:bCs/>
                <w:color w:val="000000"/>
                <w:sz w:val="20"/>
                <w:szCs w:val="20"/>
              </w:rPr>
              <w:t>^</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3B4E35C5" w14:textId="5A799EE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Precision Metal Trades Workers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42719B03" w14:textId="609C49DF"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Toolmaker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1B5490C4" w14:textId="341A2506"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Sheetmetal Trades Workers</w:t>
            </w:r>
            <w:r w:rsidRPr="00E5087D">
              <w:rPr>
                <w:rFonts w:asciiTheme="majorHAnsi" w:hAnsiTheme="majorHAnsi" w:cstheme="majorHAnsi"/>
                <w:b/>
                <w:bCs/>
                <w:color w:val="000000"/>
                <w:sz w:val="20"/>
                <w:szCs w:val="20"/>
              </w:rPr>
              <w:t>^</w:t>
            </w:r>
            <w:r w:rsidR="005B3997">
              <w:rPr>
                <w:rFonts w:asciiTheme="majorHAnsi" w:hAnsiTheme="majorHAnsi" w:cstheme="majorHAnsi"/>
                <w:b/>
                <w:bCs/>
                <w:color w:val="000000"/>
                <w:sz w:val="20"/>
                <w:szCs w:val="20"/>
              </w:rPr>
              <w:t xml:space="preserve"> </w:t>
            </w:r>
            <w:r w:rsidR="005B3997" w:rsidRPr="00B25046">
              <w:rPr>
                <w:rFonts w:asciiTheme="majorHAnsi" w:hAnsiTheme="majorHAnsi" w:cstheme="majorHAnsi"/>
                <w:sz w:val="16"/>
                <w:szCs w:val="16"/>
              </w:rPr>
              <w:t>(HIGH)</w:t>
            </w:r>
          </w:p>
          <w:p w14:paraId="16427E68" w14:textId="46A449AF"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Structural Steel Erector</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(HIGH)</w:t>
            </w:r>
          </w:p>
          <w:p w14:paraId="0FF80F09" w14:textId="1205A9B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Product Assemblers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w:t>
            </w:r>
            <w:r w:rsidR="005B3997">
              <w:rPr>
                <w:rFonts w:asciiTheme="majorHAnsi" w:hAnsiTheme="majorHAnsi" w:cstheme="majorHAnsi"/>
                <w:sz w:val="16"/>
                <w:szCs w:val="16"/>
              </w:rPr>
              <w:t>MEDIUM</w:t>
            </w:r>
            <w:r w:rsidR="005B3997" w:rsidRPr="00B25046">
              <w:rPr>
                <w:rFonts w:asciiTheme="majorHAnsi" w:hAnsiTheme="majorHAnsi" w:cstheme="majorHAnsi"/>
                <w:sz w:val="16"/>
                <w:szCs w:val="16"/>
              </w:rPr>
              <w:t>)</w:t>
            </w:r>
          </w:p>
          <w:p w14:paraId="3A658909" w14:textId="1815586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Production Workers</w:t>
            </w:r>
            <w:r w:rsidR="005B3997">
              <w:rPr>
                <w:rFonts w:asciiTheme="majorHAnsi" w:hAnsiTheme="majorHAnsi" w:cstheme="majorHAnsi"/>
                <w:sz w:val="20"/>
                <w:szCs w:val="20"/>
              </w:rPr>
              <w:t xml:space="preserve"> </w:t>
            </w:r>
            <w:r w:rsidR="005B3997" w:rsidRPr="00B25046">
              <w:rPr>
                <w:rFonts w:asciiTheme="majorHAnsi" w:hAnsiTheme="majorHAnsi" w:cstheme="majorHAnsi"/>
                <w:sz w:val="16"/>
                <w:szCs w:val="16"/>
              </w:rPr>
              <w:t>(</w:t>
            </w:r>
            <w:r w:rsidR="005B3997">
              <w:rPr>
                <w:rFonts w:asciiTheme="majorHAnsi" w:hAnsiTheme="majorHAnsi" w:cstheme="majorHAnsi"/>
                <w:sz w:val="16"/>
                <w:szCs w:val="16"/>
              </w:rPr>
              <w:t>MEDIUM</w:t>
            </w:r>
            <w:r w:rsidR="005B3997" w:rsidRPr="00B25046">
              <w:rPr>
                <w:rFonts w:asciiTheme="majorHAnsi" w:hAnsiTheme="majorHAnsi" w:cstheme="majorHAnsi"/>
                <w:sz w:val="16"/>
                <w:szCs w:val="16"/>
              </w:rPr>
              <w:t>)</w:t>
            </w:r>
          </w:p>
        </w:tc>
      </w:tr>
      <w:tr w:rsidR="003D3E52" w:rsidRPr="00E5087D" w14:paraId="7DFA8271" w14:textId="77777777" w:rsidTr="000C3CAC">
        <w:trPr>
          <w:cantSplit/>
        </w:trPr>
        <w:tc>
          <w:tcPr>
            <w:tcW w:w="2269" w:type="dxa"/>
            <w:shd w:val="clear" w:color="auto" w:fill="FFFFFF" w:themeFill="background1"/>
            <w:vAlign w:val="center"/>
          </w:tcPr>
          <w:p w14:paraId="13722749" w14:textId="77777777" w:rsidR="006F6C07" w:rsidRPr="00E5087D" w:rsidRDefault="006F6C07">
            <w:pPr>
              <w:spacing w:before="120" w:after="120"/>
              <w:rPr>
                <w:rFonts w:asciiTheme="majorHAnsi" w:hAnsiTheme="majorHAnsi" w:cstheme="majorHAnsi"/>
                <w:b/>
                <w:bCs/>
                <w:color w:val="000000"/>
                <w:sz w:val="20"/>
                <w:szCs w:val="20"/>
              </w:rPr>
            </w:pPr>
            <w:r w:rsidRPr="00E5087D">
              <w:rPr>
                <w:rFonts w:asciiTheme="majorHAnsi" w:hAnsiTheme="majorHAnsi" w:cstheme="majorHAnsi"/>
                <w:b/>
                <w:bCs/>
                <w:color w:val="000000"/>
                <w:sz w:val="20"/>
                <w:szCs w:val="20"/>
              </w:rPr>
              <w:t>Electrical Engineering Technician</w:t>
            </w:r>
          </w:p>
        </w:tc>
        <w:tc>
          <w:tcPr>
            <w:tcW w:w="2932" w:type="dxa"/>
            <w:shd w:val="clear" w:color="auto" w:fill="FFFFFF" w:themeFill="background1"/>
          </w:tcPr>
          <w:p w14:paraId="1D59CB7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Services</w:t>
            </w:r>
          </w:p>
          <w:p w14:paraId="18DFC464"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Electricity Distribution</w:t>
            </w:r>
          </w:p>
          <w:p w14:paraId="07CFC50E"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Scientific Testing and Analysis Services</w:t>
            </w:r>
          </w:p>
          <w:p w14:paraId="48C75B8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Other Heavy and Civil Engineering Construction</w:t>
            </w:r>
          </w:p>
          <w:p w14:paraId="230F927A"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Oil and Gas Extraction</w:t>
            </w:r>
          </w:p>
        </w:tc>
        <w:tc>
          <w:tcPr>
            <w:tcW w:w="4722" w:type="dxa"/>
            <w:shd w:val="clear" w:color="auto" w:fill="FFFFFF" w:themeFill="background1"/>
          </w:tcPr>
          <w:p w14:paraId="277327E4"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Electrician (General)</w:t>
            </w:r>
            <w:r w:rsidRPr="00E5087D">
              <w:rPr>
                <w:rFonts w:asciiTheme="majorHAnsi" w:hAnsiTheme="majorHAnsi" w:cstheme="majorHAnsi"/>
                <w:b/>
                <w:bCs/>
                <w:color w:val="000000"/>
                <w:sz w:val="20"/>
                <w:szCs w:val="20"/>
              </w:rPr>
              <w:t xml:space="preserve"> ^</w:t>
            </w:r>
          </w:p>
          <w:p w14:paraId="07CE19F1"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Electrical Engineer</w:t>
            </w:r>
            <w:r w:rsidRPr="00E5087D">
              <w:rPr>
                <w:rFonts w:asciiTheme="majorHAnsi" w:hAnsiTheme="majorHAnsi" w:cstheme="majorHAnsi"/>
                <w:b/>
                <w:bCs/>
                <w:color w:val="000000"/>
                <w:sz w:val="20"/>
                <w:szCs w:val="20"/>
              </w:rPr>
              <w:t>^</w:t>
            </w:r>
          </w:p>
          <w:p w14:paraId="08C5EA4D" w14:textId="77777777" w:rsidR="006F6C07" w:rsidRPr="00E5087D" w:rsidRDefault="006F6C07">
            <w:pPr>
              <w:spacing w:before="80" w:after="80"/>
              <w:rPr>
                <w:rFonts w:asciiTheme="majorHAnsi" w:hAnsiTheme="majorHAnsi" w:cstheme="majorHAnsi"/>
                <w:color w:val="000000"/>
                <w:sz w:val="20"/>
                <w:szCs w:val="20"/>
              </w:rPr>
            </w:pPr>
            <w:r w:rsidRPr="00E5087D">
              <w:rPr>
                <w:rFonts w:asciiTheme="majorHAnsi" w:hAnsiTheme="majorHAnsi" w:cstheme="majorHAnsi"/>
                <w:color w:val="000000"/>
                <w:sz w:val="20"/>
                <w:szCs w:val="20"/>
              </w:rPr>
              <w:t>Electronic Engineering Technician</w:t>
            </w:r>
            <w:r w:rsidRPr="00E5087D">
              <w:rPr>
                <w:rFonts w:asciiTheme="majorHAnsi" w:hAnsiTheme="majorHAnsi" w:cstheme="majorHAnsi"/>
                <w:b/>
                <w:bCs/>
                <w:color w:val="000000"/>
                <w:sz w:val="20"/>
                <w:szCs w:val="20"/>
              </w:rPr>
              <w:t>^</w:t>
            </w:r>
          </w:p>
        </w:tc>
        <w:tc>
          <w:tcPr>
            <w:tcW w:w="4962" w:type="dxa"/>
            <w:shd w:val="clear" w:color="auto" w:fill="FFFFFF" w:themeFill="background1"/>
          </w:tcPr>
          <w:p w14:paraId="2BBA44D8" w14:textId="1781271D"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Engineering Draftsperson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23EFE724" w14:textId="5F0B41D4"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Technician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45830D4B" w14:textId="705A888B"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 xml:space="preserve">Electronic Engineering Draftspersons </w:t>
            </w:r>
            <w:r w:rsidR="0006795B">
              <w:rPr>
                <w:rFonts w:asciiTheme="majorHAnsi" w:hAnsiTheme="majorHAnsi" w:cstheme="majorHAnsi"/>
                <w:sz w:val="20"/>
                <w:szCs w:val="20"/>
              </w:rPr>
              <w:t>&amp;</w:t>
            </w:r>
            <w:r w:rsidRPr="00E5087D">
              <w:rPr>
                <w:rFonts w:asciiTheme="majorHAnsi" w:hAnsiTheme="majorHAnsi" w:cstheme="majorHAnsi"/>
                <w:sz w:val="20"/>
                <w:szCs w:val="20"/>
              </w:rPr>
              <w:t xml:space="preserve"> Technicians</w:t>
            </w:r>
            <w:r w:rsidRPr="00E5087D">
              <w:rPr>
                <w:rFonts w:asciiTheme="majorHAnsi" w:hAnsiTheme="majorHAnsi" w:cstheme="majorHAnsi"/>
                <w:b/>
                <w:bCs/>
                <w:color w:val="000000"/>
                <w:sz w:val="20"/>
                <w:szCs w:val="20"/>
              </w:rPr>
              <w:t>^</w:t>
            </w:r>
          </w:p>
          <w:p w14:paraId="4FA1DF72" w14:textId="7FBD03E9"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Civil Engineering Technician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1005F328" w14:textId="2C544F21"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 (General)</w:t>
            </w:r>
            <w:r w:rsidRPr="00E5087D">
              <w:rPr>
                <w:rFonts w:asciiTheme="majorHAnsi" w:hAnsiTheme="majorHAnsi" w:cstheme="majorHAnsi"/>
                <w:b/>
                <w:bCs/>
                <w:color w:val="000000"/>
                <w:sz w:val="20"/>
                <w:szCs w:val="20"/>
              </w:rPr>
              <w:t xml:space="preserve"> ^</w:t>
            </w:r>
            <w:r w:rsidR="0006795B">
              <w:rPr>
                <w:rFonts w:asciiTheme="majorHAnsi" w:hAnsiTheme="majorHAnsi" w:cstheme="majorHAnsi"/>
                <w:b/>
                <w:bCs/>
                <w:color w:val="000000"/>
                <w:sz w:val="20"/>
                <w:szCs w:val="20"/>
              </w:rPr>
              <w:t xml:space="preserve"> </w:t>
            </w:r>
            <w:r w:rsidR="0006795B" w:rsidRPr="00B25046">
              <w:rPr>
                <w:rFonts w:asciiTheme="majorHAnsi" w:hAnsiTheme="majorHAnsi" w:cstheme="majorHAnsi"/>
                <w:sz w:val="16"/>
                <w:szCs w:val="16"/>
              </w:rPr>
              <w:t>(HIGH)</w:t>
            </w:r>
          </w:p>
          <w:p w14:paraId="4F4DF7BC" w14:textId="0FF197B8"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Electrical Engineers</w:t>
            </w:r>
            <w:r w:rsidRPr="00E5087D">
              <w:rPr>
                <w:rFonts w:asciiTheme="majorHAnsi" w:hAnsiTheme="majorHAnsi" w:cstheme="majorHAnsi"/>
                <w:b/>
                <w:bCs/>
                <w:color w:val="000000"/>
                <w:sz w:val="20"/>
                <w:szCs w:val="20"/>
              </w:rPr>
              <w:t>^</w:t>
            </w:r>
            <w:r w:rsidR="0006795B">
              <w:rPr>
                <w:rFonts w:asciiTheme="majorHAnsi" w:hAnsiTheme="majorHAnsi" w:cstheme="majorHAnsi"/>
                <w:b/>
                <w:bCs/>
                <w:color w:val="000000"/>
                <w:sz w:val="20"/>
                <w:szCs w:val="20"/>
              </w:rPr>
              <w:t xml:space="preserve"> </w:t>
            </w:r>
            <w:r w:rsidR="0006795B" w:rsidRPr="00B25046">
              <w:rPr>
                <w:rFonts w:asciiTheme="majorHAnsi" w:hAnsiTheme="majorHAnsi" w:cstheme="majorHAnsi"/>
                <w:sz w:val="16"/>
                <w:szCs w:val="16"/>
              </w:rPr>
              <w:t>(HIGH)</w:t>
            </w:r>
          </w:p>
          <w:p w14:paraId="7D25B598" w14:textId="7FCFDB5C"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Mechanical Engineering Draftsperson</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2AB4814E" w14:textId="208C6FFA"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Electronic Instrument Trades Worker (General)</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69D15531" w14:textId="7DBAA7A5"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Electrician (Special Class)</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p w14:paraId="1EBE1A0F" w14:textId="3051E192" w:rsidR="006F6C07" w:rsidRPr="00E5087D" w:rsidRDefault="006F6C07">
            <w:pPr>
              <w:spacing w:before="80" w:after="80"/>
              <w:rPr>
                <w:rFonts w:asciiTheme="majorHAnsi" w:hAnsiTheme="majorHAnsi" w:cstheme="majorHAnsi"/>
                <w:sz w:val="20"/>
                <w:szCs w:val="20"/>
              </w:rPr>
            </w:pPr>
            <w:r w:rsidRPr="00E5087D">
              <w:rPr>
                <w:rFonts w:asciiTheme="majorHAnsi" w:hAnsiTheme="majorHAnsi" w:cstheme="majorHAnsi"/>
                <w:sz w:val="20"/>
                <w:szCs w:val="20"/>
              </w:rPr>
              <w:t>Engineering Technologist</w:t>
            </w:r>
            <w:r w:rsidR="0006795B">
              <w:rPr>
                <w:rFonts w:asciiTheme="majorHAnsi" w:hAnsiTheme="majorHAnsi" w:cstheme="majorHAnsi"/>
                <w:sz w:val="20"/>
                <w:szCs w:val="20"/>
              </w:rPr>
              <w:t xml:space="preserve"> </w:t>
            </w:r>
            <w:r w:rsidR="0006795B" w:rsidRPr="00B25046">
              <w:rPr>
                <w:rFonts w:asciiTheme="majorHAnsi" w:hAnsiTheme="majorHAnsi" w:cstheme="majorHAnsi"/>
                <w:sz w:val="16"/>
                <w:szCs w:val="16"/>
              </w:rPr>
              <w:t>(HIGH)</w:t>
            </w:r>
          </w:p>
        </w:tc>
      </w:tr>
    </w:tbl>
    <w:p w14:paraId="0E6B36D2" w14:textId="77777777" w:rsidR="006F6C07" w:rsidRPr="00E5087D" w:rsidRDefault="006F6C07" w:rsidP="006F6C07">
      <w:pPr>
        <w:rPr>
          <w:sz w:val="20"/>
          <w:szCs w:val="20"/>
        </w:rPr>
      </w:pPr>
      <w:r w:rsidRPr="00E5087D">
        <w:rPr>
          <w:sz w:val="20"/>
          <w:szCs w:val="20"/>
        </w:rPr>
        <w:t>^ occupations that appear in common real-world transitions and skills similarity (columns 3 and 4)</w:t>
      </w:r>
    </w:p>
    <w:p w14:paraId="61216F1D" w14:textId="3147F576" w:rsidR="00E91FE8" w:rsidRPr="00E5087D" w:rsidRDefault="00E91FE8">
      <w:r w:rsidRPr="00E5087D">
        <w:br w:type="page"/>
      </w:r>
    </w:p>
    <w:p w14:paraId="3D9A740B" w14:textId="77777777" w:rsidR="000C3CAC" w:rsidRPr="00E5087D" w:rsidRDefault="000C3CAC">
      <w:pPr>
        <w:sectPr w:rsidR="000C3CAC" w:rsidRPr="00E5087D" w:rsidSect="006F6C07">
          <w:headerReference w:type="even" r:id="rId153"/>
          <w:headerReference w:type="default" r:id="rId154"/>
          <w:footerReference w:type="even" r:id="rId155"/>
          <w:footerReference w:type="default" r:id="rId156"/>
          <w:headerReference w:type="first" r:id="rId157"/>
          <w:footerReference w:type="first" r:id="rId158"/>
          <w:endnotePr>
            <w:numFmt w:val="decimal"/>
          </w:endnotePr>
          <w:pgSz w:w="16838" w:h="11906" w:orient="landscape" w:code="9"/>
          <w:pgMar w:top="1134" w:right="1134" w:bottom="1134" w:left="1134" w:header="0" w:footer="709" w:gutter="0"/>
          <w:cols w:space="708"/>
          <w:docGrid w:linePitch="360"/>
        </w:sectPr>
      </w:pPr>
    </w:p>
    <w:p w14:paraId="6A2DC2E3" w14:textId="60EF0270" w:rsidR="0095724E" w:rsidRPr="002E56DB" w:rsidRDefault="00462E4E" w:rsidP="004678C0">
      <w:pPr>
        <w:pStyle w:val="Heading1"/>
        <w:spacing w:before="8400" w:after="480"/>
        <w:ind w:left="283"/>
      </w:pPr>
      <w:bookmarkStart w:id="51" w:name="_Toc146892678"/>
      <w:r>
        <w:rPr>
          <w:b w:val="0"/>
          <w:bCs/>
          <w:noProof/>
          <w:sz w:val="72"/>
          <w:szCs w:val="72"/>
        </w:rPr>
        <w:drawing>
          <wp:anchor distT="0" distB="0" distL="114300" distR="114300" simplePos="0" relativeHeight="251664484" behindDoc="0" locked="0" layoutInCell="1" allowOverlap="1" wp14:anchorId="159185E3" wp14:editId="3888D693">
            <wp:simplePos x="0" y="0"/>
            <wp:positionH relativeFrom="column">
              <wp:posOffset>-914730</wp:posOffset>
            </wp:positionH>
            <wp:positionV relativeFrom="paragraph">
              <wp:posOffset>-925690</wp:posOffset>
            </wp:positionV>
            <wp:extent cx="7559675" cy="5438140"/>
            <wp:effectExtent l="0" t="0" r="3175" b="0"/>
            <wp:wrapNone/>
            <wp:docPr id="1461915380"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15380" name="Picture 9">
                      <a:extLst>
                        <a:ext uri="{C183D7F6-B498-43B3-948B-1728B52AA6E4}">
                          <adec:decorative xmlns:adec="http://schemas.microsoft.com/office/drawing/2017/decorative" val="1"/>
                        </a:ext>
                      </a:extLst>
                    </pic:cNvPr>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7559675" cy="5438140"/>
                    </a:xfrm>
                    <a:prstGeom prst="rect">
                      <a:avLst/>
                    </a:prstGeom>
                    <a:noFill/>
                  </pic:spPr>
                </pic:pic>
              </a:graphicData>
            </a:graphic>
          </wp:anchor>
        </w:drawing>
      </w:r>
      <w:r w:rsidR="0095724E" w:rsidRPr="00E5087D">
        <w:rPr>
          <w:noProof/>
        </w:rPr>
        <mc:AlternateContent>
          <mc:Choice Requires="wps">
            <w:drawing>
              <wp:anchor distT="0" distB="0" distL="114300" distR="114300" simplePos="0" relativeHeight="251658267" behindDoc="1" locked="0" layoutInCell="1" allowOverlap="1" wp14:anchorId="32441431" wp14:editId="19DDC852">
                <wp:simplePos x="0" y="0"/>
                <wp:positionH relativeFrom="page">
                  <wp:align>right</wp:align>
                </wp:positionH>
                <wp:positionV relativeFrom="paragraph">
                  <wp:posOffset>4508500</wp:posOffset>
                </wp:positionV>
                <wp:extent cx="7559675" cy="5259705"/>
                <wp:effectExtent l="0" t="0" r="3175" b="0"/>
                <wp:wrapNone/>
                <wp:docPr id="1341085171" name="Freeform: Shape 13410851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F4B183"/>
                        </a:solidFill>
                      </wps:spPr>
                      <wps:txbx>
                        <w:txbxContent>
                          <w:p w14:paraId="706BDB08" w14:textId="77777777" w:rsidR="00B17D7E" w:rsidRPr="002E56DB" w:rsidRDefault="00B17D7E" w:rsidP="00005748"/>
                        </w:txbxContent>
                      </wps:txbx>
                      <wps:bodyPr wrap="square" lIns="0" tIns="0" rIns="0" bIns="0" rtlCol="0">
                        <a:prstTxWarp prst="textNoShape">
                          <a:avLst/>
                        </a:prstTxWarp>
                        <a:noAutofit/>
                      </wps:bodyPr>
                    </wps:wsp>
                  </a:graphicData>
                </a:graphic>
              </wp:anchor>
            </w:drawing>
          </mc:Choice>
          <mc:Fallback>
            <w:pict>
              <v:shape w14:anchorId="32441431" id="Freeform: Shape 1341085171" o:spid="_x0000_s1111" alt="&quot;&quot;" style="position:absolute;left:0;text-align:left;margin-left:544.05pt;margin-top:355pt;width:595.25pt;height:414.15pt;z-index:-251658213;visibility:visible;mso-wrap-style:square;mso-wrap-distance-left:9pt;mso-wrap-distance-top:0;mso-wrap-distance-right:9pt;mso-wrap-distance-bottom:0;mso-position-horizontal:right;mso-position-horizontal-relative:page;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" adj="-11796480,,5400" path="m7559992,l,,,5259603r7559992,l7559992,xe" fillcolor="#f4b183" stroked="f">
                <v:stroke joinstyle="miter"/>
                <v:formulas/>
                <v:path arrowok="t" o:connecttype="custom" textboxrect="0,0,7560309,5259705"/>
                <v:textbox inset="0,0,0,0">
                  <w:txbxContent>
                    <w:p w14:paraId="706BDB08" w14:textId="77777777" w:rsidR="00B17D7E" w:rsidRPr="002E56DB" w:rsidRDefault="00B17D7E" w:rsidP="00005748"/>
                  </w:txbxContent>
                </v:textbox>
                <w10:wrap anchorx="page"/>
              </v:shape>
            </w:pict>
          </mc:Fallback>
        </mc:AlternateContent>
      </w:r>
      <w:r w:rsidR="0095724E" w:rsidRPr="002D1045">
        <w:rPr>
          <w:b w:val="0"/>
          <w:bCs/>
          <w:sz w:val="72"/>
          <w:szCs w:val="72"/>
        </w:rPr>
        <w:t>Chapter 5:</w:t>
      </w:r>
      <w:r w:rsidR="0095724E">
        <w:rPr>
          <w:sz w:val="72"/>
          <w:szCs w:val="72"/>
        </w:rPr>
        <w:br/>
      </w:r>
      <w:r w:rsidR="0095724E" w:rsidRPr="002D1045">
        <w:rPr>
          <w:sz w:val="92"/>
          <w:szCs w:val="92"/>
        </w:rPr>
        <w:t>Future states</w:t>
      </w:r>
      <w:bookmarkEnd w:id="51"/>
    </w:p>
    <w:p w14:paraId="789A7107" w14:textId="55A9FAD0" w:rsidR="0095724E" w:rsidRPr="002E56DB" w:rsidRDefault="004677AE" w:rsidP="0095724E">
      <w:pPr>
        <w:pStyle w:val="BodyText"/>
        <w:spacing w:before="120" w:line="247" w:lineRule="auto"/>
        <w:ind w:left="283"/>
        <w:rPr>
          <w:rFonts w:asciiTheme="majorHAnsi" w:hAnsiTheme="majorHAnsi" w:cstheme="majorHAnsi"/>
          <w:lang w:val="en-AU"/>
        </w:rPr>
      </w:pPr>
      <w:r>
        <w:rPr>
          <w:rFonts w:asciiTheme="majorHAnsi" w:hAnsiTheme="majorHAnsi" w:cstheme="majorHAnsi"/>
          <w:lang w:val="en-AU"/>
        </w:rPr>
        <w:t>Demand for clean energy workers to 2050</w:t>
      </w:r>
      <w:r w:rsidR="00A24DA9" w:rsidRPr="00A24DA9">
        <w:rPr>
          <w:rFonts w:asciiTheme="majorHAnsi" w:hAnsiTheme="majorHAnsi" w:cstheme="majorHAnsi"/>
          <w:lang w:val="en-AU"/>
        </w:rPr>
        <w:t>. What jobs do we need, which regions do they need to be in</w:t>
      </w:r>
      <w:r>
        <w:rPr>
          <w:rFonts w:asciiTheme="majorHAnsi" w:hAnsiTheme="majorHAnsi" w:cstheme="majorHAnsi"/>
          <w:lang w:val="en-AU"/>
        </w:rPr>
        <w:t xml:space="preserve"> and where will </w:t>
      </w:r>
      <w:r w:rsidR="00A24DA9" w:rsidRPr="00A24DA9">
        <w:rPr>
          <w:rFonts w:asciiTheme="majorHAnsi" w:hAnsiTheme="majorHAnsi" w:cstheme="majorHAnsi"/>
          <w:lang w:val="en-AU"/>
        </w:rPr>
        <w:t>the workers</w:t>
      </w:r>
      <w:r w:rsidRPr="00A24DA9">
        <w:rPr>
          <w:rFonts w:asciiTheme="majorHAnsi" w:hAnsiTheme="majorHAnsi" w:cstheme="majorHAnsi"/>
          <w:lang w:val="en-AU"/>
        </w:rPr>
        <w:t xml:space="preserve"> </w:t>
      </w:r>
      <w:r>
        <w:rPr>
          <w:rFonts w:asciiTheme="majorHAnsi" w:hAnsiTheme="majorHAnsi" w:cstheme="majorHAnsi"/>
          <w:lang w:val="en-AU"/>
        </w:rPr>
        <w:t>come from</w:t>
      </w:r>
      <w:r w:rsidR="00A24DA9" w:rsidRPr="00A24DA9">
        <w:rPr>
          <w:rFonts w:asciiTheme="majorHAnsi" w:hAnsiTheme="majorHAnsi" w:cstheme="majorHAnsi"/>
          <w:lang w:val="en-AU"/>
        </w:rPr>
        <w:t>?</w:t>
      </w:r>
    </w:p>
    <w:p w14:paraId="57EF0F54" w14:textId="650051DD" w:rsidR="0095724E" w:rsidRPr="002E56DB" w:rsidRDefault="0095724E" w:rsidP="0095724E">
      <w:pPr>
        <w:jc w:val="center"/>
      </w:pPr>
    </w:p>
    <w:p w14:paraId="30A08DD4" w14:textId="281029D1" w:rsidR="00067F70" w:rsidRPr="00E5087D" w:rsidRDefault="00067F70">
      <w:r w:rsidRPr="00E5087D">
        <w:br w:type="page"/>
      </w:r>
    </w:p>
    <w:p w14:paraId="5AAA8118" w14:textId="77777777" w:rsidR="00CD2B22" w:rsidRPr="0016171A" w:rsidRDefault="00CD2B22" w:rsidP="0016171A">
      <w:pPr>
        <w:pStyle w:val="Heading2"/>
      </w:pPr>
      <w:bookmarkStart w:id="52" w:name="_Toc146892679"/>
      <w:r w:rsidRPr="00C51466">
        <w:t>Introduction</w:t>
      </w:r>
      <w:bookmarkEnd w:id="52"/>
    </w:p>
    <w:p w14:paraId="0FDCDD52" w14:textId="7EE4A073" w:rsidR="00CD2B22" w:rsidRPr="006771A7" w:rsidRDefault="00CD2B22" w:rsidP="00C37281">
      <w:pPr>
        <w:spacing w:after="120" w:line="276" w:lineRule="auto"/>
        <w:rPr>
          <w14:numForm w14:val="lining"/>
          <w14:numSpacing w14:val="proportional"/>
        </w:rPr>
      </w:pPr>
      <w:r w:rsidRPr="006771A7">
        <w:rPr>
          <w14:numForm w14:val="lining"/>
          <w14:numSpacing w14:val="proportional"/>
        </w:rPr>
        <w:t xml:space="preserve">This chapter explores pathways for Australia’s transition to net zero and </w:t>
      </w:r>
      <w:r w:rsidR="00EB481C">
        <w:rPr>
          <w14:numForm w14:val="lining"/>
          <w14:numSpacing w14:val="proportional"/>
        </w:rPr>
        <w:t>presents preliminary analysis</w:t>
      </w:r>
      <w:r w:rsidRPr="006771A7">
        <w:rPr>
          <w14:numForm w14:val="lining"/>
          <w14:numSpacing w14:val="proportional"/>
        </w:rPr>
        <w:t xml:space="preserve"> of the workforce implications of them. We analyse the jobs that will be in demand; the industries that will change; the regions where clean energy jobs will be needed most; and the </w:t>
      </w:r>
      <w:r w:rsidR="008952D8">
        <w:rPr>
          <w14:numForm w14:val="lining"/>
          <w14:numSpacing w14:val="proportional"/>
        </w:rPr>
        <w:t xml:space="preserve">likely </w:t>
      </w:r>
      <w:r w:rsidRPr="006771A7">
        <w:rPr>
          <w14:numForm w14:val="lining"/>
          <w14:numSpacing w14:val="proportional"/>
        </w:rPr>
        <w:t xml:space="preserve">skills gaps that we need to prepare for. We also identify the jobs and regions that </w:t>
      </w:r>
      <w:r w:rsidR="008952D8">
        <w:rPr>
          <w14:numForm w14:val="lining"/>
          <w14:numSpacing w14:val="proportional"/>
        </w:rPr>
        <w:t>are likely to</w:t>
      </w:r>
      <w:r w:rsidRPr="006771A7">
        <w:rPr>
          <w14:numForm w14:val="lining"/>
          <w14:numSpacing w14:val="proportional"/>
        </w:rPr>
        <w:t xml:space="preserve"> be impacted by the transition away from fossil fuels but also the opportunities that will arise from this broader economic transformation, including in those same regions. In doing so, this chapter offers insights to some of the big questions in the broader study:</w:t>
      </w:r>
    </w:p>
    <w:p w14:paraId="27234B96"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What are the jobs needed to support our transition to net zero: In which industry sectors, for which occupations, in which regions, and by when?</w:t>
      </w:r>
    </w:p>
    <w:p w14:paraId="10178732"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 xml:space="preserve">What are the jobs impacted by transitioning away from fossil fuels: again, in which industry sectors, for which occupations, in which regions, and by when? </w:t>
      </w:r>
    </w:p>
    <w:p w14:paraId="71AA4A80"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 xml:space="preserve">Do we have the supply of workers and skills we need and considering the broader shifts across the workforce, what is the optimal approach to filling clean energy roles? </w:t>
      </w:r>
    </w:p>
    <w:p w14:paraId="2CF8F954"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What are the opportunities to support workers and communities transitioning from fossil-fuels into new jobs?</w:t>
      </w:r>
    </w:p>
    <w:p w14:paraId="6681C37C" w14:textId="77777777" w:rsidR="00CD2B22" w:rsidRPr="006771A7" w:rsidRDefault="00CD2B22" w:rsidP="00F25595">
      <w:pPr>
        <w:pStyle w:val="ListParagraph"/>
        <w:numPr>
          <w:ilvl w:val="0"/>
          <w:numId w:val="89"/>
        </w:numPr>
        <w:spacing w:after="120" w:line="276" w:lineRule="auto"/>
        <w:ind w:left="714" w:hanging="357"/>
        <w:contextualSpacing w:val="0"/>
        <w:rPr>
          <w14:numForm w14:val="lining"/>
          <w14:numSpacing w14:val="proportional"/>
        </w:rPr>
      </w:pPr>
      <w:r w:rsidRPr="006771A7">
        <w:rPr>
          <w14:numForm w14:val="lining"/>
          <w14:numSpacing w14:val="proportional"/>
        </w:rPr>
        <w:t>What are the gaps – both in terms of filling clean energy roles and supporting workers transitioning from fossil fuel-based sectors – and how might the education and migration systems assist?</w:t>
      </w:r>
    </w:p>
    <w:p w14:paraId="1B356030" w14:textId="37501F88" w:rsidR="00CD2B22" w:rsidRPr="006771A7" w:rsidRDefault="009C1F78" w:rsidP="000C34BE">
      <w:pPr>
        <w:spacing w:before="240" w:after="120" w:line="276" w:lineRule="auto"/>
        <w:rPr>
          <w14:numForm w14:val="lining"/>
          <w14:numSpacing w14:val="proportional"/>
        </w:rPr>
      </w:pPr>
      <w:r>
        <w:rPr>
          <w14:numForm w14:val="lining"/>
          <w14:numSpacing w14:val="proportional"/>
        </w:rPr>
        <w:t>M</w:t>
      </w:r>
      <w:r w:rsidR="00CD2B22" w:rsidRPr="006771A7">
        <w:rPr>
          <w14:numForm w14:val="lining"/>
          <w14:numSpacing w14:val="proportional"/>
        </w:rPr>
        <w:t xml:space="preserve">odelling </w:t>
      </w:r>
      <w:r w:rsidR="00ED461C">
        <w:rPr>
          <w14:numForm w14:val="lining"/>
          <w14:numSpacing w14:val="proportional"/>
        </w:rPr>
        <w:t>is being</w:t>
      </w:r>
      <w:r w:rsidR="00CD2B22" w:rsidRPr="006771A7">
        <w:rPr>
          <w14:numForm w14:val="lining"/>
          <w14:numSpacing w14:val="proportional"/>
        </w:rPr>
        <w:t xml:space="preserve"> undertaken for Jobs and Skills Australia by Deloitte Access Economics </w:t>
      </w:r>
      <w:r w:rsidR="00C37281" w:rsidRPr="006771A7">
        <w:rPr>
          <w14:numForm w14:val="lining"/>
          <w14:numSpacing w14:val="proportional"/>
        </w:rPr>
        <w:t>and</w:t>
      </w:r>
      <w:r w:rsidR="00F07EE5" w:rsidRPr="006771A7">
        <w:rPr>
          <w14:numForm w14:val="lining"/>
          <w14:numSpacing w14:val="proportional"/>
        </w:rPr>
        <w:t xml:space="preserve"> us</w:t>
      </w:r>
      <w:r w:rsidR="00ED461C">
        <w:rPr>
          <w14:numForm w14:val="lining"/>
          <w14:numSpacing w14:val="proportional"/>
        </w:rPr>
        <w:t>es</w:t>
      </w:r>
      <w:r w:rsidR="00F07EE5" w:rsidRPr="006771A7">
        <w:rPr>
          <w14:numForm w14:val="lining"/>
          <w14:numSpacing w14:val="proportional"/>
        </w:rPr>
        <w:t xml:space="preserve"> a computable general equilibrium model</w:t>
      </w:r>
      <w:r w:rsidR="004C7358" w:rsidRPr="006771A7">
        <w:rPr>
          <w14:numForm w14:val="lining"/>
          <w14:numSpacing w14:val="proportional"/>
        </w:rPr>
        <w:t xml:space="preserve"> </w:t>
      </w:r>
      <w:r w:rsidR="003804BF" w:rsidRPr="006771A7">
        <w:rPr>
          <w14:numForm w14:val="lining"/>
          <w14:numSpacing w14:val="proportional"/>
        </w:rPr>
        <w:t>with an</w:t>
      </w:r>
      <w:r w:rsidR="004C7358" w:rsidRPr="006771A7">
        <w:rPr>
          <w14:numForm w14:val="lining"/>
          <w14:numSpacing w14:val="proportional"/>
        </w:rPr>
        <w:t xml:space="preserve"> </w:t>
      </w:r>
      <w:r w:rsidR="00F07EE5" w:rsidRPr="006771A7">
        <w:rPr>
          <w14:numForm w14:val="lining"/>
          <w14:numSpacing w14:val="proportional"/>
        </w:rPr>
        <w:t>integrated assessment model, incorporating</w:t>
      </w:r>
      <w:r w:rsidR="00CD2B22" w:rsidRPr="006771A7">
        <w:rPr>
          <w14:numForm w14:val="lining"/>
          <w14:numSpacing w14:val="proportional"/>
        </w:rPr>
        <w:t xml:space="preserve"> damages caused by climate change.</w:t>
      </w:r>
      <w:r w:rsidR="002163D4">
        <w:rPr>
          <w14:numForm w14:val="lining"/>
          <w14:numSpacing w14:val="proportional"/>
        </w:rPr>
        <w:t xml:space="preserve"> </w:t>
      </w:r>
      <w:r w:rsidR="005213D8">
        <w:rPr>
          <w14:numForm w14:val="lining"/>
          <w14:numSpacing w14:val="proportional"/>
        </w:rPr>
        <w:t>A</w:t>
      </w:r>
      <w:r w:rsidR="002163D4">
        <w:rPr>
          <w14:numForm w14:val="lining"/>
          <w14:numSpacing w14:val="proportional"/>
        </w:rPr>
        <w:t xml:space="preserve">nalysis of this </w:t>
      </w:r>
      <w:r w:rsidR="005213D8">
        <w:rPr>
          <w14:numForm w14:val="lining"/>
          <w14:numSpacing w14:val="proportional"/>
        </w:rPr>
        <w:t xml:space="preserve">preliminary </w:t>
      </w:r>
      <w:r w:rsidR="002163D4">
        <w:rPr>
          <w14:numForm w14:val="lining"/>
          <w14:numSpacing w14:val="proportional"/>
        </w:rPr>
        <w:t>modelling is in progress and this chapter presents a selection of t</w:t>
      </w:r>
      <w:r w:rsidR="005F689E">
        <w:rPr>
          <w14:numForm w14:val="lining"/>
          <w14:numSpacing w14:val="proportional"/>
        </w:rPr>
        <w:t>he main preliminary findings.</w:t>
      </w:r>
    </w:p>
    <w:p w14:paraId="69B7D9BE" w14:textId="52DA024C" w:rsidR="00CD2B22" w:rsidRPr="006771A7" w:rsidRDefault="00CD2B22" w:rsidP="00525376">
      <w:pPr>
        <w:spacing w:after="120" w:line="276" w:lineRule="auto"/>
        <w:rPr>
          <w14:numForm w14:val="lining"/>
          <w14:numSpacing w14:val="proportional"/>
        </w:rPr>
      </w:pPr>
      <w:r w:rsidRPr="006771A7">
        <w:rPr>
          <w14:numForm w14:val="lining"/>
          <w14:numSpacing w14:val="proportional"/>
        </w:rPr>
        <w:t xml:space="preserve">Our central scenario for the transition to net zero </w:t>
      </w:r>
      <w:r w:rsidR="008952D8">
        <w:rPr>
          <w14:numForm w14:val="lining"/>
          <w14:numSpacing w14:val="proportional"/>
        </w:rPr>
        <w:t xml:space="preserve">broadly </w:t>
      </w:r>
      <w:r w:rsidRPr="006771A7">
        <w:rPr>
          <w14:numForm w14:val="lining"/>
          <w14:numSpacing w14:val="proportional"/>
        </w:rPr>
        <w:t xml:space="preserve">aligns with current Government </w:t>
      </w:r>
      <w:r w:rsidR="00A70AB7">
        <w:rPr>
          <w14:numForm w14:val="lining"/>
          <w14:numSpacing w14:val="proportional"/>
        </w:rPr>
        <w:t xml:space="preserve">climate and energy </w:t>
      </w:r>
      <w:r w:rsidRPr="006771A7">
        <w:rPr>
          <w14:numForm w14:val="lining"/>
          <w14:numSpacing w14:val="proportional"/>
        </w:rPr>
        <w:t xml:space="preserve">policy, and </w:t>
      </w:r>
      <w:r w:rsidR="006976D1" w:rsidRPr="006771A7">
        <w:rPr>
          <w14:numForm w14:val="lining"/>
          <w14:numSpacing w14:val="proportional"/>
        </w:rPr>
        <w:t xml:space="preserve">future policy intent. This scenario is </w:t>
      </w:r>
      <w:r w:rsidRPr="006771A7">
        <w:rPr>
          <w14:numForm w14:val="lining"/>
          <w14:numSpacing w14:val="proportional"/>
        </w:rPr>
        <w:t xml:space="preserve">contrasted with two </w:t>
      </w:r>
      <w:r w:rsidR="003A3E58" w:rsidRPr="006771A7">
        <w:rPr>
          <w14:numForm w14:val="lining"/>
          <w14:numSpacing w14:val="proportional"/>
        </w:rPr>
        <w:t>alternative pathways</w:t>
      </w:r>
      <w:r w:rsidR="00CA0D61" w:rsidRPr="006771A7">
        <w:rPr>
          <w14:numForm w14:val="lining"/>
          <w14:numSpacing w14:val="proportional"/>
        </w:rPr>
        <w:t xml:space="preserve"> to net zero</w:t>
      </w:r>
      <w:r w:rsidR="003A3E58" w:rsidRPr="006771A7">
        <w:rPr>
          <w14:numForm w14:val="lining"/>
          <w14:numSpacing w14:val="proportional"/>
        </w:rPr>
        <w:t xml:space="preserve"> </w:t>
      </w:r>
      <w:r w:rsidRPr="006771A7">
        <w:rPr>
          <w14:numForm w14:val="lining"/>
          <w14:numSpacing w14:val="proportional"/>
        </w:rPr>
        <w:t xml:space="preserve">that </w:t>
      </w:r>
      <w:r w:rsidR="008952D8">
        <w:rPr>
          <w14:numForm w14:val="lining"/>
          <w14:numSpacing w14:val="proportional"/>
        </w:rPr>
        <w:t>illustrate</w:t>
      </w:r>
      <w:r w:rsidRPr="006771A7">
        <w:rPr>
          <w14:numForm w14:val="lining"/>
          <w14:numSpacing w14:val="proportional"/>
        </w:rPr>
        <w:t xml:space="preserve"> different </w:t>
      </w:r>
      <w:r w:rsidR="00117F3F">
        <w:rPr>
          <w14:numForm w14:val="lining"/>
          <w14:numSpacing w14:val="proportional"/>
        </w:rPr>
        <w:t xml:space="preserve">possible </w:t>
      </w:r>
      <w:r w:rsidRPr="006771A7">
        <w:rPr>
          <w14:numForm w14:val="lining"/>
          <w14:numSpacing w14:val="proportional"/>
        </w:rPr>
        <w:t xml:space="preserve">policy and technology </w:t>
      </w:r>
      <w:r w:rsidR="00F3648E" w:rsidRPr="006771A7">
        <w:rPr>
          <w14:numForm w14:val="lining"/>
          <w14:numSpacing w14:val="proportional"/>
        </w:rPr>
        <w:t xml:space="preserve">directions </w:t>
      </w:r>
      <w:r w:rsidRPr="006771A7">
        <w:rPr>
          <w14:numForm w14:val="lining"/>
          <w14:numSpacing w14:val="proportional"/>
        </w:rPr>
        <w:t xml:space="preserve">that could emerge. The bulk of the chapter’s analysis relates to the </w:t>
      </w:r>
      <w:r w:rsidR="005213D8">
        <w:rPr>
          <w14:numForm w14:val="lining"/>
          <w14:numSpacing w14:val="proportional"/>
        </w:rPr>
        <w:t>c</w:t>
      </w:r>
      <w:r w:rsidRPr="006771A7">
        <w:rPr>
          <w14:numForm w14:val="lining"/>
          <w14:numSpacing w14:val="proportional"/>
        </w:rPr>
        <w:t>entral scenario for this reason</w:t>
      </w:r>
      <w:r w:rsidR="00005748">
        <w:rPr>
          <w14:numForm w14:val="lining"/>
          <w14:numSpacing w14:val="proportional"/>
        </w:rPr>
        <w:t>.</w:t>
      </w:r>
    </w:p>
    <w:p w14:paraId="335F26A6" w14:textId="1096ED7C" w:rsidR="00313B80" w:rsidRPr="006771A7" w:rsidRDefault="00C04485" w:rsidP="00525376">
      <w:pPr>
        <w:spacing w:after="120" w:line="276" w:lineRule="auto"/>
        <w:rPr>
          <w14:numForm w14:val="lining"/>
          <w14:numSpacing w14:val="proportional"/>
        </w:rPr>
      </w:pPr>
      <w:r>
        <w:rPr>
          <w:rFonts w:eastAsia="Arial" w:cs="Arial"/>
          <w14:numForm w14:val="lining"/>
          <w14:numSpacing w14:val="proportional"/>
        </w:rPr>
        <w:t xml:space="preserve">Preliminary </w:t>
      </w:r>
      <w:r w:rsidR="00CD2B22" w:rsidRPr="006771A7">
        <w:rPr>
          <w:rFonts w:eastAsia="Arial" w:cs="Arial"/>
          <w14:numForm w14:val="lining"/>
          <w14:numSpacing w14:val="proportional"/>
        </w:rPr>
        <w:t xml:space="preserve">modelling </w:t>
      </w:r>
      <w:r>
        <w:rPr>
          <w:rFonts w:eastAsia="Arial" w:cs="Arial"/>
          <w14:numForm w14:val="lining"/>
          <w14:numSpacing w14:val="proportional"/>
        </w:rPr>
        <w:t>results</w:t>
      </w:r>
      <w:r w:rsidR="00CD2B22" w:rsidRPr="006771A7">
        <w:rPr>
          <w:rFonts w:eastAsia="Arial" w:cs="Arial"/>
          <w14:numForm w14:val="lining"/>
          <w14:numSpacing w14:val="proportional"/>
        </w:rPr>
        <w:t xml:space="preserve"> finds that achieving the current national 2030 interim emissions and renewable energy targets is necessary for higher economic and jobs growth in the face of the economic damage associated with climate change</w:t>
      </w:r>
      <w:r w:rsidR="00CD2B22" w:rsidRPr="006771A7">
        <w:rPr>
          <w14:numForm w14:val="lining"/>
          <w14:numSpacing w14:val="proportional"/>
        </w:rPr>
        <w:t xml:space="preserve">. Our central scenario models sustained investment (at an increasing rate), resulting in the delivery of the target of 82% renewable energy in the </w:t>
      </w:r>
      <w:r w:rsidR="00651533" w:rsidRPr="006771A7">
        <w:rPr>
          <w14:numForm w14:val="lining"/>
          <w14:numSpacing w14:val="proportional"/>
        </w:rPr>
        <w:t xml:space="preserve">NEM </w:t>
      </w:r>
      <w:r w:rsidR="00CD2B22" w:rsidRPr="006771A7">
        <w:rPr>
          <w14:numForm w14:val="lining"/>
          <w14:numSpacing w14:val="proportional"/>
        </w:rPr>
        <w:t>by 2030 and supporting the achievement of the interim emission</w:t>
      </w:r>
      <w:r w:rsidR="00685315" w:rsidRPr="006771A7">
        <w:rPr>
          <w14:numForm w14:val="lining"/>
          <w14:numSpacing w14:val="proportional"/>
        </w:rPr>
        <w:t xml:space="preserve"> reduction</w:t>
      </w:r>
      <w:r w:rsidR="00CD2B22" w:rsidRPr="006771A7">
        <w:rPr>
          <w14:numForm w14:val="lining"/>
          <w14:numSpacing w14:val="proportional"/>
        </w:rPr>
        <w:t xml:space="preserve"> target of 43% (below 2005</w:t>
      </w:r>
      <w:r w:rsidR="00685315" w:rsidRPr="006771A7">
        <w:rPr>
          <w14:numForm w14:val="lining"/>
          <w14:numSpacing w14:val="proportional"/>
        </w:rPr>
        <w:t xml:space="preserve"> levels</w:t>
      </w:r>
      <w:r w:rsidR="00CD2B22" w:rsidRPr="006771A7">
        <w:rPr>
          <w14:numForm w14:val="lining"/>
          <w14:numSpacing w14:val="proportional"/>
        </w:rPr>
        <w:t>) at a relatively lower transition cost.</w:t>
      </w:r>
    </w:p>
    <w:p w14:paraId="1AD18EBC" w14:textId="77777777" w:rsidR="00B81557" w:rsidRDefault="00B81557">
      <w:pPr>
        <w:rPr>
          <w14:numForm w14:val="lining"/>
          <w14:numSpacing w14:val="proportional"/>
        </w:rPr>
      </w:pPr>
      <w:r>
        <w:rPr>
          <w14:numForm w14:val="lining"/>
          <w14:numSpacing w14:val="proportional"/>
        </w:rPr>
        <w:br w:type="page"/>
      </w:r>
    </w:p>
    <w:p w14:paraId="7C9FA8C0" w14:textId="747389FA" w:rsidR="00313B80" w:rsidRDefault="00CD2B22" w:rsidP="00525376">
      <w:pPr>
        <w:spacing w:after="120" w:line="276" w:lineRule="auto"/>
        <w:rPr>
          <w14:numForm w14:val="lining"/>
          <w14:numSpacing w14:val="proportional"/>
        </w:rPr>
      </w:pPr>
      <w:bookmarkStart w:id="53" w:name="_Hlk147216874"/>
      <w:r w:rsidRPr="006771A7">
        <w:rPr>
          <w14:numForm w14:val="lining"/>
          <w14:numSpacing w14:val="proportional"/>
        </w:rPr>
        <w:t xml:space="preserve">Following this, our scenarios focus in on different </w:t>
      </w:r>
      <w:r w:rsidR="00380FF9">
        <w:rPr>
          <w14:numForm w14:val="lining"/>
          <w14:numSpacing w14:val="proportional"/>
        </w:rPr>
        <w:t>possible</w:t>
      </w:r>
      <w:r w:rsidRPr="006771A7">
        <w:rPr>
          <w14:numForm w14:val="lining"/>
          <w14:numSpacing w14:val="proportional"/>
        </w:rPr>
        <w:t xml:space="preserve"> policy interventions and coordination at the national level and plot different paths the </w:t>
      </w:r>
      <w:r w:rsidR="00C4082C" w:rsidRPr="006771A7">
        <w:rPr>
          <w14:numForm w14:val="lining"/>
          <w14:numSpacing w14:val="proportional"/>
        </w:rPr>
        <w:t>Australia</w:t>
      </w:r>
      <w:r w:rsidR="00C4082C">
        <w:rPr>
          <w14:numForm w14:val="lining"/>
          <w14:numSpacing w14:val="proportional"/>
        </w:rPr>
        <w:t>n</w:t>
      </w:r>
      <w:r w:rsidR="00C4082C" w:rsidRPr="006771A7">
        <w:rPr>
          <w14:numForm w14:val="lining"/>
          <w14:numSpacing w14:val="proportional"/>
        </w:rPr>
        <w:t xml:space="preserve"> </w:t>
      </w:r>
      <w:r w:rsidRPr="006771A7">
        <w:rPr>
          <w14:numForm w14:val="lining"/>
          <w14:numSpacing w14:val="proportional"/>
        </w:rPr>
        <w:t xml:space="preserve">economy could follow. All three scenarios achieve net zero by 2050 but differ in the extent to which they assume implementation of Rewiring the Nation and </w:t>
      </w:r>
      <w:r w:rsidR="00C27887" w:rsidRPr="006771A7">
        <w:rPr>
          <w14:numForm w14:val="lining"/>
          <w14:numSpacing w14:val="proportional"/>
        </w:rPr>
        <w:t xml:space="preserve">achieve electrification and </w:t>
      </w:r>
      <w:r w:rsidR="000026CE" w:rsidRPr="006771A7">
        <w:rPr>
          <w14:numForm w14:val="lining"/>
          <w14:numSpacing w14:val="proportional"/>
        </w:rPr>
        <w:t xml:space="preserve">the use of alternative low-emission technologies for industry. </w:t>
      </w:r>
      <w:r w:rsidRPr="006771A7">
        <w:rPr>
          <w14:numForm w14:val="lining"/>
          <w14:numSpacing w14:val="proportional"/>
        </w:rPr>
        <w:t xml:space="preserve">All three scenarios </w:t>
      </w:r>
      <w:r w:rsidR="00266DA3" w:rsidRPr="006771A7">
        <w:rPr>
          <w14:numForm w14:val="lining"/>
          <w14:numSpacing w14:val="proportional"/>
        </w:rPr>
        <w:t xml:space="preserve">were constructed with reference to </w:t>
      </w:r>
      <w:r w:rsidRPr="006771A7">
        <w:rPr>
          <w14:numForm w14:val="lining"/>
          <w14:numSpacing w14:val="proportional"/>
        </w:rPr>
        <w:t>AEMO’s 2023 proposed scenarios including the main Net Zero Central scenario which is a variation of AEMO’s Orchestrated Step Change scenario.</w:t>
      </w:r>
    </w:p>
    <w:p w14:paraId="3D5C240A" w14:textId="77777777" w:rsidR="000C34BE" w:rsidRPr="006771A7" w:rsidRDefault="000C34BE" w:rsidP="000C34BE">
      <w:pPr>
        <w:spacing w:after="120" w:line="276" w:lineRule="auto"/>
        <w:rPr>
          <w14:numForm w14:val="lining"/>
          <w14:numSpacing w14:val="proportional"/>
        </w:rPr>
      </w:pPr>
      <w:bookmarkStart w:id="54" w:name="_Hlk147217893"/>
      <w:r w:rsidRPr="00C7784A">
        <w:rPr>
          <w14:numForm w14:val="lining"/>
          <w14:numSpacing w14:val="proportional"/>
        </w:rPr>
        <w:t xml:space="preserve">Much of the benefits to the economy of </w:t>
      </w:r>
      <w:r>
        <w:rPr>
          <w14:numForm w14:val="lining"/>
          <w14:numSpacing w14:val="proportional"/>
        </w:rPr>
        <w:t xml:space="preserve">the clean energy transformation </w:t>
      </w:r>
      <w:r w:rsidRPr="00C7784A">
        <w:rPr>
          <w14:numForm w14:val="lining"/>
          <w14:numSpacing w14:val="proportional"/>
        </w:rPr>
        <w:t xml:space="preserve">are realised beyond 2050. In fact, </w:t>
      </w:r>
      <w:r>
        <w:rPr>
          <w14:numForm w14:val="lining"/>
          <w14:numSpacing w14:val="proportional"/>
        </w:rPr>
        <w:t>the preliminary modelling suggests</w:t>
      </w:r>
      <w:r w:rsidRPr="00C7784A">
        <w:rPr>
          <w14:numForm w14:val="lining"/>
          <w14:numSpacing w14:val="proportional"/>
        </w:rPr>
        <w:t xml:space="preserve"> the long-term economic benefits that occur after transition on meeting net-zero are not captured in this study. The study period focuses on the impacts of the transition and thus by definition, reflects the points in time where economic impacts are more prominent. The long-term net economic, social, and environmental benefits of having transitioned occur post-2050.</w:t>
      </w:r>
    </w:p>
    <w:bookmarkEnd w:id="54"/>
    <w:p w14:paraId="408BE834" w14:textId="092179A7" w:rsidR="00CD2B22" w:rsidRDefault="00CD2B22" w:rsidP="00C37281">
      <w:pPr>
        <w:spacing w:line="276" w:lineRule="auto"/>
        <w:rPr>
          <w14:numForm w14:val="lining"/>
          <w14:numSpacing w14:val="proportional"/>
        </w:rPr>
      </w:pPr>
      <w:r w:rsidRPr="006771A7">
        <w:rPr>
          <w14:numForm w14:val="lining"/>
          <w14:numSpacing w14:val="proportional"/>
        </w:rPr>
        <w:t>This study acknowledges the uncertainties that come with climate change modelling, however the methodological approach for this study helps us focus policy attention on the how the labour market may change through this transformation</w:t>
      </w:r>
      <w:r w:rsidR="00496431" w:rsidRPr="006771A7">
        <w:rPr>
          <w14:numForm w14:val="lining"/>
          <w14:numSpacing w14:val="proportional"/>
        </w:rPr>
        <w:t>.</w:t>
      </w:r>
      <w:r w:rsidRPr="006771A7">
        <w:rPr>
          <w14:numForm w14:val="lining"/>
          <w14:numSpacing w14:val="proportional"/>
        </w:rPr>
        <w:t xml:space="preserve"> Thus, the accompanying </w:t>
      </w:r>
      <w:r w:rsidR="002303B0">
        <w:rPr>
          <w14:numForm w14:val="lining"/>
          <w14:numSpacing w14:val="proportional"/>
        </w:rPr>
        <w:t xml:space="preserve">preliminary </w:t>
      </w:r>
      <w:r w:rsidRPr="006771A7">
        <w:rPr>
          <w14:numForm w14:val="lining"/>
          <w14:numSpacing w14:val="proportional"/>
        </w:rPr>
        <w:t xml:space="preserve">results are not forecasts but offer </w:t>
      </w:r>
      <w:r w:rsidR="00255D65">
        <w:rPr>
          <w14:numForm w14:val="lining"/>
          <w14:numSpacing w14:val="proportional"/>
        </w:rPr>
        <w:t>some insights into the</w:t>
      </w:r>
      <w:r w:rsidRPr="006771A7">
        <w:rPr>
          <w14:numForm w14:val="lining"/>
          <w14:numSpacing w14:val="proportional"/>
        </w:rPr>
        <w:t xml:space="preserve"> long-term view of the impacts of climate change, Australia’s response to this, and what conclusions we can draw about changes in industries, regional economies and ultimately occupations.</w:t>
      </w:r>
    </w:p>
    <w:bookmarkEnd w:id="53"/>
    <w:p w14:paraId="5257FC8A" w14:textId="77777777" w:rsidR="00CD2B22" w:rsidRDefault="00CD2B22" w:rsidP="00C37281">
      <w:pPr>
        <w:spacing w:line="276" w:lineRule="auto"/>
      </w:pPr>
      <w:r>
        <w:br w:type="page"/>
      </w:r>
    </w:p>
    <w:p w14:paraId="12D349EE" w14:textId="72DC1027" w:rsidR="003E1425" w:rsidRDefault="003E1425" w:rsidP="003E1425">
      <w:pPr>
        <w:pStyle w:val="Heading2"/>
      </w:pPr>
      <w:bookmarkStart w:id="55" w:name="_Toc146892680"/>
      <w:bookmarkStart w:id="56" w:name="_Hlk145795316"/>
      <w:r w:rsidRPr="1DB301CE">
        <w:t>5</w:t>
      </w:r>
      <w:r w:rsidR="00952772" w:rsidRPr="00952772">
        <w:rPr>
          <w:rFonts w:ascii="Arial Bold" w:hAnsi="Arial Bold"/>
          <w:smallCaps/>
        </w:rPr>
        <w:t>a</w:t>
      </w:r>
      <w:r w:rsidR="00952772">
        <w:t>.</w:t>
      </w:r>
      <w:r w:rsidRPr="1DB301CE">
        <w:t xml:space="preserve"> </w:t>
      </w:r>
      <w:r w:rsidRPr="00313B80">
        <w:rPr>
          <w:b w:val="0"/>
          <w:bCs/>
        </w:rPr>
        <w:t>The central and other scenarios</w:t>
      </w:r>
      <w:bookmarkEnd w:id="55"/>
      <w:r w:rsidRPr="1DB301CE">
        <w:t xml:space="preserve"> </w:t>
      </w:r>
    </w:p>
    <w:p w14:paraId="4D579E5A" w14:textId="189EB954" w:rsidR="00CD2B22" w:rsidRPr="006771A7" w:rsidRDefault="00CD2B22" w:rsidP="006771A7">
      <w:pPr>
        <w:pStyle w:val="Bodycopy"/>
        <w:spacing w:line="276" w:lineRule="auto"/>
        <w:rPr>
          <w14:numForm w14:val="lining"/>
          <w14:numSpacing w14:val="proportional"/>
        </w:rPr>
      </w:pPr>
      <w:r w:rsidRPr="006771A7">
        <w:rPr>
          <w14:numForm w14:val="lining"/>
          <w14:numSpacing w14:val="proportional"/>
        </w:rPr>
        <w:t xml:space="preserve">The </w:t>
      </w:r>
      <w:r w:rsidR="0039732C">
        <w:rPr>
          <w14:numForm w14:val="lining"/>
          <w14:numSpacing w14:val="proportional"/>
        </w:rPr>
        <w:t>preliminary</w:t>
      </w:r>
      <w:r w:rsidRPr="006771A7">
        <w:rPr>
          <w14:numForm w14:val="lining"/>
          <w14:numSpacing w14:val="proportional"/>
        </w:rPr>
        <w:t xml:space="preserve"> occupation and regional analysis outlined in the following sections has been tested across three scenarios which model how sectors and regions interact based on different assumptions about technology, investment, consumption, wages and broader economic activities (Figure 5.1). This allows us to identify what jobs we will </w:t>
      </w:r>
      <w:r w:rsidR="0039732C">
        <w:rPr>
          <w14:numForm w14:val="lining"/>
          <w14:numSpacing w14:val="proportional"/>
        </w:rPr>
        <w:t xml:space="preserve">likely </w:t>
      </w:r>
      <w:r w:rsidRPr="006771A7">
        <w:rPr>
          <w14:numForm w14:val="lining"/>
          <w14:numSpacing w14:val="proportional"/>
        </w:rPr>
        <w:t xml:space="preserve">need, which regions they need to be in and how many workers we will need to fill them. </w:t>
      </w:r>
      <w:r w:rsidR="003804BF" w:rsidRPr="006771A7">
        <w:rPr>
          <w14:numForm w14:val="lining"/>
          <w14:numSpacing w14:val="proportional"/>
        </w:rPr>
        <w:t>We can then</w:t>
      </w:r>
      <w:r w:rsidR="004C7358" w:rsidRPr="006771A7">
        <w:rPr>
          <w14:numForm w14:val="lining"/>
          <w14:numSpacing w14:val="proportional"/>
        </w:rPr>
        <w:t xml:space="preserve"> </w:t>
      </w:r>
      <w:r w:rsidRPr="006771A7">
        <w:rPr>
          <w14:numForm w14:val="lining"/>
          <w14:numSpacing w14:val="proportional"/>
        </w:rPr>
        <w:t xml:space="preserve">examine the different workforce, training, and migration pathways Australia </w:t>
      </w:r>
      <w:r w:rsidR="003804BF" w:rsidRPr="006771A7">
        <w:rPr>
          <w14:numForm w14:val="lining"/>
          <w14:numSpacing w14:val="proportional"/>
        </w:rPr>
        <w:t xml:space="preserve">might </w:t>
      </w:r>
      <w:r w:rsidR="004C7358" w:rsidRPr="006771A7">
        <w:rPr>
          <w14:numForm w14:val="lining"/>
          <w14:numSpacing w14:val="proportional"/>
        </w:rPr>
        <w:t>need</w:t>
      </w:r>
      <w:r w:rsidRPr="006771A7">
        <w:rPr>
          <w14:numForm w14:val="lining"/>
          <w14:numSpacing w14:val="proportional"/>
        </w:rPr>
        <w:t xml:space="preserve"> for the net zero transition. The main scenario is: </w:t>
      </w:r>
    </w:p>
    <w:p w14:paraId="3562CAEC" w14:textId="79261565" w:rsidR="00CD2B22" w:rsidRPr="006771A7" w:rsidRDefault="00B81557" w:rsidP="00F25595">
      <w:pPr>
        <w:pStyle w:val="Bodycopy"/>
        <w:numPr>
          <w:ilvl w:val="0"/>
          <w:numId w:val="78"/>
        </w:numPr>
        <w:spacing w:line="276" w:lineRule="auto"/>
        <w:rPr>
          <w14:numForm w14:val="lining"/>
          <w14:numSpacing w14:val="proportional"/>
        </w:rPr>
      </w:pPr>
      <w:r>
        <w:rPr>
          <w:rFonts w:eastAsia="Arial" w:cs="Arial"/>
          <w14:numForm w14:val="lining"/>
          <w14:numSpacing w14:val="proportional"/>
        </w:rPr>
        <w:t>a</w:t>
      </w:r>
      <w:r w:rsidR="00CD2B22" w:rsidRPr="006771A7">
        <w:rPr>
          <w:rFonts w:eastAsia="Arial" w:cs="Arial"/>
          <w14:numForm w14:val="lining"/>
          <w14:numSpacing w14:val="proportional"/>
        </w:rPr>
        <w:t xml:space="preserve"> </w:t>
      </w:r>
      <w:r w:rsidR="00E72107">
        <w:rPr>
          <w:rFonts w:eastAsia="Arial" w:cs="Arial"/>
          <w:b/>
          <w:bCs/>
          <w14:numForm w14:val="lining"/>
          <w14:numSpacing w14:val="proportional"/>
        </w:rPr>
        <w:t>c</w:t>
      </w:r>
      <w:r w:rsidR="00CD2B22" w:rsidRPr="006771A7">
        <w:rPr>
          <w:rFonts w:eastAsia="Arial" w:cs="Arial"/>
          <w:b/>
          <w:bCs/>
          <w14:numForm w14:val="lining"/>
          <w14:numSpacing w14:val="proportional"/>
        </w:rPr>
        <w:t xml:space="preserve">entral scenario </w:t>
      </w:r>
      <w:r w:rsidRPr="00B81557">
        <w:rPr>
          <w:rFonts w:eastAsia="Arial" w:cs="Arial"/>
          <w14:numForm w14:val="lining"/>
          <w14:numSpacing w14:val="proportional"/>
        </w:rPr>
        <w:t>that</w:t>
      </w:r>
      <w:r>
        <w:rPr>
          <w:rFonts w:eastAsia="Arial" w:cs="Arial"/>
          <w:b/>
          <w:bCs/>
          <w14:numForm w14:val="lining"/>
          <w14:numSpacing w14:val="proportional"/>
        </w:rPr>
        <w:t xml:space="preserve"> </w:t>
      </w:r>
      <w:r w:rsidR="00CD2B22" w:rsidRPr="006771A7">
        <w:rPr>
          <w:rFonts w:eastAsia="Arial" w:cs="Arial"/>
          <w14:numForm w14:val="lining"/>
          <w14:numSpacing w14:val="proportional"/>
        </w:rPr>
        <w:t xml:space="preserve">sees coordinated policy action with increased investment into low-emissions activities. Australia delivers Rewiring the Nation, and the national electricity system has 82% renewable energy by 2030. Beyond 2030, continued coordination of investment across higher emitting sectors, such as agriculture, reduces the costs of transition by increasing new low-emission activities. </w:t>
      </w:r>
      <w:r w:rsidR="00685FE8" w:rsidRPr="006771A7">
        <w:rPr>
          <w:rFonts w:eastAsia="Arial" w:cs="Arial"/>
          <w14:numForm w14:val="lining"/>
          <w14:numSpacing w14:val="proportional"/>
        </w:rPr>
        <w:t xml:space="preserve">This scenario broadly aligns to current government </w:t>
      </w:r>
      <w:r w:rsidR="00087909">
        <w:rPr>
          <w:rFonts w:eastAsia="Arial" w:cs="Arial"/>
          <w14:numForm w14:val="lining"/>
          <w14:numSpacing w14:val="proportional"/>
        </w:rPr>
        <w:t xml:space="preserve">climate and energy </w:t>
      </w:r>
      <w:r w:rsidR="00685FE8" w:rsidRPr="006771A7">
        <w:rPr>
          <w:rFonts w:eastAsia="Arial" w:cs="Arial"/>
          <w14:numForm w14:val="lining"/>
          <w14:numSpacing w14:val="proportional"/>
        </w:rPr>
        <w:t xml:space="preserve">policy to 2030, including </w:t>
      </w:r>
      <w:r w:rsidR="00CD2B22" w:rsidRPr="006771A7">
        <w:rPr>
          <w:rFonts w:eastAsia="Arial" w:cs="Arial"/>
          <w14:numForm w14:val="lining"/>
          <w14:numSpacing w14:val="proportional"/>
        </w:rPr>
        <w:t>Government</w:t>
      </w:r>
      <w:r w:rsidR="00D913B5" w:rsidRPr="006771A7">
        <w:rPr>
          <w:rFonts w:eastAsia="Arial" w:cs="Arial"/>
          <w14:numForm w14:val="lining"/>
          <w14:numSpacing w14:val="proportional"/>
        </w:rPr>
        <w:t xml:space="preserve"> support for hard-to-abate sectors</w:t>
      </w:r>
      <w:r w:rsidR="00CD2B22" w:rsidRPr="006771A7">
        <w:rPr>
          <w:rFonts w:eastAsia="Arial" w:cs="Arial"/>
          <w14:numForm w14:val="lining"/>
          <w14:numSpacing w14:val="proportional"/>
        </w:rPr>
        <w:t xml:space="preserve"> and reflects the stated policy intent to meet net zero by 2050.</w:t>
      </w:r>
    </w:p>
    <w:p w14:paraId="2A0F8C9D" w14:textId="77777777" w:rsidR="00CD2B22" w:rsidRPr="006771A7" w:rsidRDefault="00CD2B22" w:rsidP="006771A7">
      <w:pPr>
        <w:pStyle w:val="Bodycopy"/>
        <w:spacing w:line="276" w:lineRule="auto"/>
        <w:rPr>
          <w14:numForm w14:val="lining"/>
          <w14:numSpacing w14:val="proportional"/>
        </w:rPr>
      </w:pPr>
      <w:r w:rsidRPr="006771A7">
        <w:rPr>
          <w:rFonts w:eastAsia="Arial" w:cs="Arial"/>
          <w14:numForm w14:val="lining"/>
          <w14:numSpacing w14:val="proportional"/>
        </w:rPr>
        <w:t>The other two scenarios are:</w:t>
      </w:r>
    </w:p>
    <w:p w14:paraId="31922473" w14:textId="3B1173EE" w:rsidR="00CD2B22" w:rsidRPr="006771A7" w:rsidRDefault="00CD2B22" w:rsidP="00F25595">
      <w:pPr>
        <w:pStyle w:val="Bodycopy"/>
        <w:numPr>
          <w:ilvl w:val="0"/>
          <w:numId w:val="90"/>
        </w:numPr>
        <w:spacing w:line="276" w:lineRule="auto"/>
        <w:rPr>
          <w:rFonts w:eastAsia="Arial" w:cs="Arial"/>
          <w14:numForm w14:val="lining"/>
          <w14:numSpacing w14:val="proportional"/>
        </w:rPr>
      </w:pPr>
      <w:r w:rsidRPr="006771A7">
        <w:rPr>
          <w:rFonts w:eastAsia="Arial" w:cs="Arial"/>
          <w14:numForm w14:val="lining"/>
          <w14:numSpacing w14:val="proportional"/>
        </w:rPr>
        <w:t xml:space="preserve">a </w:t>
      </w:r>
      <w:r w:rsidR="00E72107">
        <w:rPr>
          <w:rFonts w:eastAsia="Arial" w:cs="Arial"/>
          <w:b/>
          <w:bCs/>
          <w14:numForm w14:val="lining"/>
          <w14:numSpacing w14:val="proportional"/>
        </w:rPr>
        <w:t>l</w:t>
      </w:r>
      <w:r w:rsidR="006F5B27">
        <w:rPr>
          <w:rFonts w:eastAsia="Arial" w:cs="Arial"/>
          <w:b/>
          <w:bCs/>
          <w14:numForm w14:val="lining"/>
          <w14:numSpacing w14:val="proportional"/>
        </w:rPr>
        <w:t>ow</w:t>
      </w:r>
      <w:r w:rsidRPr="006771A7">
        <w:rPr>
          <w:rFonts w:eastAsia="Arial" w:cs="Arial"/>
          <w:b/>
          <w:bCs/>
          <w14:numForm w14:val="lining"/>
          <w14:numSpacing w14:val="proportional"/>
        </w:rPr>
        <w:t xml:space="preserve"> </w:t>
      </w:r>
      <w:r w:rsidRPr="00636E2F">
        <w:rPr>
          <w:rFonts w:eastAsia="Arial" w:cs="Arial"/>
          <w:b/>
          <w14:numForm w14:val="lining"/>
          <w14:numSpacing w14:val="proportional"/>
        </w:rPr>
        <w:t>scenario</w:t>
      </w:r>
      <w:r w:rsidRPr="006771A7">
        <w:rPr>
          <w:rFonts w:eastAsia="Arial" w:cs="Arial"/>
          <w14:numForm w14:val="lining"/>
          <w14:numSpacing w14:val="proportional"/>
        </w:rPr>
        <w:t xml:space="preserve"> that </w:t>
      </w:r>
      <w:r w:rsidR="00E72107">
        <w:rPr>
          <w:rFonts w:eastAsia="Arial" w:cs="Arial"/>
          <w14:numForm w14:val="lining"/>
          <w14:numSpacing w14:val="proportional"/>
        </w:rPr>
        <w:t xml:space="preserve">sees slow implementation, </w:t>
      </w:r>
      <w:r w:rsidRPr="006771A7">
        <w:rPr>
          <w:rFonts w:eastAsia="Arial" w:cs="Arial"/>
          <w14:numForm w14:val="lining"/>
          <w14:numSpacing w14:val="proportional"/>
        </w:rPr>
        <w:t xml:space="preserve">does not deliver current </w:t>
      </w:r>
      <w:r w:rsidR="00651533" w:rsidRPr="006771A7">
        <w:rPr>
          <w:rFonts w:eastAsia="Arial" w:cs="Arial"/>
          <w14:numForm w14:val="lining"/>
          <w14:numSpacing w14:val="proportional"/>
        </w:rPr>
        <w:t xml:space="preserve">Federal </w:t>
      </w:r>
      <w:r w:rsidRPr="006771A7">
        <w:rPr>
          <w:rFonts w:eastAsia="Arial" w:cs="Arial"/>
          <w14:numForm w14:val="lining"/>
          <w14:numSpacing w14:val="proportional"/>
        </w:rPr>
        <w:t xml:space="preserve">Government policy settings and sees slower progress in expanding the share of renewable energy in the national electricity system with only 69% renewable energy by 2030. </w:t>
      </w:r>
    </w:p>
    <w:p w14:paraId="7470EEF6" w14:textId="60F5B1B5" w:rsidR="00CD2B22" w:rsidRPr="006771A7" w:rsidRDefault="00CD2B22" w:rsidP="00F25595">
      <w:pPr>
        <w:pStyle w:val="Bodycopy"/>
        <w:numPr>
          <w:ilvl w:val="0"/>
          <w:numId w:val="90"/>
        </w:numPr>
        <w:spacing w:line="276" w:lineRule="auto"/>
        <w:rPr>
          <w:rFonts w:eastAsia="Arial" w:cs="Arial"/>
          <w14:numForm w14:val="lining"/>
          <w14:numSpacing w14:val="proportional"/>
        </w:rPr>
      </w:pPr>
      <w:r w:rsidRPr="006771A7">
        <w:rPr>
          <w:rFonts w:eastAsia="Arial" w:cs="Arial"/>
          <w14:numForm w14:val="lining"/>
          <w14:numSpacing w14:val="proportional"/>
        </w:rPr>
        <w:t xml:space="preserve">a </w:t>
      </w:r>
      <w:r w:rsidR="00E72107">
        <w:rPr>
          <w:rFonts w:eastAsia="Arial" w:cs="Arial"/>
          <w:b/>
          <w:bCs/>
          <w14:numForm w14:val="lining"/>
          <w14:numSpacing w14:val="proportional"/>
        </w:rPr>
        <w:t>h</w:t>
      </w:r>
      <w:r w:rsidR="006F5B27">
        <w:rPr>
          <w:rFonts w:eastAsia="Arial" w:cs="Arial"/>
          <w:b/>
          <w:bCs/>
          <w14:numForm w14:val="lining"/>
          <w14:numSpacing w14:val="proportional"/>
        </w:rPr>
        <w:t>igh</w:t>
      </w:r>
      <w:r w:rsidRPr="006771A7">
        <w:rPr>
          <w:rFonts w:eastAsia="Arial" w:cs="Arial"/>
          <w:b/>
          <w:bCs/>
          <w14:numForm w14:val="lining"/>
          <w14:numSpacing w14:val="proportional"/>
        </w:rPr>
        <w:t xml:space="preserve"> scenario</w:t>
      </w:r>
      <w:r w:rsidRPr="006771A7">
        <w:rPr>
          <w:rFonts w:eastAsia="Arial" w:cs="Arial"/>
          <w14:numForm w14:val="lining"/>
          <w14:numSpacing w14:val="proportional"/>
        </w:rPr>
        <w:t xml:space="preserve"> that sees more ambitious and coordinated policy action, giving the national electricity system over 90% renewable energy by 2030. </w:t>
      </w:r>
      <w:r w:rsidR="003804BF" w:rsidRPr="006771A7">
        <w:rPr>
          <w:rFonts w:eastAsia="Arial" w:cs="Arial"/>
          <w14:numForm w14:val="lining"/>
          <w14:numSpacing w14:val="proportional"/>
        </w:rPr>
        <w:t xml:space="preserve">The investment </w:t>
      </w:r>
      <w:r w:rsidRPr="006771A7">
        <w:rPr>
          <w:rFonts w:eastAsia="Arial" w:cs="Arial"/>
          <w14:numForm w14:val="lining"/>
          <w14:numSpacing w14:val="proportional"/>
        </w:rPr>
        <w:t>in low-emission technologies</w:t>
      </w:r>
      <w:r w:rsidR="006A5AB0" w:rsidRPr="006771A7">
        <w:rPr>
          <w:rFonts w:eastAsia="Arial" w:cs="Arial"/>
          <w14:numForm w14:val="lining"/>
          <w14:numSpacing w14:val="proportional"/>
        </w:rPr>
        <w:t xml:space="preserve"> </w:t>
      </w:r>
      <w:r w:rsidR="003804BF" w:rsidRPr="006771A7">
        <w:rPr>
          <w:rFonts w:eastAsia="Arial" w:cs="Arial"/>
          <w14:numForm w14:val="lining"/>
          <w14:numSpacing w14:val="proportional"/>
        </w:rPr>
        <w:t xml:space="preserve">is three times larger </w:t>
      </w:r>
      <w:r w:rsidRPr="006771A7">
        <w:rPr>
          <w:rFonts w:eastAsia="Arial" w:cs="Arial"/>
          <w14:numForm w14:val="lining"/>
          <w14:numSpacing w14:val="proportional"/>
        </w:rPr>
        <w:t xml:space="preserve">and more renewable energy capacity supports exporting green </w:t>
      </w:r>
      <w:r w:rsidR="00EA48C8" w:rsidRPr="006771A7">
        <w:rPr>
          <w:rFonts w:eastAsia="Arial" w:cs="Arial"/>
          <w14:numForm w14:val="lining"/>
          <w14:numSpacing w14:val="proportional"/>
        </w:rPr>
        <w:t>manufacturing (including iron)</w:t>
      </w:r>
      <w:r w:rsidRPr="006771A7">
        <w:rPr>
          <w:rFonts w:eastAsia="Arial" w:cs="Arial"/>
          <w14:numForm w14:val="lining"/>
          <w14:numSpacing w14:val="proportional"/>
        </w:rPr>
        <w:t xml:space="preserve"> and a larger critical minerals mining and processing industry. Australia becomes a renewable energy and green industrial superpower due to its role in global supply chains.</w:t>
      </w:r>
      <w:r w:rsidR="00952772" w:rsidRPr="006771A7">
        <w:rPr>
          <w:rStyle w:val="FootnoteReference"/>
          <w:rFonts w:eastAsia="Arial" w:cs="Arial"/>
          <w14:numForm w14:val="lining"/>
          <w14:numSpacing w14:val="proportional"/>
        </w:rPr>
        <w:footnoteReference w:id="3"/>
      </w:r>
      <w:r w:rsidR="006F1461">
        <w:rPr>
          <w:rFonts w:eastAsia="Arial" w:cs="Arial"/>
          <w14:numForm w14:val="lining"/>
          <w14:numSpacing w14:val="proportional"/>
        </w:rPr>
        <w:t xml:space="preserve"> While there is increasing interest in the notion of </w:t>
      </w:r>
      <w:r w:rsidR="00FB4D33">
        <w:rPr>
          <w:rFonts w:eastAsia="Arial" w:cs="Arial"/>
          <w14:numForm w14:val="lining"/>
          <w14:numSpacing w14:val="proportional"/>
        </w:rPr>
        <w:t xml:space="preserve">Australia becoming a </w:t>
      </w:r>
      <w:r w:rsidR="006F1461">
        <w:rPr>
          <w:rFonts w:eastAsia="Arial" w:cs="Arial"/>
          <w14:numForm w14:val="lining"/>
          <w14:numSpacing w14:val="proportional"/>
        </w:rPr>
        <w:t xml:space="preserve">clean energy </w:t>
      </w:r>
      <w:r w:rsidR="00FB4D33">
        <w:rPr>
          <w:rFonts w:eastAsia="Arial" w:cs="Arial"/>
          <w14:numForm w14:val="lining"/>
          <w14:numSpacing w14:val="proportional"/>
        </w:rPr>
        <w:t>superpower</w:t>
      </w:r>
      <w:r w:rsidR="006F1461">
        <w:rPr>
          <w:rFonts w:eastAsia="Arial" w:cs="Arial"/>
          <w14:numForm w14:val="lining"/>
          <w14:numSpacing w14:val="proportional"/>
        </w:rPr>
        <w:t>, the assumpt</w:t>
      </w:r>
      <w:r w:rsidR="00FB4D33">
        <w:rPr>
          <w:rFonts w:eastAsia="Arial" w:cs="Arial"/>
          <w14:numForm w14:val="lining"/>
          <w14:numSpacing w14:val="proportional"/>
        </w:rPr>
        <w:t xml:space="preserve">ions underpinning this scenario are more ambitious than the measures outlined within current </w:t>
      </w:r>
      <w:r w:rsidR="00806688">
        <w:rPr>
          <w:rFonts w:eastAsia="Arial" w:cs="Arial"/>
          <w14:numForm w14:val="lining"/>
          <w14:numSpacing w14:val="proportional"/>
        </w:rPr>
        <w:t>G</w:t>
      </w:r>
      <w:r w:rsidR="00FB4D33">
        <w:rPr>
          <w:rFonts w:eastAsia="Arial" w:cs="Arial"/>
          <w14:numForm w14:val="lining"/>
          <w14:numSpacing w14:val="proportional"/>
        </w:rPr>
        <w:t xml:space="preserve">overnment policies. </w:t>
      </w:r>
    </w:p>
    <w:p w14:paraId="7F98EB72" w14:textId="77777777" w:rsidR="00313B80" w:rsidRDefault="00313B80">
      <w:pPr>
        <w:rPr>
          <w:rFonts w:eastAsiaTheme="majorEastAsia" w:cstheme="majorBidi"/>
          <w:b/>
          <w:sz w:val="32"/>
          <w:szCs w:val="24"/>
        </w:rPr>
      </w:pPr>
      <w:r>
        <w:br w:type="page"/>
      </w:r>
    </w:p>
    <w:p w14:paraId="2B8C5033" w14:textId="645A8478" w:rsidR="00CD2B22" w:rsidRPr="00525376" w:rsidRDefault="00CD2B22" w:rsidP="00CD2B22">
      <w:pPr>
        <w:pStyle w:val="Heading3"/>
        <w:rPr>
          <w:color w:val="77123D" w:themeColor="accent4" w:themeShade="BF"/>
        </w:rPr>
      </w:pPr>
      <w:r w:rsidRPr="00525376">
        <w:rPr>
          <w:color w:val="77123D" w:themeColor="accent4" w:themeShade="BF"/>
        </w:rPr>
        <w:t>Key differences across the scenarios</w:t>
      </w:r>
    </w:p>
    <w:p w14:paraId="40ED7FAE" w14:textId="77777777" w:rsidR="00CD2B22" w:rsidRPr="001D29AB" w:rsidRDefault="00CD2B22" w:rsidP="00CD2B22">
      <w:pPr>
        <w:spacing w:after="120" w:line="276" w:lineRule="auto"/>
        <w:rPr>
          <w:b/>
          <w:bCs/>
        </w:rPr>
      </w:pPr>
      <w:r w:rsidRPr="69E461A9">
        <w:rPr>
          <w:b/>
          <w:bCs/>
        </w:rPr>
        <w:t xml:space="preserve">Co-ordinated investment </w:t>
      </w:r>
      <w:r>
        <w:rPr>
          <w:b/>
          <w:bCs/>
        </w:rPr>
        <w:t>would likely</w:t>
      </w:r>
      <w:r w:rsidRPr="69E461A9">
        <w:rPr>
          <w:b/>
          <w:bCs/>
        </w:rPr>
        <w:t xml:space="preserve"> drive employment growth</w:t>
      </w:r>
    </w:p>
    <w:p w14:paraId="03128AC1" w14:textId="44FB63C0" w:rsidR="00D87F5E" w:rsidRPr="0013410D" w:rsidRDefault="002B71F5" w:rsidP="0013410D">
      <w:pPr>
        <w:spacing w:after="120" w:line="276" w:lineRule="auto"/>
        <w:rPr>
          <w14:numForm w14:val="lining"/>
          <w14:numSpacing w14:val="proportional"/>
        </w:rPr>
      </w:pPr>
      <w:r w:rsidRPr="0013410D">
        <w:rPr>
          <w14:numForm w14:val="lining"/>
          <w14:numSpacing w14:val="proportional"/>
        </w:rPr>
        <w:t xml:space="preserve">The </w:t>
      </w:r>
      <w:r w:rsidR="00C507D5">
        <w:rPr>
          <w14:numForm w14:val="lining"/>
          <w14:numSpacing w14:val="proportional"/>
        </w:rPr>
        <w:t>c</w:t>
      </w:r>
      <w:r w:rsidRPr="0013410D">
        <w:rPr>
          <w14:numForm w14:val="lining"/>
          <w14:numSpacing w14:val="proportional"/>
        </w:rPr>
        <w:t>entral scenario is broadly</w:t>
      </w:r>
      <w:r w:rsidR="00CD2B22" w:rsidRPr="0013410D">
        <w:rPr>
          <w14:numForm w14:val="lining"/>
          <w14:numSpacing w14:val="proportional"/>
        </w:rPr>
        <w:t xml:space="preserve"> aligned to current Government </w:t>
      </w:r>
      <w:r w:rsidR="00C507D5">
        <w:rPr>
          <w14:numForm w14:val="lining"/>
          <w14:numSpacing w14:val="proportional"/>
        </w:rPr>
        <w:t xml:space="preserve">climate change and energy </w:t>
      </w:r>
      <w:r w:rsidR="00CD2B22" w:rsidRPr="0013410D">
        <w:rPr>
          <w14:numForm w14:val="lining"/>
          <w14:numSpacing w14:val="proportional"/>
        </w:rPr>
        <w:t xml:space="preserve">policy settings to 2030 and represents a stylised view to policy intent to 2050. By 2030, Australia achieves 82% renewables in the NEM through coordinated implementation of </w:t>
      </w:r>
      <w:r w:rsidR="00806688">
        <w:rPr>
          <w14:numForm w14:val="lining"/>
          <w14:numSpacing w14:val="proportional"/>
        </w:rPr>
        <w:t>G</w:t>
      </w:r>
      <w:r w:rsidR="00CD2B22" w:rsidRPr="0013410D">
        <w:rPr>
          <w14:numForm w14:val="lining"/>
          <w14:numSpacing w14:val="proportional"/>
        </w:rPr>
        <w:t xml:space="preserve">overnment policy, including full implementation of the Rewiring the Nation policy. </w:t>
      </w:r>
      <w:r w:rsidR="00806688">
        <w:rPr>
          <w14:numForm w14:val="lining"/>
          <w14:numSpacing w14:val="proportional"/>
        </w:rPr>
        <w:t>I</w:t>
      </w:r>
      <w:r w:rsidR="00CD2B22" w:rsidRPr="0013410D">
        <w:rPr>
          <w14:numForm w14:val="lining"/>
          <w14:numSpacing w14:val="proportional"/>
        </w:rPr>
        <w:t xml:space="preserve">nvestment into low-emissions activity and renewable energy increases. </w:t>
      </w:r>
    </w:p>
    <w:p w14:paraId="520F35F6" w14:textId="7D821953" w:rsidR="00CD2B22" w:rsidRPr="0013410D" w:rsidRDefault="00CD2B22" w:rsidP="0013410D">
      <w:pPr>
        <w:spacing w:after="120" w:line="276" w:lineRule="auto"/>
        <w:rPr>
          <w14:numForm w14:val="lining"/>
          <w14:numSpacing w14:val="proportional"/>
        </w:rPr>
      </w:pPr>
      <w:r w:rsidRPr="0013410D">
        <w:rPr>
          <w14:numForm w14:val="lining"/>
          <w14:numSpacing w14:val="proportional"/>
        </w:rPr>
        <w:t>The 43% interim emissions reduction target by 2030 is met and the scenario assumes that this is achieved with a lower economic cost of transition due to increases in alternative industry activity</w:t>
      </w:r>
      <w:r w:rsidR="00221233" w:rsidRPr="0013410D">
        <w:rPr>
          <w14:numForm w14:val="lining"/>
          <w14:numSpacing w14:val="proportional"/>
        </w:rPr>
        <w:t xml:space="preserve"> within particular hard to abate sectors. By maintaining output and employment within these </w:t>
      </w:r>
      <w:r w:rsidR="000E7EBE" w:rsidRPr="0013410D">
        <w:rPr>
          <w14:numForm w14:val="lining"/>
          <w14:numSpacing w14:val="proportional"/>
        </w:rPr>
        <w:t>sectors, alternative</w:t>
      </w:r>
      <w:r w:rsidRPr="0013410D">
        <w:rPr>
          <w14:numForm w14:val="lining"/>
          <w14:numSpacing w14:val="proportional"/>
        </w:rPr>
        <w:t xml:space="preserve"> activities offset the costs of high-emission industry transition (the economic abatement cost is lower). The central scenario assumes continued investment post 2030 </w:t>
      </w:r>
      <w:r w:rsidR="00C205A2" w:rsidRPr="0013410D">
        <w:rPr>
          <w14:numForm w14:val="lining"/>
          <w14:numSpacing w14:val="proportional"/>
        </w:rPr>
        <w:t>(</w:t>
      </w:r>
      <w:r w:rsidRPr="0013410D">
        <w:rPr>
          <w14:numForm w14:val="lining"/>
          <w14:numSpacing w14:val="proportional"/>
        </w:rPr>
        <w:t>to capitalise on the investments already made to 2030</w:t>
      </w:r>
      <w:r w:rsidR="00C205A2" w:rsidRPr="0013410D">
        <w:rPr>
          <w14:numForm w14:val="lining"/>
          <w14:numSpacing w14:val="proportional"/>
        </w:rPr>
        <w:t>)</w:t>
      </w:r>
      <w:r w:rsidR="00B16C6A" w:rsidRPr="0013410D">
        <w:rPr>
          <w14:numForm w14:val="lining"/>
          <w14:numSpacing w14:val="proportional"/>
        </w:rPr>
        <w:t>,</w:t>
      </w:r>
      <w:r w:rsidRPr="0013410D">
        <w:rPr>
          <w14:numForm w14:val="lining"/>
          <w14:numSpacing w14:val="proportional"/>
        </w:rPr>
        <w:t xml:space="preserve"> resulting in higher regional growth in employment and across industries through to 2050. </w:t>
      </w:r>
    </w:p>
    <w:p w14:paraId="100C7EAE" w14:textId="047F2850" w:rsidR="00CD2B22" w:rsidRDefault="00CD2B22" w:rsidP="0013410D">
      <w:pPr>
        <w:spacing w:after="120" w:line="276" w:lineRule="auto"/>
        <w:rPr>
          <w:b/>
          <w:bCs/>
        </w:rPr>
      </w:pPr>
      <w:r w:rsidRPr="0013410D">
        <w:rPr>
          <w:rFonts w:eastAsia="Arial" w:cs="Arial"/>
          <w14:numForm w14:val="lining"/>
          <w14:numSpacing w14:val="proportional"/>
        </w:rPr>
        <w:t>In the decade following meeting Australia’s</w:t>
      </w:r>
      <w:r w:rsidR="00B16C6A" w:rsidRPr="0013410D">
        <w:rPr>
          <w:rFonts w:eastAsia="Arial" w:cs="Arial"/>
          <w14:numForm w14:val="lining"/>
          <w14:numSpacing w14:val="proportional"/>
        </w:rPr>
        <w:t xml:space="preserve"> interim</w:t>
      </w:r>
      <w:r w:rsidR="00DC251E" w:rsidRPr="0013410D">
        <w:rPr>
          <w:rFonts w:eastAsia="Arial" w:cs="Arial"/>
          <w14:numForm w14:val="lining"/>
          <w14:numSpacing w14:val="proportional"/>
        </w:rPr>
        <w:t xml:space="preserve"> </w:t>
      </w:r>
      <w:r w:rsidRPr="0013410D">
        <w:rPr>
          <w:rFonts w:eastAsia="Arial" w:cs="Arial"/>
          <w14:numForm w14:val="lining"/>
          <w14:numSpacing w14:val="proportional"/>
        </w:rPr>
        <w:t>targets, Australia starts to see higher growth rates in industrie</w:t>
      </w:r>
      <w:r w:rsidR="00FF520A" w:rsidRPr="0013410D">
        <w:rPr>
          <w:rFonts w:eastAsia="Arial" w:cs="Arial"/>
          <w14:numForm w14:val="lining"/>
          <w14:numSpacing w14:val="proportional"/>
        </w:rPr>
        <w:t>s</w:t>
      </w:r>
      <w:r w:rsidR="00B16C6A" w:rsidRPr="0013410D">
        <w:rPr>
          <w:rFonts w:eastAsia="Arial" w:cs="Arial"/>
          <w14:numForm w14:val="lining"/>
          <w14:numSpacing w14:val="proportional"/>
        </w:rPr>
        <w:t>,</w:t>
      </w:r>
      <w:r w:rsidRPr="0013410D">
        <w:rPr>
          <w:rFonts w:eastAsia="Arial" w:cs="Arial"/>
          <w14:numForm w14:val="lining"/>
          <w14:numSpacing w14:val="proportional"/>
        </w:rPr>
        <w:t xml:space="preserve"> such as manufacturing, construction and agriculture, and continued growth in the clean energy sectors compared to the </w:t>
      </w:r>
      <w:r w:rsidR="00600606">
        <w:rPr>
          <w:rFonts w:eastAsia="Arial" w:cs="Arial"/>
          <w14:numForm w14:val="lining"/>
          <w14:numSpacing w14:val="proportional"/>
        </w:rPr>
        <w:t>low</w:t>
      </w:r>
      <w:r w:rsidRPr="0013410D">
        <w:rPr>
          <w:rFonts w:eastAsia="Arial" w:cs="Arial"/>
          <w14:numForm w14:val="lining"/>
          <w14:numSpacing w14:val="proportional"/>
        </w:rPr>
        <w:t xml:space="preserve"> </w:t>
      </w:r>
      <w:r w:rsidR="00B81557" w:rsidRPr="0013410D">
        <w:rPr>
          <w:rFonts w:eastAsia="Arial" w:cs="Arial"/>
          <w14:numForm w14:val="lining"/>
          <w14:numSpacing w14:val="proportional"/>
        </w:rPr>
        <w:t>scenario.</w:t>
      </w:r>
      <w:r w:rsidR="00B81557">
        <w:rPr>
          <w14:numForm w14:val="lining"/>
          <w14:numSpacing w14:val="proportional"/>
        </w:rPr>
        <w:t xml:space="preserve"> The</w:t>
      </w:r>
      <w:r w:rsidR="00E72107">
        <w:rPr>
          <w14:numForm w14:val="lining"/>
          <w14:numSpacing w14:val="proportional"/>
        </w:rPr>
        <w:t xml:space="preserve"> preliminary m</w:t>
      </w:r>
      <w:r w:rsidR="0039193F">
        <w:rPr>
          <w14:numForm w14:val="lining"/>
          <w14:numSpacing w14:val="proportional"/>
        </w:rPr>
        <w:t>o</w:t>
      </w:r>
      <w:r w:rsidR="00E72107">
        <w:rPr>
          <w14:numForm w14:val="lining"/>
          <w14:numSpacing w14:val="proportional"/>
        </w:rPr>
        <w:t>delling</w:t>
      </w:r>
      <w:r w:rsidR="000C34BE">
        <w:rPr>
          <w14:numForm w14:val="lining"/>
          <w14:numSpacing w14:val="proportional"/>
        </w:rPr>
        <w:t xml:space="preserve"> </w:t>
      </w:r>
      <w:r w:rsidR="007B145E">
        <w:rPr>
          <w14:numForm w14:val="lining"/>
          <w14:numSpacing w14:val="proportional"/>
        </w:rPr>
        <w:t xml:space="preserve">suggests </w:t>
      </w:r>
      <w:r w:rsidR="00E72107">
        <w:rPr>
          <w14:numForm w14:val="lining"/>
          <w14:numSpacing w14:val="proportional"/>
        </w:rPr>
        <w:t>the c</w:t>
      </w:r>
      <w:r w:rsidRPr="0013410D">
        <w:rPr>
          <w14:numForm w14:val="lining"/>
          <w14:numSpacing w14:val="proportional"/>
        </w:rPr>
        <w:t xml:space="preserve">entral scenario is likely to result in 1.2 million more workers in the economy in 2050 compared to </w:t>
      </w:r>
      <w:r w:rsidR="00E72107">
        <w:rPr>
          <w14:numForm w14:val="lining"/>
          <w14:numSpacing w14:val="proportional"/>
        </w:rPr>
        <w:t>low scenario</w:t>
      </w:r>
      <w:r w:rsidRPr="0013410D">
        <w:rPr>
          <w14:numForm w14:val="lining"/>
          <w14:numSpacing w14:val="proportional"/>
        </w:rPr>
        <w:t xml:space="preserve"> through increased labour force participation. There is also a relatively higher paid workforce and the</w:t>
      </w:r>
      <w:r w:rsidR="00FF520A" w:rsidRPr="0013410D">
        <w:rPr>
          <w14:numForm w14:val="lining"/>
          <w14:numSpacing w14:val="proportional"/>
        </w:rPr>
        <w:t xml:space="preserve"> </w:t>
      </w:r>
      <w:r w:rsidRPr="0013410D">
        <w:rPr>
          <w14:numForm w14:val="lining"/>
          <w14:numSpacing w14:val="proportional"/>
        </w:rPr>
        <w:t>creation of higher skilled jobs</w:t>
      </w:r>
      <w:r w:rsidR="009D2C4B" w:rsidRPr="0013410D">
        <w:rPr>
          <w14:numForm w14:val="lining"/>
          <w14:numSpacing w14:val="proportional"/>
        </w:rPr>
        <w:t xml:space="preserve"> </w:t>
      </w:r>
      <w:r w:rsidR="00B16C6A" w:rsidRPr="0013410D">
        <w:rPr>
          <w14:numForm w14:val="lining"/>
          <w14:numSpacing w14:val="proportional"/>
        </w:rPr>
        <w:t xml:space="preserve">in this scenario </w:t>
      </w:r>
      <w:r w:rsidRPr="0013410D">
        <w:rPr>
          <w14:numForm w14:val="lining"/>
          <w14:numSpacing w14:val="proportional"/>
        </w:rPr>
        <w:t xml:space="preserve">compared to the </w:t>
      </w:r>
      <w:r w:rsidR="00D62297">
        <w:rPr>
          <w14:numForm w14:val="lining"/>
          <w14:numSpacing w14:val="proportional"/>
        </w:rPr>
        <w:t>low</w:t>
      </w:r>
      <w:r w:rsidRPr="0013410D">
        <w:rPr>
          <w14:numForm w14:val="lining"/>
          <w14:numSpacing w14:val="proportional"/>
        </w:rPr>
        <w:t xml:space="preserve"> scenario</w:t>
      </w:r>
      <w:r>
        <w:t>.</w:t>
      </w:r>
      <w:r w:rsidRPr="1A39E49C">
        <w:rPr>
          <w:b/>
          <w:bCs/>
        </w:rPr>
        <w:t xml:space="preserve"> </w:t>
      </w:r>
    </w:p>
    <w:p w14:paraId="6E2B56FC" w14:textId="48A8290E" w:rsidR="00CD2B22" w:rsidRPr="00C840DE" w:rsidRDefault="00CD2B22" w:rsidP="00664318">
      <w:pPr>
        <w:keepNext/>
        <w:pBdr>
          <w:top w:val="single" w:sz="4" w:space="5" w:color="BFBFBF" w:themeColor="background1" w:themeShade="BF"/>
        </w:pBdr>
        <w:spacing w:before="100" w:beforeAutospacing="1" w:after="120"/>
        <w:rPr>
          <w:b/>
          <w:bCs/>
          <w:color w:val="auto"/>
        </w:rPr>
      </w:pPr>
      <w:r w:rsidRPr="3342DEBC">
        <w:rPr>
          <w:b/>
          <w:bCs/>
        </w:rPr>
        <w:t>Figure 5.1</w:t>
      </w:r>
      <w:r w:rsidR="00664318">
        <w:rPr>
          <w:b/>
          <w:bCs/>
        </w:rPr>
        <w:t>.</w:t>
      </w:r>
      <w:r w:rsidRPr="3342DEBC">
        <w:rPr>
          <w:b/>
          <w:bCs/>
        </w:rPr>
        <w:t xml:space="preserve"> </w:t>
      </w:r>
      <w:r>
        <w:rPr>
          <w:b/>
          <w:bCs/>
        </w:rPr>
        <w:t>Central scenario</w:t>
      </w:r>
    </w:p>
    <w:tbl>
      <w:tblPr>
        <w:tblW w:w="5081" w:type="pct"/>
        <w:tblCellMar>
          <w:left w:w="0" w:type="dxa"/>
          <w:right w:w="0" w:type="dxa"/>
        </w:tblCellMar>
        <w:tblLook w:val="04A0" w:firstRow="1" w:lastRow="0" w:firstColumn="1" w:lastColumn="0" w:noHBand="0" w:noVBand="1"/>
      </w:tblPr>
      <w:tblGrid>
        <w:gridCol w:w="1499"/>
        <w:gridCol w:w="1644"/>
        <w:gridCol w:w="1713"/>
        <w:gridCol w:w="1499"/>
        <w:gridCol w:w="2797"/>
      </w:tblGrid>
      <w:tr w:rsidR="00CD2B22" w14:paraId="0466487C" w14:textId="77777777" w:rsidTr="1A39E49C">
        <w:trPr>
          <w:trHeight w:val="439"/>
          <w:tblHeader/>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0FB4FA42" w14:textId="77777777" w:rsidR="00CD2B22" w:rsidRPr="00D87F5E" w:rsidRDefault="00CD2B22">
            <w:pPr>
              <w:rPr>
                <w:rFonts w:asciiTheme="majorHAnsi" w:hAnsiTheme="majorHAnsi" w:cstheme="majorHAnsi"/>
                <w:iCs/>
                <w:color w:val="auto"/>
                <w:sz w:val="18"/>
                <w:szCs w:val="18"/>
                <w:lang w:val="en-GB"/>
              </w:rPr>
            </w:pPr>
            <w:r w:rsidRPr="00D87F5E">
              <w:rPr>
                <w:rFonts w:asciiTheme="majorHAnsi" w:hAnsiTheme="majorHAnsi" w:cstheme="majorHAnsi"/>
                <w:b/>
                <w:bCs/>
                <w:iCs/>
                <w:sz w:val="18"/>
                <w:szCs w:val="18"/>
                <w:lang w:val="en-GB"/>
              </w:rPr>
              <w:t>Scenario </w:t>
            </w:r>
            <w:r w:rsidRPr="00D87F5E">
              <w:rPr>
                <w:rFonts w:asciiTheme="majorHAnsi" w:hAnsiTheme="majorHAnsi" w:cstheme="majorHAnsi"/>
                <w:b/>
                <w:bCs/>
                <w:iCs/>
                <w:sz w:val="18"/>
                <w:szCs w:val="18"/>
                <w:lang w:val="en-US"/>
              </w:rPr>
              <w:t>​</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2CF1816E"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Scenario alignment</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47FF2F6E"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 xml:space="preserve">Emissions reduction </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23CB59F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Renewable energy mix</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4B472BC0" w14:textId="1E3B6EA6" w:rsidR="00CD2B22" w:rsidRPr="00D87F5E" w:rsidRDefault="00FF520A" w:rsidP="1A39E49C">
            <w:pPr>
              <w:rPr>
                <w:rFonts w:asciiTheme="majorHAnsi" w:hAnsiTheme="majorHAnsi" w:cstheme="majorHAnsi"/>
                <w:sz w:val="18"/>
                <w:szCs w:val="18"/>
                <w:lang w:val="en-GB"/>
              </w:rPr>
            </w:pPr>
            <w:r w:rsidRPr="00D87F5E">
              <w:rPr>
                <w:rFonts w:asciiTheme="majorHAnsi" w:hAnsiTheme="majorHAnsi" w:cstheme="majorHAnsi"/>
                <w:b/>
                <w:bCs/>
                <w:sz w:val="18"/>
                <w:szCs w:val="18"/>
                <w:lang w:val="en-GB"/>
              </w:rPr>
              <w:t>Key policy differences</w:t>
            </w:r>
          </w:p>
        </w:tc>
      </w:tr>
      <w:tr w:rsidR="00CD2B22" w14:paraId="5480FBF2" w14:textId="77777777" w:rsidTr="00D54F34">
        <w:trPr>
          <w:trHeight w:val="150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2DE5A" w:themeFill="background2"/>
            <w:tcMar>
              <w:top w:w="72" w:type="dxa"/>
              <w:left w:w="144" w:type="dxa"/>
              <w:bottom w:w="72" w:type="dxa"/>
              <w:right w:w="144" w:type="dxa"/>
            </w:tcMar>
            <w:vAlign w:val="center"/>
            <w:hideMark/>
          </w:tcPr>
          <w:p w14:paraId="4848C600" w14:textId="064FC9CD" w:rsidR="00CD2B22" w:rsidRPr="00C507D5" w:rsidRDefault="00CD2B22" w:rsidP="00C507D5">
            <w:pPr>
              <w:rPr>
                <w:rFonts w:asciiTheme="majorHAnsi" w:hAnsiTheme="majorHAnsi" w:cstheme="majorHAnsi"/>
                <w:lang w:val="en-GB"/>
              </w:rPr>
            </w:pPr>
            <w:r w:rsidRPr="00D87F5E">
              <w:rPr>
                <w:rFonts w:asciiTheme="majorHAnsi" w:hAnsiTheme="majorHAnsi" w:cstheme="majorHAnsi"/>
                <w:b/>
                <w:bCs/>
                <w:lang w:val="en-GB"/>
              </w:rPr>
              <w:t xml:space="preserve"> Central</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2AE0C751" w14:textId="77777777" w:rsidR="00CD2B22" w:rsidRPr="00D87F5E" w:rsidRDefault="00CD2B22">
            <w:pPr>
              <w:rPr>
                <w:rFonts w:asciiTheme="majorHAnsi" w:hAnsiTheme="majorHAnsi" w:cstheme="majorHAnsi"/>
                <w:sz w:val="18"/>
                <w:szCs w:val="18"/>
                <w:lang w:val="en-GB"/>
              </w:rPr>
            </w:pPr>
            <w:r w:rsidRPr="00D87F5E">
              <w:rPr>
                <w:rFonts w:asciiTheme="majorHAnsi" w:hAnsiTheme="majorHAnsi" w:cstheme="majorHAnsi"/>
                <w:b/>
                <w:bCs/>
                <w:sz w:val="18"/>
                <w:szCs w:val="18"/>
                <w:lang w:val="en-GB"/>
              </w:rPr>
              <w:t>Full implementation of global target commitments</w:t>
            </w:r>
          </w:p>
          <w:p w14:paraId="0C4B35B0" w14:textId="77777777" w:rsidR="00CD2B22" w:rsidRPr="00D87F5E" w:rsidRDefault="00CD2B22">
            <w:pPr>
              <w:rPr>
                <w:rFonts w:asciiTheme="majorHAnsi" w:hAnsiTheme="majorHAnsi" w:cstheme="majorHAnsi"/>
                <w:sz w:val="18"/>
                <w:szCs w:val="18"/>
                <w:lang w:val="en-GB"/>
              </w:rPr>
            </w:pPr>
            <w:r w:rsidRPr="00D87F5E">
              <w:rPr>
                <w:rFonts w:asciiTheme="majorHAnsi" w:hAnsiTheme="majorHAnsi" w:cstheme="majorHAnsi"/>
                <w:sz w:val="18"/>
                <w:szCs w:val="18"/>
                <w:lang w:val="en-GB"/>
              </w:rPr>
              <w:t>SSP1-2.6, 1.7°C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3C574A73" w14:textId="77777777" w:rsidR="00CD2B22" w:rsidRPr="0013410D" w:rsidRDefault="00CD2B22" w:rsidP="00D87F5E">
            <w:pPr>
              <w:spacing w:after="240" w:line="276" w:lineRule="auto"/>
              <w:rPr>
                <w:rFonts w:asciiTheme="majorHAnsi" w:hAnsiTheme="majorHAnsi" w:cstheme="majorHAnsi"/>
                <w:sz w:val="18"/>
                <w:szCs w:val="18"/>
                <w:lang w:val="en-GB"/>
              </w:rPr>
            </w:pPr>
            <w:r w:rsidRPr="0013410D">
              <w:rPr>
                <w:rFonts w:asciiTheme="majorHAnsi" w:hAnsiTheme="majorHAnsi" w:cstheme="majorHAnsi"/>
                <w:sz w:val="18"/>
                <w:szCs w:val="18"/>
                <w:lang w:val="en-GB"/>
              </w:rPr>
              <w:t>43% emissions reduction below 2005 levels by 2030</w:t>
            </w:r>
          </w:p>
          <w:p w14:paraId="7BCFE960" w14:textId="77777777" w:rsidR="00CD2B22" w:rsidRPr="0013410D" w:rsidRDefault="00CD2B22" w:rsidP="00D87F5E">
            <w:pPr>
              <w:spacing w:after="240" w:line="276" w:lineRule="auto"/>
              <w:rPr>
                <w:rFonts w:asciiTheme="majorHAnsi" w:hAnsiTheme="majorHAnsi" w:cstheme="majorHAnsi"/>
                <w:sz w:val="18"/>
                <w:szCs w:val="18"/>
                <w:lang w:val="en-GB"/>
              </w:rPr>
            </w:pPr>
            <w:r w:rsidRPr="0013410D">
              <w:rPr>
                <w:rFonts w:asciiTheme="majorHAnsi" w:hAnsiTheme="majorHAnsi"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23912A4" w14:textId="14102164" w:rsidR="00CD2B22" w:rsidRPr="0013410D" w:rsidRDefault="00CD2B22">
            <w:pPr>
              <w:rPr>
                <w:rFonts w:asciiTheme="majorHAnsi" w:hAnsiTheme="majorHAnsi" w:cstheme="majorHAnsi"/>
                <w:sz w:val="18"/>
                <w:szCs w:val="18"/>
                <w:lang w:val="en-GB"/>
              </w:rPr>
            </w:pPr>
            <w:r w:rsidRPr="0013410D">
              <w:rPr>
                <w:rFonts w:asciiTheme="majorHAnsi" w:hAnsiTheme="majorHAnsi" w:cstheme="majorHAnsi"/>
                <w:sz w:val="18"/>
                <w:szCs w:val="18"/>
                <w:lang w:val="en-GB"/>
              </w:rPr>
              <w:t>82% clean energy in the NEM by 2030</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28D06B5" w14:textId="77777777" w:rsidR="00CD2B22" w:rsidRPr="00D87F5E" w:rsidRDefault="00CD2B22" w:rsidP="00F25595">
            <w:pPr>
              <w:numPr>
                <w:ilvl w:val="0"/>
                <w:numId w:val="76"/>
              </w:numPr>
              <w:spacing w:after="120" w:line="240" w:lineRule="auto"/>
              <w:ind w:left="113" w:hanging="113"/>
              <w:rPr>
                <w:rFonts w:asciiTheme="majorHAnsi" w:hAnsiTheme="majorHAnsi" w:cstheme="majorHAnsi"/>
                <w:sz w:val="18"/>
                <w:szCs w:val="18"/>
                <w:lang w:val="en-GB"/>
              </w:rPr>
            </w:pPr>
            <w:r w:rsidRPr="00D87F5E">
              <w:rPr>
                <w:rFonts w:asciiTheme="majorHAnsi" w:hAnsiTheme="majorHAnsi" w:cstheme="majorHAnsi"/>
                <w:sz w:val="18"/>
                <w:szCs w:val="18"/>
                <w:lang w:val="en-GB"/>
              </w:rPr>
              <w:t>AEMO: Orchestrated Step Change, ISP2023</w:t>
            </w:r>
          </w:p>
          <w:p w14:paraId="4746FB3C" w14:textId="77777777" w:rsidR="00CD2B22" w:rsidRPr="00D87F5E" w:rsidRDefault="00CD2B22" w:rsidP="00F25595">
            <w:pPr>
              <w:numPr>
                <w:ilvl w:val="0"/>
                <w:numId w:val="76"/>
              </w:numPr>
              <w:spacing w:after="120" w:line="240" w:lineRule="auto"/>
              <w:ind w:left="113" w:hanging="113"/>
              <w:rPr>
                <w:rFonts w:asciiTheme="majorHAnsi" w:hAnsiTheme="majorHAnsi" w:cstheme="majorHAnsi"/>
                <w:sz w:val="18"/>
                <w:szCs w:val="18"/>
                <w:lang w:val="en-GB"/>
              </w:rPr>
            </w:pPr>
            <w:r w:rsidRPr="00D87F5E">
              <w:rPr>
                <w:rFonts w:asciiTheme="majorHAnsi" w:hAnsiTheme="majorHAnsi" w:cstheme="majorHAnsi"/>
                <w:sz w:val="18"/>
                <w:szCs w:val="18"/>
                <w:lang w:val="en-GB"/>
              </w:rPr>
              <w:t>Rewiring the Nation: full and coordinated implementation to 2030</w:t>
            </w:r>
          </w:p>
          <w:p w14:paraId="09211075" w14:textId="77777777" w:rsidR="00CD2B22" w:rsidRPr="00D87F5E" w:rsidRDefault="00CD2B22" w:rsidP="00F25595">
            <w:pPr>
              <w:numPr>
                <w:ilvl w:val="0"/>
                <w:numId w:val="76"/>
              </w:numPr>
              <w:spacing w:after="120" w:line="240" w:lineRule="auto"/>
              <w:ind w:left="113" w:hanging="113"/>
              <w:rPr>
                <w:rFonts w:asciiTheme="majorHAnsi" w:hAnsiTheme="majorHAnsi" w:cstheme="majorHAnsi"/>
                <w:sz w:val="18"/>
                <w:szCs w:val="18"/>
                <w:lang w:val="en-GB"/>
              </w:rPr>
            </w:pPr>
            <w:r w:rsidRPr="00D87F5E">
              <w:rPr>
                <w:rFonts w:asciiTheme="majorHAnsi" w:hAnsiTheme="majorHAnsi" w:cstheme="majorHAnsi"/>
                <w:sz w:val="18"/>
                <w:szCs w:val="18"/>
                <w:lang w:val="en-GB"/>
              </w:rPr>
              <w:t>Global climate alignment: SSP1-2.6, 1.7°C by 2050, full implementation of global target commitments</w:t>
            </w:r>
          </w:p>
        </w:tc>
      </w:tr>
    </w:tbl>
    <w:p w14:paraId="35891853" w14:textId="77777777" w:rsidR="00D87F5E" w:rsidRDefault="00D87F5E">
      <w:pPr>
        <w:rPr>
          <w:rFonts w:cs="Arial"/>
          <w:b/>
          <w:bCs/>
          <w:color w:val="0C6DAD" w:themeColor="accent3" w:themeShade="BF"/>
          <w:sz w:val="28"/>
        </w:rPr>
      </w:pPr>
      <w:bookmarkStart w:id="57" w:name="_Hlk145767797"/>
      <w:r>
        <w:rPr>
          <w:color w:val="0C6DAD" w:themeColor="accent3" w:themeShade="BF"/>
        </w:rPr>
        <w:br w:type="page"/>
      </w:r>
    </w:p>
    <w:p w14:paraId="1D67BF59" w14:textId="7961BC7E" w:rsidR="00CD2B22" w:rsidRPr="003F04CC" w:rsidRDefault="00CD2B22" w:rsidP="003F04CC">
      <w:pPr>
        <w:spacing w:after="120" w:line="276" w:lineRule="auto"/>
      </w:pPr>
      <w:r w:rsidRPr="003F04CC">
        <w:rPr>
          <w:b/>
          <w:bCs/>
        </w:rPr>
        <w:t>A slower implementation of a clean energy market likely means a harder structural adjustment</w:t>
      </w:r>
    </w:p>
    <w:p w14:paraId="6A6BCD55" w14:textId="7506024F" w:rsidR="00CD2B22" w:rsidRPr="0013410D" w:rsidRDefault="00CD2B22" w:rsidP="0013410D">
      <w:pPr>
        <w:spacing w:after="120" w:line="276" w:lineRule="auto"/>
        <w:rPr>
          <w14:numForm w14:val="lining"/>
          <w14:numSpacing w14:val="proportional"/>
        </w:rPr>
      </w:pPr>
      <w:bookmarkStart w:id="58" w:name="_Hlk146703278"/>
      <w:r w:rsidRPr="0013410D">
        <w:rPr>
          <w14:numForm w14:val="lining"/>
          <w14:numSpacing w14:val="proportional"/>
        </w:rPr>
        <w:t xml:space="preserve">The </w:t>
      </w:r>
      <w:r w:rsidR="00D62297">
        <w:rPr>
          <w14:numForm w14:val="lining"/>
          <w14:numSpacing w14:val="proportional"/>
        </w:rPr>
        <w:t>low</w:t>
      </w:r>
      <w:r w:rsidRPr="0013410D">
        <w:rPr>
          <w14:numForm w14:val="lining"/>
          <w14:numSpacing w14:val="proportional"/>
        </w:rPr>
        <w:t xml:space="preserve"> scenario provides a contrast to existing Government policy commitments. In this scenario, by 2030 Australia has not met current Government policy to </w:t>
      </w:r>
      <w:r w:rsidR="000E7EBE" w:rsidRPr="0013410D">
        <w:rPr>
          <w14:numForm w14:val="lining"/>
          <w14:numSpacing w14:val="proportional"/>
        </w:rPr>
        <w:t xml:space="preserve">achieve 82% renewables in the NEM or implemented </w:t>
      </w:r>
      <w:r w:rsidRPr="0013410D">
        <w:rPr>
          <w14:numForm w14:val="lining"/>
          <w14:numSpacing w14:val="proportional"/>
        </w:rPr>
        <w:t xml:space="preserve">Rewiring the Nation. The 43% interim emissions reduction target is still met by broader declines in emissions, but this is achieved through industry determining its own abatement cost. </w:t>
      </w:r>
      <w:bookmarkEnd w:id="58"/>
      <w:r w:rsidRPr="0013410D">
        <w:rPr>
          <w14:numForm w14:val="lining"/>
          <w14:numSpacing w14:val="proportional"/>
        </w:rPr>
        <w:t xml:space="preserve">This is assumed to occur at a higher economic transition cost due to the reduced role of renewable energy. There is some regional and industry growth in employment to 2030, as some effort is made to transform the NEM. </w:t>
      </w:r>
    </w:p>
    <w:p w14:paraId="44B123A6" w14:textId="0DDF966D" w:rsidR="00CD2B22" w:rsidRPr="0013410D" w:rsidRDefault="00CD2B22" w:rsidP="0013410D">
      <w:pPr>
        <w:spacing w:after="120" w:line="276" w:lineRule="auto"/>
        <w:rPr>
          <w:rFonts w:eastAsia="Arial" w:cs="Arial"/>
          <w14:numForm w14:val="lining"/>
          <w14:numSpacing w14:val="proportional"/>
        </w:rPr>
      </w:pPr>
      <w:r w:rsidRPr="0013410D">
        <w:rPr>
          <w14:numForm w14:val="lining"/>
          <w14:numSpacing w14:val="proportional"/>
        </w:rPr>
        <w:t xml:space="preserve">However, with </w:t>
      </w:r>
      <w:r w:rsidR="008B60E2">
        <w:rPr>
          <w14:numForm w14:val="lining"/>
          <w14:numSpacing w14:val="proportional"/>
        </w:rPr>
        <w:t>an assumption of</w:t>
      </w:r>
      <w:r w:rsidRPr="0013410D">
        <w:rPr>
          <w14:numForm w14:val="lining"/>
          <w14:numSpacing w14:val="proportional"/>
        </w:rPr>
        <w:t xml:space="preserve"> only 69% share of clean energy achieved in the NEM by 2030, </w:t>
      </w:r>
      <w:r w:rsidR="00F5593B">
        <w:rPr>
          <w14:numForm w14:val="lining"/>
          <w14:numSpacing w14:val="proportional"/>
        </w:rPr>
        <w:t xml:space="preserve">preliminary modelling suggests </w:t>
      </w:r>
      <w:r w:rsidRPr="0013410D">
        <w:rPr>
          <w14:numForm w14:val="lining"/>
          <w14:numSpacing w14:val="proportional"/>
        </w:rPr>
        <w:t xml:space="preserve">growth in employment slows over the following decades to 2050, with some regions </w:t>
      </w:r>
      <w:r w:rsidR="00F00ADE">
        <w:rPr>
          <w14:numForm w14:val="lining"/>
          <w14:numSpacing w14:val="proportional"/>
        </w:rPr>
        <w:t xml:space="preserve">likely </w:t>
      </w:r>
      <w:r w:rsidRPr="0013410D">
        <w:rPr>
          <w14:numForm w14:val="lining"/>
          <w14:numSpacing w14:val="proportional"/>
        </w:rPr>
        <w:t>experiencing declines in employment due to higher transition costs. It is a ‘harder’ structural adjustment. F</w:t>
      </w:r>
      <w:r w:rsidRPr="0013410D">
        <w:rPr>
          <w:rFonts w:eastAsia="Arial" w:cs="Arial"/>
          <w14:numForm w14:val="lining"/>
          <w14:numSpacing w14:val="proportional"/>
        </w:rPr>
        <w:t>rom 2040 to 2050, Australia’s cost of transition remains relatively high resulting in much slower employment and industry growth.</w:t>
      </w:r>
    </w:p>
    <w:p w14:paraId="2383D2E9" w14:textId="0293890A" w:rsidR="00CD2B22" w:rsidRPr="0013410D" w:rsidRDefault="00CD2B22" w:rsidP="0013410D">
      <w:pPr>
        <w:spacing w:after="120" w:line="276" w:lineRule="auto"/>
        <w:rPr>
          <w14:numForm w14:val="lining"/>
          <w14:numSpacing w14:val="proportional"/>
        </w:rPr>
      </w:pPr>
      <w:r w:rsidRPr="0013410D">
        <w:rPr>
          <w14:numForm w14:val="lining"/>
          <w14:numSpacing w14:val="proportional"/>
        </w:rPr>
        <w:t xml:space="preserve">By 2050, the scenario assumes that emissions intensive activity declines and is not replaced. As global demand for low emissions goods and services ramps up post 2030, Australia is not able to meet this demand </w:t>
      </w:r>
      <w:r w:rsidR="00D05BA9">
        <w:rPr>
          <w14:numForm w14:val="lining"/>
          <w14:numSpacing w14:val="proportional"/>
        </w:rPr>
        <w:t>leading to</w:t>
      </w:r>
      <w:r w:rsidRPr="0013410D">
        <w:rPr>
          <w14:numForm w14:val="lining"/>
          <w14:numSpacing w14:val="proportional"/>
        </w:rPr>
        <w:t xml:space="preserve"> declines in employment outcomes</w:t>
      </w:r>
      <w:r w:rsidR="00D05BA9">
        <w:rPr>
          <w14:numForm w14:val="lining"/>
          <w14:numSpacing w14:val="proportional"/>
        </w:rPr>
        <w:t xml:space="preserve"> for some sectors</w:t>
      </w:r>
      <w:r w:rsidRPr="0013410D">
        <w:rPr>
          <w14:numForm w14:val="lining"/>
          <w14:numSpacing w14:val="proportional"/>
        </w:rPr>
        <w:t>.</w:t>
      </w:r>
    </w:p>
    <w:p w14:paraId="133EE7D3" w14:textId="2E007B1E" w:rsidR="00CD2B22" w:rsidRPr="003F04CC" w:rsidRDefault="00CD2B22" w:rsidP="003F04CC">
      <w:pPr>
        <w:spacing w:after="120" w:line="276" w:lineRule="auto"/>
      </w:pPr>
      <w:r w:rsidRPr="003F04CC">
        <w:rPr>
          <w:b/>
          <w:bCs/>
        </w:rPr>
        <w:t xml:space="preserve">Becoming a clean energy superpower </w:t>
      </w:r>
      <w:r w:rsidR="00CE2330" w:rsidRPr="003F04CC">
        <w:rPr>
          <w:b/>
          <w:bCs/>
        </w:rPr>
        <w:t>increases</w:t>
      </w:r>
      <w:r w:rsidRPr="003F04CC">
        <w:rPr>
          <w:b/>
          <w:bCs/>
        </w:rPr>
        <w:t xml:space="preserve"> the </w:t>
      </w:r>
      <w:r w:rsidR="00CE2330" w:rsidRPr="003F04CC">
        <w:rPr>
          <w:b/>
          <w:bCs/>
        </w:rPr>
        <w:t>benefits</w:t>
      </w:r>
      <w:r w:rsidRPr="003F04CC">
        <w:rPr>
          <w:b/>
          <w:bCs/>
        </w:rPr>
        <w:t xml:space="preserve"> of transition by 2050, but requires significant effort</w:t>
      </w:r>
    </w:p>
    <w:p w14:paraId="0C54FD5F" w14:textId="5EB9B1F2" w:rsidR="00CD2B22" w:rsidRPr="00C7784A" w:rsidRDefault="00CD2B22" w:rsidP="00C7784A">
      <w:pPr>
        <w:spacing w:after="120" w:line="276" w:lineRule="auto"/>
        <w:rPr>
          <w:b/>
          <w:bCs/>
          <w14:numForm w14:val="lining"/>
          <w14:numSpacing w14:val="proportional"/>
        </w:rPr>
      </w:pPr>
      <w:r w:rsidRPr="00C7784A">
        <w:rPr>
          <w14:numForm w14:val="lining"/>
          <w14:numSpacing w14:val="proportional"/>
        </w:rPr>
        <w:t xml:space="preserve">The third scenario imagines a situation where investment in Australia’s natural endowments are </w:t>
      </w:r>
      <w:r w:rsidR="00D87F5E" w:rsidRPr="00C7784A">
        <w:rPr>
          <w14:numForm w14:val="lining"/>
          <w14:numSpacing w14:val="proportional"/>
        </w:rPr>
        <w:t>supercharged,</w:t>
      </w:r>
      <w:r w:rsidRPr="00C7784A">
        <w:rPr>
          <w14:numForm w14:val="lining"/>
          <w14:numSpacing w14:val="proportional"/>
        </w:rPr>
        <w:t xml:space="preserve"> and Australia becomes a</w:t>
      </w:r>
      <w:r w:rsidR="00B16C6A" w:rsidRPr="00C7784A">
        <w:rPr>
          <w14:numForm w14:val="lining"/>
          <w14:numSpacing w14:val="proportional"/>
        </w:rPr>
        <w:t xml:space="preserve"> significant</w:t>
      </w:r>
      <w:r w:rsidR="00545435" w:rsidRPr="00C7784A">
        <w:rPr>
          <w14:numForm w14:val="lining"/>
          <w14:numSpacing w14:val="proportional"/>
        </w:rPr>
        <w:t xml:space="preserve"> </w:t>
      </w:r>
      <w:r w:rsidRPr="00C7784A">
        <w:rPr>
          <w14:numForm w14:val="lining"/>
          <w14:numSpacing w14:val="proportional"/>
        </w:rPr>
        <w:t xml:space="preserve">clean energy exporter. The </w:t>
      </w:r>
      <w:r w:rsidR="002B6B04">
        <w:rPr>
          <w14:numForm w14:val="lining"/>
          <w14:numSpacing w14:val="proportional"/>
        </w:rPr>
        <w:t>high</w:t>
      </w:r>
      <w:r w:rsidRPr="00C7784A">
        <w:rPr>
          <w14:numForm w14:val="lining"/>
          <w14:numSpacing w14:val="proportional"/>
        </w:rPr>
        <w:t xml:space="preserve"> scenario assumes targeted investment in Australia’s competitive advantages and strong global action to transition to a low-emission industrial economy. From the 2030’s this leads to the deployment of new technologies to enable economy-wide emissions reduction. This occurs as the world steps up decarbonisation and limits global temperature rise to 1.5˚C by 2050. The scenario assumes that Australia invests in new and emerging technologies such as hydrogen; expands critical minerals mining and green manufacturing</w:t>
      </w:r>
      <w:r w:rsidR="004F4582" w:rsidRPr="00C7784A">
        <w:rPr>
          <w14:numForm w14:val="lining"/>
          <w14:numSpacing w14:val="proportional"/>
        </w:rPr>
        <w:t xml:space="preserve"> (especially green iron)</w:t>
      </w:r>
      <w:r w:rsidRPr="00C7784A">
        <w:rPr>
          <w14:numForm w14:val="lining"/>
          <w14:numSpacing w14:val="proportional"/>
        </w:rPr>
        <w:t xml:space="preserve">; and builds its competitive advantage in the export of low-emissions goods and services as global demand increases. In this scenario, there is a significant transformation in Australia’s processing and manufacturing capabilities, underpinned by a growing green hydrogen sector and significantly larger volumes of renewable energy. </w:t>
      </w:r>
    </w:p>
    <w:p w14:paraId="3388E594" w14:textId="32292E78" w:rsidR="00CD2B22" w:rsidRPr="00C7784A" w:rsidRDefault="00CD2B22" w:rsidP="00C7784A">
      <w:pPr>
        <w:spacing w:after="120" w:line="276" w:lineRule="auto"/>
        <w:rPr>
          <w14:numForm w14:val="lining"/>
          <w14:numSpacing w14:val="proportional"/>
        </w:rPr>
      </w:pPr>
      <w:r w:rsidRPr="00C7784A">
        <w:rPr>
          <w14:numForm w14:val="lining"/>
          <w14:numSpacing w14:val="proportional"/>
        </w:rPr>
        <w:t xml:space="preserve">The modelling of this scenario assumes that a substantial amount of investment (around three times the level under the </w:t>
      </w:r>
      <w:r w:rsidR="002B6B04">
        <w:rPr>
          <w14:numForm w14:val="lining"/>
          <w14:numSpacing w14:val="proportional"/>
        </w:rPr>
        <w:t>low</w:t>
      </w:r>
      <w:r w:rsidRPr="00C7784A">
        <w:rPr>
          <w14:numForm w14:val="lining"/>
          <w14:numSpacing w14:val="proportional"/>
        </w:rPr>
        <w:t xml:space="preserve"> scenario) is directed to clean energy. This accelerates and exceeds the 2030 targets (achieving almost over 90% renewable energy in the NEM by 2030), </w:t>
      </w:r>
      <w:r w:rsidR="00F64C80">
        <w:rPr>
          <w14:numForm w14:val="lining"/>
          <w14:numSpacing w14:val="proportional"/>
        </w:rPr>
        <w:t xml:space="preserve">with preliminary </w:t>
      </w:r>
      <w:r w:rsidRPr="00C7784A">
        <w:rPr>
          <w14:numForm w14:val="lining"/>
          <w14:numSpacing w14:val="proportional"/>
        </w:rPr>
        <w:t>result</w:t>
      </w:r>
      <w:r w:rsidR="00F64C80">
        <w:rPr>
          <w14:numForm w14:val="lining"/>
          <w14:numSpacing w14:val="proportional"/>
        </w:rPr>
        <w:t xml:space="preserve">s </w:t>
      </w:r>
      <w:r w:rsidRPr="00C7784A">
        <w:rPr>
          <w14:numForm w14:val="lining"/>
          <w14:numSpacing w14:val="proportional"/>
        </w:rPr>
        <w:t>in</w:t>
      </w:r>
      <w:r w:rsidR="00F64C80">
        <w:rPr>
          <w14:numForm w14:val="lining"/>
          <w14:numSpacing w14:val="proportional"/>
        </w:rPr>
        <w:t>dicating likely</w:t>
      </w:r>
      <w:r w:rsidRPr="00C7784A">
        <w:rPr>
          <w14:numForm w14:val="lining"/>
          <w14:numSpacing w14:val="proportional"/>
        </w:rPr>
        <w:t xml:space="preserve"> higher growth in employment in the next decade compared to the other scenarios. </w:t>
      </w:r>
    </w:p>
    <w:bookmarkEnd w:id="56"/>
    <w:bookmarkEnd w:id="57"/>
    <w:p w14:paraId="57327263" w14:textId="37F671F9" w:rsidR="00313B80" w:rsidRPr="00C7784A" w:rsidRDefault="00CD2B22" w:rsidP="00C7784A">
      <w:pPr>
        <w:spacing w:after="120" w:line="276" w:lineRule="auto"/>
        <w:rPr>
          <w14:numForm w14:val="lining"/>
          <w14:numSpacing w14:val="proportional"/>
        </w:rPr>
      </w:pPr>
      <w:r w:rsidRPr="00C7784A">
        <w:rPr>
          <w14:numForm w14:val="lining"/>
          <w14:numSpacing w14:val="proportional"/>
        </w:rPr>
        <w:t xml:space="preserve">On exceeding 2030 targets, the </w:t>
      </w:r>
      <w:r w:rsidR="002B6B04">
        <w:rPr>
          <w14:numForm w14:val="lining"/>
          <w14:numSpacing w14:val="proportional"/>
        </w:rPr>
        <w:t>high</w:t>
      </w:r>
      <w:r w:rsidRPr="00C7784A">
        <w:rPr>
          <w14:numForm w14:val="lining"/>
          <w14:numSpacing w14:val="proportional"/>
        </w:rPr>
        <w:t xml:space="preserve"> scenario assumes that Australia has signalled to global markets its role as a clean energy superpower in the global transition to net zero. Significant </w:t>
      </w:r>
      <w:r w:rsidR="00210170" w:rsidRPr="00C7784A">
        <w:rPr>
          <w14:numForm w14:val="lining"/>
          <w14:numSpacing w14:val="proportional"/>
        </w:rPr>
        <w:t>effort</w:t>
      </w:r>
      <w:r w:rsidRPr="00C7784A">
        <w:rPr>
          <w14:numForm w14:val="lining"/>
          <w14:numSpacing w14:val="proportional"/>
        </w:rPr>
        <w:t xml:space="preserve"> is required to build domestic industrial capabilities to meet increased foreign demand. </w:t>
      </w:r>
      <w:r w:rsidR="00D024FD" w:rsidRPr="00C7784A">
        <w:rPr>
          <w14:numForm w14:val="lining"/>
          <w14:numSpacing w14:val="proportional"/>
        </w:rPr>
        <w:t>Further</w:t>
      </w:r>
      <w:r w:rsidR="005A10C6" w:rsidRPr="00C7784A">
        <w:rPr>
          <w14:numForm w14:val="lining"/>
          <w14:numSpacing w14:val="proportional"/>
        </w:rPr>
        <w:t>,</w:t>
      </w:r>
      <w:r w:rsidR="00D024FD" w:rsidRPr="00C7784A">
        <w:rPr>
          <w14:numForm w14:val="lining"/>
          <w14:numSpacing w14:val="proportional"/>
        </w:rPr>
        <w:t xml:space="preserve"> this scenario assumes that b</w:t>
      </w:r>
      <w:r w:rsidRPr="00C7784A">
        <w:rPr>
          <w14:numForm w14:val="lining"/>
          <w14:numSpacing w14:val="proportional"/>
        </w:rPr>
        <w:t>y 2050, Australia’s cost of transition is offset by diversifying economic activity to low-emission exports and increasing industrial competitiveness in terms of industry output and associated net employment growth</w:t>
      </w:r>
      <w:r w:rsidR="009B55DA" w:rsidRPr="00C7784A">
        <w:rPr>
          <w14:numForm w14:val="lining"/>
          <w14:numSpacing w14:val="proportional"/>
        </w:rPr>
        <w:t xml:space="preserve"> facilitated by </w:t>
      </w:r>
      <w:r w:rsidRPr="00C7784A">
        <w:rPr>
          <w14:numForm w14:val="lining"/>
          <w14:numSpacing w14:val="proportional"/>
        </w:rPr>
        <w:t xml:space="preserve">higher participation in the labour market. </w:t>
      </w:r>
    </w:p>
    <w:p w14:paraId="58D5669C" w14:textId="71F847F5" w:rsidR="00AE41B9" w:rsidRDefault="009B55DA" w:rsidP="00C7784A">
      <w:pPr>
        <w:spacing w:after="120" w:line="276" w:lineRule="auto"/>
        <w:sectPr w:rsidR="00AE41B9" w:rsidSect="00D754AF">
          <w:headerReference w:type="default" r:id="rId160"/>
          <w:footerReference w:type="default" r:id="rId161"/>
          <w:headerReference w:type="first" r:id="rId162"/>
          <w:footerReference w:type="first" r:id="rId163"/>
          <w:endnotePr>
            <w:numFmt w:val="decimal"/>
          </w:endnotePr>
          <w:type w:val="continuous"/>
          <w:pgSz w:w="11906" w:h="16838"/>
          <w:pgMar w:top="1440" w:right="1440" w:bottom="1440" w:left="1440" w:header="0" w:footer="708" w:gutter="0"/>
          <w:cols w:space="708"/>
          <w:titlePg/>
          <w:docGrid w:linePitch="360"/>
        </w:sectPr>
      </w:pPr>
      <w:r w:rsidRPr="00C7784A">
        <w:rPr>
          <w14:numForm w14:val="lining"/>
          <w14:numSpacing w14:val="proportional"/>
        </w:rPr>
        <w:t xml:space="preserve">In his book </w:t>
      </w:r>
      <w:r w:rsidRPr="00C7784A">
        <w:rPr>
          <w:i/>
          <w:iCs/>
          <w14:numForm w14:val="lining"/>
          <w14:numSpacing w14:val="proportional"/>
        </w:rPr>
        <w:t>The Superpower Transformation</w:t>
      </w:r>
      <w:r w:rsidRPr="00C7784A">
        <w:rPr>
          <w14:numForm w14:val="lining"/>
          <w14:numSpacing w14:val="proportional"/>
        </w:rPr>
        <w:t>, Professor Ross Garnaut suggests that Australia could become a major exporter of net-zero emissions manufactured goods.</w:t>
      </w:r>
      <w:r w:rsidR="462FCD08" w:rsidRPr="00C7784A">
        <w:rPr>
          <w14:numForm w14:val="lining"/>
          <w14:numSpacing w14:val="proportional"/>
        </w:rPr>
        <w:t xml:space="preserve"> By using our own green hydrogen, Australia could refine and smelt iron ore and bauxite competitively. However, to realise this goal Australia would require around 10,000 terawatt-hours of annual power generation, which is over 50 times the current capacity of the NEM and 10 times the capacity required under AEMO’s hydrogen superpower scenario.</w:t>
      </w:r>
      <w:r w:rsidRPr="7F405116">
        <w:rPr>
          <w:rStyle w:val="EndnoteReference"/>
        </w:rPr>
        <w:endnoteReference w:id="90"/>
      </w:r>
    </w:p>
    <w:p w14:paraId="06F3CB7B" w14:textId="763BC99C" w:rsidR="00CD2B22" w:rsidRPr="00401492" w:rsidRDefault="00CD2B22" w:rsidP="00636E2F">
      <w:pPr>
        <w:keepNext/>
        <w:pBdr>
          <w:top w:val="single" w:sz="4" w:space="5" w:color="BFBFBF" w:themeColor="background1" w:themeShade="BF"/>
        </w:pBdr>
        <w:spacing w:before="100" w:beforeAutospacing="1" w:after="120"/>
      </w:pPr>
      <w:r w:rsidRPr="3342DEBC">
        <w:rPr>
          <w:b/>
          <w:bCs/>
        </w:rPr>
        <w:t>Figure 5</w:t>
      </w:r>
      <w:r w:rsidRPr="00A81332">
        <w:rPr>
          <w:b/>
          <w:bCs/>
        </w:rPr>
        <w:t>.2</w:t>
      </w:r>
      <w:r w:rsidR="00664318">
        <w:rPr>
          <w:b/>
          <w:bCs/>
        </w:rPr>
        <w:t>.</w:t>
      </w:r>
      <w:r w:rsidRPr="00A81332">
        <w:rPr>
          <w:b/>
          <w:bCs/>
        </w:rPr>
        <w:t xml:space="preserve"> Alternative scenarios</w:t>
      </w:r>
    </w:p>
    <w:tbl>
      <w:tblPr>
        <w:tblW w:w="5081" w:type="pct"/>
        <w:tblCellMar>
          <w:left w:w="0" w:type="dxa"/>
          <w:right w:w="0" w:type="dxa"/>
        </w:tblCellMar>
        <w:tblLook w:val="04A0" w:firstRow="1" w:lastRow="0" w:firstColumn="1" w:lastColumn="0" w:noHBand="0" w:noVBand="1"/>
      </w:tblPr>
      <w:tblGrid>
        <w:gridCol w:w="1499"/>
        <w:gridCol w:w="1644"/>
        <w:gridCol w:w="1713"/>
        <w:gridCol w:w="1499"/>
        <w:gridCol w:w="2797"/>
      </w:tblGrid>
      <w:tr w:rsidR="00CD2B22" w14:paraId="7911C988" w14:textId="77777777" w:rsidTr="1A39E49C">
        <w:trPr>
          <w:trHeight w:val="439"/>
          <w:tblHeader/>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51D1DBD7" w14:textId="77777777" w:rsidR="00CD2B22" w:rsidRPr="00D87F5E" w:rsidRDefault="00CD2B22">
            <w:pPr>
              <w:rPr>
                <w:rFonts w:asciiTheme="majorHAnsi" w:hAnsiTheme="majorHAnsi" w:cstheme="majorHAnsi"/>
                <w:iCs/>
                <w:color w:val="auto"/>
                <w:sz w:val="18"/>
                <w:szCs w:val="18"/>
                <w:lang w:val="en-GB"/>
              </w:rPr>
            </w:pPr>
            <w:r w:rsidRPr="00D87F5E">
              <w:rPr>
                <w:rFonts w:asciiTheme="majorHAnsi" w:hAnsiTheme="majorHAnsi" w:cstheme="majorHAnsi"/>
                <w:b/>
                <w:bCs/>
                <w:iCs/>
                <w:sz w:val="18"/>
                <w:szCs w:val="18"/>
                <w:lang w:val="en-GB"/>
              </w:rPr>
              <w:t>Scenario </w:t>
            </w:r>
            <w:r w:rsidRPr="00D87F5E">
              <w:rPr>
                <w:rFonts w:asciiTheme="majorHAnsi" w:hAnsiTheme="majorHAnsi" w:cstheme="majorHAnsi"/>
                <w:b/>
                <w:bCs/>
                <w:iCs/>
                <w:sz w:val="18"/>
                <w:szCs w:val="18"/>
                <w:lang w:val="en-US"/>
              </w:rPr>
              <w:t>​</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7AEB9CBF"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Scenario alignment</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3BE93CD4"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 xml:space="preserve">Emissions reduction </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7DCF6B2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Renewable energy mix</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7E6E6"/>
            <w:tcMar>
              <w:top w:w="72" w:type="dxa"/>
              <w:left w:w="144" w:type="dxa"/>
              <w:bottom w:w="72" w:type="dxa"/>
              <w:right w:w="144" w:type="dxa"/>
            </w:tcMar>
            <w:hideMark/>
          </w:tcPr>
          <w:p w14:paraId="194EA4B7" w14:textId="52A1F4E1" w:rsidR="00CD2B22" w:rsidRPr="00D87F5E" w:rsidRDefault="00FF520A" w:rsidP="1A39E49C">
            <w:pPr>
              <w:rPr>
                <w:rFonts w:asciiTheme="majorHAnsi" w:hAnsiTheme="majorHAnsi" w:cstheme="majorHAnsi"/>
                <w:sz w:val="18"/>
                <w:szCs w:val="18"/>
                <w:lang w:val="en-GB"/>
              </w:rPr>
            </w:pPr>
            <w:r w:rsidRPr="00D87F5E">
              <w:rPr>
                <w:rFonts w:asciiTheme="majorHAnsi" w:hAnsiTheme="majorHAnsi" w:cstheme="majorHAnsi"/>
                <w:b/>
                <w:bCs/>
                <w:sz w:val="18"/>
                <w:szCs w:val="18"/>
                <w:lang w:val="en-GB"/>
              </w:rPr>
              <w:t>Key policy differences</w:t>
            </w:r>
            <w:r w:rsidR="00CD2B22" w:rsidRPr="00D87F5E">
              <w:rPr>
                <w:rFonts w:asciiTheme="majorHAnsi" w:hAnsiTheme="majorHAnsi" w:cstheme="majorHAnsi"/>
                <w:b/>
                <w:bCs/>
                <w:sz w:val="18"/>
                <w:szCs w:val="18"/>
                <w:lang w:val="en-GB"/>
              </w:rPr>
              <w:t xml:space="preserve"> </w:t>
            </w:r>
          </w:p>
        </w:tc>
      </w:tr>
      <w:tr w:rsidR="00CD2B22" w14:paraId="16A8743D" w14:textId="77777777" w:rsidTr="00D54F34">
        <w:trPr>
          <w:trHeight w:val="150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EE9FB" w:themeFill="accent3" w:themeFillTint="33"/>
            <w:tcMar>
              <w:top w:w="72" w:type="dxa"/>
              <w:left w:w="144" w:type="dxa"/>
              <w:bottom w:w="72" w:type="dxa"/>
              <w:right w:w="144" w:type="dxa"/>
            </w:tcMar>
            <w:vAlign w:val="center"/>
            <w:hideMark/>
          </w:tcPr>
          <w:p w14:paraId="3A6D6A6E" w14:textId="4BEF2B08" w:rsidR="00CD2B22" w:rsidRPr="00D87F5E" w:rsidRDefault="005348EE">
            <w:pPr>
              <w:rPr>
                <w:rFonts w:asciiTheme="majorHAnsi" w:hAnsiTheme="majorHAnsi" w:cstheme="majorHAnsi"/>
                <w:sz w:val="20"/>
                <w:szCs w:val="20"/>
                <w:lang w:val="en-GB"/>
              </w:rPr>
            </w:pPr>
            <w:r>
              <w:rPr>
                <w:rFonts w:asciiTheme="majorHAnsi" w:hAnsiTheme="majorHAnsi" w:cstheme="majorHAnsi"/>
                <w:b/>
                <w:bCs/>
                <w:sz w:val="20"/>
                <w:szCs w:val="20"/>
                <w:lang w:val="en-GB"/>
              </w:rPr>
              <w:t>Low</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298D9E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Full implementation of global target commitments</w:t>
            </w:r>
          </w:p>
          <w:p w14:paraId="0CEC2187"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iCs/>
                <w:sz w:val="18"/>
                <w:szCs w:val="18"/>
                <w:lang w:val="en-GB"/>
              </w:rPr>
              <w:t>SSP1-2.6, 1.7°C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2116047" w14:textId="7D96C2DE" w:rsidR="00CD2B22" w:rsidRPr="00C7784A" w:rsidRDefault="00CD2B22" w:rsidP="00D87F5E">
            <w:pPr>
              <w:spacing w:after="240" w:line="276" w:lineRule="auto"/>
              <w:rPr>
                <w:rFonts w:asciiTheme="majorHAnsi" w:eastAsia="Arial" w:hAnsiTheme="majorHAnsi" w:cstheme="majorHAnsi"/>
                <w:sz w:val="18"/>
                <w:szCs w:val="18"/>
                <w:lang w:val="en-GB"/>
              </w:rPr>
            </w:pPr>
            <w:r w:rsidRPr="00C7784A">
              <w:rPr>
                <w:rFonts w:asciiTheme="majorHAnsi" w:hAnsiTheme="majorHAnsi" w:cstheme="majorHAnsi"/>
                <w:sz w:val="18"/>
                <w:szCs w:val="18"/>
                <w:lang w:val="en-GB"/>
              </w:rPr>
              <w:t>43% emissions reduction below 2005 levels by 2030</w:t>
            </w:r>
          </w:p>
          <w:p w14:paraId="1FA78665" w14:textId="77777777" w:rsidR="00CD2B22" w:rsidRPr="00C7784A" w:rsidRDefault="00CD2B22" w:rsidP="00D87F5E">
            <w:pPr>
              <w:spacing w:after="240" w:line="276" w:lineRule="auto"/>
              <w:rPr>
                <w:rFonts w:asciiTheme="majorHAnsi" w:eastAsia="Arial" w:hAnsiTheme="majorHAnsi" w:cstheme="majorHAnsi"/>
                <w:sz w:val="18"/>
                <w:szCs w:val="18"/>
                <w:lang w:val="en-GB"/>
              </w:rPr>
            </w:pPr>
            <w:r w:rsidRPr="00C7784A">
              <w:rPr>
                <w:rFonts w:asciiTheme="majorHAnsi" w:hAnsiTheme="majorHAnsi"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78DB9B3E" w14:textId="2D60DAC0" w:rsidR="00CD2B22" w:rsidRPr="00C7784A" w:rsidRDefault="00CD2B22">
            <w:pPr>
              <w:rPr>
                <w:rFonts w:asciiTheme="majorHAnsi" w:hAnsiTheme="majorHAnsi" w:cstheme="majorHAnsi"/>
                <w:sz w:val="18"/>
                <w:szCs w:val="18"/>
                <w:lang w:val="en-GB"/>
              </w:rPr>
            </w:pPr>
            <w:r w:rsidRPr="00C7784A">
              <w:rPr>
                <w:rFonts w:asciiTheme="majorHAnsi" w:hAnsiTheme="majorHAnsi" w:cstheme="majorHAnsi"/>
                <w:sz w:val="18"/>
                <w:szCs w:val="18"/>
                <w:lang w:val="en-GB"/>
              </w:rPr>
              <w:t xml:space="preserve">69% clean energy in the NEM by 2030 </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BDF8F77" w14:textId="77777777" w:rsidR="00CD2B22" w:rsidRPr="00D87F5E" w:rsidRDefault="00CD2B22" w:rsidP="00F25595">
            <w:pPr>
              <w:numPr>
                <w:ilvl w:val="0"/>
                <w:numId w:val="75"/>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AEMO: Orchestrated Step Change, ISP2023</w:t>
            </w:r>
          </w:p>
          <w:p w14:paraId="6A8F781B" w14:textId="77777777" w:rsidR="00CD2B22" w:rsidRPr="00D87F5E" w:rsidRDefault="00CD2B22" w:rsidP="00F25595">
            <w:pPr>
              <w:numPr>
                <w:ilvl w:val="0"/>
                <w:numId w:val="75"/>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 xml:space="preserve">Rewiring the Nation: lack of coordinated implementation and no targeted investment (public and private) to 2030 </w:t>
            </w:r>
          </w:p>
          <w:p w14:paraId="1CFFA6A3" w14:textId="77777777" w:rsidR="00CD2B22" w:rsidRPr="00D87F5E" w:rsidRDefault="00CD2B22" w:rsidP="00F25595">
            <w:pPr>
              <w:numPr>
                <w:ilvl w:val="0"/>
                <w:numId w:val="75"/>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Global climate alignment: SSP1-2.6, 1.7°C by 2050, full implementation of global target commitments</w:t>
            </w:r>
          </w:p>
        </w:tc>
      </w:tr>
      <w:tr w:rsidR="00CD2B22" w14:paraId="143CE76A" w14:textId="77777777" w:rsidTr="00D54F34">
        <w:trPr>
          <w:trHeight w:val="837"/>
        </w:trPr>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05D5D" w:themeFill="accent2"/>
            <w:tcMar>
              <w:top w:w="72" w:type="dxa"/>
              <w:left w:w="144" w:type="dxa"/>
              <w:bottom w:w="72" w:type="dxa"/>
              <w:right w:w="144" w:type="dxa"/>
            </w:tcMar>
            <w:vAlign w:val="center"/>
            <w:hideMark/>
          </w:tcPr>
          <w:p w14:paraId="57800467" w14:textId="3152BE41" w:rsidR="00CD2B22" w:rsidRPr="00D87F5E" w:rsidRDefault="005348EE">
            <w:pPr>
              <w:rPr>
                <w:rFonts w:asciiTheme="majorHAnsi" w:hAnsiTheme="majorHAnsi" w:cstheme="majorHAnsi"/>
                <w:b/>
                <w:bCs/>
                <w:sz w:val="20"/>
                <w:szCs w:val="20"/>
                <w:lang w:val="en-GB"/>
              </w:rPr>
            </w:pPr>
            <w:r>
              <w:rPr>
                <w:rFonts w:asciiTheme="majorHAnsi" w:hAnsiTheme="majorHAnsi" w:cstheme="majorHAnsi"/>
                <w:b/>
                <w:bCs/>
                <w:color w:val="FFFFFF" w:themeColor="background1"/>
                <w:sz w:val="20"/>
                <w:szCs w:val="20"/>
                <w:lang w:val="en-GB"/>
              </w:rPr>
              <w:t>High</w:t>
            </w:r>
          </w:p>
        </w:tc>
        <w:tc>
          <w:tcPr>
            <w:tcW w:w="164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6535BEC1"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Net Zero Emissions by 2050 – global coordinated action</w:t>
            </w:r>
          </w:p>
          <w:p w14:paraId="59E3DC10"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iCs/>
                <w:sz w:val="18"/>
                <w:szCs w:val="18"/>
                <w:lang w:val="en-GB"/>
              </w:rPr>
              <w:t>SSP1-1.9, 1.5.0°C by 2050</w:t>
            </w:r>
          </w:p>
          <w:p w14:paraId="157E2583" w14:textId="77777777" w:rsidR="00CD2B22" w:rsidRPr="00D87F5E" w:rsidRDefault="00CD2B22">
            <w:pPr>
              <w:rPr>
                <w:rFonts w:asciiTheme="majorHAnsi" w:hAnsiTheme="majorHAnsi" w:cstheme="majorHAnsi"/>
                <w:iCs/>
                <w:sz w:val="18"/>
                <w:szCs w:val="18"/>
                <w:lang w:val="en-GB"/>
              </w:rPr>
            </w:pPr>
            <w:r w:rsidRPr="00D87F5E">
              <w:rPr>
                <w:rFonts w:asciiTheme="majorHAnsi" w:hAnsiTheme="majorHAnsi" w:cstheme="majorHAnsi"/>
                <w:b/>
                <w:bCs/>
                <w:iCs/>
                <w:sz w:val="18"/>
                <w:szCs w:val="18"/>
                <w:lang w:val="en-GB"/>
              </w:rPr>
              <w:t xml:space="preserve">AEMO: </w:t>
            </w:r>
            <w:r w:rsidRPr="00D87F5E">
              <w:rPr>
                <w:rFonts w:asciiTheme="majorHAnsi" w:hAnsiTheme="majorHAnsi" w:cstheme="majorHAnsi"/>
                <w:iCs/>
                <w:sz w:val="18"/>
                <w:szCs w:val="18"/>
                <w:lang w:val="en-GB"/>
              </w:rPr>
              <w:t>Net zero (energy exports)</w:t>
            </w:r>
            <w:r w:rsidRPr="00D87F5E">
              <w:rPr>
                <w:rFonts w:asciiTheme="majorHAnsi" w:hAnsiTheme="majorHAnsi" w:cstheme="majorHAnsi"/>
                <w:iCs/>
                <w:sz w:val="18"/>
                <w:szCs w:val="18"/>
                <w:lang w:val="en-GB"/>
              </w:rPr>
              <w:br/>
            </w:r>
            <w:r w:rsidRPr="00D87F5E">
              <w:rPr>
                <w:rFonts w:asciiTheme="majorHAnsi" w:hAnsiTheme="majorHAnsi" w:cstheme="majorHAnsi"/>
                <w:b/>
                <w:bCs/>
                <w:iCs/>
                <w:sz w:val="18"/>
                <w:szCs w:val="18"/>
                <w:lang w:val="en-GB"/>
              </w:rPr>
              <w:t xml:space="preserve">IEA: </w:t>
            </w:r>
            <w:r w:rsidRPr="00D87F5E">
              <w:rPr>
                <w:rFonts w:asciiTheme="majorHAnsi" w:hAnsiTheme="majorHAnsi" w:cstheme="majorHAnsi"/>
                <w:iCs/>
                <w:sz w:val="18"/>
                <w:szCs w:val="18"/>
                <w:lang w:val="en-GB"/>
              </w:rPr>
              <w:t>Net Zero Emissions by 2050.</w:t>
            </w:r>
          </w:p>
        </w:tc>
        <w:tc>
          <w:tcPr>
            <w:tcW w:w="17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2371C1F2" w14:textId="77777777" w:rsidR="00CD2B22" w:rsidRPr="00C7784A" w:rsidRDefault="00CD2B22" w:rsidP="00D87F5E">
            <w:pPr>
              <w:spacing w:after="240" w:line="276" w:lineRule="auto"/>
              <w:rPr>
                <w:rFonts w:asciiTheme="majorHAnsi" w:hAnsiTheme="majorHAnsi" w:cstheme="majorHAnsi"/>
                <w:sz w:val="18"/>
                <w:szCs w:val="18"/>
                <w:lang w:val="en-GB"/>
              </w:rPr>
            </w:pPr>
            <w:r w:rsidRPr="00C7784A">
              <w:rPr>
                <w:rFonts w:asciiTheme="majorHAnsi" w:hAnsiTheme="majorHAnsi" w:cstheme="majorHAnsi"/>
                <w:sz w:val="18"/>
                <w:szCs w:val="18"/>
                <w:lang w:val="en-GB"/>
              </w:rPr>
              <w:t>43% emissions reduction below 2005 levels by 2030</w:t>
            </w:r>
          </w:p>
          <w:p w14:paraId="5E2A32F6" w14:textId="77777777" w:rsidR="00CD2B22" w:rsidRPr="00C7784A" w:rsidRDefault="00CD2B22" w:rsidP="00D87F5E">
            <w:pPr>
              <w:spacing w:after="240" w:line="276" w:lineRule="auto"/>
              <w:rPr>
                <w:rFonts w:asciiTheme="majorHAnsi" w:hAnsiTheme="majorHAnsi" w:cstheme="majorHAnsi"/>
                <w:sz w:val="18"/>
                <w:szCs w:val="18"/>
                <w:lang w:val="en-GB"/>
              </w:rPr>
            </w:pPr>
            <w:r w:rsidRPr="00C7784A">
              <w:rPr>
                <w:rFonts w:asciiTheme="majorHAnsi" w:hAnsiTheme="majorHAnsi" w:cstheme="majorHAnsi"/>
                <w:sz w:val="18"/>
                <w:szCs w:val="18"/>
                <w:lang w:val="en-GB"/>
              </w:rPr>
              <w:t>Net zero emissions by 2050</w:t>
            </w:r>
          </w:p>
        </w:tc>
        <w:tc>
          <w:tcPr>
            <w:tcW w:w="149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13F1DD3D" w14:textId="6A52F3A5" w:rsidR="00CD2B22" w:rsidRPr="00C7784A" w:rsidRDefault="00CD2B22">
            <w:pPr>
              <w:rPr>
                <w:rFonts w:asciiTheme="majorHAnsi" w:hAnsiTheme="majorHAnsi" w:cstheme="majorHAnsi"/>
                <w:sz w:val="18"/>
                <w:szCs w:val="18"/>
                <w:lang w:val="en-GB"/>
              </w:rPr>
            </w:pPr>
            <w:r w:rsidRPr="00C7784A">
              <w:rPr>
                <w:rFonts w:asciiTheme="majorHAnsi" w:hAnsiTheme="majorHAnsi" w:cstheme="majorHAnsi"/>
                <w:sz w:val="18"/>
                <w:szCs w:val="18"/>
                <w:lang w:val="en-GB"/>
              </w:rPr>
              <w:t>92% clean energy in the NEM by 2030</w:t>
            </w:r>
          </w:p>
        </w:tc>
        <w:tc>
          <w:tcPr>
            <w:tcW w:w="27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vAlign w:val="center"/>
            <w:hideMark/>
          </w:tcPr>
          <w:p w14:paraId="40C126C8" w14:textId="77777777" w:rsidR="00CD2B22" w:rsidRPr="00D87F5E" w:rsidRDefault="00CD2B22" w:rsidP="00F25595">
            <w:pPr>
              <w:numPr>
                <w:ilvl w:val="0"/>
                <w:numId w:val="77"/>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AEMO: Net Zero (green energy exports scenario)</w:t>
            </w:r>
          </w:p>
          <w:p w14:paraId="4CF99448" w14:textId="77777777" w:rsidR="00CD2B22" w:rsidRPr="00D87F5E" w:rsidRDefault="00CD2B22" w:rsidP="00F25595">
            <w:pPr>
              <w:numPr>
                <w:ilvl w:val="0"/>
                <w:numId w:val="77"/>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 xml:space="preserve">Rewiring the Nation: fully implemented earlier, with the energy system transformed beyond current policy settings by 2030 and a larger quantum of clean energy in the economy </w:t>
            </w:r>
          </w:p>
          <w:p w14:paraId="1DBA6EE4" w14:textId="77777777" w:rsidR="00CD2B22" w:rsidRPr="00D87F5E" w:rsidRDefault="00CD2B22" w:rsidP="00F25595">
            <w:pPr>
              <w:numPr>
                <w:ilvl w:val="0"/>
                <w:numId w:val="77"/>
              </w:numPr>
              <w:spacing w:after="120" w:line="240" w:lineRule="auto"/>
              <w:ind w:left="113" w:hanging="113"/>
              <w:rPr>
                <w:rFonts w:asciiTheme="majorHAnsi" w:hAnsiTheme="majorHAnsi" w:cstheme="majorHAnsi"/>
                <w:iCs/>
                <w:sz w:val="18"/>
                <w:szCs w:val="18"/>
                <w:lang w:val="en-GB"/>
              </w:rPr>
            </w:pPr>
            <w:r w:rsidRPr="00D87F5E">
              <w:rPr>
                <w:rFonts w:asciiTheme="majorHAnsi" w:hAnsiTheme="majorHAnsi" w:cstheme="majorHAnsi"/>
                <w:iCs/>
                <w:sz w:val="18"/>
                <w:szCs w:val="18"/>
                <w:lang w:val="en-GB"/>
              </w:rPr>
              <w:t>Global climate alignment: SSP1-1.9, 1.5°C by 2050, global coordinated action to meet net zero by 2050</w:t>
            </w:r>
          </w:p>
        </w:tc>
      </w:tr>
    </w:tbl>
    <w:p w14:paraId="7D39DF22" w14:textId="77777777" w:rsidR="00D87F5E" w:rsidRDefault="00D87F5E">
      <w:pPr>
        <w:rPr>
          <w:rFonts w:cs="Arial"/>
          <w:b/>
          <w:bCs/>
          <w:color w:val="0C6DAD" w:themeColor="accent3" w:themeShade="BF"/>
          <w:sz w:val="28"/>
        </w:rPr>
      </w:pPr>
      <w:r>
        <w:rPr>
          <w:color w:val="0C6DAD" w:themeColor="accent3" w:themeShade="BF"/>
        </w:rPr>
        <w:br w:type="page"/>
      </w:r>
    </w:p>
    <w:p w14:paraId="2E8834D5" w14:textId="1BBEAE85" w:rsidR="00CD2B22" w:rsidRPr="003F04CC" w:rsidRDefault="00CD2B22" w:rsidP="003F04CC">
      <w:pPr>
        <w:spacing w:after="120" w:line="276" w:lineRule="auto"/>
      </w:pPr>
      <w:r w:rsidRPr="003F04CC">
        <w:rPr>
          <w:b/>
          <w:bCs/>
        </w:rPr>
        <w:t>Comparison with other estimates of future employment impacts of net zero</w:t>
      </w:r>
    </w:p>
    <w:p w14:paraId="24C5D671" w14:textId="57B1640C" w:rsidR="00CD2B22" w:rsidRPr="00D87F5E" w:rsidRDefault="00CD2B22" w:rsidP="00D87F5E">
      <w:pPr>
        <w:spacing w:after="120" w:line="276" w:lineRule="auto"/>
        <w:rPr>
          <w14:numForm w14:val="lining"/>
          <w14:numSpacing w14:val="proportional"/>
        </w:rPr>
      </w:pPr>
      <w:r w:rsidRPr="00D87F5E">
        <w:rPr>
          <w14:numForm w14:val="lining"/>
          <w14:numSpacing w14:val="proportional"/>
        </w:rPr>
        <w:t>The model</w:t>
      </w:r>
      <w:r w:rsidR="00527A09">
        <w:rPr>
          <w14:numForm w14:val="lining"/>
          <w14:numSpacing w14:val="proportional"/>
        </w:rPr>
        <w:t>ling approach</w:t>
      </w:r>
      <w:r w:rsidRPr="00D87F5E">
        <w:rPr>
          <w14:numForm w14:val="lining"/>
          <w14:numSpacing w14:val="proportional"/>
        </w:rPr>
        <w:t xml:space="preserve"> uses both integrated assessment modelling (IAM) and labour market supply and demand modelling undertaken by Deloitte Access Economics. This approach is different from the methodology used to produce other forecasts for the clean energy workforce</w:t>
      </w:r>
      <w:r w:rsidR="00B16C6A" w:rsidRPr="00D87F5E">
        <w:rPr>
          <w14:numForm w14:val="lining"/>
          <w14:numSpacing w14:val="proportional"/>
        </w:rPr>
        <w:t>,</w:t>
      </w:r>
      <w:r w:rsidRPr="00D87F5E">
        <w:rPr>
          <w14:numForm w14:val="lining"/>
          <w14:numSpacing w14:val="proportional"/>
        </w:rPr>
        <w:t xml:space="preserve"> </w:t>
      </w:r>
      <w:r w:rsidR="00527A09">
        <w:rPr>
          <w14:numForm w14:val="lining"/>
          <w14:numSpacing w14:val="proportional"/>
        </w:rPr>
        <w:t>which</w:t>
      </w:r>
      <w:r w:rsidR="006E4A14">
        <w:rPr>
          <w14:numForm w14:val="lining"/>
          <w14:numSpacing w14:val="proportional"/>
        </w:rPr>
        <w:t xml:space="preserve"> </w:t>
      </w:r>
      <w:r w:rsidRPr="00D87F5E">
        <w:rPr>
          <w14:numForm w14:val="lining"/>
          <w14:numSpacing w14:val="proportional"/>
        </w:rPr>
        <w:t>rel</w:t>
      </w:r>
      <w:r w:rsidR="00527A09">
        <w:rPr>
          <w14:numForm w14:val="lining"/>
          <w14:numSpacing w14:val="proportional"/>
        </w:rPr>
        <w:t>y</w:t>
      </w:r>
      <w:r w:rsidRPr="00D87F5E">
        <w:rPr>
          <w14:numForm w14:val="lining"/>
          <w14:numSpacing w14:val="proportional"/>
        </w:rPr>
        <w:t xml:space="preserve"> on employment factors to produce workforce numbers based on ratios of workers to units of energy production (or similar). The approach adopted here models how regional workforces transform under different scenarios. Global conditions and changes in technology over time are included in the assumptions. The regions of Australia have been constructed to coincide wherever possible with REZs. </w:t>
      </w:r>
    </w:p>
    <w:p w14:paraId="7C1D6A96" w14:textId="19352D25" w:rsidR="00CD2B22" w:rsidRPr="00D87F5E" w:rsidRDefault="00CD2B22" w:rsidP="00005748">
      <w:pPr>
        <w:spacing w:after="120" w:line="276" w:lineRule="auto"/>
        <w:rPr>
          <w14:numForm w14:val="lining"/>
          <w14:numSpacing w14:val="proportional"/>
        </w:rPr>
      </w:pPr>
      <w:r w:rsidRPr="00D87F5E">
        <w:rPr>
          <w14:numForm w14:val="lining"/>
          <w14:numSpacing w14:val="proportional"/>
        </w:rPr>
        <w:t xml:space="preserve">The </w:t>
      </w:r>
      <w:r w:rsidR="00402E52">
        <w:rPr>
          <w14:numForm w14:val="lining"/>
          <w14:numSpacing w14:val="proportional"/>
        </w:rPr>
        <w:t>preliminary results from the</w:t>
      </w:r>
      <w:r w:rsidRPr="00D87F5E">
        <w:rPr>
          <w14:numForm w14:val="lining"/>
          <w14:numSpacing w14:val="proportional"/>
        </w:rPr>
        <w:t xml:space="preserve"> model</w:t>
      </w:r>
      <w:r w:rsidR="00117F16" w:rsidRPr="00D87F5E">
        <w:rPr>
          <w14:numForm w14:val="lining"/>
          <w14:numSpacing w14:val="proportional"/>
        </w:rPr>
        <w:t xml:space="preserve"> </w:t>
      </w:r>
      <w:r w:rsidR="00B16C6A" w:rsidRPr="00D87F5E">
        <w:rPr>
          <w14:numForm w14:val="lining"/>
          <w14:numSpacing w14:val="proportional"/>
        </w:rPr>
        <w:t>presented here</w:t>
      </w:r>
      <w:r w:rsidR="54D451A5" w:rsidRPr="00D87F5E">
        <w:rPr>
          <w14:numForm w14:val="lining"/>
          <w14:numSpacing w14:val="proportional"/>
        </w:rPr>
        <w:t xml:space="preserve"> </w:t>
      </w:r>
      <w:r w:rsidRPr="00D87F5E">
        <w:rPr>
          <w14:numForm w14:val="lining"/>
          <w14:numSpacing w14:val="proportional"/>
        </w:rPr>
        <w:t xml:space="preserve">looks to solve for an outcome – in this case net zero emissions by 2050 – in </w:t>
      </w:r>
      <w:r w:rsidR="00210170">
        <w:rPr>
          <w14:numForm w14:val="lining"/>
          <w14:numSpacing w14:val="proportional"/>
        </w:rPr>
        <w:t>an</w:t>
      </w:r>
      <w:r w:rsidRPr="00D87F5E">
        <w:rPr>
          <w14:numForm w14:val="lining"/>
          <w14:numSpacing w14:val="proportional"/>
        </w:rPr>
        <w:t xml:space="preserve"> economically efficient way. It considers the availability of capital and labour (including the distribution of skills within the labour force) as well as relative prices for inputs and outputs across the different sectors of the economy. This is </w:t>
      </w:r>
      <w:r w:rsidR="001F034B" w:rsidRPr="00D87F5E">
        <w:rPr>
          <w14:numForm w14:val="lining"/>
          <w14:numSpacing w14:val="proportional"/>
        </w:rPr>
        <w:t>a more sophisticated framework than</w:t>
      </w:r>
      <w:r w:rsidRPr="00D87F5E">
        <w:rPr>
          <w14:numForm w14:val="lining"/>
          <w14:numSpacing w14:val="proportional"/>
        </w:rPr>
        <w:t xml:space="preserve"> that </w:t>
      </w:r>
      <w:r w:rsidR="001F034B" w:rsidRPr="00D87F5E">
        <w:rPr>
          <w14:numForm w14:val="lining"/>
          <w14:numSpacing w14:val="proportional"/>
        </w:rPr>
        <w:t>deployed by analyses</w:t>
      </w:r>
      <w:r w:rsidRPr="00D87F5E">
        <w:rPr>
          <w14:numForm w14:val="lining"/>
          <w14:numSpacing w14:val="proportional"/>
        </w:rPr>
        <w:t xml:space="preserve"> of the future clean energy workforce in Australia that use an employment factors approach.</w:t>
      </w:r>
    </w:p>
    <w:p w14:paraId="1DAAFBFE" w14:textId="77777777" w:rsidR="00CD2B22" w:rsidRPr="00E226A4" w:rsidRDefault="00CD2B22" w:rsidP="00CD2B22">
      <w:pPr>
        <w:sectPr w:rsidR="00CD2B22" w:rsidRPr="00E226A4" w:rsidSect="00D754AF">
          <w:endnotePr>
            <w:numFmt w:val="decimal"/>
          </w:endnotePr>
          <w:type w:val="continuous"/>
          <w:pgSz w:w="11906" w:h="16838"/>
          <w:pgMar w:top="1440" w:right="1440" w:bottom="1440" w:left="1440" w:header="0" w:footer="708" w:gutter="0"/>
          <w:cols w:space="708"/>
          <w:titlePg/>
          <w:docGrid w:linePitch="360"/>
        </w:sectPr>
      </w:pPr>
    </w:p>
    <w:p w14:paraId="43921165" w14:textId="17793BE8" w:rsidR="00CD2B22" w:rsidRDefault="00CD2B22" w:rsidP="003E1425">
      <w:pPr>
        <w:pStyle w:val="Heading2"/>
      </w:pPr>
      <w:bookmarkStart w:id="59" w:name="_Toc146892681"/>
      <w:r w:rsidRPr="1DB301CE">
        <w:t>5</w:t>
      </w:r>
      <w:r w:rsidR="00952772" w:rsidRPr="00952772">
        <w:rPr>
          <w:rFonts w:ascii="Arial Bold" w:hAnsi="Arial Bold"/>
          <w:smallCaps/>
        </w:rPr>
        <w:t>b</w:t>
      </w:r>
      <w:r w:rsidR="00952772">
        <w:rPr>
          <w:rFonts w:ascii="Arial Bold" w:hAnsi="Arial Bold"/>
          <w:smallCaps/>
        </w:rPr>
        <w:t>.</w:t>
      </w:r>
      <w:r w:rsidRPr="1DB301CE">
        <w:t xml:space="preserve"> </w:t>
      </w:r>
      <w:r w:rsidRPr="00313B80">
        <w:rPr>
          <w:b w:val="0"/>
          <w:bCs/>
        </w:rPr>
        <w:t>Workforce demand</w:t>
      </w:r>
      <w:bookmarkEnd w:id="59"/>
      <w:r w:rsidRPr="1DB301CE">
        <w:t xml:space="preserve"> </w:t>
      </w:r>
    </w:p>
    <w:p w14:paraId="1E33C34C" w14:textId="1140A035" w:rsidR="009F0AA7" w:rsidRPr="00D87F5E" w:rsidRDefault="009F0AA7" w:rsidP="00D87F5E">
      <w:pPr>
        <w:spacing w:after="120" w:line="276" w:lineRule="auto"/>
        <w:rPr>
          <w14:numForm w14:val="lining"/>
          <w14:numSpacing w14:val="proportional"/>
        </w:rPr>
      </w:pPr>
      <w:r w:rsidRPr="00D87F5E">
        <w:rPr>
          <w14:numForm w14:val="lining"/>
          <w14:numSpacing w14:val="proportional"/>
        </w:rPr>
        <w:t xml:space="preserve">Under the three scenarios, </w:t>
      </w:r>
      <w:r w:rsidR="0051024A">
        <w:rPr>
          <w14:numForm w14:val="lining"/>
          <w14:numSpacing w14:val="proportional"/>
        </w:rPr>
        <w:t xml:space="preserve">the preliminary </w:t>
      </w:r>
      <w:r w:rsidR="005348EE">
        <w:rPr>
          <w14:numForm w14:val="lining"/>
          <w14:numSpacing w14:val="proportional"/>
        </w:rPr>
        <w:t xml:space="preserve">modelling </w:t>
      </w:r>
      <w:r w:rsidR="00CA6237">
        <w:rPr>
          <w14:numForm w14:val="lining"/>
          <w14:numSpacing w14:val="proportional"/>
        </w:rPr>
        <w:t>leads to</w:t>
      </w:r>
      <w:r w:rsidRPr="00D87F5E">
        <w:rPr>
          <w14:numForm w14:val="lining"/>
          <w14:numSpacing w14:val="proportional"/>
        </w:rPr>
        <w:t xml:space="preserve"> different employment impacts, industry transformation, job growth and demand across the country and regions. </w:t>
      </w:r>
      <w:r w:rsidR="006E6B6C" w:rsidRPr="00D87F5E">
        <w:rPr>
          <w14:numForm w14:val="lining"/>
          <w14:numSpacing w14:val="proportional"/>
        </w:rPr>
        <w:t>A</w:t>
      </w:r>
      <w:r w:rsidRPr="00D87F5E">
        <w:rPr>
          <w14:numForm w14:val="lining"/>
          <w14:numSpacing w14:val="proportional"/>
        </w:rPr>
        <w:t>ll three scenarios involve structural change across the economy</w:t>
      </w:r>
      <w:r w:rsidRPr="00D87F5E" w:rsidDel="57995DFA">
        <w:rPr>
          <w14:numForm w14:val="lining"/>
          <w14:numSpacing w14:val="proportional"/>
        </w:rPr>
        <w:t xml:space="preserve"> </w:t>
      </w:r>
      <w:r w:rsidRPr="00D87F5E">
        <w:rPr>
          <w14:numForm w14:val="lining"/>
          <w14:numSpacing w14:val="proportional"/>
        </w:rPr>
        <w:t xml:space="preserve">and higher than average growth in the core clean energy sectors is likely. Again, across all three, the strongest employment growth is likely to occur in the next seven years, driven by investments in clean energy. The </w:t>
      </w:r>
      <w:r w:rsidR="00486606">
        <w:rPr>
          <w14:numForm w14:val="lining"/>
          <w14:numSpacing w14:val="proportional"/>
        </w:rPr>
        <w:t xml:space="preserve">preliminary </w:t>
      </w:r>
      <w:r w:rsidR="005348EE">
        <w:rPr>
          <w14:numForm w14:val="lining"/>
          <w14:numSpacing w14:val="proportional"/>
        </w:rPr>
        <w:t>modelling</w:t>
      </w:r>
      <w:r w:rsidR="00DC68D6">
        <w:rPr>
          <w14:numForm w14:val="lining"/>
          <w14:numSpacing w14:val="proportional"/>
        </w:rPr>
        <w:t xml:space="preserve"> shows</w:t>
      </w:r>
      <w:r w:rsidR="005348EE">
        <w:rPr>
          <w14:numForm w14:val="lining"/>
          <w14:numSpacing w14:val="proportional"/>
        </w:rPr>
        <w:t xml:space="preserve"> </w:t>
      </w:r>
      <w:r w:rsidRPr="00D87F5E">
        <w:rPr>
          <w14:numForm w14:val="lining"/>
          <w14:numSpacing w14:val="proportional"/>
        </w:rPr>
        <w:t>employment growth is</w:t>
      </w:r>
      <w:r w:rsidR="003C12F2" w:rsidRPr="00D87F5E">
        <w:rPr>
          <w14:numForm w14:val="lining"/>
          <w14:numSpacing w14:val="proportional"/>
        </w:rPr>
        <w:t xml:space="preserve"> likely</w:t>
      </w:r>
      <w:r w:rsidRPr="00D87F5E">
        <w:rPr>
          <w14:numForm w14:val="lining"/>
          <w14:numSpacing w14:val="proportional"/>
        </w:rPr>
        <w:t xml:space="preserve"> to be around </w:t>
      </w:r>
      <w:r w:rsidR="00F848DE" w:rsidRPr="00D87F5E">
        <w:rPr>
          <w14:numForm w14:val="lining"/>
          <w14:numSpacing w14:val="proportional"/>
        </w:rPr>
        <w:t>7.6</w:t>
      </w:r>
      <w:r w:rsidRPr="00D87F5E">
        <w:rPr>
          <w14:numForm w14:val="lining"/>
          <w14:numSpacing w14:val="proportional"/>
        </w:rPr>
        <w:t>% across the next seven years in the clean energy supply sector in the main central scenario.</w:t>
      </w:r>
      <w:r w:rsidR="00C36CBD" w:rsidRPr="00D87F5E">
        <w:rPr>
          <w:rStyle w:val="FootnoteReference"/>
          <w14:numForm w14:val="lining"/>
          <w14:numSpacing w14:val="proportional"/>
        </w:rPr>
        <w:footnoteReference w:id="4"/>
      </w:r>
      <w:r w:rsidRPr="00D87F5E" w:rsidDel="1C9ACF35">
        <w:rPr>
          <w14:numForm w14:val="lining"/>
          <w14:numSpacing w14:val="proportional"/>
        </w:rPr>
        <w:t xml:space="preserve"> </w:t>
      </w:r>
      <w:r w:rsidRPr="00D87F5E">
        <w:rPr>
          <w14:numForm w14:val="lining"/>
          <w14:numSpacing w14:val="proportional"/>
        </w:rPr>
        <w:t xml:space="preserve">Post 2030, the intensity and structure of employment growth begins to diverge across scenarios. Overall, the clean energy supply workforce is likely to grow from </w:t>
      </w:r>
      <w:r w:rsidR="00ED5DD5" w:rsidRPr="00D87F5E">
        <w:rPr>
          <w14:numForm w14:val="lining"/>
          <w14:numSpacing w14:val="proportional"/>
        </w:rPr>
        <w:t>around 5</w:t>
      </w:r>
      <w:r w:rsidRPr="00D87F5E">
        <w:rPr>
          <w14:numForm w14:val="lining"/>
          <w14:numSpacing w14:val="proportional"/>
        </w:rPr>
        <w:t xml:space="preserve">3,000 </w:t>
      </w:r>
      <w:r w:rsidR="00DC68D6">
        <w:rPr>
          <w14:numForm w14:val="lining"/>
          <w14:numSpacing w14:val="proportional"/>
        </w:rPr>
        <w:t>today</w:t>
      </w:r>
      <w:r w:rsidR="00D12EE0">
        <w:rPr>
          <w14:numForm w14:val="lining"/>
          <w14:numSpacing w14:val="proportional"/>
        </w:rPr>
        <w:t xml:space="preserve"> </w:t>
      </w:r>
      <w:r w:rsidRPr="00D87F5E">
        <w:rPr>
          <w14:numForm w14:val="lining"/>
          <w14:numSpacing w14:val="proportional"/>
        </w:rPr>
        <w:t xml:space="preserve">to </w:t>
      </w:r>
      <w:r w:rsidR="00ED5DD5" w:rsidRPr="00D87F5E">
        <w:rPr>
          <w14:numForm w14:val="lining"/>
          <w14:numSpacing w14:val="proportional"/>
        </w:rPr>
        <w:t>84,</w:t>
      </w:r>
      <w:r w:rsidR="00131417" w:rsidRPr="00D87F5E">
        <w:rPr>
          <w14:numForm w14:val="lining"/>
          <w14:numSpacing w14:val="proportional"/>
        </w:rPr>
        <w:t>000</w:t>
      </w:r>
      <w:r w:rsidRPr="00D87F5E">
        <w:rPr>
          <w14:numForm w14:val="lining"/>
          <w14:numSpacing w14:val="proportional"/>
        </w:rPr>
        <w:t xml:space="preserve"> by 2050 in </w:t>
      </w:r>
      <w:r w:rsidR="002B0E1E" w:rsidRPr="00D87F5E">
        <w:rPr>
          <w14:numForm w14:val="lining"/>
          <w14:numSpacing w14:val="proportional"/>
        </w:rPr>
        <w:t xml:space="preserve">the </w:t>
      </w:r>
      <w:r w:rsidRPr="00D87F5E">
        <w:rPr>
          <w14:numForm w14:val="lining"/>
          <w14:numSpacing w14:val="proportional"/>
        </w:rPr>
        <w:t>central scenario.</w:t>
      </w:r>
    </w:p>
    <w:p w14:paraId="42D7FC19" w14:textId="5B075132" w:rsidR="00CD2B22" w:rsidRPr="00D87F5E" w:rsidRDefault="00CD2B22" w:rsidP="00D87F5E">
      <w:pPr>
        <w:spacing w:after="120" w:line="276" w:lineRule="auto"/>
        <w:rPr>
          <w:rFonts w:eastAsia="Arial" w:cs="Arial"/>
          <w14:numForm w14:val="lining"/>
          <w14:numSpacing w14:val="proportional"/>
        </w:rPr>
      </w:pPr>
      <w:r w:rsidRPr="00D87F5E">
        <w:rPr>
          <w:rFonts w:eastAsia="Arial" w:cs="Arial"/>
          <w14:numForm w14:val="lining"/>
          <w14:numSpacing w14:val="proportional"/>
        </w:rPr>
        <w:t xml:space="preserve">The shift from emissions intensive power sources to clean electricity means that construction and renewable energy </w:t>
      </w:r>
      <w:r w:rsidR="00D12EE0">
        <w:rPr>
          <w:rFonts w:eastAsia="Arial" w:cs="Arial"/>
          <w14:numForm w14:val="lining"/>
          <w14:numSpacing w14:val="proportional"/>
        </w:rPr>
        <w:t xml:space="preserve">are likely to </w:t>
      </w:r>
      <w:r w:rsidRPr="00D87F5E">
        <w:rPr>
          <w:rFonts w:eastAsia="Arial" w:cs="Arial"/>
          <w14:numForm w14:val="lining"/>
          <w14:numSpacing w14:val="proportional"/>
        </w:rPr>
        <w:t xml:space="preserve">see particularly high growth in employment demand under </w:t>
      </w:r>
      <w:r w:rsidR="00FC1006">
        <w:rPr>
          <w:rFonts w:eastAsia="Arial" w:cs="Arial"/>
          <w14:numForm w14:val="lining"/>
          <w14:numSpacing w14:val="proportional"/>
        </w:rPr>
        <w:t>c</w:t>
      </w:r>
      <w:r w:rsidRPr="00D87F5E">
        <w:rPr>
          <w:rFonts w:eastAsia="Arial" w:cs="Arial"/>
          <w14:numForm w14:val="lining"/>
          <w14:numSpacing w14:val="proportional"/>
        </w:rPr>
        <w:t xml:space="preserve">entral and </w:t>
      </w:r>
      <w:r w:rsidR="00FC1006">
        <w:rPr>
          <w:rFonts w:eastAsia="Arial" w:cs="Arial"/>
          <w14:numForm w14:val="lining"/>
          <w14:numSpacing w14:val="proportional"/>
        </w:rPr>
        <w:t>high</w:t>
      </w:r>
      <w:r w:rsidRPr="00D87F5E">
        <w:rPr>
          <w:rFonts w:eastAsia="Arial" w:cs="Arial"/>
          <w14:numForm w14:val="lining"/>
          <w14:numSpacing w14:val="proportional"/>
        </w:rPr>
        <w:t xml:space="preserve"> scenarios</w:t>
      </w:r>
      <w:r w:rsidR="009D1E67" w:rsidRPr="00D87F5E">
        <w:rPr>
          <w:rFonts w:eastAsia="Arial" w:cs="Arial"/>
          <w14:numForm w14:val="lining"/>
          <w14:numSpacing w14:val="proportional"/>
        </w:rPr>
        <w:t>. This is driven by</w:t>
      </w:r>
      <w:r w:rsidR="00F2490C" w:rsidRPr="00D87F5E">
        <w:rPr>
          <w:rFonts w:eastAsia="Arial" w:cs="Arial"/>
          <w14:numForm w14:val="lining"/>
          <w14:numSpacing w14:val="proportional"/>
        </w:rPr>
        <w:t xml:space="preserve"> </w:t>
      </w:r>
      <w:r w:rsidRPr="00D87F5E">
        <w:rPr>
          <w:rFonts w:eastAsia="Arial" w:cs="Arial"/>
          <w14:numForm w14:val="lining"/>
          <w14:numSpacing w14:val="proportional"/>
        </w:rPr>
        <w:t xml:space="preserve">large-scale investment </w:t>
      </w:r>
      <w:r w:rsidR="00F2490C" w:rsidRPr="00D87F5E">
        <w:rPr>
          <w:rFonts w:eastAsia="Arial" w:cs="Arial"/>
          <w14:numForm w14:val="lining"/>
          <w14:numSpacing w14:val="proportional"/>
        </w:rPr>
        <w:t xml:space="preserve">and </w:t>
      </w:r>
      <w:r w:rsidRPr="00D87F5E">
        <w:rPr>
          <w:rFonts w:eastAsia="Arial" w:cs="Arial"/>
          <w14:numForm w14:val="lining"/>
          <w14:numSpacing w14:val="proportional"/>
        </w:rPr>
        <w:t xml:space="preserve">requires a significant workforce to support construction and ongoing operations. </w:t>
      </w:r>
    </w:p>
    <w:p w14:paraId="72EF1B7A" w14:textId="42C2DA6F" w:rsidR="00CD2B22" w:rsidRPr="00D87F5E" w:rsidRDefault="00CD2B22" w:rsidP="00D87F5E">
      <w:pPr>
        <w:spacing w:after="120" w:line="276" w:lineRule="auto"/>
        <w:rPr>
          <w:rFonts w:eastAsia="Arial" w:cs="Arial"/>
          <w14:numForm w14:val="lining"/>
          <w14:numSpacing w14:val="proportional"/>
        </w:rPr>
      </w:pPr>
      <w:r w:rsidRPr="00D87F5E">
        <w:rPr>
          <w14:numForm w14:val="lining"/>
          <w14:numSpacing w14:val="proportional"/>
        </w:rPr>
        <w:t xml:space="preserve">Industries that contribute to the supply of electricity or facilitate the demand of electricity experience growth as Australia’s economy transitions. </w:t>
      </w:r>
      <w:r w:rsidRPr="00D87F5E">
        <w:rPr>
          <w:rFonts w:eastAsia="Arial" w:cs="Arial"/>
          <w14:numForm w14:val="lining"/>
          <w14:numSpacing w14:val="proportional"/>
        </w:rPr>
        <w:t xml:space="preserve">The significant investment in renewable energy capacity results in </w:t>
      </w:r>
      <w:r w:rsidR="00022521">
        <w:rPr>
          <w:rFonts w:eastAsia="Arial" w:cs="Arial"/>
          <w14:numForm w14:val="lining"/>
          <w14:numSpacing w14:val="proportional"/>
        </w:rPr>
        <w:t xml:space="preserve">likely </w:t>
      </w:r>
      <w:r w:rsidRPr="00D87F5E">
        <w:rPr>
          <w:rFonts w:eastAsia="Arial" w:cs="Arial"/>
          <w14:numForm w14:val="lining"/>
          <w14:numSpacing w14:val="proportional"/>
        </w:rPr>
        <w:t xml:space="preserve">strong jobs growth in wind, offshore wind, solar and hydroelectricity over the next seven years. Employment growth in these emerging sectors outpaces that of the </w:t>
      </w:r>
      <w:r w:rsidR="00600606">
        <w:rPr>
          <w:rFonts w:eastAsia="Arial" w:cs="Arial"/>
          <w14:numForm w14:val="lining"/>
          <w14:numSpacing w14:val="proportional"/>
        </w:rPr>
        <w:t>low</w:t>
      </w:r>
      <w:r w:rsidRPr="00D87F5E">
        <w:rPr>
          <w:rFonts w:eastAsia="Arial" w:cs="Arial"/>
          <w14:numForm w14:val="lining"/>
          <w14:numSpacing w14:val="proportional"/>
        </w:rPr>
        <w:t xml:space="preserve"> scenario over the same period.</w:t>
      </w:r>
      <w:r w:rsidRPr="00D87F5E">
        <w:rPr>
          <w14:numForm w14:val="lining"/>
          <w14:numSpacing w14:val="proportional"/>
        </w:rPr>
        <w:t xml:space="preserve"> Some industries decline in importance, but new industries also emerge.</w:t>
      </w:r>
    </w:p>
    <w:p w14:paraId="59FE13B3" w14:textId="7DEB8D6F" w:rsidR="00CD2B22" w:rsidRPr="00D87F5E" w:rsidRDefault="00CD2B22" w:rsidP="00D87F5E">
      <w:pPr>
        <w:spacing w:after="120" w:line="276" w:lineRule="auto"/>
        <w:rPr>
          <w14:numForm w14:val="lining"/>
          <w14:numSpacing w14:val="proportional"/>
        </w:rPr>
      </w:pPr>
      <w:r w:rsidRPr="00D87F5E">
        <w:rPr>
          <w14:numForm w14:val="lining"/>
          <w14:numSpacing w14:val="proportional"/>
        </w:rPr>
        <w:t xml:space="preserve">From an occupational perspective, the </w:t>
      </w:r>
      <w:r w:rsidR="00584574">
        <w:rPr>
          <w14:numForm w14:val="lining"/>
          <w14:numSpacing w14:val="proportional"/>
        </w:rPr>
        <w:t xml:space="preserve">preliminary </w:t>
      </w:r>
      <w:r w:rsidR="00B81557">
        <w:rPr>
          <w14:numForm w14:val="lining"/>
          <w14:numSpacing w14:val="proportional"/>
        </w:rPr>
        <w:t xml:space="preserve">modelling </w:t>
      </w:r>
      <w:r w:rsidR="00B81557" w:rsidRPr="00D87F5E">
        <w:rPr>
          <w14:numForm w14:val="lining"/>
          <w14:numSpacing w14:val="proportional"/>
        </w:rPr>
        <w:t>shows</w:t>
      </w:r>
      <w:r w:rsidR="00BD32AC">
        <w:rPr>
          <w14:numForm w14:val="lining"/>
          <w14:numSpacing w14:val="proportional"/>
        </w:rPr>
        <w:t xml:space="preserve"> the</w:t>
      </w:r>
      <w:r w:rsidR="009E2EA5">
        <w:rPr>
          <w14:numForm w14:val="lining"/>
          <w14:numSpacing w14:val="proportional"/>
        </w:rPr>
        <w:t xml:space="preserve"> </w:t>
      </w:r>
      <w:r w:rsidRPr="00D87F5E">
        <w:rPr>
          <w14:numForm w14:val="lining"/>
          <w14:numSpacing w14:val="proportional"/>
        </w:rPr>
        <w:t xml:space="preserve">sum of all 38 critical clean energy occupations exhibits a higher growth rate of jobs growth than the overall labour market and there is high demand for trades and technician workers especially electricians, including in the regions. In the </w:t>
      </w:r>
      <w:r w:rsidR="00CA73C1">
        <w:rPr>
          <w14:numForm w14:val="lining"/>
          <w14:numSpacing w14:val="proportional"/>
        </w:rPr>
        <w:t>central</w:t>
      </w:r>
      <w:r w:rsidRPr="00D87F5E">
        <w:rPr>
          <w14:numForm w14:val="lining"/>
          <w14:numSpacing w14:val="proportional"/>
        </w:rPr>
        <w:t xml:space="preserve"> scenario, demand for these 38 occupations is likely to increase by around 15</w:t>
      </w:r>
      <w:r w:rsidR="00324F61" w:rsidRPr="00D87F5E">
        <w:rPr>
          <w14:numForm w14:val="lining"/>
          <w14:numSpacing w14:val="proportional"/>
        </w:rPr>
        <w:t>%</w:t>
      </w:r>
      <w:r w:rsidRPr="00D87F5E">
        <w:rPr>
          <w14:numForm w14:val="lining"/>
          <w14:numSpacing w14:val="proportional"/>
        </w:rPr>
        <w:t xml:space="preserve"> in the next seven years to deliver the net zero transformation. This represents an increase of almost 240,000 workers. </w:t>
      </w:r>
    </w:p>
    <w:p w14:paraId="3EB6E0BB" w14:textId="77777777" w:rsidR="00CD2B22" w:rsidRPr="00A532EE" w:rsidRDefault="00CD2B22" w:rsidP="00CD2B22">
      <w:pPr>
        <w:pStyle w:val="Heading3"/>
        <w:spacing w:after="120" w:line="276" w:lineRule="auto"/>
        <w:rPr>
          <w:color w:val="77123D" w:themeColor="accent4" w:themeShade="BF"/>
        </w:rPr>
      </w:pPr>
      <w:r w:rsidRPr="00A532EE">
        <w:rPr>
          <w:color w:val="77123D" w:themeColor="accent4" w:themeShade="BF"/>
        </w:rPr>
        <w:t>How are industries likely to transform?</w:t>
      </w:r>
    </w:p>
    <w:p w14:paraId="5DBCA29D" w14:textId="73B8D57E" w:rsidR="004960E0" w:rsidRPr="00C7784A" w:rsidRDefault="00C90C66" w:rsidP="00D87F5E">
      <w:pPr>
        <w:pStyle w:val="Bodycopy"/>
        <w:spacing w:after="120" w:line="276" w:lineRule="auto"/>
        <w:rPr>
          <w14:numForm w14:val="lining"/>
          <w14:numSpacing w14:val="proportional"/>
        </w:rPr>
      </w:pPr>
      <w:r>
        <w:rPr>
          <w14:numForm w14:val="lining"/>
          <w14:numSpacing w14:val="proportional"/>
        </w:rPr>
        <w:t xml:space="preserve">Our preliminary analysis </w:t>
      </w:r>
      <w:r w:rsidR="00C61F9F">
        <w:rPr>
          <w14:numForm w14:val="lining"/>
          <w14:numSpacing w14:val="proportional"/>
        </w:rPr>
        <w:t>shows u</w:t>
      </w:r>
      <w:r w:rsidR="00CD2B22" w:rsidRPr="00C7784A">
        <w:rPr>
          <w14:numForm w14:val="lining"/>
          <w14:numSpacing w14:val="proportional"/>
        </w:rPr>
        <w:t xml:space="preserve">nder the </w:t>
      </w:r>
      <w:r w:rsidR="00636E2F">
        <w:rPr>
          <w14:numForm w14:val="lining"/>
          <w14:numSpacing w14:val="proportional"/>
        </w:rPr>
        <w:t>c</w:t>
      </w:r>
      <w:r w:rsidR="00013F80" w:rsidRPr="00C7784A">
        <w:rPr>
          <w14:numForm w14:val="lining"/>
          <w14:numSpacing w14:val="proportional"/>
        </w:rPr>
        <w:t xml:space="preserve">entral </w:t>
      </w:r>
      <w:r w:rsidR="00CD2B22" w:rsidRPr="00C7784A">
        <w:rPr>
          <w14:numForm w14:val="lining"/>
          <w14:numSpacing w14:val="proportional"/>
        </w:rPr>
        <w:t xml:space="preserve">scenario there is </w:t>
      </w:r>
      <w:r w:rsidR="00225933" w:rsidRPr="00C7784A">
        <w:rPr>
          <w14:numForm w14:val="lining"/>
          <w14:numSpacing w14:val="proportional"/>
        </w:rPr>
        <w:t>likely to be strong</w:t>
      </w:r>
      <w:r w:rsidR="00CD2B22" w:rsidRPr="00C7784A">
        <w:rPr>
          <w14:numForm w14:val="lining"/>
          <w14:numSpacing w14:val="proportional"/>
        </w:rPr>
        <w:t xml:space="preserve"> growth in the hydro-electricity generation, wind generation, solar generation, and offshore wind generation sectors. </w:t>
      </w:r>
      <w:r w:rsidR="009D1782" w:rsidRPr="00C7784A">
        <w:rPr>
          <w14:numForm w14:val="lining"/>
          <w14:numSpacing w14:val="proportional"/>
        </w:rPr>
        <w:t xml:space="preserve">These sectors </w:t>
      </w:r>
      <w:r w:rsidR="00E64404">
        <w:rPr>
          <w14:numForm w14:val="lining"/>
          <w14:numSpacing w14:val="proportional"/>
        </w:rPr>
        <w:t>w</w:t>
      </w:r>
      <w:r w:rsidR="00CA73C1">
        <w:rPr>
          <w14:numForm w14:val="lining"/>
          <w14:numSpacing w14:val="proportional"/>
        </w:rPr>
        <w:t>ould</w:t>
      </w:r>
      <w:r w:rsidR="009D1782" w:rsidRPr="00C7784A">
        <w:rPr>
          <w14:numForm w14:val="lining"/>
          <w14:numSpacing w14:val="proportional"/>
        </w:rPr>
        <w:t xml:space="preserve"> add around 14,000 jobs </w:t>
      </w:r>
      <w:r w:rsidR="0069511B" w:rsidRPr="00C7784A">
        <w:rPr>
          <w14:numForm w14:val="lining"/>
          <w14:numSpacing w14:val="proportional"/>
        </w:rPr>
        <w:t>by 2030</w:t>
      </w:r>
      <w:r w:rsidR="009D1782" w:rsidRPr="00C7784A">
        <w:rPr>
          <w14:numForm w14:val="lining"/>
          <w14:numSpacing w14:val="proportional"/>
        </w:rPr>
        <w:t xml:space="preserve"> and around 70,000 by 2050. </w:t>
      </w:r>
    </w:p>
    <w:p w14:paraId="4B211563" w14:textId="1A7E5AE0" w:rsidR="009E1549" w:rsidRPr="00C7784A" w:rsidRDefault="00CD2B22" w:rsidP="00D87F5E">
      <w:pPr>
        <w:spacing w:line="276" w:lineRule="auto"/>
        <w:rPr>
          <w14:numForm w14:val="lining"/>
          <w14:numSpacing w14:val="proportional"/>
        </w:rPr>
      </w:pPr>
      <w:r w:rsidRPr="00C7784A">
        <w:rPr>
          <w14:numForm w14:val="lining"/>
          <w14:numSpacing w14:val="proportional"/>
        </w:rPr>
        <w:t xml:space="preserve">Construction </w:t>
      </w:r>
      <w:r w:rsidR="007857B0" w:rsidRPr="00C7784A">
        <w:rPr>
          <w14:numForm w14:val="lining"/>
          <w14:numSpacing w14:val="proportional"/>
        </w:rPr>
        <w:t xml:space="preserve">is </w:t>
      </w:r>
      <w:r w:rsidRPr="00C7784A">
        <w:rPr>
          <w14:numForm w14:val="lining"/>
          <w14:numSpacing w14:val="proportional"/>
        </w:rPr>
        <w:t xml:space="preserve">also </w:t>
      </w:r>
      <w:r w:rsidR="007857B0" w:rsidRPr="00C7784A">
        <w:rPr>
          <w14:numForm w14:val="lining"/>
          <w14:numSpacing w14:val="proportional"/>
        </w:rPr>
        <w:t xml:space="preserve">likely to </w:t>
      </w:r>
      <w:r w:rsidRPr="00C7784A">
        <w:rPr>
          <w14:numForm w14:val="lining"/>
          <w14:numSpacing w14:val="proportional"/>
        </w:rPr>
        <w:t xml:space="preserve">grow because much of the activity to build and replace transmission infrastructure is in the civil construction sector. These emerging </w:t>
      </w:r>
      <w:r w:rsidR="004960E0" w:rsidRPr="00C7784A">
        <w:rPr>
          <w14:numForm w14:val="lining"/>
          <w14:numSpacing w14:val="proportional"/>
        </w:rPr>
        <w:t xml:space="preserve">energy supply </w:t>
      </w:r>
      <w:r w:rsidRPr="00C7784A">
        <w:rPr>
          <w14:numForm w14:val="lining"/>
          <w14:numSpacing w14:val="proportional"/>
        </w:rPr>
        <w:t xml:space="preserve">industries are reliant on a strong construction pipeline. This pipeline </w:t>
      </w:r>
      <w:r w:rsidR="00E64404">
        <w:rPr>
          <w14:numForm w14:val="lining"/>
          <w14:numSpacing w14:val="proportional"/>
        </w:rPr>
        <w:t>w</w:t>
      </w:r>
      <w:r w:rsidR="00CA73C1">
        <w:rPr>
          <w14:numForm w14:val="lining"/>
          <w14:numSpacing w14:val="proportional"/>
        </w:rPr>
        <w:t>ould</w:t>
      </w:r>
      <w:r w:rsidRPr="00C7784A">
        <w:rPr>
          <w14:numForm w14:val="lining"/>
          <w14:numSpacing w14:val="proportional"/>
        </w:rPr>
        <w:t xml:space="preserve"> create </w:t>
      </w:r>
      <w:r w:rsidR="008A7BC2">
        <w:rPr>
          <w14:numForm w14:val="lining"/>
          <w14:numSpacing w14:val="proportional"/>
        </w:rPr>
        <w:t xml:space="preserve">around </w:t>
      </w:r>
      <w:r w:rsidR="00CA73C1" w:rsidRPr="00C7784A">
        <w:rPr>
          <w14:numForm w14:val="lining"/>
          <w14:numSpacing w14:val="proportional"/>
        </w:rPr>
        <w:t>45</w:t>
      </w:r>
      <w:r w:rsidR="00CA73C1">
        <w:rPr>
          <w14:numForm w14:val="lining"/>
          <w14:numSpacing w14:val="proportional"/>
        </w:rPr>
        <w:t>0</w:t>
      </w:r>
      <w:r w:rsidRPr="00C7784A">
        <w:rPr>
          <w14:numForm w14:val="lining"/>
          <w14:numSpacing w14:val="proportional"/>
        </w:rPr>
        <w:t>,000 jobs in the next seven years</w:t>
      </w:r>
      <w:r w:rsidR="004960E0" w:rsidRPr="00C7784A">
        <w:rPr>
          <w14:numForm w14:val="lining"/>
          <w14:numSpacing w14:val="proportional"/>
        </w:rPr>
        <w:t xml:space="preserve"> – almost one third of all the jobs growth expected over this period.</w:t>
      </w:r>
      <w:r w:rsidRPr="00C7784A">
        <w:rPr>
          <w14:numForm w14:val="lining"/>
          <w14:numSpacing w14:val="proportional"/>
        </w:rPr>
        <w:t xml:space="preserve"> Many of these jobs are in NSW. </w:t>
      </w:r>
    </w:p>
    <w:p w14:paraId="6C6EDCF8" w14:textId="18E05027" w:rsidR="00CD2B22" w:rsidRPr="00F02204" w:rsidRDefault="00103D36" w:rsidP="00B81557">
      <w:pPr>
        <w:spacing w:after="80" w:line="276" w:lineRule="auto"/>
        <w:rPr>
          <w14:numForm w14:val="lining"/>
          <w14:numSpacing w14:val="proportional"/>
        </w:rPr>
      </w:pPr>
      <w:r w:rsidRPr="00C7784A">
        <w:rPr>
          <w14:numForm w14:val="lining"/>
          <w14:numSpacing w14:val="proportional"/>
        </w:rPr>
        <w:t xml:space="preserve">Employment growth in </w:t>
      </w:r>
      <w:r w:rsidR="001D308E" w:rsidRPr="00C7784A">
        <w:rPr>
          <w14:numForm w14:val="lining"/>
          <w14:numSpacing w14:val="proportional"/>
        </w:rPr>
        <w:t>c</w:t>
      </w:r>
      <w:r w:rsidR="00CD2B22" w:rsidRPr="00C7784A">
        <w:rPr>
          <w14:numForm w14:val="lining"/>
          <w14:numSpacing w14:val="proportional"/>
        </w:rPr>
        <w:t>onstruction would likely slow in the following decade</w:t>
      </w:r>
      <w:r w:rsidR="006B4CBC" w:rsidRPr="00C7784A">
        <w:rPr>
          <w14:numForm w14:val="lining"/>
          <w14:numSpacing w14:val="proportional"/>
        </w:rPr>
        <w:t>s</w:t>
      </w:r>
      <w:r w:rsidR="00CD2B22" w:rsidRPr="00C7784A">
        <w:rPr>
          <w14:numForm w14:val="lining"/>
          <w14:numSpacing w14:val="proportional"/>
        </w:rPr>
        <w:t xml:space="preserve">. There is also </w:t>
      </w:r>
      <w:r w:rsidR="006B4CBC" w:rsidRPr="00C7784A">
        <w:rPr>
          <w14:numForm w14:val="lining"/>
          <w14:numSpacing w14:val="proportional"/>
        </w:rPr>
        <w:t xml:space="preserve">likely to be </w:t>
      </w:r>
      <w:r w:rsidR="00CD2B22" w:rsidRPr="00C7784A">
        <w:rPr>
          <w14:numForm w14:val="lining"/>
          <w14:numSpacing w14:val="proportional"/>
        </w:rPr>
        <w:t xml:space="preserve">relative growth in industries like </w:t>
      </w:r>
      <w:r w:rsidR="00001206" w:rsidRPr="00C7784A">
        <w:rPr>
          <w14:numForm w14:val="lining"/>
          <w14:numSpacing w14:val="proportional"/>
        </w:rPr>
        <w:t>offshore wind</w:t>
      </w:r>
      <w:r w:rsidR="00F93F8A" w:rsidRPr="00C7784A">
        <w:rPr>
          <w14:numForm w14:val="lining"/>
          <w14:numSpacing w14:val="proportional"/>
        </w:rPr>
        <w:t>.</w:t>
      </w:r>
      <w:r w:rsidR="00B81557">
        <w:rPr>
          <w14:numForm w14:val="lining"/>
          <w14:numSpacing w14:val="proportional"/>
        </w:rPr>
        <w:t xml:space="preserve"> </w:t>
      </w:r>
      <w:r w:rsidR="00C61F9F">
        <w:rPr>
          <w14:numForm w14:val="lining"/>
          <w14:numSpacing w14:val="proportional"/>
        </w:rPr>
        <w:t>Preliminary analysis also shows d</w:t>
      </w:r>
      <w:r w:rsidR="00CD2B22" w:rsidRPr="00636E2F">
        <w:rPr>
          <w14:numForm w14:val="lining"/>
          <w14:numSpacing w14:val="proportional"/>
        </w:rPr>
        <w:t>eclines</w:t>
      </w:r>
      <w:r w:rsidR="00CD2B22" w:rsidRPr="00F02204">
        <w:rPr>
          <w14:numForm w14:val="lining"/>
          <w14:numSpacing w14:val="proportional"/>
        </w:rPr>
        <w:t xml:space="preserve"> are</w:t>
      </w:r>
      <w:r w:rsidR="00CD2B22" w:rsidRPr="00636E2F">
        <w:rPr>
          <w14:numForm w14:val="lining"/>
          <w14:numSpacing w14:val="proportional"/>
        </w:rPr>
        <w:t xml:space="preserve"> </w:t>
      </w:r>
      <w:r w:rsidR="00C90C66">
        <w:rPr>
          <w14:numForm w14:val="lining"/>
          <w14:numSpacing w14:val="proportional"/>
        </w:rPr>
        <w:t>likely</w:t>
      </w:r>
      <w:r w:rsidR="00CD2B22" w:rsidRPr="00C7784A">
        <w:rPr>
          <w14:numForm w14:val="lining"/>
          <w14:numSpacing w14:val="proportional"/>
        </w:rPr>
        <w:t xml:space="preserve"> </w:t>
      </w:r>
      <w:r w:rsidR="00CD2B22" w:rsidRPr="00F02204">
        <w:rPr>
          <w14:numForm w14:val="lining"/>
          <w14:numSpacing w14:val="proportional"/>
        </w:rPr>
        <w:t xml:space="preserve">across all scenarios in emissions intensive sectors including fossil-fuel intensive </w:t>
      </w:r>
      <w:r w:rsidR="002F2C3C" w:rsidRPr="00F02204">
        <w:rPr>
          <w14:numForm w14:val="lining"/>
          <w14:numSpacing w14:val="proportional"/>
        </w:rPr>
        <w:t xml:space="preserve">electricity generation </w:t>
      </w:r>
      <w:r w:rsidR="00CD2B22" w:rsidRPr="00F02204">
        <w:rPr>
          <w14:numForm w14:val="lining"/>
          <w14:numSpacing w14:val="proportional"/>
        </w:rPr>
        <w:t>and coal</w:t>
      </w:r>
      <w:r w:rsidR="002F2C3C" w:rsidRPr="00F02204">
        <w:rPr>
          <w14:numForm w14:val="lining"/>
          <w14:numSpacing w14:val="proportional"/>
        </w:rPr>
        <w:t xml:space="preserve"> mining</w:t>
      </w:r>
      <w:r w:rsidR="00CD2B22" w:rsidRPr="00F02204">
        <w:rPr>
          <w14:numForm w14:val="lining"/>
          <w14:numSpacing w14:val="proportional"/>
        </w:rPr>
        <w:t xml:space="preserve">, driven by </w:t>
      </w:r>
      <w:r w:rsidR="00DE6265" w:rsidRPr="00F02204">
        <w:rPr>
          <w14:numForm w14:val="lining"/>
          <w14:numSpacing w14:val="proportional"/>
        </w:rPr>
        <w:t xml:space="preserve">legacy coal </w:t>
      </w:r>
      <w:r w:rsidR="00DE6265" w:rsidRPr="00636E2F">
        <w:rPr>
          <w14:numForm w14:val="lining"/>
          <w14:numSpacing w14:val="proportional"/>
        </w:rPr>
        <w:t>plan</w:t>
      </w:r>
      <w:r w:rsidR="00C90C66">
        <w:rPr>
          <w14:numForm w14:val="lining"/>
          <w14:numSpacing w14:val="proportional"/>
        </w:rPr>
        <w:t>t</w:t>
      </w:r>
      <w:r w:rsidR="00DE6265" w:rsidRPr="00636E2F">
        <w:rPr>
          <w14:numForm w14:val="lining"/>
          <w14:numSpacing w14:val="proportional"/>
        </w:rPr>
        <w:t>s</w:t>
      </w:r>
      <w:r w:rsidR="00DE6265" w:rsidRPr="00F02204">
        <w:rPr>
          <w14:numForm w14:val="lining"/>
          <w14:numSpacing w14:val="proportional"/>
        </w:rPr>
        <w:t xml:space="preserve"> reaching end of life being replaced by renewable generation and storage, with associated mine closures as well as international and other factors</w:t>
      </w:r>
      <w:r w:rsidR="007748C6" w:rsidRPr="00F02204">
        <w:rPr>
          <w14:numForm w14:val="lining"/>
          <w14:numSpacing w14:val="proportional"/>
        </w:rPr>
        <w:t>.</w:t>
      </w:r>
    </w:p>
    <w:p w14:paraId="2C7A32B2" w14:textId="0F31EB22" w:rsidR="00723B3A" w:rsidRPr="00C7784A" w:rsidRDefault="007748C6" w:rsidP="00C7784A">
      <w:pPr>
        <w:spacing w:before="160" w:after="120" w:line="276" w:lineRule="auto"/>
        <w:rPr>
          <w14:numForm w14:val="lining"/>
          <w14:numSpacing w14:val="proportional"/>
        </w:rPr>
      </w:pPr>
      <w:r w:rsidRPr="00C7784A">
        <w:rPr>
          <w:rFonts w:eastAsiaTheme="minorEastAsia"/>
          <w14:numForm w14:val="lining"/>
          <w14:numSpacing w14:val="proportional"/>
        </w:rPr>
        <w:t xml:space="preserve">Due to scheduled closures of ageing assets, </w:t>
      </w:r>
      <w:r w:rsidR="00C61F9F">
        <w:rPr>
          <w:rFonts w:eastAsiaTheme="minorEastAsia"/>
          <w14:numForm w14:val="lining"/>
          <w14:numSpacing w14:val="proportional"/>
        </w:rPr>
        <w:t>preliminary analysis shows</w:t>
      </w:r>
      <w:r w:rsidRPr="00C7784A">
        <w:rPr>
          <w:rFonts w:eastAsiaTheme="minorEastAsia"/>
          <w14:numForm w14:val="lining"/>
          <w14:numSpacing w14:val="proportional"/>
        </w:rPr>
        <w:t xml:space="preserve"> f</w:t>
      </w:r>
      <w:r w:rsidR="004E0D3D" w:rsidRPr="00C7784A">
        <w:rPr>
          <w:rFonts w:eastAsiaTheme="minorEastAsia"/>
          <w14:numForm w14:val="lining"/>
          <w14:numSpacing w14:val="proportional"/>
        </w:rPr>
        <w:t xml:space="preserve">ossil fuel energy generation is </w:t>
      </w:r>
      <w:r w:rsidR="006B4CBC" w:rsidRPr="00C7784A">
        <w:rPr>
          <w:rFonts w:eastAsiaTheme="minorEastAsia"/>
          <w14:numForm w14:val="lining"/>
          <w14:numSpacing w14:val="proportional"/>
        </w:rPr>
        <w:t>likely</w:t>
      </w:r>
      <w:r w:rsidR="004E0D3D" w:rsidRPr="00C7784A">
        <w:rPr>
          <w:rFonts w:eastAsiaTheme="minorEastAsia"/>
          <w14:numForm w14:val="lining"/>
          <w14:numSpacing w14:val="proportional"/>
        </w:rPr>
        <w:t xml:space="preserve"> to record the largest falls in percentage terms, but in terms of levels the largest falls are </w:t>
      </w:r>
      <w:r w:rsidR="006B4CBC" w:rsidRPr="00C7784A">
        <w:rPr>
          <w:rFonts w:eastAsiaTheme="minorEastAsia"/>
          <w14:numForm w14:val="lining"/>
          <w14:numSpacing w14:val="proportional"/>
        </w:rPr>
        <w:t>likely</w:t>
      </w:r>
      <w:r w:rsidR="004E0D3D" w:rsidRPr="00C7784A">
        <w:rPr>
          <w:rFonts w:eastAsiaTheme="minorEastAsia"/>
          <w14:numForm w14:val="lining"/>
          <w14:numSpacing w14:val="proportional"/>
        </w:rPr>
        <w:t xml:space="preserve"> in coal mining</w:t>
      </w:r>
      <w:r w:rsidR="00000058" w:rsidRPr="00C7784A">
        <w:rPr>
          <w:rFonts w:eastAsiaTheme="minorEastAsia"/>
          <w14:numForm w14:val="lining"/>
          <w14:numSpacing w14:val="proportional"/>
        </w:rPr>
        <w:t>, both associated with closing coal mines and due to international demand changes</w:t>
      </w:r>
      <w:r w:rsidR="004E0D3D" w:rsidRPr="00C7784A">
        <w:rPr>
          <w:rFonts w:eastAsiaTheme="minorEastAsia"/>
          <w14:numForm w14:val="lining"/>
          <w14:numSpacing w14:val="proportional"/>
        </w:rPr>
        <w:t xml:space="preserve">. This could </w:t>
      </w:r>
      <w:r w:rsidR="006B4CBC" w:rsidRPr="00C7784A">
        <w:rPr>
          <w:rFonts w:eastAsiaTheme="minorEastAsia"/>
          <w14:numForm w14:val="lining"/>
          <w14:numSpacing w14:val="proportional"/>
        </w:rPr>
        <w:t>contract</w:t>
      </w:r>
      <w:r w:rsidR="004E0D3D" w:rsidRPr="00C7784A">
        <w:rPr>
          <w:rFonts w:eastAsiaTheme="minorEastAsia"/>
          <w14:numForm w14:val="lining"/>
          <w14:numSpacing w14:val="proportional"/>
        </w:rPr>
        <w:t xml:space="preserve"> by around 15,000 employees </w:t>
      </w:r>
      <w:r w:rsidR="006B4CBC" w:rsidRPr="00C7784A">
        <w:rPr>
          <w:rFonts w:eastAsiaTheme="minorEastAsia"/>
          <w14:numForm w14:val="lining"/>
          <w14:numSpacing w14:val="proportional"/>
        </w:rPr>
        <w:t>by 2030</w:t>
      </w:r>
      <w:r w:rsidR="004E0D3D" w:rsidRPr="00C7784A">
        <w:rPr>
          <w:rFonts w:eastAsiaTheme="minorEastAsia"/>
          <w14:numForm w14:val="lining"/>
          <w14:numSpacing w14:val="proportional"/>
        </w:rPr>
        <w:t xml:space="preserve">. However, it should be noted that this will occur over a period in which the economy is </w:t>
      </w:r>
      <w:r w:rsidR="006D1608" w:rsidRPr="00C7784A">
        <w:rPr>
          <w:rFonts w:eastAsiaTheme="minorEastAsia"/>
          <w14:numForm w14:val="lining"/>
          <w14:numSpacing w14:val="proportional"/>
        </w:rPr>
        <w:t>likely</w:t>
      </w:r>
      <w:r w:rsidR="004E0D3D" w:rsidRPr="00C7784A">
        <w:rPr>
          <w:rFonts w:eastAsiaTheme="minorEastAsia"/>
          <w14:numForm w14:val="lining"/>
          <w14:numSpacing w14:val="proportional"/>
        </w:rPr>
        <w:t xml:space="preserve"> to add around 1.5 million jobs overall.</w:t>
      </w:r>
    </w:p>
    <w:p w14:paraId="3362A9F7" w14:textId="0D108BB6" w:rsidR="00CD2B22" w:rsidRPr="00525376" w:rsidRDefault="00CD2B22" w:rsidP="00CD2B22">
      <w:pPr>
        <w:pStyle w:val="Heading3"/>
        <w:rPr>
          <w:color w:val="77123D" w:themeColor="accent4" w:themeShade="BF"/>
        </w:rPr>
      </w:pPr>
      <w:r w:rsidRPr="00525376">
        <w:rPr>
          <w:color w:val="77123D" w:themeColor="accent4" w:themeShade="BF"/>
        </w:rPr>
        <w:t>What occupations are likely to be in demand?</w:t>
      </w:r>
    </w:p>
    <w:p w14:paraId="6B1F39E0" w14:textId="0CCBBDB1" w:rsidR="00CD2B22" w:rsidRDefault="00CD2B22" w:rsidP="00BE23EF">
      <w:pPr>
        <w:spacing w:before="240" w:after="240" w:line="276" w:lineRule="auto"/>
        <w:rPr>
          <w14:numForm w14:val="lining"/>
          <w14:numSpacing w14:val="proportional"/>
        </w:rPr>
      </w:pPr>
      <w:r w:rsidRPr="00584D09">
        <w:rPr>
          <w14:numForm w14:val="lining"/>
          <w14:numSpacing w14:val="proportional"/>
        </w:rPr>
        <w:t xml:space="preserve">In total, </w:t>
      </w:r>
      <w:r w:rsidR="00C61F9F">
        <w:rPr>
          <w14:numForm w14:val="lining"/>
          <w14:numSpacing w14:val="proportional"/>
        </w:rPr>
        <w:t xml:space="preserve">the preliminary </w:t>
      </w:r>
      <w:r w:rsidR="008A3187">
        <w:rPr>
          <w14:numForm w14:val="lining"/>
          <w14:numSpacing w14:val="proportional"/>
        </w:rPr>
        <w:t>modelling</w:t>
      </w:r>
      <w:r w:rsidR="00C61F9F">
        <w:rPr>
          <w14:numForm w14:val="lining"/>
          <w14:numSpacing w14:val="proportional"/>
        </w:rPr>
        <w:t xml:space="preserve"> indicates</w:t>
      </w:r>
      <w:r w:rsidRPr="00584D09">
        <w:rPr>
          <w14:numForm w14:val="lining"/>
          <w14:numSpacing w14:val="proportional"/>
        </w:rPr>
        <w:t xml:space="preserve"> we </w:t>
      </w:r>
      <w:r w:rsidR="0026128C">
        <w:rPr>
          <w14:numForm w14:val="lining"/>
          <w14:numSpacing w14:val="proportional"/>
        </w:rPr>
        <w:t xml:space="preserve">are likely </w:t>
      </w:r>
      <w:r w:rsidRPr="00584D09">
        <w:rPr>
          <w14:numForm w14:val="lining"/>
          <w14:numSpacing w14:val="proportional"/>
        </w:rPr>
        <w:t xml:space="preserve">to see demand for the 38 critical clean energy occupations to follow a higher growth rate than the broader workforce (see </w:t>
      </w:r>
      <w:r w:rsidR="00D12746" w:rsidRPr="00584D09">
        <w:rPr>
          <w14:numForm w14:val="lining"/>
          <w14:numSpacing w14:val="proportional"/>
        </w:rPr>
        <w:t>Figure</w:t>
      </w:r>
      <w:r w:rsidRPr="00584D09">
        <w:rPr>
          <w14:numForm w14:val="lining"/>
          <w14:numSpacing w14:val="proportional"/>
        </w:rPr>
        <w:t xml:space="preserve"> 5.3).</w:t>
      </w:r>
    </w:p>
    <w:p w14:paraId="74344BE5" w14:textId="74FDAC53" w:rsidR="79D02B70" w:rsidRPr="00BE23EF" w:rsidRDefault="0052601F" w:rsidP="00BE23EF">
      <w:pPr>
        <w:pStyle w:val="Bodycopy"/>
        <w:pBdr>
          <w:top w:val="single" w:sz="4" w:space="5" w:color="BFBFBF" w:themeColor="background1" w:themeShade="BF"/>
        </w:pBdr>
        <w:rPr>
          <w:b/>
          <w:bCs/>
        </w:rPr>
      </w:pPr>
      <w:bookmarkStart w:id="60" w:name="_Hlk146184408"/>
      <w:r w:rsidRPr="00BE23EF">
        <w:rPr>
          <w:b/>
          <w:bCs/>
        </w:rPr>
        <w:t xml:space="preserve">Figure </w:t>
      </w:r>
      <w:r w:rsidR="00CD2B22" w:rsidRPr="00BE23EF">
        <w:rPr>
          <w:b/>
          <w:bCs/>
        </w:rPr>
        <w:t>5.</w:t>
      </w:r>
      <w:r w:rsidRPr="00BE23EF">
        <w:rPr>
          <w:b/>
          <w:bCs/>
        </w:rPr>
        <w:t>3</w:t>
      </w:r>
      <w:r w:rsidR="00846150" w:rsidRPr="00BE23EF">
        <w:rPr>
          <w:b/>
          <w:bCs/>
        </w:rPr>
        <w:t>.</w:t>
      </w:r>
      <w:r w:rsidR="00CD2B22" w:rsidRPr="00BE23EF">
        <w:rPr>
          <w:b/>
          <w:bCs/>
        </w:rPr>
        <w:t xml:space="preserve"> Employment growth by scenario (all occupations and critical clean energy occupations</w:t>
      </w:r>
      <w:r w:rsidR="00FE14BB">
        <w:rPr>
          <w:b/>
          <w:bCs/>
        </w:rPr>
        <w:t>)</w:t>
      </w:r>
    </w:p>
    <w:p w14:paraId="1CF495B3" w14:textId="1DA8E74D" w:rsidR="00015633" w:rsidRDefault="007C1DA3" w:rsidP="00CD2B22">
      <w:pPr>
        <w:spacing w:after="0"/>
        <w:rPr>
          <w:sz w:val="18"/>
          <w:szCs w:val="18"/>
        </w:rPr>
      </w:pPr>
      <w:r>
        <w:rPr>
          <w:noProof/>
        </w:rPr>
        <w:drawing>
          <wp:inline distT="0" distB="0" distL="0" distR="0" wp14:anchorId="73BE254C" wp14:editId="7EEF2C71">
            <wp:extent cx="5731510" cy="2388235"/>
            <wp:effectExtent l="0" t="0" r="2540" b="0"/>
            <wp:docPr id="159298638" name="Picture 159298638" descr="This figure represents employment growth in two line charts from June 2023 to June 2050. One for all occupations combined, and the other for the 38 critical clean energy occupations. Employment growth is represented by the Central, Low and High scenarios. In both charts, the High scenario delivers the strongest growth in employment to 2050, followed by the Central and Low scenar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8638" name="Picture 159298638" descr="This figure represents employment growth in two line charts from June 2023 to June 2050. One for all occupations combined, and the other for the 38 critical clean energy occupations. Employment growth is represented by the Central, Low and High scenarios. In both charts, the High scenario delivers the strongest growth in employment to 2050, followed by the Central and Low scenario.&#10;"/>
                    <pic:cNvPicPr/>
                  </pic:nvPicPr>
                  <pic:blipFill>
                    <a:blip r:embed="rId164" cstate="screen">
                      <a:extLst>
                        <a:ext uri="{28A0092B-C50C-407E-A947-70E740481C1C}">
                          <a14:useLocalDpi xmlns:a14="http://schemas.microsoft.com/office/drawing/2010/main"/>
                        </a:ext>
                      </a:extLst>
                    </a:blip>
                    <a:stretch>
                      <a:fillRect/>
                    </a:stretch>
                  </pic:blipFill>
                  <pic:spPr>
                    <a:xfrm>
                      <a:off x="0" y="0"/>
                      <a:ext cx="5731510" cy="2388235"/>
                    </a:xfrm>
                    <a:prstGeom prst="rect">
                      <a:avLst/>
                    </a:prstGeom>
                  </pic:spPr>
                </pic:pic>
              </a:graphicData>
            </a:graphic>
          </wp:inline>
        </w:drawing>
      </w:r>
    </w:p>
    <w:p w14:paraId="6BB23201" w14:textId="664183A2" w:rsidR="00CD2B22" w:rsidRDefault="00CD2B22" w:rsidP="00BE23EF">
      <w:pPr>
        <w:spacing w:before="120" w:after="0"/>
        <w:rPr>
          <w:sz w:val="18"/>
          <w:szCs w:val="18"/>
        </w:rPr>
      </w:pPr>
      <w:r w:rsidRPr="00E226A4">
        <w:rPr>
          <w:sz w:val="18"/>
          <w:szCs w:val="18"/>
        </w:rPr>
        <w:t>Source: Deloitte Access Economics 2023.</w:t>
      </w:r>
    </w:p>
    <w:bookmarkEnd w:id="60"/>
    <w:p w14:paraId="3003B334" w14:textId="3D01D6EC" w:rsidR="00BE23EF" w:rsidRDefault="00CD2B22" w:rsidP="00C175CC">
      <w:pPr>
        <w:spacing w:before="240" w:line="276" w:lineRule="auto"/>
        <w:rPr>
          <w14:numForm w14:val="lining"/>
          <w14:numSpacing w14:val="proportional"/>
        </w:rPr>
      </w:pPr>
      <w:r w:rsidRPr="00584D09">
        <w:rPr>
          <w14:numForm w14:val="lining"/>
          <w14:numSpacing w14:val="proportional"/>
        </w:rPr>
        <w:t>As the economy transforms to align with net zero and renewable targets</w:t>
      </w:r>
      <w:r w:rsidR="00E55B13" w:rsidRPr="00584D09">
        <w:rPr>
          <w14:numForm w14:val="lining"/>
          <w14:numSpacing w14:val="proportional"/>
        </w:rPr>
        <w:t>,</w:t>
      </w:r>
      <w:r w:rsidRPr="00584D09">
        <w:rPr>
          <w14:numForm w14:val="lining"/>
          <w14:numSpacing w14:val="proportional"/>
        </w:rPr>
        <w:t xml:space="preserve"> industries that contribute to the supply of electricity, or facilitate </w:t>
      </w:r>
      <w:r w:rsidR="00AC5D0E" w:rsidRPr="00584D09">
        <w:rPr>
          <w14:numForm w14:val="lining"/>
          <w14:numSpacing w14:val="proportional"/>
        </w:rPr>
        <w:t>the</w:t>
      </w:r>
      <w:r w:rsidR="0084580B" w:rsidRPr="00584D09">
        <w:rPr>
          <w14:numForm w14:val="lining"/>
          <w14:numSpacing w14:val="proportional"/>
        </w:rPr>
        <w:t xml:space="preserve"> demand </w:t>
      </w:r>
      <w:r w:rsidR="00024AC2">
        <w:rPr>
          <w14:numForm w14:val="lining"/>
          <w14:numSpacing w14:val="proportional"/>
        </w:rPr>
        <w:t>f</w:t>
      </w:r>
      <w:r w:rsidRPr="00584D09" w:rsidDel="00BA43F3">
        <w:rPr>
          <w14:numForm w14:val="lining"/>
          <w14:numSpacing w14:val="proportional"/>
        </w:rPr>
        <w:t>o</w:t>
      </w:r>
      <w:r w:rsidR="00024AC2">
        <w:rPr>
          <w14:numForm w14:val="lining"/>
          <w14:numSpacing w14:val="proportional"/>
        </w:rPr>
        <w:t>r</w:t>
      </w:r>
      <w:r w:rsidRPr="00584D09">
        <w:rPr>
          <w14:numForm w14:val="lining"/>
          <w14:numSpacing w14:val="proportional"/>
        </w:rPr>
        <w:t xml:space="preserve"> electricity, </w:t>
      </w:r>
      <w:r w:rsidR="00BA43F3" w:rsidRPr="00584D09">
        <w:rPr>
          <w14:numForm w14:val="lining"/>
          <w14:numSpacing w14:val="proportional"/>
        </w:rPr>
        <w:t xml:space="preserve">are likely to </w:t>
      </w:r>
      <w:r w:rsidRPr="00584D09">
        <w:rPr>
          <w14:numForm w14:val="lining"/>
          <w14:numSpacing w14:val="proportional"/>
        </w:rPr>
        <w:t>grow as Australia’s economy transitions</w:t>
      </w:r>
      <w:r w:rsidR="0052601F" w:rsidRPr="00584D09">
        <w:rPr>
          <w14:numForm w14:val="lining"/>
          <w14:numSpacing w14:val="proportional"/>
        </w:rPr>
        <w:t xml:space="preserve"> (Figure 5.4)</w:t>
      </w:r>
      <w:r w:rsidRPr="00584D09">
        <w:rPr>
          <w14:numForm w14:val="lining"/>
          <w14:numSpacing w14:val="proportional"/>
        </w:rPr>
        <w:t xml:space="preserve">. </w:t>
      </w:r>
      <w:r w:rsidR="00E76EA7">
        <w:rPr>
          <w14:numForm w14:val="lining"/>
          <w14:numSpacing w14:val="proportional"/>
        </w:rPr>
        <w:t>These industries</w:t>
      </w:r>
      <w:r w:rsidRPr="00584D09">
        <w:rPr>
          <w14:numForm w14:val="lining"/>
          <w14:numSpacing w14:val="proportional"/>
        </w:rPr>
        <w:t xml:space="preserve"> </w:t>
      </w:r>
      <w:r w:rsidR="00E20E2A" w:rsidRPr="00584D09">
        <w:rPr>
          <w14:numForm w14:val="lining"/>
          <w14:numSpacing w14:val="proportional"/>
        </w:rPr>
        <w:t xml:space="preserve">are likely to </w:t>
      </w:r>
      <w:r w:rsidRPr="00584D09">
        <w:rPr>
          <w14:numForm w14:val="lining"/>
          <w14:numSpacing w14:val="proportional"/>
        </w:rPr>
        <w:t>experience some of the highest rates of growth as Australia invests heavily in renewable energy generation and supports industries which can leverage the opportunity of electrification. Growth is, largely, highest in the first decade as rapid investment is rolled out to reach 2030 targets.</w:t>
      </w:r>
    </w:p>
    <w:p w14:paraId="73075DD4" w14:textId="4D850DEA" w:rsidR="00CD2B22" w:rsidRDefault="0052601F" w:rsidP="00BE23EF">
      <w:pPr>
        <w:pStyle w:val="Bodycopy"/>
        <w:pBdr>
          <w:top w:val="single" w:sz="4" w:space="5" w:color="BFBFBF" w:themeColor="background1" w:themeShade="BF"/>
        </w:pBdr>
      </w:pPr>
      <w:r>
        <w:rPr>
          <w:b/>
          <w:bCs/>
        </w:rPr>
        <w:t>Figure</w:t>
      </w:r>
      <w:r w:rsidRPr="0BCB6E10">
        <w:rPr>
          <w:b/>
          <w:bCs/>
        </w:rPr>
        <w:t xml:space="preserve"> </w:t>
      </w:r>
      <w:r w:rsidR="00CD2B22">
        <w:rPr>
          <w:b/>
          <w:bCs/>
        </w:rPr>
        <w:t>5.</w:t>
      </w:r>
      <w:r>
        <w:rPr>
          <w:b/>
          <w:bCs/>
        </w:rPr>
        <w:t>4</w:t>
      </w:r>
      <w:r w:rsidR="00664318">
        <w:rPr>
          <w:b/>
          <w:bCs/>
        </w:rPr>
        <w:t>.</w:t>
      </w:r>
      <w:r w:rsidR="00CD2B22" w:rsidRPr="0BCB6E10">
        <w:rPr>
          <w:b/>
          <w:bCs/>
        </w:rPr>
        <w:t xml:space="preserve"> </w:t>
      </w:r>
      <w:r w:rsidR="00CD2B22">
        <w:rPr>
          <w:b/>
          <w:bCs/>
        </w:rPr>
        <w:t xml:space="preserve">Average Annual Growth Rates </w:t>
      </w:r>
      <w:r w:rsidR="00D12746">
        <w:rPr>
          <w:b/>
          <w:bCs/>
        </w:rPr>
        <w:t xml:space="preserve">(%) </w:t>
      </w:r>
      <w:r w:rsidR="00CD2B22">
        <w:rPr>
          <w:b/>
          <w:bCs/>
        </w:rPr>
        <w:t xml:space="preserve">by clean energy segments, 2023-2050 </w:t>
      </w:r>
    </w:p>
    <w:p w14:paraId="66FF501B" w14:textId="05BBC67D" w:rsidR="00DE5811" w:rsidRDefault="003043AE" w:rsidP="00BD2A5E">
      <w:pPr>
        <w:rPr>
          <w:sz w:val="18"/>
          <w:szCs w:val="18"/>
        </w:rPr>
      </w:pPr>
      <w:r>
        <w:rPr>
          <w:rFonts w:eastAsia="Times New Roman" w:cs="Arial"/>
          <w:b/>
          <w:noProof/>
          <w:lang w:eastAsia="en-AU"/>
        </w:rPr>
        <w:drawing>
          <wp:inline distT="0" distB="0" distL="0" distR="0" wp14:anchorId="0FBA6EA6" wp14:editId="63C7B171">
            <wp:extent cx="5731510" cy="4298950"/>
            <wp:effectExtent l="0" t="0" r="2540" b="6350"/>
            <wp:docPr id="1531059291" name="Picture 1531059291" descr="This figure represents average annual growth rates in employment by clean energy segments from 2023 to 2050 across the three scenarios. Employment growth is the strongest across all scenarios in the Supply-Generation segment. Direct emissions-intensive and Indirect emissions-intensive segments have negative growth across all scenari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59291" name="Picture 1531059291" descr="This figure represents average annual growth rates in employment by clean energy segments from 2023 to 2050 across the three scenarios. Employment growth is the strongest across all scenarios in the Supply-Generation segment. Direct emissions-intensive and Indirect emissions-intensive segments have negative growth across all scenarios.&#10;"/>
                    <pic:cNvPicPr/>
                  </pic:nvPicPr>
                  <pic:blipFill>
                    <a:blip r:embed="rId165" cstate="screen">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r w:rsidR="00DE5811" w:rsidRPr="00E226A4">
        <w:rPr>
          <w:sz w:val="18"/>
          <w:szCs w:val="18"/>
        </w:rPr>
        <w:t>Source: Deloitte Access Economics 2023.</w:t>
      </w:r>
    </w:p>
    <w:p w14:paraId="7BDF60D8" w14:textId="533EA9E5" w:rsidR="00CD2B22" w:rsidRPr="00584D09" w:rsidRDefault="00CD2B22" w:rsidP="00BD2A5E">
      <w:pPr>
        <w:spacing w:before="240" w:after="120" w:line="276" w:lineRule="auto"/>
        <w:rPr>
          <w14:numForm w14:val="lining"/>
          <w14:numSpacing w14:val="proportional"/>
        </w:rPr>
      </w:pPr>
      <w:r w:rsidRPr="00584D09">
        <w:rPr>
          <w14:numForm w14:val="lining"/>
          <w14:numSpacing w14:val="proportional"/>
        </w:rPr>
        <w:t xml:space="preserve">In the following discussion we focus on the growth for a selection of these 38 occupations, </w:t>
      </w:r>
      <w:r w:rsidR="00DD46C6">
        <w:rPr>
          <w14:numForm w14:val="lining"/>
          <w14:numSpacing w14:val="proportional"/>
        </w:rPr>
        <w:t xml:space="preserve">based on the preliminary modelling, </w:t>
      </w:r>
      <w:r w:rsidRPr="00584D09">
        <w:rPr>
          <w14:numForm w14:val="lining"/>
          <w14:numSpacing w14:val="proportional"/>
        </w:rPr>
        <w:t>which represent the most critically important occupations to support the transformation.</w:t>
      </w:r>
    </w:p>
    <w:p w14:paraId="439339CD" w14:textId="6261DA48" w:rsidR="00CD2B22" w:rsidRPr="00584D09" w:rsidRDefault="00CD2B22" w:rsidP="00584D09">
      <w:pPr>
        <w:spacing w:after="120" w:line="276" w:lineRule="auto"/>
        <w:rPr>
          <w:color w:val="auto"/>
          <w14:numForm w14:val="lining"/>
          <w14:numSpacing w14:val="proportional"/>
        </w:rPr>
      </w:pPr>
      <w:r w:rsidRPr="00584D09">
        <w:rPr>
          <w:color w:val="auto"/>
          <w14:numForm w14:val="lining"/>
          <w14:numSpacing w14:val="proportional"/>
        </w:rPr>
        <w:t>Occupations with the highest growth rates</w:t>
      </w:r>
      <w:r w:rsidR="00A30B39" w:rsidRPr="00584D09">
        <w:rPr>
          <w:color w:val="auto"/>
          <w14:numForm w14:val="lining"/>
          <w14:numSpacing w14:val="proportional"/>
        </w:rPr>
        <w:t xml:space="preserve"> in the next seven years</w:t>
      </w:r>
      <w:r w:rsidRPr="00584D09">
        <w:rPr>
          <w:color w:val="auto"/>
          <w14:numForm w14:val="lining"/>
          <w14:numSpacing w14:val="proportional"/>
        </w:rPr>
        <w:t xml:space="preserve"> (2023-2030) include Telecommunications Trades Workers, Electronics Trades Workers, Electrical Engineering Draftspersons and Technicians, Structural Steel Construction Workers, Construction Managers, Plumbers and Electricians. The growth rates for these occupations are comparable across the </w:t>
      </w:r>
      <w:r w:rsidR="00DD46C6">
        <w:rPr>
          <w:color w:val="auto"/>
          <w14:numForm w14:val="lining"/>
          <w14:numSpacing w14:val="proportional"/>
        </w:rPr>
        <w:t>low</w:t>
      </w:r>
      <w:r w:rsidRPr="00584D09">
        <w:rPr>
          <w:color w:val="auto"/>
          <w14:numForm w14:val="lining"/>
          <w14:numSpacing w14:val="proportional"/>
        </w:rPr>
        <w:t xml:space="preserve"> and </w:t>
      </w:r>
      <w:r w:rsidR="00DD46C6">
        <w:rPr>
          <w:color w:val="auto"/>
          <w14:numForm w14:val="lining"/>
          <w14:numSpacing w14:val="proportional"/>
        </w:rPr>
        <w:t>c</w:t>
      </w:r>
      <w:r w:rsidRPr="00584D09">
        <w:rPr>
          <w:color w:val="auto"/>
          <w14:numForm w14:val="lining"/>
          <w14:numSpacing w14:val="proportional"/>
        </w:rPr>
        <w:t xml:space="preserve">entral scenarios, but much higher under the </w:t>
      </w:r>
      <w:r w:rsidR="00FC1006">
        <w:rPr>
          <w:color w:val="auto"/>
          <w14:numForm w14:val="lining"/>
          <w14:numSpacing w14:val="proportional"/>
        </w:rPr>
        <w:t>high</w:t>
      </w:r>
      <w:r w:rsidRPr="00584D09">
        <w:rPr>
          <w:color w:val="auto"/>
          <w14:numForm w14:val="lining"/>
          <w14:numSpacing w14:val="proportional"/>
        </w:rPr>
        <w:t xml:space="preserve"> scenario. </w:t>
      </w:r>
    </w:p>
    <w:p w14:paraId="021D46B7" w14:textId="4931F818" w:rsidR="00BD2A5E" w:rsidRDefault="00CD2B22" w:rsidP="00584D09">
      <w:pPr>
        <w:spacing w:after="120" w:line="276" w:lineRule="auto"/>
        <w:rPr>
          <w:color w:val="auto"/>
          <w14:numForm w14:val="lining"/>
          <w14:numSpacing w14:val="proportional"/>
        </w:rPr>
      </w:pPr>
      <w:r w:rsidRPr="00584D09">
        <w:rPr>
          <w14:numForm w14:val="lining"/>
          <w14:numSpacing w14:val="proportional"/>
        </w:rPr>
        <w:t xml:space="preserve">In the decade </w:t>
      </w:r>
      <w:r w:rsidRPr="00584D09">
        <w:rPr>
          <w:color w:val="auto"/>
          <w14:numForm w14:val="lining"/>
          <w14:numSpacing w14:val="proportional"/>
        </w:rPr>
        <w:t xml:space="preserve">leading to 2050, occupational growth is still dominated by the above listed occupations although at a significantly slower rate compared to the initial period. Also, it should be noted that the employment growth rates for the </w:t>
      </w:r>
      <w:r w:rsidR="00DD46C6">
        <w:rPr>
          <w:color w:val="auto"/>
          <w14:numForm w14:val="lining"/>
          <w14:numSpacing w14:val="proportional"/>
        </w:rPr>
        <w:t>c</w:t>
      </w:r>
      <w:r w:rsidRPr="00584D09">
        <w:rPr>
          <w:color w:val="auto"/>
          <w14:numForm w14:val="lining"/>
          <w14:numSpacing w14:val="proportional"/>
        </w:rPr>
        <w:t xml:space="preserve">entral and </w:t>
      </w:r>
      <w:r w:rsidR="00DD46C6">
        <w:rPr>
          <w:color w:val="auto"/>
          <w14:numForm w14:val="lining"/>
          <w14:numSpacing w14:val="proportional"/>
        </w:rPr>
        <w:t>high</w:t>
      </w:r>
      <w:r w:rsidRPr="00584D09">
        <w:rPr>
          <w:color w:val="auto"/>
          <w14:numForm w14:val="lining"/>
          <w14:numSpacing w14:val="proportional"/>
        </w:rPr>
        <w:t xml:space="preserve"> scenarios are very similar for the decade while the low scenario lags due to a lack of sustained investment.</w:t>
      </w:r>
    </w:p>
    <w:p w14:paraId="18F08288" w14:textId="77777777" w:rsidR="00BD2A5E" w:rsidRDefault="00BD2A5E">
      <w:pPr>
        <w:rPr>
          <w:color w:val="auto"/>
          <w14:numForm w14:val="lining"/>
          <w14:numSpacing w14:val="proportional"/>
        </w:rPr>
      </w:pPr>
      <w:r>
        <w:rPr>
          <w:color w:val="auto"/>
          <w14:numForm w14:val="lining"/>
          <w14:numSpacing w14:val="proportional"/>
        </w:rPr>
        <w:br w:type="page"/>
      </w:r>
    </w:p>
    <w:p w14:paraId="0258746F" w14:textId="1D079AAB" w:rsidR="00CD2B22" w:rsidRPr="00D87F5E" w:rsidRDefault="00CD2B22" w:rsidP="00BD2A5E">
      <w:pPr>
        <w:pStyle w:val="Bodycopy"/>
        <w:pBdr>
          <w:top w:val="single" w:sz="4" w:space="5" w:color="BFBFBF" w:themeColor="background1" w:themeShade="BF"/>
        </w:pBdr>
        <w:rPr>
          <w:b/>
          <w:bCs/>
        </w:rPr>
      </w:pPr>
      <w:r w:rsidRPr="00D87F5E">
        <w:rPr>
          <w:b/>
          <w:bCs/>
        </w:rPr>
        <w:t>Table 5.</w:t>
      </w:r>
      <w:r w:rsidR="005703BD">
        <w:rPr>
          <w:b/>
          <w:bCs/>
        </w:rPr>
        <w:t>1</w:t>
      </w:r>
      <w:r w:rsidR="00BD2A5E">
        <w:rPr>
          <w:b/>
          <w:bCs/>
        </w:rPr>
        <w:t xml:space="preserve">. </w:t>
      </w:r>
      <w:r w:rsidRPr="00D87F5E">
        <w:rPr>
          <w:b/>
          <w:bCs/>
        </w:rPr>
        <w:t xml:space="preserve">Average Annual Change </w:t>
      </w:r>
      <w:r w:rsidR="00AC000A" w:rsidRPr="00D87F5E">
        <w:rPr>
          <w:b/>
          <w:bCs/>
        </w:rPr>
        <w:t xml:space="preserve">(%) </w:t>
      </w:r>
      <w:r w:rsidRPr="00D87F5E">
        <w:rPr>
          <w:b/>
          <w:bCs/>
        </w:rPr>
        <w:t>in employment by occupation – 2023 to 2030 </w:t>
      </w:r>
    </w:p>
    <w:tbl>
      <w:tblPr>
        <w:tblW w:w="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4395"/>
        <w:gridCol w:w="1680"/>
        <w:gridCol w:w="1395"/>
        <w:gridCol w:w="1350"/>
      </w:tblGrid>
      <w:tr w:rsidR="00CD2B22" w:rsidRPr="00B609A9" w14:paraId="770CFD31" w14:textId="77777777" w:rsidTr="00AB2A75">
        <w:trPr>
          <w:trHeight w:val="300"/>
        </w:trPr>
        <w:tc>
          <w:tcPr>
            <w:tcW w:w="4395" w:type="dxa"/>
            <w:tcBorders>
              <w:bottom w:val="single" w:sz="4" w:space="0" w:color="auto"/>
              <w:right w:val="single" w:sz="4" w:space="0" w:color="auto"/>
            </w:tcBorders>
            <w:shd w:val="clear" w:color="auto" w:fill="D9D9D9" w:themeFill="background1" w:themeFillShade="D9"/>
            <w:vAlign w:val="center"/>
            <w:hideMark/>
          </w:tcPr>
          <w:p w14:paraId="16777F1F" w14:textId="77777777" w:rsidR="00CD2B22" w:rsidRPr="00B609A9" w:rsidRDefault="00CD2B22" w:rsidP="00AB2A75">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b/>
                <w:bCs/>
                <w:sz w:val="20"/>
                <w:szCs w:val="20"/>
                <w:lang w:eastAsia="en-AU"/>
              </w:rPr>
              <w:t>Occupation</w:t>
            </w:r>
            <w:r w:rsidRPr="077CE19B">
              <w:rPr>
                <w:rFonts w:eastAsia="Times New Roman" w:cs="Arial"/>
                <w:sz w:val="20"/>
                <w:szCs w:val="20"/>
                <w:lang w:eastAsia="en-AU"/>
              </w:rPr>
              <w:t> </w:t>
            </w:r>
          </w:p>
        </w:tc>
        <w:tc>
          <w:tcPr>
            <w:tcW w:w="1680" w:type="dxa"/>
            <w:tcBorders>
              <w:top w:val="single" w:sz="4" w:space="0" w:color="auto"/>
              <w:left w:val="single" w:sz="4" w:space="0" w:color="auto"/>
              <w:bottom w:val="single" w:sz="4" w:space="0" w:color="auto"/>
              <w:right w:val="single" w:sz="4" w:space="0" w:color="auto"/>
            </w:tcBorders>
            <w:shd w:val="clear" w:color="auto" w:fill="CEE9FB" w:themeFill="accent3" w:themeFillTint="33"/>
            <w:vAlign w:val="bottom"/>
            <w:hideMark/>
          </w:tcPr>
          <w:p w14:paraId="015495F8" w14:textId="7ADFD8A4" w:rsidR="00CD2B22" w:rsidRPr="00B609A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sz w:val="20"/>
                <w:szCs w:val="20"/>
                <w:lang w:eastAsia="en-AU"/>
              </w:rPr>
              <w:t>Low</w:t>
            </w:r>
            <w:r w:rsidR="00CD2B22" w:rsidRPr="0BCB6E10">
              <w:rPr>
                <w:rFonts w:eastAsia="Times New Roman" w:cs="Arial"/>
                <w:sz w:val="20"/>
                <w:szCs w:val="20"/>
                <w:lang w:eastAsia="en-AU"/>
              </w:rPr>
              <w:t> </w:t>
            </w:r>
          </w:p>
        </w:tc>
        <w:tc>
          <w:tcPr>
            <w:tcW w:w="1395" w:type="dxa"/>
            <w:tcBorders>
              <w:top w:val="single" w:sz="4" w:space="0" w:color="auto"/>
              <w:left w:val="single" w:sz="4" w:space="0" w:color="auto"/>
              <w:bottom w:val="single" w:sz="4" w:space="0" w:color="auto"/>
              <w:right w:val="single" w:sz="4" w:space="0" w:color="auto"/>
            </w:tcBorders>
            <w:shd w:val="clear" w:color="auto" w:fill="D2DE5A" w:themeFill="background2"/>
            <w:vAlign w:val="center"/>
            <w:hideMark/>
          </w:tcPr>
          <w:p w14:paraId="2509FD13" w14:textId="788703FC" w:rsidR="00CD2B22" w:rsidRPr="00B609A9" w:rsidRDefault="00CD2B22" w:rsidP="00AB2A75">
            <w:pPr>
              <w:spacing w:after="0" w:line="240" w:lineRule="auto"/>
              <w:jc w:val="center"/>
              <w:textAlignment w:val="baseline"/>
              <w:rPr>
                <w:rFonts w:ascii="Times New Roman" w:eastAsia="Times New Roman" w:hAnsi="Times New Roman" w:cs="Times New Roman"/>
                <w:color w:val="000000"/>
                <w:sz w:val="24"/>
                <w:szCs w:val="24"/>
                <w:lang w:eastAsia="en-AU"/>
              </w:rPr>
            </w:pPr>
            <w:r w:rsidRPr="0BCB6E10">
              <w:rPr>
                <w:rFonts w:eastAsia="Times New Roman" w:cs="Arial"/>
                <w:b/>
                <w:bCs/>
                <w:sz w:val="20"/>
                <w:szCs w:val="20"/>
                <w:lang w:eastAsia="en-AU"/>
              </w:rPr>
              <w:t>Central</w:t>
            </w:r>
          </w:p>
        </w:tc>
        <w:tc>
          <w:tcPr>
            <w:tcW w:w="1350" w:type="dxa"/>
            <w:tcBorders>
              <w:left w:val="single" w:sz="4" w:space="0" w:color="auto"/>
              <w:bottom w:val="single" w:sz="4" w:space="0" w:color="auto"/>
            </w:tcBorders>
            <w:shd w:val="clear" w:color="auto" w:fill="005D5D" w:themeFill="accent2"/>
            <w:vAlign w:val="bottom"/>
            <w:hideMark/>
          </w:tcPr>
          <w:p w14:paraId="0B3E7B4D" w14:textId="6EB0D6DA" w:rsidR="00CD2B22" w:rsidRPr="00B609A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FFFFFF" w:themeColor="background1"/>
                <w:sz w:val="20"/>
                <w:szCs w:val="20"/>
                <w:lang w:eastAsia="en-AU"/>
              </w:rPr>
              <w:t>High</w:t>
            </w:r>
            <w:r w:rsidR="00CD2B22" w:rsidRPr="00AB2A75">
              <w:rPr>
                <w:rFonts w:eastAsia="Times New Roman" w:cs="Arial"/>
                <w:color w:val="FFFFFF" w:themeColor="background1"/>
                <w:sz w:val="20"/>
                <w:szCs w:val="20"/>
                <w:lang w:eastAsia="en-AU"/>
              </w:rPr>
              <w:t> </w:t>
            </w:r>
          </w:p>
        </w:tc>
      </w:tr>
      <w:tr w:rsidR="00CD2B22" w:rsidRPr="00B609A9" w14:paraId="720EE128" w14:textId="77777777" w:rsidTr="00C70F33">
        <w:trPr>
          <w:trHeight w:val="300"/>
        </w:trPr>
        <w:tc>
          <w:tcPr>
            <w:tcW w:w="4395" w:type="dxa"/>
            <w:tcBorders>
              <w:top w:val="single" w:sz="4" w:space="0" w:color="auto"/>
              <w:bottom w:val="nil"/>
              <w:right w:val="single" w:sz="4" w:space="0" w:color="auto"/>
            </w:tcBorders>
            <w:shd w:val="clear" w:color="auto" w:fill="auto"/>
            <w:vAlign w:val="center"/>
            <w:hideMark/>
          </w:tcPr>
          <w:p w14:paraId="485A3C8B"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Telecommunications Trades Workers </w:t>
            </w:r>
          </w:p>
        </w:tc>
        <w:tc>
          <w:tcPr>
            <w:tcW w:w="1680" w:type="dxa"/>
            <w:tcBorders>
              <w:top w:val="single" w:sz="4" w:space="0" w:color="auto"/>
              <w:left w:val="single" w:sz="4" w:space="0" w:color="auto"/>
              <w:bottom w:val="nil"/>
              <w:right w:val="single" w:sz="4" w:space="0" w:color="auto"/>
            </w:tcBorders>
            <w:shd w:val="clear" w:color="auto" w:fill="auto"/>
            <w:vAlign w:val="center"/>
            <w:hideMark/>
          </w:tcPr>
          <w:p w14:paraId="48D18CC4" w14:textId="670E403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7.9</w:t>
            </w:r>
          </w:p>
        </w:tc>
        <w:tc>
          <w:tcPr>
            <w:tcW w:w="1395" w:type="dxa"/>
            <w:tcBorders>
              <w:top w:val="single" w:sz="4" w:space="0" w:color="auto"/>
              <w:left w:val="single" w:sz="4" w:space="0" w:color="auto"/>
              <w:bottom w:val="nil"/>
              <w:right w:val="single" w:sz="4" w:space="0" w:color="auto"/>
            </w:tcBorders>
            <w:shd w:val="clear" w:color="auto" w:fill="D2DE5A" w:themeFill="background2"/>
            <w:vAlign w:val="center"/>
            <w:hideMark/>
          </w:tcPr>
          <w:p w14:paraId="2A12271A" w14:textId="6B042B72"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8.0</w:t>
            </w:r>
          </w:p>
        </w:tc>
        <w:tc>
          <w:tcPr>
            <w:tcW w:w="1350" w:type="dxa"/>
            <w:tcBorders>
              <w:top w:val="single" w:sz="4" w:space="0" w:color="auto"/>
              <w:left w:val="single" w:sz="4" w:space="0" w:color="auto"/>
              <w:bottom w:val="nil"/>
            </w:tcBorders>
            <w:shd w:val="clear" w:color="auto" w:fill="auto"/>
            <w:vAlign w:val="center"/>
            <w:hideMark/>
          </w:tcPr>
          <w:p w14:paraId="1572D981" w14:textId="28C26A6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8.4</w:t>
            </w:r>
          </w:p>
        </w:tc>
      </w:tr>
      <w:tr w:rsidR="00CD2B22" w:rsidRPr="00B609A9" w14:paraId="577866FA" w14:textId="77777777" w:rsidTr="00C70F33">
        <w:trPr>
          <w:trHeight w:val="300"/>
        </w:trPr>
        <w:tc>
          <w:tcPr>
            <w:tcW w:w="4395" w:type="dxa"/>
            <w:tcBorders>
              <w:top w:val="nil"/>
              <w:bottom w:val="nil"/>
              <w:right w:val="single" w:sz="4" w:space="0" w:color="auto"/>
            </w:tcBorders>
            <w:shd w:val="clear" w:color="auto" w:fill="auto"/>
            <w:vAlign w:val="center"/>
            <w:hideMark/>
          </w:tcPr>
          <w:p w14:paraId="3FE0BDA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Electronics Trades Workers </w:t>
            </w:r>
          </w:p>
        </w:tc>
        <w:tc>
          <w:tcPr>
            <w:tcW w:w="1680" w:type="dxa"/>
            <w:tcBorders>
              <w:top w:val="nil"/>
              <w:left w:val="single" w:sz="4" w:space="0" w:color="auto"/>
              <w:bottom w:val="nil"/>
              <w:right w:val="single" w:sz="4" w:space="0" w:color="auto"/>
            </w:tcBorders>
            <w:shd w:val="clear" w:color="auto" w:fill="auto"/>
            <w:vAlign w:val="center"/>
            <w:hideMark/>
          </w:tcPr>
          <w:p w14:paraId="2BD9A9AF" w14:textId="4578C4E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6.0</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584F6083" w14:textId="1A03B43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6.1</w:t>
            </w:r>
          </w:p>
        </w:tc>
        <w:tc>
          <w:tcPr>
            <w:tcW w:w="1350" w:type="dxa"/>
            <w:tcBorders>
              <w:top w:val="nil"/>
              <w:left w:val="single" w:sz="4" w:space="0" w:color="auto"/>
              <w:bottom w:val="nil"/>
            </w:tcBorders>
            <w:shd w:val="clear" w:color="auto" w:fill="auto"/>
            <w:vAlign w:val="center"/>
            <w:hideMark/>
          </w:tcPr>
          <w:p w14:paraId="7836556E" w14:textId="45261FA4"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6.5</w:t>
            </w:r>
          </w:p>
        </w:tc>
      </w:tr>
      <w:tr w:rsidR="00CD2B22" w:rsidRPr="00B609A9" w14:paraId="5256F85E" w14:textId="77777777" w:rsidTr="00C70F33">
        <w:trPr>
          <w:trHeight w:val="525"/>
        </w:trPr>
        <w:tc>
          <w:tcPr>
            <w:tcW w:w="4395" w:type="dxa"/>
            <w:tcBorders>
              <w:top w:val="nil"/>
              <w:bottom w:val="nil"/>
              <w:right w:val="single" w:sz="4" w:space="0" w:color="auto"/>
            </w:tcBorders>
            <w:shd w:val="clear" w:color="auto" w:fill="auto"/>
            <w:vAlign w:val="center"/>
            <w:hideMark/>
          </w:tcPr>
          <w:p w14:paraId="41137523"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 Engineering Draftspersons and Technicians </w:t>
            </w:r>
          </w:p>
        </w:tc>
        <w:tc>
          <w:tcPr>
            <w:tcW w:w="1680" w:type="dxa"/>
            <w:tcBorders>
              <w:top w:val="nil"/>
              <w:left w:val="single" w:sz="4" w:space="0" w:color="auto"/>
              <w:bottom w:val="nil"/>
              <w:right w:val="single" w:sz="4" w:space="0" w:color="auto"/>
            </w:tcBorders>
            <w:shd w:val="clear" w:color="auto" w:fill="auto"/>
            <w:vAlign w:val="center"/>
            <w:hideMark/>
          </w:tcPr>
          <w:p w14:paraId="2281A445" w14:textId="6298B4F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5.2</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287BBC3" w14:textId="1B2683D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5.1</w:t>
            </w:r>
          </w:p>
        </w:tc>
        <w:tc>
          <w:tcPr>
            <w:tcW w:w="1350" w:type="dxa"/>
            <w:tcBorders>
              <w:top w:val="nil"/>
              <w:left w:val="single" w:sz="4" w:space="0" w:color="auto"/>
              <w:bottom w:val="nil"/>
            </w:tcBorders>
            <w:shd w:val="clear" w:color="auto" w:fill="auto"/>
            <w:vAlign w:val="center"/>
            <w:hideMark/>
          </w:tcPr>
          <w:p w14:paraId="0C3B19BC" w14:textId="176422A8"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5.4</w:t>
            </w:r>
          </w:p>
        </w:tc>
      </w:tr>
      <w:tr w:rsidR="00CD2B22" w:rsidRPr="00B609A9" w14:paraId="19A4EDB6" w14:textId="77777777" w:rsidTr="00C70F33">
        <w:trPr>
          <w:trHeight w:val="300"/>
        </w:trPr>
        <w:tc>
          <w:tcPr>
            <w:tcW w:w="4395" w:type="dxa"/>
            <w:tcBorders>
              <w:top w:val="nil"/>
              <w:bottom w:val="nil"/>
              <w:right w:val="single" w:sz="4" w:space="0" w:color="auto"/>
            </w:tcBorders>
            <w:shd w:val="clear" w:color="auto" w:fill="auto"/>
            <w:vAlign w:val="center"/>
            <w:hideMark/>
          </w:tcPr>
          <w:p w14:paraId="6D831B64"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Structural Steel Construction Workers </w:t>
            </w:r>
          </w:p>
        </w:tc>
        <w:tc>
          <w:tcPr>
            <w:tcW w:w="1680" w:type="dxa"/>
            <w:tcBorders>
              <w:top w:val="nil"/>
              <w:left w:val="single" w:sz="4" w:space="0" w:color="auto"/>
              <w:bottom w:val="nil"/>
              <w:right w:val="single" w:sz="4" w:space="0" w:color="auto"/>
            </w:tcBorders>
            <w:shd w:val="clear" w:color="auto" w:fill="auto"/>
            <w:vAlign w:val="center"/>
            <w:hideMark/>
          </w:tcPr>
          <w:p w14:paraId="59BEC516" w14:textId="77924B3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3.0</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69BBD47" w14:textId="2F9DB138"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3.2</w:t>
            </w:r>
          </w:p>
        </w:tc>
        <w:tc>
          <w:tcPr>
            <w:tcW w:w="1350" w:type="dxa"/>
            <w:tcBorders>
              <w:top w:val="nil"/>
              <w:left w:val="single" w:sz="4" w:space="0" w:color="auto"/>
              <w:bottom w:val="nil"/>
            </w:tcBorders>
            <w:shd w:val="clear" w:color="auto" w:fill="auto"/>
            <w:vAlign w:val="center"/>
            <w:hideMark/>
          </w:tcPr>
          <w:p w14:paraId="1FB90FEE" w14:textId="425C620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3.9</w:t>
            </w:r>
          </w:p>
        </w:tc>
      </w:tr>
      <w:tr w:rsidR="00CD2B22" w:rsidRPr="00B609A9" w14:paraId="30E5FF45" w14:textId="77777777" w:rsidTr="00C70F33">
        <w:trPr>
          <w:trHeight w:val="300"/>
        </w:trPr>
        <w:tc>
          <w:tcPr>
            <w:tcW w:w="4395" w:type="dxa"/>
            <w:tcBorders>
              <w:top w:val="nil"/>
              <w:bottom w:val="nil"/>
              <w:right w:val="single" w:sz="4" w:space="0" w:color="auto"/>
            </w:tcBorders>
            <w:shd w:val="clear" w:color="auto" w:fill="auto"/>
            <w:vAlign w:val="center"/>
            <w:hideMark/>
          </w:tcPr>
          <w:p w14:paraId="67402732"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Construction Managers </w:t>
            </w:r>
          </w:p>
        </w:tc>
        <w:tc>
          <w:tcPr>
            <w:tcW w:w="1680" w:type="dxa"/>
            <w:tcBorders>
              <w:top w:val="nil"/>
              <w:left w:val="single" w:sz="4" w:space="0" w:color="auto"/>
              <w:bottom w:val="nil"/>
              <w:right w:val="single" w:sz="4" w:space="0" w:color="auto"/>
            </w:tcBorders>
            <w:shd w:val="clear" w:color="auto" w:fill="auto"/>
            <w:vAlign w:val="center"/>
            <w:hideMark/>
          </w:tcPr>
          <w:p w14:paraId="232C9F54" w14:textId="6D2AB4A2"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1E91E27" w14:textId="4FA47574"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2.9</w:t>
            </w:r>
          </w:p>
        </w:tc>
        <w:tc>
          <w:tcPr>
            <w:tcW w:w="1350" w:type="dxa"/>
            <w:tcBorders>
              <w:top w:val="nil"/>
              <w:left w:val="single" w:sz="4" w:space="0" w:color="auto"/>
              <w:bottom w:val="nil"/>
            </w:tcBorders>
            <w:shd w:val="clear" w:color="auto" w:fill="auto"/>
            <w:vAlign w:val="center"/>
            <w:hideMark/>
          </w:tcPr>
          <w:p w14:paraId="67368054" w14:textId="1A60AD3B"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3.7</w:t>
            </w:r>
          </w:p>
        </w:tc>
      </w:tr>
      <w:tr w:rsidR="00CD2B22" w:rsidRPr="00B609A9" w14:paraId="356B0E36" w14:textId="77777777" w:rsidTr="00C70F33">
        <w:trPr>
          <w:trHeight w:val="300"/>
        </w:trPr>
        <w:tc>
          <w:tcPr>
            <w:tcW w:w="4395" w:type="dxa"/>
            <w:tcBorders>
              <w:top w:val="nil"/>
              <w:bottom w:val="nil"/>
              <w:right w:val="single" w:sz="4" w:space="0" w:color="auto"/>
            </w:tcBorders>
            <w:shd w:val="clear" w:color="auto" w:fill="auto"/>
            <w:vAlign w:val="center"/>
            <w:hideMark/>
          </w:tcPr>
          <w:p w14:paraId="027EC200"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Plumbers </w:t>
            </w:r>
          </w:p>
        </w:tc>
        <w:tc>
          <w:tcPr>
            <w:tcW w:w="1680" w:type="dxa"/>
            <w:tcBorders>
              <w:top w:val="nil"/>
              <w:left w:val="single" w:sz="4" w:space="0" w:color="auto"/>
              <w:bottom w:val="nil"/>
              <w:right w:val="single" w:sz="4" w:space="0" w:color="auto"/>
            </w:tcBorders>
            <w:shd w:val="clear" w:color="auto" w:fill="auto"/>
            <w:vAlign w:val="center"/>
            <w:hideMark/>
          </w:tcPr>
          <w:p w14:paraId="53E53BDC" w14:textId="09E2660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2.3</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C365A2B" w14:textId="733AC13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c>
          <w:tcPr>
            <w:tcW w:w="1350" w:type="dxa"/>
            <w:tcBorders>
              <w:top w:val="nil"/>
              <w:left w:val="single" w:sz="4" w:space="0" w:color="auto"/>
              <w:bottom w:val="nil"/>
            </w:tcBorders>
            <w:shd w:val="clear" w:color="auto" w:fill="auto"/>
            <w:vAlign w:val="center"/>
            <w:hideMark/>
          </w:tcPr>
          <w:p w14:paraId="6C2DD5AC" w14:textId="4D702FB2"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3.4</w:t>
            </w:r>
          </w:p>
        </w:tc>
      </w:tr>
      <w:tr w:rsidR="00CD2B22" w:rsidRPr="00B609A9" w14:paraId="0B27CDFF" w14:textId="77777777" w:rsidTr="00C70F33">
        <w:trPr>
          <w:trHeight w:val="300"/>
        </w:trPr>
        <w:tc>
          <w:tcPr>
            <w:tcW w:w="4395" w:type="dxa"/>
            <w:tcBorders>
              <w:top w:val="nil"/>
              <w:bottom w:val="nil"/>
              <w:right w:val="single" w:sz="4" w:space="0" w:color="auto"/>
            </w:tcBorders>
            <w:shd w:val="clear" w:color="auto" w:fill="auto"/>
            <w:vAlign w:val="center"/>
            <w:hideMark/>
          </w:tcPr>
          <w:p w14:paraId="670D08A7"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Electricians </w:t>
            </w:r>
          </w:p>
        </w:tc>
        <w:tc>
          <w:tcPr>
            <w:tcW w:w="1680" w:type="dxa"/>
            <w:tcBorders>
              <w:top w:val="nil"/>
              <w:left w:val="single" w:sz="4" w:space="0" w:color="auto"/>
              <w:bottom w:val="nil"/>
              <w:right w:val="single" w:sz="4" w:space="0" w:color="auto"/>
            </w:tcBorders>
            <w:shd w:val="clear" w:color="auto" w:fill="auto"/>
            <w:vAlign w:val="center"/>
            <w:hideMark/>
          </w:tcPr>
          <w:p w14:paraId="7A11E31A" w14:textId="63E298C0"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2.1</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B4266FE" w14:textId="3014937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2.5</w:t>
            </w:r>
          </w:p>
        </w:tc>
        <w:tc>
          <w:tcPr>
            <w:tcW w:w="1350" w:type="dxa"/>
            <w:tcBorders>
              <w:top w:val="nil"/>
              <w:left w:val="single" w:sz="4" w:space="0" w:color="auto"/>
              <w:bottom w:val="nil"/>
            </w:tcBorders>
            <w:shd w:val="clear" w:color="auto" w:fill="auto"/>
            <w:vAlign w:val="center"/>
            <w:hideMark/>
          </w:tcPr>
          <w:p w14:paraId="5D75CC34" w14:textId="070AFCD5"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3.3</w:t>
            </w:r>
          </w:p>
        </w:tc>
      </w:tr>
      <w:tr w:rsidR="00CD2B22" w:rsidRPr="00B609A9" w14:paraId="6B80F891" w14:textId="77777777" w:rsidTr="00C70F33">
        <w:trPr>
          <w:trHeight w:val="300"/>
        </w:trPr>
        <w:tc>
          <w:tcPr>
            <w:tcW w:w="4395" w:type="dxa"/>
            <w:tcBorders>
              <w:top w:val="nil"/>
              <w:bottom w:val="nil"/>
              <w:right w:val="single" w:sz="4" w:space="0" w:color="auto"/>
            </w:tcBorders>
            <w:shd w:val="clear" w:color="auto" w:fill="auto"/>
            <w:vAlign w:val="center"/>
            <w:hideMark/>
          </w:tcPr>
          <w:p w14:paraId="111660B8"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Airconditioning and Refrigeration Mechanics </w:t>
            </w:r>
          </w:p>
        </w:tc>
        <w:tc>
          <w:tcPr>
            <w:tcW w:w="1680" w:type="dxa"/>
            <w:tcBorders>
              <w:top w:val="nil"/>
              <w:left w:val="single" w:sz="4" w:space="0" w:color="auto"/>
              <w:bottom w:val="nil"/>
              <w:right w:val="single" w:sz="4" w:space="0" w:color="auto"/>
            </w:tcBorders>
            <w:shd w:val="clear" w:color="auto" w:fill="auto"/>
            <w:vAlign w:val="center"/>
            <w:hideMark/>
          </w:tcPr>
          <w:p w14:paraId="22892559" w14:textId="4B922D41"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26A8B25" w14:textId="206AD0CB"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c>
          <w:tcPr>
            <w:tcW w:w="1350" w:type="dxa"/>
            <w:tcBorders>
              <w:top w:val="nil"/>
              <w:left w:val="single" w:sz="4" w:space="0" w:color="auto"/>
              <w:bottom w:val="nil"/>
            </w:tcBorders>
            <w:shd w:val="clear" w:color="auto" w:fill="auto"/>
            <w:vAlign w:val="center"/>
            <w:hideMark/>
          </w:tcPr>
          <w:p w14:paraId="4C68CCAD" w14:textId="41DEE118"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3.2</w:t>
            </w:r>
          </w:p>
        </w:tc>
      </w:tr>
      <w:tr w:rsidR="00CD2B22" w:rsidRPr="00B609A9" w14:paraId="5899F91B" w14:textId="77777777" w:rsidTr="00C70F33">
        <w:trPr>
          <w:trHeight w:val="300"/>
        </w:trPr>
        <w:tc>
          <w:tcPr>
            <w:tcW w:w="4395" w:type="dxa"/>
            <w:tcBorders>
              <w:top w:val="nil"/>
              <w:bottom w:val="nil"/>
              <w:right w:val="single" w:sz="4" w:space="0" w:color="auto"/>
            </w:tcBorders>
            <w:shd w:val="clear" w:color="auto" w:fill="auto"/>
            <w:vAlign w:val="center"/>
            <w:hideMark/>
          </w:tcPr>
          <w:p w14:paraId="4DCCBCD9"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Agricultural and Forestry Scientists </w:t>
            </w:r>
          </w:p>
        </w:tc>
        <w:tc>
          <w:tcPr>
            <w:tcW w:w="1680" w:type="dxa"/>
            <w:tcBorders>
              <w:top w:val="nil"/>
              <w:left w:val="single" w:sz="4" w:space="0" w:color="auto"/>
              <w:bottom w:val="nil"/>
              <w:right w:val="single" w:sz="4" w:space="0" w:color="auto"/>
            </w:tcBorders>
            <w:shd w:val="clear" w:color="auto" w:fill="auto"/>
            <w:vAlign w:val="center"/>
            <w:hideMark/>
          </w:tcPr>
          <w:p w14:paraId="4275B982" w14:textId="1E6E1E54"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95A808D" w14:textId="3CD8BFEE"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2.9</w:t>
            </w:r>
          </w:p>
        </w:tc>
        <w:tc>
          <w:tcPr>
            <w:tcW w:w="1350" w:type="dxa"/>
            <w:tcBorders>
              <w:top w:val="nil"/>
              <w:left w:val="single" w:sz="4" w:space="0" w:color="auto"/>
              <w:bottom w:val="nil"/>
            </w:tcBorders>
            <w:shd w:val="clear" w:color="auto" w:fill="auto"/>
            <w:vAlign w:val="center"/>
            <w:hideMark/>
          </w:tcPr>
          <w:p w14:paraId="60027045" w14:textId="018E305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3.2</w:t>
            </w:r>
          </w:p>
        </w:tc>
      </w:tr>
      <w:tr w:rsidR="00CD2B22" w:rsidRPr="00B609A9" w14:paraId="03B4D671" w14:textId="77777777" w:rsidTr="00C70F33">
        <w:trPr>
          <w:trHeight w:val="300"/>
        </w:trPr>
        <w:tc>
          <w:tcPr>
            <w:tcW w:w="4395" w:type="dxa"/>
            <w:tcBorders>
              <w:top w:val="nil"/>
              <w:bottom w:val="nil"/>
              <w:right w:val="single" w:sz="4" w:space="0" w:color="auto"/>
            </w:tcBorders>
            <w:shd w:val="clear" w:color="auto" w:fill="auto"/>
            <w:vAlign w:val="center"/>
            <w:hideMark/>
          </w:tcPr>
          <w:p w14:paraId="25F66C2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Urban and Regional Planners </w:t>
            </w:r>
          </w:p>
        </w:tc>
        <w:tc>
          <w:tcPr>
            <w:tcW w:w="1680" w:type="dxa"/>
            <w:tcBorders>
              <w:top w:val="nil"/>
              <w:left w:val="single" w:sz="4" w:space="0" w:color="auto"/>
              <w:bottom w:val="nil"/>
              <w:right w:val="single" w:sz="4" w:space="0" w:color="auto"/>
            </w:tcBorders>
            <w:shd w:val="clear" w:color="auto" w:fill="auto"/>
            <w:vAlign w:val="center"/>
            <w:hideMark/>
          </w:tcPr>
          <w:p w14:paraId="79A105B6" w14:textId="46E2544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2.3</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16511A0" w14:textId="6247F28A"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2.4</w:t>
            </w:r>
          </w:p>
        </w:tc>
        <w:tc>
          <w:tcPr>
            <w:tcW w:w="1350" w:type="dxa"/>
            <w:tcBorders>
              <w:top w:val="nil"/>
              <w:left w:val="single" w:sz="4" w:space="0" w:color="auto"/>
              <w:bottom w:val="nil"/>
            </w:tcBorders>
            <w:shd w:val="clear" w:color="auto" w:fill="auto"/>
            <w:vAlign w:val="center"/>
            <w:hideMark/>
          </w:tcPr>
          <w:p w14:paraId="0D62005E" w14:textId="73C8D2C1"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2.7</w:t>
            </w:r>
          </w:p>
        </w:tc>
      </w:tr>
      <w:tr w:rsidR="00CD2B22" w:rsidRPr="00B609A9" w14:paraId="16DDAF01" w14:textId="77777777" w:rsidTr="00C70F33">
        <w:trPr>
          <w:trHeight w:val="300"/>
        </w:trPr>
        <w:tc>
          <w:tcPr>
            <w:tcW w:w="4395" w:type="dxa"/>
            <w:tcBorders>
              <w:top w:val="nil"/>
              <w:bottom w:val="nil"/>
              <w:right w:val="single" w:sz="4" w:space="0" w:color="auto"/>
            </w:tcBorders>
            <w:shd w:val="clear" w:color="auto" w:fill="auto"/>
            <w:vAlign w:val="center"/>
            <w:hideMark/>
          </w:tcPr>
          <w:p w14:paraId="4B935AA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Other Engineering Professionals </w:t>
            </w:r>
          </w:p>
        </w:tc>
        <w:tc>
          <w:tcPr>
            <w:tcW w:w="1680" w:type="dxa"/>
            <w:tcBorders>
              <w:top w:val="nil"/>
              <w:left w:val="single" w:sz="4" w:space="0" w:color="auto"/>
              <w:bottom w:val="nil"/>
              <w:right w:val="single" w:sz="4" w:space="0" w:color="auto"/>
            </w:tcBorders>
            <w:shd w:val="clear" w:color="auto" w:fill="auto"/>
            <w:vAlign w:val="center"/>
            <w:hideMark/>
          </w:tcPr>
          <w:p w14:paraId="6F0AB6CD" w14:textId="7A4A3809"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2.2</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913BE67" w14:textId="7D30733E"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2.3</w:t>
            </w:r>
          </w:p>
        </w:tc>
        <w:tc>
          <w:tcPr>
            <w:tcW w:w="1350" w:type="dxa"/>
            <w:tcBorders>
              <w:top w:val="nil"/>
              <w:left w:val="single" w:sz="4" w:space="0" w:color="auto"/>
              <w:bottom w:val="nil"/>
            </w:tcBorders>
            <w:shd w:val="clear" w:color="auto" w:fill="auto"/>
            <w:vAlign w:val="center"/>
            <w:hideMark/>
          </w:tcPr>
          <w:p w14:paraId="557C267F" w14:textId="0C54B04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2.6</w:t>
            </w:r>
          </w:p>
        </w:tc>
      </w:tr>
      <w:tr w:rsidR="00CD2B22" w:rsidRPr="00B609A9" w14:paraId="3E8E11AB" w14:textId="77777777" w:rsidTr="00C70F33">
        <w:trPr>
          <w:trHeight w:val="300"/>
        </w:trPr>
        <w:tc>
          <w:tcPr>
            <w:tcW w:w="4395" w:type="dxa"/>
            <w:tcBorders>
              <w:top w:val="nil"/>
              <w:bottom w:val="nil"/>
              <w:right w:val="single" w:sz="4" w:space="0" w:color="auto"/>
            </w:tcBorders>
            <w:shd w:val="clear" w:color="auto" w:fill="auto"/>
            <w:vAlign w:val="center"/>
            <w:hideMark/>
          </w:tcPr>
          <w:p w14:paraId="518F7D2C"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Industrial, Mechanical and Production Engineers </w:t>
            </w:r>
          </w:p>
        </w:tc>
        <w:tc>
          <w:tcPr>
            <w:tcW w:w="1680" w:type="dxa"/>
            <w:tcBorders>
              <w:top w:val="nil"/>
              <w:left w:val="single" w:sz="4" w:space="0" w:color="auto"/>
              <w:bottom w:val="nil"/>
              <w:right w:val="single" w:sz="4" w:space="0" w:color="auto"/>
            </w:tcBorders>
            <w:shd w:val="clear" w:color="auto" w:fill="auto"/>
            <w:vAlign w:val="center"/>
            <w:hideMark/>
          </w:tcPr>
          <w:p w14:paraId="08C1E997" w14:textId="2AC114E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2.0</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22AE8DA" w14:textId="4C4CEDB0"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2.1</w:t>
            </w:r>
          </w:p>
        </w:tc>
        <w:tc>
          <w:tcPr>
            <w:tcW w:w="1350" w:type="dxa"/>
            <w:tcBorders>
              <w:top w:val="nil"/>
              <w:left w:val="single" w:sz="4" w:space="0" w:color="auto"/>
              <w:bottom w:val="nil"/>
            </w:tcBorders>
            <w:shd w:val="clear" w:color="auto" w:fill="auto"/>
            <w:vAlign w:val="center"/>
            <w:hideMark/>
          </w:tcPr>
          <w:p w14:paraId="1333A001" w14:textId="3E47631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2.4</w:t>
            </w:r>
          </w:p>
        </w:tc>
      </w:tr>
      <w:tr w:rsidR="00CD2B22" w:rsidRPr="00B609A9" w14:paraId="4EB5AB30" w14:textId="77777777" w:rsidTr="00C70F33">
        <w:trPr>
          <w:trHeight w:val="300"/>
        </w:trPr>
        <w:tc>
          <w:tcPr>
            <w:tcW w:w="4395" w:type="dxa"/>
            <w:tcBorders>
              <w:top w:val="nil"/>
              <w:bottom w:val="nil"/>
              <w:right w:val="single" w:sz="4" w:space="0" w:color="auto"/>
            </w:tcBorders>
            <w:shd w:val="clear" w:color="auto" w:fill="auto"/>
            <w:vAlign w:val="center"/>
            <w:hideMark/>
          </w:tcPr>
          <w:p w14:paraId="6B4895A6"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Civil Engineering Professionals </w:t>
            </w:r>
          </w:p>
        </w:tc>
        <w:tc>
          <w:tcPr>
            <w:tcW w:w="1680" w:type="dxa"/>
            <w:tcBorders>
              <w:top w:val="nil"/>
              <w:left w:val="single" w:sz="4" w:space="0" w:color="auto"/>
              <w:bottom w:val="nil"/>
              <w:right w:val="single" w:sz="4" w:space="0" w:color="auto"/>
            </w:tcBorders>
            <w:shd w:val="clear" w:color="auto" w:fill="auto"/>
            <w:vAlign w:val="center"/>
            <w:hideMark/>
          </w:tcPr>
          <w:p w14:paraId="5AA1FAE9" w14:textId="27FB42C6"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1.5</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323B55B" w14:textId="46C20CEE"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1.5</w:t>
            </w:r>
          </w:p>
        </w:tc>
        <w:tc>
          <w:tcPr>
            <w:tcW w:w="1350" w:type="dxa"/>
            <w:tcBorders>
              <w:top w:val="nil"/>
              <w:left w:val="single" w:sz="4" w:space="0" w:color="auto"/>
              <w:bottom w:val="nil"/>
            </w:tcBorders>
            <w:shd w:val="clear" w:color="auto" w:fill="auto"/>
            <w:vAlign w:val="center"/>
            <w:hideMark/>
          </w:tcPr>
          <w:p w14:paraId="5BF12F6F" w14:textId="6D3D7B7F"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1.9</w:t>
            </w:r>
          </w:p>
        </w:tc>
      </w:tr>
      <w:tr w:rsidR="00CD2B22" w:rsidRPr="00B609A9" w14:paraId="4E8615E6" w14:textId="77777777" w:rsidTr="00C70F33">
        <w:trPr>
          <w:trHeight w:val="300"/>
        </w:trPr>
        <w:tc>
          <w:tcPr>
            <w:tcW w:w="4395" w:type="dxa"/>
            <w:tcBorders>
              <w:top w:val="nil"/>
              <w:bottom w:val="nil"/>
              <w:right w:val="single" w:sz="4" w:space="0" w:color="auto"/>
            </w:tcBorders>
            <w:shd w:val="clear" w:color="auto" w:fill="auto"/>
            <w:vAlign w:val="center"/>
            <w:hideMark/>
          </w:tcPr>
          <w:p w14:paraId="2A751F90"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Engineering Managers </w:t>
            </w:r>
          </w:p>
        </w:tc>
        <w:tc>
          <w:tcPr>
            <w:tcW w:w="1680" w:type="dxa"/>
            <w:tcBorders>
              <w:top w:val="nil"/>
              <w:left w:val="single" w:sz="4" w:space="0" w:color="auto"/>
              <w:bottom w:val="nil"/>
              <w:right w:val="single" w:sz="4" w:space="0" w:color="auto"/>
            </w:tcBorders>
            <w:shd w:val="clear" w:color="auto" w:fill="auto"/>
            <w:vAlign w:val="center"/>
            <w:hideMark/>
          </w:tcPr>
          <w:p w14:paraId="6A48A9F5" w14:textId="6AB7A19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0AD0342" w14:textId="1D76E699"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1.7</w:t>
            </w:r>
          </w:p>
        </w:tc>
        <w:tc>
          <w:tcPr>
            <w:tcW w:w="1350" w:type="dxa"/>
            <w:tcBorders>
              <w:top w:val="nil"/>
              <w:left w:val="single" w:sz="4" w:space="0" w:color="auto"/>
              <w:bottom w:val="nil"/>
            </w:tcBorders>
            <w:shd w:val="clear" w:color="auto" w:fill="auto"/>
            <w:vAlign w:val="center"/>
            <w:hideMark/>
          </w:tcPr>
          <w:p w14:paraId="0862B9FF" w14:textId="21BFBBDC"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2.0</w:t>
            </w:r>
          </w:p>
        </w:tc>
      </w:tr>
      <w:tr w:rsidR="00CD2B22" w:rsidRPr="00B609A9" w14:paraId="030B349B" w14:textId="77777777" w:rsidTr="00C70F33">
        <w:trPr>
          <w:trHeight w:val="300"/>
        </w:trPr>
        <w:tc>
          <w:tcPr>
            <w:tcW w:w="4395" w:type="dxa"/>
            <w:tcBorders>
              <w:top w:val="nil"/>
              <w:bottom w:val="single" w:sz="4" w:space="0" w:color="auto"/>
              <w:right w:val="single" w:sz="4" w:space="0" w:color="auto"/>
            </w:tcBorders>
            <w:shd w:val="clear" w:color="auto" w:fill="auto"/>
            <w:vAlign w:val="center"/>
            <w:hideMark/>
          </w:tcPr>
          <w:p w14:paraId="0902E89F" w14:textId="77777777" w:rsidR="00CD2B22" w:rsidRPr="00B609A9" w:rsidRDefault="00CD2B22"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Electrical Engineers </w:t>
            </w:r>
          </w:p>
        </w:tc>
        <w:tc>
          <w:tcPr>
            <w:tcW w:w="1680" w:type="dxa"/>
            <w:tcBorders>
              <w:top w:val="nil"/>
              <w:left w:val="single" w:sz="4" w:space="0" w:color="auto"/>
              <w:bottom w:val="single" w:sz="4" w:space="0" w:color="auto"/>
              <w:right w:val="single" w:sz="4" w:space="0" w:color="auto"/>
            </w:tcBorders>
            <w:shd w:val="clear" w:color="auto" w:fill="auto"/>
            <w:vAlign w:val="center"/>
            <w:hideMark/>
          </w:tcPr>
          <w:p w14:paraId="4FA2BF47" w14:textId="5396A6C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1.5</w:t>
            </w:r>
          </w:p>
        </w:tc>
        <w:tc>
          <w:tcPr>
            <w:tcW w:w="1395" w:type="dxa"/>
            <w:tcBorders>
              <w:top w:val="nil"/>
              <w:left w:val="single" w:sz="4" w:space="0" w:color="auto"/>
              <w:bottom w:val="single" w:sz="4" w:space="0" w:color="auto"/>
              <w:right w:val="single" w:sz="4" w:space="0" w:color="auto"/>
            </w:tcBorders>
            <w:shd w:val="clear" w:color="auto" w:fill="D2DE5A" w:themeFill="background2"/>
            <w:vAlign w:val="center"/>
            <w:hideMark/>
          </w:tcPr>
          <w:p w14:paraId="3190E461" w14:textId="757930C7"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1.6</w:t>
            </w:r>
          </w:p>
        </w:tc>
        <w:tc>
          <w:tcPr>
            <w:tcW w:w="1350" w:type="dxa"/>
            <w:tcBorders>
              <w:top w:val="nil"/>
              <w:left w:val="single" w:sz="4" w:space="0" w:color="auto"/>
              <w:bottom w:val="single" w:sz="4" w:space="0" w:color="auto"/>
            </w:tcBorders>
            <w:shd w:val="clear" w:color="auto" w:fill="auto"/>
            <w:vAlign w:val="center"/>
            <w:hideMark/>
          </w:tcPr>
          <w:p w14:paraId="1E96320F" w14:textId="55885763" w:rsidR="00CD2B22" w:rsidRPr="00B609A9" w:rsidRDefault="00CD2B22"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1.9</w:t>
            </w:r>
          </w:p>
        </w:tc>
      </w:tr>
    </w:tbl>
    <w:p w14:paraId="00D4FB93" w14:textId="24E54902" w:rsidR="00DE5811" w:rsidRDefault="00DE5811" w:rsidP="00BD2A5E">
      <w:pPr>
        <w:spacing w:after="360"/>
        <w:rPr>
          <w:sz w:val="18"/>
          <w:szCs w:val="18"/>
        </w:rPr>
      </w:pPr>
      <w:r w:rsidRPr="00E226A4">
        <w:rPr>
          <w:sz w:val="18"/>
          <w:szCs w:val="18"/>
        </w:rPr>
        <w:t>Source: Deloitte Access Economics 2023.</w:t>
      </w:r>
    </w:p>
    <w:p w14:paraId="5E0FBABF" w14:textId="112F503A" w:rsidR="00D514ED" w:rsidRPr="00583479" w:rsidRDefault="00D514ED" w:rsidP="00BD2A5E">
      <w:pPr>
        <w:pStyle w:val="Bodycopy"/>
        <w:pBdr>
          <w:top w:val="single" w:sz="4" w:space="5" w:color="BFBFBF" w:themeColor="background1" w:themeShade="BF"/>
        </w:pBdr>
        <w:rPr>
          <w:rFonts w:ascii="Segoe UI" w:eastAsia="Times New Roman" w:hAnsi="Segoe UI" w:cs="Segoe UI"/>
          <w:color w:val="000000"/>
          <w:sz w:val="18"/>
          <w:szCs w:val="18"/>
          <w:lang w:eastAsia="en-AU"/>
        </w:rPr>
      </w:pPr>
      <w:r>
        <w:rPr>
          <w:rFonts w:eastAsia="Times New Roman" w:cs="Arial"/>
          <w:b/>
          <w:bCs/>
          <w:color w:val="000000"/>
          <w:lang w:eastAsia="en-AU"/>
        </w:rPr>
        <w:t>Table 5.</w:t>
      </w:r>
      <w:r w:rsidR="005703BD">
        <w:rPr>
          <w:rFonts w:eastAsia="Times New Roman" w:cs="Arial"/>
          <w:b/>
          <w:bCs/>
          <w:color w:val="000000"/>
          <w:lang w:eastAsia="en-AU"/>
        </w:rPr>
        <w:t>2</w:t>
      </w:r>
      <w:r w:rsidR="00BD2A5E">
        <w:rPr>
          <w:rFonts w:eastAsia="Times New Roman" w:cs="Arial"/>
          <w:b/>
          <w:bCs/>
          <w:color w:val="000000"/>
          <w:lang w:eastAsia="en-AU"/>
        </w:rPr>
        <w:t>.</w:t>
      </w:r>
      <w:r>
        <w:rPr>
          <w:rFonts w:eastAsia="Times New Roman" w:cs="Arial"/>
          <w:b/>
          <w:bCs/>
          <w:color w:val="000000"/>
          <w:lang w:eastAsia="en-AU"/>
        </w:rPr>
        <w:t xml:space="preserve"> </w:t>
      </w:r>
      <w:r w:rsidRPr="001D5860">
        <w:rPr>
          <w:b/>
          <w:bCs/>
        </w:rPr>
        <w:t>Average</w:t>
      </w:r>
      <w:r w:rsidRPr="00583479">
        <w:rPr>
          <w:rFonts w:eastAsia="Times New Roman" w:cs="Arial"/>
          <w:b/>
          <w:bCs/>
          <w:color w:val="000000"/>
          <w:lang w:eastAsia="en-AU"/>
        </w:rPr>
        <w:t xml:space="preserve"> Annual Change </w:t>
      </w:r>
      <w:r w:rsidR="00AC000A">
        <w:rPr>
          <w:rFonts w:eastAsia="Times New Roman" w:cs="Arial"/>
          <w:b/>
          <w:bCs/>
          <w:color w:val="000000"/>
          <w:lang w:eastAsia="en-AU"/>
        </w:rPr>
        <w:t xml:space="preserve">(%) </w:t>
      </w:r>
      <w:r w:rsidRPr="00583479">
        <w:rPr>
          <w:rFonts w:eastAsia="Times New Roman" w:cs="Arial"/>
          <w:b/>
          <w:bCs/>
          <w:color w:val="000000"/>
          <w:lang w:eastAsia="en-AU"/>
        </w:rPr>
        <w:t>in employment by occupation – 203</w:t>
      </w:r>
      <w:r w:rsidR="001D2219">
        <w:rPr>
          <w:rFonts w:eastAsia="Times New Roman" w:cs="Arial"/>
          <w:b/>
          <w:bCs/>
          <w:color w:val="000000"/>
          <w:lang w:eastAsia="en-AU"/>
        </w:rPr>
        <w:t>0</w:t>
      </w:r>
      <w:r w:rsidRPr="00583479">
        <w:rPr>
          <w:rFonts w:eastAsia="Times New Roman" w:cs="Arial"/>
          <w:b/>
          <w:bCs/>
          <w:color w:val="000000"/>
          <w:lang w:eastAsia="en-AU"/>
        </w:rPr>
        <w:t xml:space="preserve"> to 2040</w:t>
      </w:r>
      <w:r w:rsidRPr="00583479">
        <w:rPr>
          <w:rFonts w:eastAsia="Times New Roman" w:cs="Arial"/>
          <w:color w:val="000000"/>
          <w:lang w:eastAsia="en-AU"/>
        </w:rPr>
        <w:t> </w:t>
      </w:r>
    </w:p>
    <w:tbl>
      <w:tblPr>
        <w:tblW w:w="8820" w:type="dxa"/>
        <w:tblCellMar>
          <w:left w:w="0" w:type="dxa"/>
          <w:right w:w="0" w:type="dxa"/>
        </w:tblCellMar>
        <w:tblLook w:val="04A0" w:firstRow="1" w:lastRow="0" w:firstColumn="1" w:lastColumn="0" w:noHBand="0" w:noVBand="1"/>
      </w:tblPr>
      <w:tblGrid>
        <w:gridCol w:w="4395"/>
        <w:gridCol w:w="1680"/>
        <w:gridCol w:w="1395"/>
        <w:gridCol w:w="1350"/>
      </w:tblGrid>
      <w:tr w:rsidR="00BC4C47" w:rsidRPr="00583479" w14:paraId="252CD3C8" w14:textId="77777777" w:rsidTr="00C70F33">
        <w:trPr>
          <w:trHeight w:val="300"/>
        </w:trPr>
        <w:tc>
          <w:tcPr>
            <w:tcW w:w="4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7C17F7" w14:textId="77777777" w:rsidR="00D514ED" w:rsidRPr="00583479" w:rsidRDefault="00D514ED" w:rsidP="00C70F33">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b/>
                <w:bCs/>
                <w:color w:val="000000"/>
                <w:sz w:val="20"/>
                <w:szCs w:val="20"/>
                <w:lang w:eastAsia="en-AU"/>
              </w:rPr>
              <w:t>Occupation</w:t>
            </w:r>
            <w:r w:rsidRPr="00583479">
              <w:rPr>
                <w:rFonts w:eastAsia="Times New Roman" w:cs="Arial"/>
                <w:color w:val="000000"/>
                <w:sz w:val="20"/>
                <w:szCs w:val="20"/>
                <w:lang w:eastAsia="en-AU"/>
              </w:rPr>
              <w:t> </w:t>
            </w:r>
          </w:p>
        </w:tc>
        <w:tc>
          <w:tcPr>
            <w:tcW w:w="1680" w:type="dxa"/>
            <w:tcBorders>
              <w:top w:val="single" w:sz="4" w:space="0" w:color="auto"/>
              <w:left w:val="single" w:sz="4" w:space="0" w:color="auto"/>
              <w:bottom w:val="single" w:sz="4" w:space="0" w:color="auto"/>
              <w:right w:val="single" w:sz="4" w:space="0" w:color="auto"/>
            </w:tcBorders>
            <w:shd w:val="clear" w:color="auto" w:fill="CEE9FB" w:themeFill="accent3" w:themeFillTint="33"/>
            <w:vAlign w:val="bottom"/>
            <w:hideMark/>
          </w:tcPr>
          <w:p w14:paraId="5FB02BC1" w14:textId="5F256B41" w:rsidR="00D514ED" w:rsidRPr="0058347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000000"/>
                <w:sz w:val="20"/>
                <w:szCs w:val="20"/>
                <w:lang w:eastAsia="en-AU"/>
              </w:rPr>
              <w:t>Low</w:t>
            </w:r>
            <w:r w:rsidR="00D514ED" w:rsidRPr="00583479">
              <w:rPr>
                <w:rFonts w:eastAsia="Times New Roman" w:cs="Arial"/>
                <w:color w:val="000000"/>
                <w:sz w:val="20"/>
                <w:szCs w:val="20"/>
                <w:lang w:eastAsia="en-AU"/>
              </w:rPr>
              <w:t> </w:t>
            </w:r>
          </w:p>
        </w:tc>
        <w:tc>
          <w:tcPr>
            <w:tcW w:w="1395" w:type="dxa"/>
            <w:tcBorders>
              <w:top w:val="single" w:sz="4" w:space="0" w:color="auto"/>
              <w:left w:val="single" w:sz="4" w:space="0" w:color="auto"/>
              <w:bottom w:val="single" w:sz="4" w:space="0" w:color="auto"/>
              <w:right w:val="single" w:sz="4" w:space="0" w:color="auto"/>
            </w:tcBorders>
            <w:shd w:val="clear" w:color="auto" w:fill="D2DE5A" w:themeFill="background2"/>
            <w:vAlign w:val="bottom"/>
            <w:hideMark/>
          </w:tcPr>
          <w:p w14:paraId="048B80D4" w14:textId="77A1205A" w:rsidR="00D514ED" w:rsidRPr="0058347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000000"/>
                <w:sz w:val="20"/>
                <w:szCs w:val="20"/>
                <w:lang w:eastAsia="en-AU"/>
              </w:rPr>
              <w:t>C</w:t>
            </w:r>
            <w:r w:rsidR="00D514ED" w:rsidRPr="00583479">
              <w:rPr>
                <w:rFonts w:eastAsia="Times New Roman" w:cs="Arial"/>
                <w:b/>
                <w:bCs/>
                <w:color w:val="000000"/>
                <w:sz w:val="20"/>
                <w:szCs w:val="20"/>
                <w:lang w:eastAsia="en-AU"/>
              </w:rPr>
              <w:t>entral</w:t>
            </w:r>
            <w:r w:rsidR="00D514ED" w:rsidRPr="00583479">
              <w:rPr>
                <w:rFonts w:eastAsia="Times New Roman" w:cs="Arial"/>
                <w:color w:val="000000"/>
                <w:sz w:val="20"/>
                <w:szCs w:val="20"/>
                <w:lang w:eastAsia="en-AU"/>
              </w:rPr>
              <w:t> </w:t>
            </w:r>
          </w:p>
        </w:tc>
        <w:tc>
          <w:tcPr>
            <w:tcW w:w="1350" w:type="dxa"/>
            <w:tcBorders>
              <w:top w:val="single" w:sz="4" w:space="0" w:color="auto"/>
              <w:left w:val="single" w:sz="4" w:space="0" w:color="auto"/>
              <w:bottom w:val="single" w:sz="4" w:space="0" w:color="auto"/>
              <w:right w:val="single" w:sz="4" w:space="0" w:color="auto"/>
            </w:tcBorders>
            <w:shd w:val="clear" w:color="auto" w:fill="005D5D" w:themeFill="accent2"/>
            <w:vAlign w:val="bottom"/>
            <w:hideMark/>
          </w:tcPr>
          <w:p w14:paraId="76DA0633" w14:textId="7B630930" w:rsidR="00D514ED" w:rsidRPr="00583479" w:rsidRDefault="00600606">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FFFFFF" w:themeColor="background1"/>
                <w:sz w:val="20"/>
                <w:szCs w:val="20"/>
                <w:lang w:eastAsia="en-AU"/>
              </w:rPr>
              <w:t>High</w:t>
            </w:r>
            <w:r w:rsidR="00D514ED" w:rsidRPr="00C70F33">
              <w:rPr>
                <w:rFonts w:eastAsia="Times New Roman" w:cs="Arial"/>
                <w:color w:val="FFFFFF" w:themeColor="background1"/>
                <w:sz w:val="20"/>
                <w:szCs w:val="20"/>
                <w:lang w:eastAsia="en-AU"/>
              </w:rPr>
              <w:t> </w:t>
            </w:r>
          </w:p>
        </w:tc>
      </w:tr>
      <w:tr w:rsidR="00BC4C47" w:rsidRPr="00583479" w14:paraId="64EEE02F" w14:textId="77777777" w:rsidTr="00180811">
        <w:trPr>
          <w:trHeight w:val="300"/>
        </w:trPr>
        <w:tc>
          <w:tcPr>
            <w:tcW w:w="4395" w:type="dxa"/>
            <w:tcBorders>
              <w:top w:val="single" w:sz="4" w:space="0" w:color="auto"/>
              <w:left w:val="single" w:sz="4" w:space="0" w:color="auto"/>
              <w:right w:val="single" w:sz="4" w:space="0" w:color="auto"/>
            </w:tcBorders>
            <w:shd w:val="clear" w:color="auto" w:fill="auto"/>
            <w:vAlign w:val="center"/>
            <w:hideMark/>
          </w:tcPr>
          <w:p w14:paraId="43C55FDF"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Telecommunications Trades Workers </w:t>
            </w:r>
          </w:p>
        </w:tc>
        <w:tc>
          <w:tcPr>
            <w:tcW w:w="1680" w:type="dxa"/>
            <w:tcBorders>
              <w:top w:val="single" w:sz="4" w:space="0" w:color="auto"/>
              <w:left w:val="single" w:sz="4" w:space="0" w:color="auto"/>
              <w:right w:val="single" w:sz="4" w:space="0" w:color="auto"/>
            </w:tcBorders>
            <w:shd w:val="clear" w:color="auto" w:fill="auto"/>
            <w:vAlign w:val="center"/>
            <w:hideMark/>
          </w:tcPr>
          <w:p w14:paraId="05FBBB0B" w14:textId="48CFBD5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2.7</w:t>
            </w:r>
          </w:p>
        </w:tc>
        <w:tc>
          <w:tcPr>
            <w:tcW w:w="1395" w:type="dxa"/>
            <w:tcBorders>
              <w:top w:val="single" w:sz="4" w:space="0" w:color="auto"/>
              <w:left w:val="single" w:sz="4" w:space="0" w:color="auto"/>
              <w:right w:val="single" w:sz="4" w:space="0" w:color="auto"/>
            </w:tcBorders>
            <w:shd w:val="clear" w:color="auto" w:fill="D2DE5A" w:themeFill="background2"/>
            <w:vAlign w:val="center"/>
            <w:hideMark/>
          </w:tcPr>
          <w:p w14:paraId="25433DFC" w14:textId="649E8CB6"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2.8</w:t>
            </w:r>
          </w:p>
        </w:tc>
        <w:tc>
          <w:tcPr>
            <w:tcW w:w="1350" w:type="dxa"/>
            <w:tcBorders>
              <w:top w:val="single" w:sz="4" w:space="0" w:color="auto"/>
              <w:left w:val="single" w:sz="4" w:space="0" w:color="auto"/>
              <w:right w:val="single" w:sz="4" w:space="0" w:color="auto"/>
            </w:tcBorders>
            <w:shd w:val="clear" w:color="auto" w:fill="auto"/>
            <w:vAlign w:val="center"/>
            <w:hideMark/>
          </w:tcPr>
          <w:p w14:paraId="1FADADBD" w14:textId="31891C7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2.8</w:t>
            </w:r>
          </w:p>
        </w:tc>
      </w:tr>
      <w:tr w:rsidR="00BC4C47" w:rsidRPr="00583479" w14:paraId="3CBFE519"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B1B5194"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Electronics Trades Workers </w:t>
            </w:r>
          </w:p>
        </w:tc>
        <w:tc>
          <w:tcPr>
            <w:tcW w:w="1680" w:type="dxa"/>
            <w:tcBorders>
              <w:left w:val="single" w:sz="4" w:space="0" w:color="auto"/>
              <w:right w:val="single" w:sz="4" w:space="0" w:color="auto"/>
            </w:tcBorders>
            <w:shd w:val="clear" w:color="auto" w:fill="auto"/>
            <w:vAlign w:val="center"/>
            <w:hideMark/>
          </w:tcPr>
          <w:p w14:paraId="221560D3" w14:textId="74163F8C"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2.5</w:t>
            </w:r>
          </w:p>
        </w:tc>
        <w:tc>
          <w:tcPr>
            <w:tcW w:w="1395" w:type="dxa"/>
            <w:tcBorders>
              <w:left w:val="single" w:sz="4" w:space="0" w:color="auto"/>
              <w:right w:val="single" w:sz="4" w:space="0" w:color="auto"/>
            </w:tcBorders>
            <w:shd w:val="clear" w:color="auto" w:fill="D2DE5A" w:themeFill="background2"/>
            <w:vAlign w:val="center"/>
            <w:hideMark/>
          </w:tcPr>
          <w:p w14:paraId="29305220" w14:textId="1490C5C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2.6</w:t>
            </w:r>
          </w:p>
        </w:tc>
        <w:tc>
          <w:tcPr>
            <w:tcW w:w="1350" w:type="dxa"/>
            <w:tcBorders>
              <w:left w:val="single" w:sz="4" w:space="0" w:color="auto"/>
              <w:right w:val="single" w:sz="4" w:space="0" w:color="auto"/>
            </w:tcBorders>
            <w:shd w:val="clear" w:color="auto" w:fill="auto"/>
            <w:vAlign w:val="center"/>
            <w:hideMark/>
          </w:tcPr>
          <w:p w14:paraId="3DCB5670" w14:textId="1100877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2.6</w:t>
            </w:r>
          </w:p>
        </w:tc>
      </w:tr>
      <w:tr w:rsidR="00BC4C47" w:rsidRPr="00583479" w14:paraId="2701E748" w14:textId="77777777" w:rsidTr="00180811">
        <w:trPr>
          <w:trHeight w:val="525"/>
        </w:trPr>
        <w:tc>
          <w:tcPr>
            <w:tcW w:w="4395" w:type="dxa"/>
            <w:tcBorders>
              <w:left w:val="single" w:sz="4" w:space="0" w:color="auto"/>
              <w:right w:val="single" w:sz="4" w:space="0" w:color="auto"/>
            </w:tcBorders>
            <w:shd w:val="clear" w:color="auto" w:fill="auto"/>
            <w:vAlign w:val="center"/>
            <w:hideMark/>
          </w:tcPr>
          <w:p w14:paraId="28C4C4D4"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Electronic Engineering Draftspersons and Technicians </w:t>
            </w:r>
          </w:p>
        </w:tc>
        <w:tc>
          <w:tcPr>
            <w:tcW w:w="1680" w:type="dxa"/>
            <w:tcBorders>
              <w:left w:val="single" w:sz="4" w:space="0" w:color="auto"/>
              <w:right w:val="single" w:sz="4" w:space="0" w:color="auto"/>
            </w:tcBorders>
            <w:shd w:val="clear" w:color="auto" w:fill="auto"/>
            <w:vAlign w:val="center"/>
            <w:hideMark/>
          </w:tcPr>
          <w:p w14:paraId="1FBFBD34" w14:textId="5C5992BB"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2.4</w:t>
            </w:r>
          </w:p>
        </w:tc>
        <w:tc>
          <w:tcPr>
            <w:tcW w:w="1395" w:type="dxa"/>
            <w:tcBorders>
              <w:left w:val="single" w:sz="4" w:space="0" w:color="auto"/>
              <w:right w:val="single" w:sz="4" w:space="0" w:color="auto"/>
            </w:tcBorders>
            <w:shd w:val="clear" w:color="auto" w:fill="D2DE5A" w:themeFill="background2"/>
            <w:vAlign w:val="center"/>
            <w:hideMark/>
          </w:tcPr>
          <w:p w14:paraId="19CA329C" w14:textId="735EFA1B"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2.6</w:t>
            </w:r>
          </w:p>
        </w:tc>
        <w:tc>
          <w:tcPr>
            <w:tcW w:w="1350" w:type="dxa"/>
            <w:tcBorders>
              <w:left w:val="single" w:sz="4" w:space="0" w:color="auto"/>
              <w:right w:val="single" w:sz="4" w:space="0" w:color="auto"/>
            </w:tcBorders>
            <w:shd w:val="clear" w:color="auto" w:fill="auto"/>
            <w:vAlign w:val="center"/>
            <w:hideMark/>
          </w:tcPr>
          <w:p w14:paraId="7D043F6B" w14:textId="1DADC66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2.8</w:t>
            </w:r>
          </w:p>
        </w:tc>
      </w:tr>
      <w:tr w:rsidR="00BC4C47" w:rsidRPr="00583479" w14:paraId="187B93F4"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0F126EEE"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Structural Steel Construction Workers </w:t>
            </w:r>
          </w:p>
        </w:tc>
        <w:tc>
          <w:tcPr>
            <w:tcW w:w="1680" w:type="dxa"/>
            <w:tcBorders>
              <w:left w:val="single" w:sz="4" w:space="0" w:color="auto"/>
              <w:right w:val="single" w:sz="4" w:space="0" w:color="auto"/>
            </w:tcBorders>
            <w:shd w:val="clear" w:color="auto" w:fill="auto"/>
            <w:vAlign w:val="center"/>
            <w:hideMark/>
          </w:tcPr>
          <w:p w14:paraId="513655A9" w14:textId="2EA1738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c>
          <w:tcPr>
            <w:tcW w:w="1395" w:type="dxa"/>
            <w:tcBorders>
              <w:left w:val="single" w:sz="4" w:space="0" w:color="auto"/>
              <w:right w:val="single" w:sz="4" w:space="0" w:color="auto"/>
            </w:tcBorders>
            <w:shd w:val="clear" w:color="auto" w:fill="D2DE5A" w:themeFill="background2"/>
            <w:vAlign w:val="center"/>
            <w:hideMark/>
          </w:tcPr>
          <w:p w14:paraId="2C810CE3" w14:textId="02D8C8AD"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1.6</w:t>
            </w:r>
          </w:p>
        </w:tc>
        <w:tc>
          <w:tcPr>
            <w:tcW w:w="1350" w:type="dxa"/>
            <w:tcBorders>
              <w:left w:val="single" w:sz="4" w:space="0" w:color="auto"/>
              <w:right w:val="single" w:sz="4" w:space="0" w:color="auto"/>
            </w:tcBorders>
            <w:shd w:val="clear" w:color="auto" w:fill="auto"/>
            <w:vAlign w:val="center"/>
            <w:hideMark/>
          </w:tcPr>
          <w:p w14:paraId="6DD827CB" w14:textId="519739C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2.0</w:t>
            </w:r>
          </w:p>
        </w:tc>
      </w:tr>
      <w:tr w:rsidR="00BC4C47" w:rsidRPr="00583479" w14:paraId="4D746AF3"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57E7BF32"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Construction Managers </w:t>
            </w:r>
          </w:p>
        </w:tc>
        <w:tc>
          <w:tcPr>
            <w:tcW w:w="1680" w:type="dxa"/>
            <w:tcBorders>
              <w:left w:val="single" w:sz="4" w:space="0" w:color="auto"/>
              <w:right w:val="single" w:sz="4" w:space="0" w:color="auto"/>
            </w:tcBorders>
            <w:shd w:val="clear" w:color="auto" w:fill="auto"/>
            <w:vAlign w:val="center"/>
            <w:hideMark/>
          </w:tcPr>
          <w:p w14:paraId="709ECCE9" w14:textId="3190C2EB"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1.7</w:t>
            </w:r>
          </w:p>
        </w:tc>
        <w:tc>
          <w:tcPr>
            <w:tcW w:w="1395" w:type="dxa"/>
            <w:tcBorders>
              <w:left w:val="single" w:sz="4" w:space="0" w:color="auto"/>
              <w:right w:val="single" w:sz="4" w:space="0" w:color="auto"/>
            </w:tcBorders>
            <w:shd w:val="clear" w:color="auto" w:fill="D2DE5A" w:themeFill="background2"/>
            <w:vAlign w:val="center"/>
            <w:hideMark/>
          </w:tcPr>
          <w:p w14:paraId="1727E821" w14:textId="19927542"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1.8</w:t>
            </w:r>
          </w:p>
        </w:tc>
        <w:tc>
          <w:tcPr>
            <w:tcW w:w="1350" w:type="dxa"/>
            <w:tcBorders>
              <w:left w:val="single" w:sz="4" w:space="0" w:color="auto"/>
              <w:right w:val="single" w:sz="4" w:space="0" w:color="auto"/>
            </w:tcBorders>
            <w:shd w:val="clear" w:color="auto" w:fill="auto"/>
            <w:vAlign w:val="center"/>
            <w:hideMark/>
          </w:tcPr>
          <w:p w14:paraId="7100F99A" w14:textId="22A92E2F"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1.8</w:t>
            </w:r>
          </w:p>
        </w:tc>
      </w:tr>
      <w:tr w:rsidR="00BC4C47" w:rsidRPr="00583479" w14:paraId="0BCF81E4"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0637DC99"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Plumbers </w:t>
            </w:r>
          </w:p>
        </w:tc>
        <w:tc>
          <w:tcPr>
            <w:tcW w:w="1680" w:type="dxa"/>
            <w:tcBorders>
              <w:left w:val="single" w:sz="4" w:space="0" w:color="auto"/>
              <w:right w:val="single" w:sz="4" w:space="0" w:color="auto"/>
            </w:tcBorders>
            <w:shd w:val="clear" w:color="auto" w:fill="auto"/>
            <w:vAlign w:val="center"/>
            <w:hideMark/>
          </w:tcPr>
          <w:p w14:paraId="281697C6" w14:textId="4F5D864F"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05C957A2" w14:textId="51F6583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18338705" w14:textId="72A430A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r>
      <w:tr w:rsidR="00BC4C47" w:rsidRPr="00583479" w14:paraId="22597FF3"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2B6CEB6"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Electricians </w:t>
            </w:r>
          </w:p>
        </w:tc>
        <w:tc>
          <w:tcPr>
            <w:tcW w:w="1680" w:type="dxa"/>
            <w:tcBorders>
              <w:left w:val="single" w:sz="4" w:space="0" w:color="auto"/>
              <w:right w:val="single" w:sz="4" w:space="0" w:color="auto"/>
            </w:tcBorders>
            <w:shd w:val="clear" w:color="auto" w:fill="auto"/>
            <w:vAlign w:val="center"/>
            <w:hideMark/>
          </w:tcPr>
          <w:p w14:paraId="2A24EF84" w14:textId="1FEBEA6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c>
          <w:tcPr>
            <w:tcW w:w="1395" w:type="dxa"/>
            <w:tcBorders>
              <w:left w:val="single" w:sz="4" w:space="0" w:color="auto"/>
              <w:right w:val="single" w:sz="4" w:space="0" w:color="auto"/>
            </w:tcBorders>
            <w:shd w:val="clear" w:color="auto" w:fill="D2DE5A" w:themeFill="background2"/>
            <w:vAlign w:val="center"/>
            <w:hideMark/>
          </w:tcPr>
          <w:p w14:paraId="660554CC" w14:textId="388C935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7592F8A3" w14:textId="03FD383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r>
      <w:tr w:rsidR="00BC4C47" w:rsidRPr="00583479" w14:paraId="2A09A7A2"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5E8E5522"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Airconditioning and Refrigeration Mechanics </w:t>
            </w:r>
          </w:p>
        </w:tc>
        <w:tc>
          <w:tcPr>
            <w:tcW w:w="1680" w:type="dxa"/>
            <w:tcBorders>
              <w:left w:val="single" w:sz="4" w:space="0" w:color="auto"/>
              <w:right w:val="single" w:sz="4" w:space="0" w:color="auto"/>
            </w:tcBorders>
            <w:shd w:val="clear" w:color="auto" w:fill="auto"/>
            <w:vAlign w:val="center"/>
            <w:hideMark/>
          </w:tcPr>
          <w:p w14:paraId="1564DA9D" w14:textId="24634884"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592363AB" w14:textId="0FE1A6F4"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3DB37E86" w14:textId="5ECE9E8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r>
      <w:tr w:rsidR="00BC4C47" w:rsidRPr="00583479" w14:paraId="3B9ACC3A"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4F70BA3B"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Agricultural and Forestry Scientists </w:t>
            </w:r>
          </w:p>
        </w:tc>
        <w:tc>
          <w:tcPr>
            <w:tcW w:w="1680" w:type="dxa"/>
            <w:tcBorders>
              <w:left w:val="single" w:sz="4" w:space="0" w:color="auto"/>
              <w:right w:val="single" w:sz="4" w:space="0" w:color="auto"/>
            </w:tcBorders>
            <w:shd w:val="clear" w:color="auto" w:fill="auto"/>
            <w:vAlign w:val="center"/>
            <w:hideMark/>
          </w:tcPr>
          <w:p w14:paraId="32A5551B" w14:textId="37A5851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0BBEC753" w14:textId="63F0164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50" w:type="dxa"/>
            <w:tcBorders>
              <w:left w:val="single" w:sz="4" w:space="0" w:color="auto"/>
              <w:right w:val="single" w:sz="4" w:space="0" w:color="auto"/>
            </w:tcBorders>
            <w:shd w:val="clear" w:color="auto" w:fill="auto"/>
            <w:vAlign w:val="center"/>
            <w:hideMark/>
          </w:tcPr>
          <w:p w14:paraId="30F17ED0" w14:textId="0C9387D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r>
      <w:tr w:rsidR="00BC4C47" w:rsidRPr="00583479" w14:paraId="3C73A734"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C999EAB"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Urban and Regional Planners </w:t>
            </w:r>
          </w:p>
        </w:tc>
        <w:tc>
          <w:tcPr>
            <w:tcW w:w="1680" w:type="dxa"/>
            <w:tcBorders>
              <w:left w:val="single" w:sz="4" w:space="0" w:color="auto"/>
              <w:right w:val="single" w:sz="4" w:space="0" w:color="auto"/>
            </w:tcBorders>
            <w:shd w:val="clear" w:color="auto" w:fill="auto"/>
            <w:vAlign w:val="center"/>
            <w:hideMark/>
          </w:tcPr>
          <w:p w14:paraId="6C68D88A" w14:textId="12CF5272"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c>
          <w:tcPr>
            <w:tcW w:w="1395" w:type="dxa"/>
            <w:tcBorders>
              <w:left w:val="single" w:sz="4" w:space="0" w:color="auto"/>
              <w:right w:val="single" w:sz="4" w:space="0" w:color="auto"/>
            </w:tcBorders>
            <w:shd w:val="clear" w:color="auto" w:fill="D2DE5A" w:themeFill="background2"/>
            <w:vAlign w:val="center"/>
            <w:hideMark/>
          </w:tcPr>
          <w:p w14:paraId="0D481ED9" w14:textId="369AA54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c>
          <w:tcPr>
            <w:tcW w:w="1350" w:type="dxa"/>
            <w:tcBorders>
              <w:left w:val="single" w:sz="4" w:space="0" w:color="auto"/>
              <w:right w:val="single" w:sz="4" w:space="0" w:color="auto"/>
            </w:tcBorders>
            <w:shd w:val="clear" w:color="auto" w:fill="auto"/>
            <w:vAlign w:val="center"/>
            <w:hideMark/>
          </w:tcPr>
          <w:p w14:paraId="22D40FEC" w14:textId="65C246D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r>
      <w:tr w:rsidR="00BC4C47" w:rsidRPr="00583479" w14:paraId="4EA7F02D"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BE240E5"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Other Engineering Professionals </w:t>
            </w:r>
          </w:p>
        </w:tc>
        <w:tc>
          <w:tcPr>
            <w:tcW w:w="1680" w:type="dxa"/>
            <w:tcBorders>
              <w:left w:val="single" w:sz="4" w:space="0" w:color="auto"/>
              <w:right w:val="single" w:sz="4" w:space="0" w:color="auto"/>
            </w:tcBorders>
            <w:shd w:val="clear" w:color="auto" w:fill="auto"/>
            <w:vAlign w:val="center"/>
            <w:hideMark/>
          </w:tcPr>
          <w:p w14:paraId="71E06436" w14:textId="69238D1A"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95" w:type="dxa"/>
            <w:tcBorders>
              <w:left w:val="single" w:sz="4" w:space="0" w:color="auto"/>
              <w:right w:val="single" w:sz="4" w:space="0" w:color="auto"/>
            </w:tcBorders>
            <w:shd w:val="clear" w:color="auto" w:fill="D2DE5A" w:themeFill="background2"/>
            <w:vAlign w:val="center"/>
            <w:hideMark/>
          </w:tcPr>
          <w:p w14:paraId="48714F59" w14:textId="13E8FBBC"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c>
          <w:tcPr>
            <w:tcW w:w="1350" w:type="dxa"/>
            <w:tcBorders>
              <w:left w:val="single" w:sz="4" w:space="0" w:color="auto"/>
              <w:right w:val="single" w:sz="4" w:space="0" w:color="auto"/>
            </w:tcBorders>
            <w:shd w:val="clear" w:color="auto" w:fill="auto"/>
            <w:vAlign w:val="center"/>
            <w:hideMark/>
          </w:tcPr>
          <w:p w14:paraId="3DFDDA2E" w14:textId="6C0E143D"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r>
      <w:tr w:rsidR="00BC4C47" w:rsidRPr="00583479" w14:paraId="6653E501"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1BB5C38B"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Industrial, Mechanical and Production Engineers </w:t>
            </w:r>
          </w:p>
        </w:tc>
        <w:tc>
          <w:tcPr>
            <w:tcW w:w="1680" w:type="dxa"/>
            <w:tcBorders>
              <w:left w:val="single" w:sz="4" w:space="0" w:color="auto"/>
              <w:right w:val="single" w:sz="4" w:space="0" w:color="auto"/>
            </w:tcBorders>
            <w:shd w:val="clear" w:color="auto" w:fill="auto"/>
            <w:vAlign w:val="center"/>
            <w:hideMark/>
          </w:tcPr>
          <w:p w14:paraId="271B7321" w14:textId="2A1F4A19"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1.0</w:t>
            </w:r>
          </w:p>
        </w:tc>
        <w:tc>
          <w:tcPr>
            <w:tcW w:w="1395" w:type="dxa"/>
            <w:tcBorders>
              <w:left w:val="single" w:sz="4" w:space="0" w:color="auto"/>
              <w:right w:val="single" w:sz="4" w:space="0" w:color="auto"/>
            </w:tcBorders>
            <w:shd w:val="clear" w:color="auto" w:fill="D2DE5A" w:themeFill="background2"/>
            <w:vAlign w:val="center"/>
            <w:hideMark/>
          </w:tcPr>
          <w:p w14:paraId="631C8557" w14:textId="0D6A5D2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50" w:type="dxa"/>
            <w:tcBorders>
              <w:left w:val="single" w:sz="4" w:space="0" w:color="auto"/>
              <w:right w:val="single" w:sz="4" w:space="0" w:color="auto"/>
            </w:tcBorders>
            <w:shd w:val="clear" w:color="auto" w:fill="auto"/>
            <w:vAlign w:val="center"/>
            <w:hideMark/>
          </w:tcPr>
          <w:p w14:paraId="583437F7" w14:textId="448554C0"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r>
      <w:tr w:rsidR="00BC4C47" w:rsidRPr="00583479" w14:paraId="63920EA3"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3B85553E"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Civil Engineering Professionals </w:t>
            </w:r>
          </w:p>
        </w:tc>
        <w:tc>
          <w:tcPr>
            <w:tcW w:w="1680" w:type="dxa"/>
            <w:tcBorders>
              <w:left w:val="single" w:sz="4" w:space="0" w:color="auto"/>
              <w:right w:val="single" w:sz="4" w:space="0" w:color="auto"/>
            </w:tcBorders>
            <w:shd w:val="clear" w:color="auto" w:fill="auto"/>
            <w:vAlign w:val="center"/>
            <w:hideMark/>
          </w:tcPr>
          <w:p w14:paraId="05240B5C" w14:textId="732B6A28"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1.0</w:t>
            </w:r>
          </w:p>
        </w:tc>
        <w:tc>
          <w:tcPr>
            <w:tcW w:w="1395" w:type="dxa"/>
            <w:tcBorders>
              <w:left w:val="single" w:sz="4" w:space="0" w:color="auto"/>
              <w:right w:val="single" w:sz="4" w:space="0" w:color="auto"/>
            </w:tcBorders>
            <w:shd w:val="clear" w:color="auto" w:fill="D2DE5A" w:themeFill="background2"/>
            <w:vAlign w:val="center"/>
            <w:hideMark/>
          </w:tcPr>
          <w:p w14:paraId="52D4881C" w14:textId="6394866D"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c>
          <w:tcPr>
            <w:tcW w:w="1350" w:type="dxa"/>
            <w:tcBorders>
              <w:left w:val="single" w:sz="4" w:space="0" w:color="auto"/>
              <w:right w:val="single" w:sz="4" w:space="0" w:color="auto"/>
            </w:tcBorders>
            <w:shd w:val="clear" w:color="auto" w:fill="auto"/>
            <w:vAlign w:val="center"/>
            <w:hideMark/>
          </w:tcPr>
          <w:p w14:paraId="3E768326" w14:textId="53F5F437"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1.5</w:t>
            </w:r>
          </w:p>
        </w:tc>
      </w:tr>
      <w:tr w:rsidR="00BC4C47" w:rsidRPr="00583479" w14:paraId="28251F65" w14:textId="77777777" w:rsidTr="00180811">
        <w:trPr>
          <w:trHeight w:val="300"/>
        </w:trPr>
        <w:tc>
          <w:tcPr>
            <w:tcW w:w="4395" w:type="dxa"/>
            <w:tcBorders>
              <w:left w:val="single" w:sz="4" w:space="0" w:color="auto"/>
              <w:right w:val="single" w:sz="4" w:space="0" w:color="auto"/>
            </w:tcBorders>
            <w:shd w:val="clear" w:color="auto" w:fill="auto"/>
            <w:vAlign w:val="center"/>
            <w:hideMark/>
          </w:tcPr>
          <w:p w14:paraId="75486824"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Engineering Managers </w:t>
            </w:r>
          </w:p>
        </w:tc>
        <w:tc>
          <w:tcPr>
            <w:tcW w:w="1680" w:type="dxa"/>
            <w:tcBorders>
              <w:left w:val="single" w:sz="4" w:space="0" w:color="auto"/>
              <w:right w:val="single" w:sz="4" w:space="0" w:color="auto"/>
            </w:tcBorders>
            <w:shd w:val="clear" w:color="auto" w:fill="auto"/>
            <w:vAlign w:val="center"/>
            <w:hideMark/>
          </w:tcPr>
          <w:p w14:paraId="75D0209D" w14:textId="1DA6BC0C"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1.1</w:t>
            </w:r>
          </w:p>
        </w:tc>
        <w:tc>
          <w:tcPr>
            <w:tcW w:w="1395" w:type="dxa"/>
            <w:tcBorders>
              <w:left w:val="single" w:sz="4" w:space="0" w:color="auto"/>
              <w:right w:val="single" w:sz="4" w:space="0" w:color="auto"/>
            </w:tcBorders>
            <w:shd w:val="clear" w:color="auto" w:fill="D2DE5A" w:themeFill="background2"/>
            <w:vAlign w:val="center"/>
            <w:hideMark/>
          </w:tcPr>
          <w:p w14:paraId="4C802AD5" w14:textId="2088D893"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50" w:type="dxa"/>
            <w:tcBorders>
              <w:left w:val="single" w:sz="4" w:space="0" w:color="auto"/>
              <w:right w:val="single" w:sz="4" w:space="0" w:color="auto"/>
            </w:tcBorders>
            <w:shd w:val="clear" w:color="auto" w:fill="auto"/>
            <w:vAlign w:val="center"/>
            <w:hideMark/>
          </w:tcPr>
          <w:p w14:paraId="6BF81AB2" w14:textId="3CE94C6E"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1.4</w:t>
            </w:r>
          </w:p>
        </w:tc>
      </w:tr>
      <w:tr w:rsidR="00BC4C47" w:rsidRPr="00583479" w14:paraId="2B56139D" w14:textId="77777777" w:rsidTr="00180811">
        <w:trPr>
          <w:trHeight w:val="300"/>
        </w:trPr>
        <w:tc>
          <w:tcPr>
            <w:tcW w:w="4395" w:type="dxa"/>
            <w:tcBorders>
              <w:left w:val="single" w:sz="4" w:space="0" w:color="auto"/>
              <w:bottom w:val="single" w:sz="4" w:space="0" w:color="auto"/>
              <w:right w:val="single" w:sz="4" w:space="0" w:color="auto"/>
            </w:tcBorders>
            <w:shd w:val="clear" w:color="auto" w:fill="auto"/>
            <w:vAlign w:val="center"/>
            <w:hideMark/>
          </w:tcPr>
          <w:p w14:paraId="33321B91" w14:textId="77777777" w:rsidR="00D514ED" w:rsidRPr="00583479" w:rsidRDefault="00D514ED"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Electrical Engineers </w:t>
            </w:r>
          </w:p>
        </w:tc>
        <w:tc>
          <w:tcPr>
            <w:tcW w:w="1680" w:type="dxa"/>
            <w:tcBorders>
              <w:left w:val="single" w:sz="4" w:space="0" w:color="auto"/>
              <w:bottom w:val="single" w:sz="4" w:space="0" w:color="auto"/>
              <w:right w:val="single" w:sz="4" w:space="0" w:color="auto"/>
            </w:tcBorders>
            <w:shd w:val="clear" w:color="auto" w:fill="auto"/>
            <w:vAlign w:val="center"/>
            <w:hideMark/>
          </w:tcPr>
          <w:p w14:paraId="24585428" w14:textId="5D25E74F"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1.1</w:t>
            </w:r>
          </w:p>
        </w:tc>
        <w:tc>
          <w:tcPr>
            <w:tcW w:w="1395" w:type="dxa"/>
            <w:tcBorders>
              <w:left w:val="single" w:sz="4" w:space="0" w:color="auto"/>
              <w:bottom w:val="single" w:sz="4" w:space="0" w:color="auto"/>
              <w:right w:val="single" w:sz="4" w:space="0" w:color="auto"/>
            </w:tcBorders>
            <w:shd w:val="clear" w:color="auto" w:fill="D2DE5A" w:themeFill="background2"/>
            <w:vAlign w:val="center"/>
            <w:hideMark/>
          </w:tcPr>
          <w:p w14:paraId="6BA14B22" w14:textId="1227A941"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1.2</w:t>
            </w:r>
          </w:p>
        </w:tc>
        <w:tc>
          <w:tcPr>
            <w:tcW w:w="1350" w:type="dxa"/>
            <w:tcBorders>
              <w:left w:val="single" w:sz="4" w:space="0" w:color="auto"/>
              <w:bottom w:val="single" w:sz="4" w:space="0" w:color="auto"/>
              <w:right w:val="single" w:sz="4" w:space="0" w:color="auto"/>
            </w:tcBorders>
            <w:shd w:val="clear" w:color="auto" w:fill="auto"/>
            <w:vAlign w:val="center"/>
            <w:hideMark/>
          </w:tcPr>
          <w:p w14:paraId="25CC57EE" w14:textId="1694D724" w:rsidR="00D514ED" w:rsidRPr="00583479" w:rsidRDefault="00D514ED" w:rsidP="00C70F33">
            <w:pPr>
              <w:spacing w:after="0" w:line="240" w:lineRule="auto"/>
              <w:jc w:val="center"/>
              <w:textAlignment w:val="baseline"/>
              <w:rPr>
                <w:rFonts w:ascii="Times New Roman" w:eastAsia="Times New Roman" w:hAnsi="Times New Roman" w:cs="Times New Roman"/>
                <w:color w:val="000000"/>
                <w:sz w:val="24"/>
                <w:szCs w:val="24"/>
                <w:lang w:eastAsia="en-AU"/>
              </w:rPr>
            </w:pPr>
            <w:r w:rsidRPr="00583479">
              <w:rPr>
                <w:rFonts w:eastAsia="Times New Roman" w:cs="Arial"/>
                <w:color w:val="000000"/>
                <w:sz w:val="20"/>
                <w:szCs w:val="20"/>
                <w:lang w:eastAsia="en-AU"/>
              </w:rPr>
              <w:t>1.3</w:t>
            </w:r>
          </w:p>
        </w:tc>
      </w:tr>
    </w:tbl>
    <w:p w14:paraId="0C75A1B7" w14:textId="6B632D55" w:rsidR="001D5860" w:rsidRPr="00BD2A5E" w:rsidRDefault="00DE5811" w:rsidP="00BD2A5E">
      <w:pPr>
        <w:spacing w:before="80" w:after="0"/>
        <w:rPr>
          <w:sz w:val="18"/>
          <w:szCs w:val="18"/>
        </w:rPr>
      </w:pPr>
      <w:r w:rsidRPr="00E226A4">
        <w:rPr>
          <w:sz w:val="18"/>
          <w:szCs w:val="18"/>
        </w:rPr>
        <w:t>Source: Deloitte Access Economics 2023.</w:t>
      </w:r>
      <w:r w:rsidR="001D5860">
        <w:rPr>
          <w:rFonts w:eastAsia="Times New Roman" w:cs="Arial"/>
          <w:b/>
          <w:bCs/>
          <w:lang w:eastAsia="en-AU"/>
        </w:rPr>
        <w:br w:type="page"/>
      </w:r>
    </w:p>
    <w:p w14:paraId="42A6F168" w14:textId="2164773E" w:rsidR="00CD2B22" w:rsidRPr="00B609A9" w:rsidRDefault="00CD2B22" w:rsidP="00BD2A5E">
      <w:pPr>
        <w:pStyle w:val="Bodycopy"/>
        <w:pBdr>
          <w:top w:val="single" w:sz="4" w:space="5" w:color="BFBFBF" w:themeColor="background1" w:themeShade="BF"/>
        </w:pBdr>
        <w:rPr>
          <w:rFonts w:ascii="Segoe UI" w:eastAsia="Times New Roman" w:hAnsi="Segoe UI" w:cs="Segoe UI"/>
          <w:color w:val="000000"/>
          <w:sz w:val="18"/>
          <w:szCs w:val="18"/>
          <w:lang w:eastAsia="en-AU"/>
        </w:rPr>
      </w:pPr>
      <w:r w:rsidRPr="077CE19B">
        <w:rPr>
          <w:rFonts w:eastAsia="Times New Roman" w:cs="Arial"/>
          <w:b/>
          <w:bCs/>
          <w:lang w:eastAsia="en-AU"/>
        </w:rPr>
        <w:t>Table 5.</w:t>
      </w:r>
      <w:r w:rsidR="005703BD">
        <w:rPr>
          <w:rFonts w:eastAsia="Times New Roman" w:cs="Arial"/>
          <w:b/>
          <w:bCs/>
          <w:lang w:eastAsia="en-AU"/>
        </w:rPr>
        <w:t>3</w:t>
      </w:r>
      <w:r w:rsidRPr="077CE19B">
        <w:rPr>
          <w:rFonts w:eastAsia="Times New Roman" w:cs="Arial"/>
          <w:b/>
          <w:bCs/>
          <w:lang w:eastAsia="en-AU"/>
        </w:rPr>
        <w:t xml:space="preserve">: </w:t>
      </w:r>
      <w:r w:rsidRPr="00BD2A5E">
        <w:rPr>
          <w:rFonts w:eastAsia="Times New Roman" w:cs="Arial"/>
          <w:b/>
          <w:bCs/>
          <w:color w:val="000000"/>
          <w:lang w:eastAsia="en-AU"/>
        </w:rPr>
        <w:t>Average</w:t>
      </w:r>
      <w:r w:rsidRPr="077CE19B">
        <w:rPr>
          <w:rFonts w:eastAsia="Times New Roman" w:cs="Arial"/>
          <w:b/>
          <w:bCs/>
          <w:lang w:eastAsia="en-AU"/>
        </w:rPr>
        <w:t xml:space="preserve"> Annual Change </w:t>
      </w:r>
      <w:r w:rsidR="00AC000A">
        <w:rPr>
          <w:rFonts w:eastAsia="Times New Roman" w:cs="Arial"/>
          <w:b/>
          <w:bCs/>
          <w:lang w:eastAsia="en-AU"/>
        </w:rPr>
        <w:t xml:space="preserve">(%) </w:t>
      </w:r>
      <w:r w:rsidRPr="077CE19B">
        <w:rPr>
          <w:rFonts w:eastAsia="Times New Roman" w:cs="Arial"/>
          <w:b/>
          <w:bCs/>
          <w:lang w:eastAsia="en-AU"/>
        </w:rPr>
        <w:t>in employment by occupation – 204</w:t>
      </w:r>
      <w:r w:rsidR="003B5E7D">
        <w:rPr>
          <w:rFonts w:eastAsia="Times New Roman" w:cs="Arial"/>
          <w:b/>
          <w:bCs/>
          <w:lang w:eastAsia="en-AU"/>
        </w:rPr>
        <w:t>0</w:t>
      </w:r>
      <w:r w:rsidRPr="077CE19B">
        <w:rPr>
          <w:rFonts w:eastAsia="Times New Roman" w:cs="Arial"/>
          <w:b/>
          <w:bCs/>
          <w:lang w:eastAsia="en-AU"/>
        </w:rPr>
        <w:t xml:space="preserve"> to 2050</w:t>
      </w:r>
      <w:r w:rsidRPr="077CE19B">
        <w:rPr>
          <w:rFonts w:eastAsia="Times New Roman" w:cs="Arial"/>
          <w:lang w:eastAsia="en-AU"/>
        </w:rPr>
        <w:t> </w:t>
      </w:r>
    </w:p>
    <w:tbl>
      <w:tblPr>
        <w:tblW w:w="0"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4395"/>
        <w:gridCol w:w="1680"/>
        <w:gridCol w:w="1395"/>
        <w:gridCol w:w="1350"/>
      </w:tblGrid>
      <w:tr w:rsidR="00CD2B22" w:rsidRPr="00B609A9" w14:paraId="0D8269D5" w14:textId="77777777" w:rsidTr="00180811">
        <w:trPr>
          <w:trHeight w:val="300"/>
        </w:trPr>
        <w:tc>
          <w:tcPr>
            <w:tcW w:w="4395" w:type="dxa"/>
            <w:tcBorders>
              <w:top w:val="single" w:sz="4" w:space="0" w:color="auto"/>
              <w:bottom w:val="single" w:sz="4" w:space="0" w:color="auto"/>
              <w:right w:val="single" w:sz="4" w:space="0" w:color="auto"/>
            </w:tcBorders>
            <w:shd w:val="clear" w:color="auto" w:fill="D9D9D9" w:themeFill="background1" w:themeFillShade="D9"/>
            <w:vAlign w:val="center"/>
            <w:hideMark/>
          </w:tcPr>
          <w:p w14:paraId="19880B4F"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b/>
                <w:bCs/>
                <w:sz w:val="20"/>
                <w:szCs w:val="20"/>
                <w:lang w:eastAsia="en-AU"/>
              </w:rPr>
              <w:t>Occupation</w:t>
            </w:r>
            <w:r w:rsidRPr="077CE19B">
              <w:rPr>
                <w:rFonts w:eastAsia="Times New Roman" w:cs="Arial"/>
                <w:sz w:val="20"/>
                <w:szCs w:val="20"/>
                <w:lang w:eastAsia="en-AU"/>
              </w:rPr>
              <w:t> </w:t>
            </w:r>
          </w:p>
        </w:tc>
        <w:tc>
          <w:tcPr>
            <w:tcW w:w="1680" w:type="dxa"/>
            <w:tcBorders>
              <w:top w:val="single" w:sz="4" w:space="0" w:color="auto"/>
              <w:left w:val="single" w:sz="4" w:space="0" w:color="auto"/>
              <w:bottom w:val="single" w:sz="4" w:space="0" w:color="auto"/>
              <w:right w:val="single" w:sz="4" w:space="0" w:color="auto"/>
            </w:tcBorders>
            <w:shd w:val="clear" w:color="auto" w:fill="CEE9FB" w:themeFill="accent3" w:themeFillTint="33"/>
            <w:vAlign w:val="center"/>
            <w:hideMark/>
          </w:tcPr>
          <w:p w14:paraId="13269817" w14:textId="263F424B" w:rsidR="00CD2B22" w:rsidRPr="00B609A9" w:rsidRDefault="00600606"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sz w:val="20"/>
                <w:szCs w:val="20"/>
                <w:lang w:eastAsia="en-AU"/>
              </w:rPr>
              <w:t>Low</w:t>
            </w:r>
          </w:p>
        </w:tc>
        <w:tc>
          <w:tcPr>
            <w:tcW w:w="1395" w:type="dxa"/>
            <w:tcBorders>
              <w:top w:val="single" w:sz="4" w:space="0" w:color="auto"/>
              <w:left w:val="single" w:sz="4" w:space="0" w:color="auto"/>
              <w:bottom w:val="single" w:sz="4" w:space="0" w:color="auto"/>
              <w:right w:val="single" w:sz="4" w:space="0" w:color="auto"/>
            </w:tcBorders>
            <w:shd w:val="clear" w:color="auto" w:fill="D2DE5A" w:themeFill="background2"/>
            <w:vAlign w:val="center"/>
            <w:hideMark/>
          </w:tcPr>
          <w:p w14:paraId="4AA55B49" w14:textId="7BA89850" w:rsidR="00CD2B22" w:rsidRPr="00B609A9" w:rsidRDefault="00600606"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sz w:val="20"/>
                <w:szCs w:val="20"/>
                <w:lang w:eastAsia="en-AU"/>
              </w:rPr>
              <w:t>C</w:t>
            </w:r>
            <w:r w:rsidR="00CD2B22" w:rsidRPr="077CE19B">
              <w:rPr>
                <w:rFonts w:eastAsia="Times New Roman" w:cs="Arial"/>
                <w:b/>
                <w:bCs/>
                <w:sz w:val="20"/>
                <w:szCs w:val="20"/>
                <w:lang w:eastAsia="en-AU"/>
              </w:rPr>
              <w:t>entral</w:t>
            </w:r>
          </w:p>
        </w:tc>
        <w:tc>
          <w:tcPr>
            <w:tcW w:w="1350" w:type="dxa"/>
            <w:tcBorders>
              <w:top w:val="single" w:sz="4" w:space="0" w:color="auto"/>
              <w:left w:val="single" w:sz="4" w:space="0" w:color="auto"/>
              <w:bottom w:val="single" w:sz="4" w:space="0" w:color="auto"/>
            </w:tcBorders>
            <w:shd w:val="clear" w:color="auto" w:fill="005D5D" w:themeFill="accent2"/>
            <w:vAlign w:val="center"/>
            <w:hideMark/>
          </w:tcPr>
          <w:p w14:paraId="44ABCA73" w14:textId="0DE831BF" w:rsidR="00CD2B22" w:rsidRPr="00B609A9" w:rsidRDefault="00600606"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Pr>
                <w:rFonts w:eastAsia="Times New Roman" w:cs="Arial"/>
                <w:b/>
                <w:bCs/>
                <w:color w:val="FFFFFF" w:themeColor="background1"/>
                <w:sz w:val="20"/>
                <w:szCs w:val="20"/>
                <w:lang w:eastAsia="en-AU"/>
              </w:rPr>
              <w:t>High</w:t>
            </w:r>
          </w:p>
        </w:tc>
      </w:tr>
      <w:tr w:rsidR="00CD2B22" w:rsidRPr="00B609A9" w14:paraId="10E0A37F" w14:textId="77777777" w:rsidTr="00180811">
        <w:trPr>
          <w:trHeight w:val="300"/>
        </w:trPr>
        <w:tc>
          <w:tcPr>
            <w:tcW w:w="4395" w:type="dxa"/>
            <w:tcBorders>
              <w:top w:val="single" w:sz="4" w:space="0" w:color="auto"/>
              <w:bottom w:val="nil"/>
              <w:right w:val="single" w:sz="4" w:space="0" w:color="auto"/>
            </w:tcBorders>
            <w:shd w:val="clear" w:color="auto" w:fill="auto"/>
            <w:vAlign w:val="bottom"/>
            <w:hideMark/>
          </w:tcPr>
          <w:p w14:paraId="5F22D1DD"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Telecommunications Trades Workers </w:t>
            </w:r>
          </w:p>
        </w:tc>
        <w:tc>
          <w:tcPr>
            <w:tcW w:w="1680" w:type="dxa"/>
            <w:tcBorders>
              <w:top w:val="single" w:sz="4" w:space="0" w:color="auto"/>
              <w:left w:val="single" w:sz="4" w:space="0" w:color="auto"/>
              <w:right w:val="single" w:sz="4" w:space="0" w:color="auto"/>
            </w:tcBorders>
            <w:shd w:val="clear" w:color="auto" w:fill="auto"/>
            <w:vAlign w:val="center"/>
            <w:hideMark/>
          </w:tcPr>
          <w:p w14:paraId="55DA020C" w14:textId="36DF0E7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single" w:sz="4" w:space="0" w:color="auto"/>
              <w:left w:val="single" w:sz="4" w:space="0" w:color="auto"/>
              <w:bottom w:val="nil"/>
              <w:right w:val="single" w:sz="4" w:space="0" w:color="auto"/>
            </w:tcBorders>
            <w:shd w:val="clear" w:color="auto" w:fill="D2DE5A" w:themeFill="background2"/>
            <w:vAlign w:val="center"/>
            <w:hideMark/>
          </w:tcPr>
          <w:p w14:paraId="278D5C61" w14:textId="2639D32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c>
          <w:tcPr>
            <w:tcW w:w="1350" w:type="dxa"/>
            <w:tcBorders>
              <w:top w:val="single" w:sz="4" w:space="0" w:color="auto"/>
              <w:left w:val="single" w:sz="4" w:space="0" w:color="auto"/>
            </w:tcBorders>
            <w:shd w:val="clear" w:color="auto" w:fill="auto"/>
            <w:vAlign w:val="center"/>
            <w:hideMark/>
          </w:tcPr>
          <w:p w14:paraId="751DBCCB" w14:textId="136556C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1.4</w:t>
            </w:r>
          </w:p>
        </w:tc>
      </w:tr>
      <w:tr w:rsidR="00CD2B22" w:rsidRPr="00B609A9" w14:paraId="16DB0A41" w14:textId="77777777" w:rsidTr="00180811">
        <w:trPr>
          <w:trHeight w:val="300"/>
        </w:trPr>
        <w:tc>
          <w:tcPr>
            <w:tcW w:w="4395" w:type="dxa"/>
            <w:tcBorders>
              <w:top w:val="nil"/>
              <w:bottom w:val="nil"/>
              <w:right w:val="single" w:sz="4" w:space="0" w:color="auto"/>
            </w:tcBorders>
            <w:shd w:val="clear" w:color="auto" w:fill="auto"/>
            <w:vAlign w:val="bottom"/>
            <w:hideMark/>
          </w:tcPr>
          <w:p w14:paraId="14ECFA68"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Electronics Trades Workers </w:t>
            </w:r>
          </w:p>
        </w:tc>
        <w:tc>
          <w:tcPr>
            <w:tcW w:w="1680" w:type="dxa"/>
            <w:tcBorders>
              <w:left w:val="single" w:sz="4" w:space="0" w:color="auto"/>
              <w:right w:val="single" w:sz="4" w:space="0" w:color="auto"/>
            </w:tcBorders>
            <w:shd w:val="clear" w:color="auto" w:fill="auto"/>
            <w:vAlign w:val="center"/>
            <w:hideMark/>
          </w:tcPr>
          <w:p w14:paraId="624F3541" w14:textId="31BFF10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3BAF7C6" w14:textId="2B8F8638"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c>
          <w:tcPr>
            <w:tcW w:w="1350" w:type="dxa"/>
            <w:tcBorders>
              <w:left w:val="single" w:sz="4" w:space="0" w:color="auto"/>
            </w:tcBorders>
            <w:shd w:val="clear" w:color="auto" w:fill="auto"/>
            <w:vAlign w:val="center"/>
            <w:hideMark/>
          </w:tcPr>
          <w:p w14:paraId="06C035C2" w14:textId="3C1CEDE8"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1.4</w:t>
            </w:r>
          </w:p>
        </w:tc>
      </w:tr>
      <w:tr w:rsidR="00CD2B22" w:rsidRPr="00B609A9" w14:paraId="6CEE7EAB" w14:textId="77777777" w:rsidTr="00180811">
        <w:trPr>
          <w:trHeight w:val="525"/>
        </w:trPr>
        <w:tc>
          <w:tcPr>
            <w:tcW w:w="4395" w:type="dxa"/>
            <w:tcBorders>
              <w:top w:val="nil"/>
              <w:bottom w:val="nil"/>
              <w:right w:val="single" w:sz="4" w:space="0" w:color="auto"/>
            </w:tcBorders>
            <w:shd w:val="clear" w:color="auto" w:fill="auto"/>
            <w:vAlign w:val="bottom"/>
            <w:hideMark/>
          </w:tcPr>
          <w:p w14:paraId="6C250A9F"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Electronic Engineering Draftspersons and Technicians </w:t>
            </w:r>
          </w:p>
        </w:tc>
        <w:tc>
          <w:tcPr>
            <w:tcW w:w="1680" w:type="dxa"/>
            <w:tcBorders>
              <w:left w:val="single" w:sz="4" w:space="0" w:color="auto"/>
              <w:right w:val="single" w:sz="4" w:space="0" w:color="auto"/>
            </w:tcBorders>
            <w:shd w:val="clear" w:color="auto" w:fill="auto"/>
            <w:vAlign w:val="center"/>
            <w:hideMark/>
          </w:tcPr>
          <w:p w14:paraId="641559A4" w14:textId="3CDFB5C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221CC75D" w14:textId="6D4D3442"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1.4</w:t>
            </w:r>
          </w:p>
        </w:tc>
        <w:tc>
          <w:tcPr>
            <w:tcW w:w="1350" w:type="dxa"/>
            <w:tcBorders>
              <w:left w:val="single" w:sz="4" w:space="0" w:color="auto"/>
            </w:tcBorders>
            <w:shd w:val="clear" w:color="auto" w:fill="auto"/>
            <w:vAlign w:val="center"/>
            <w:hideMark/>
          </w:tcPr>
          <w:p w14:paraId="45190C02" w14:textId="45DAC52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r>
      <w:tr w:rsidR="00CD2B22" w:rsidRPr="00B609A9" w14:paraId="3F6E5A84" w14:textId="77777777" w:rsidTr="00180811">
        <w:trPr>
          <w:trHeight w:val="300"/>
        </w:trPr>
        <w:tc>
          <w:tcPr>
            <w:tcW w:w="4395" w:type="dxa"/>
            <w:tcBorders>
              <w:top w:val="nil"/>
              <w:bottom w:val="nil"/>
              <w:right w:val="single" w:sz="4" w:space="0" w:color="auto"/>
            </w:tcBorders>
            <w:shd w:val="clear" w:color="auto" w:fill="auto"/>
            <w:vAlign w:val="bottom"/>
            <w:hideMark/>
          </w:tcPr>
          <w:p w14:paraId="147E4D13"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Structural Steel Construction Workers </w:t>
            </w:r>
          </w:p>
        </w:tc>
        <w:tc>
          <w:tcPr>
            <w:tcW w:w="1680" w:type="dxa"/>
            <w:tcBorders>
              <w:left w:val="single" w:sz="4" w:space="0" w:color="auto"/>
              <w:right w:val="single" w:sz="4" w:space="0" w:color="auto"/>
            </w:tcBorders>
            <w:shd w:val="clear" w:color="auto" w:fill="auto"/>
            <w:vAlign w:val="center"/>
            <w:hideMark/>
          </w:tcPr>
          <w:p w14:paraId="4C5F9B8E" w14:textId="74CB63A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0ADF85A2" w14:textId="39BA033C"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0.9</w:t>
            </w:r>
          </w:p>
        </w:tc>
        <w:tc>
          <w:tcPr>
            <w:tcW w:w="1350" w:type="dxa"/>
            <w:tcBorders>
              <w:left w:val="single" w:sz="4" w:space="0" w:color="auto"/>
            </w:tcBorders>
            <w:shd w:val="clear" w:color="auto" w:fill="auto"/>
            <w:vAlign w:val="center"/>
            <w:hideMark/>
          </w:tcPr>
          <w:p w14:paraId="3C1652AC" w14:textId="301AF66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0.6</w:t>
            </w:r>
          </w:p>
        </w:tc>
      </w:tr>
      <w:tr w:rsidR="00CD2B22" w:rsidRPr="00B609A9" w14:paraId="57CA3296" w14:textId="77777777" w:rsidTr="00180811">
        <w:trPr>
          <w:trHeight w:val="300"/>
        </w:trPr>
        <w:tc>
          <w:tcPr>
            <w:tcW w:w="4395" w:type="dxa"/>
            <w:tcBorders>
              <w:top w:val="nil"/>
              <w:bottom w:val="nil"/>
              <w:right w:val="single" w:sz="4" w:space="0" w:color="auto"/>
            </w:tcBorders>
            <w:shd w:val="clear" w:color="auto" w:fill="auto"/>
            <w:vAlign w:val="bottom"/>
            <w:hideMark/>
          </w:tcPr>
          <w:p w14:paraId="07933F1E"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Construction Managers </w:t>
            </w:r>
          </w:p>
        </w:tc>
        <w:tc>
          <w:tcPr>
            <w:tcW w:w="1680" w:type="dxa"/>
            <w:tcBorders>
              <w:left w:val="single" w:sz="4" w:space="0" w:color="auto"/>
              <w:right w:val="single" w:sz="4" w:space="0" w:color="auto"/>
            </w:tcBorders>
            <w:shd w:val="clear" w:color="auto" w:fill="auto"/>
            <w:vAlign w:val="center"/>
            <w:hideMark/>
          </w:tcPr>
          <w:p w14:paraId="36E9081D" w14:textId="156CA77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24E90C71" w14:textId="0460467D"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c>
          <w:tcPr>
            <w:tcW w:w="1350" w:type="dxa"/>
            <w:tcBorders>
              <w:left w:val="single" w:sz="4" w:space="0" w:color="auto"/>
            </w:tcBorders>
            <w:shd w:val="clear" w:color="auto" w:fill="auto"/>
            <w:vAlign w:val="center"/>
            <w:hideMark/>
          </w:tcPr>
          <w:p w14:paraId="1B8EFE9B" w14:textId="7C7CD1D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1.3</w:t>
            </w:r>
          </w:p>
        </w:tc>
      </w:tr>
      <w:tr w:rsidR="00CD2B22" w:rsidRPr="00B609A9" w14:paraId="5A41CC07" w14:textId="77777777" w:rsidTr="00180811">
        <w:trPr>
          <w:trHeight w:val="300"/>
        </w:trPr>
        <w:tc>
          <w:tcPr>
            <w:tcW w:w="4395" w:type="dxa"/>
            <w:tcBorders>
              <w:top w:val="nil"/>
              <w:bottom w:val="nil"/>
              <w:right w:val="single" w:sz="4" w:space="0" w:color="auto"/>
            </w:tcBorders>
            <w:shd w:val="clear" w:color="auto" w:fill="auto"/>
            <w:vAlign w:val="bottom"/>
            <w:hideMark/>
          </w:tcPr>
          <w:p w14:paraId="030379C4"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Plumbers </w:t>
            </w:r>
          </w:p>
        </w:tc>
        <w:tc>
          <w:tcPr>
            <w:tcW w:w="1680" w:type="dxa"/>
            <w:tcBorders>
              <w:left w:val="single" w:sz="4" w:space="0" w:color="auto"/>
              <w:right w:val="single" w:sz="4" w:space="0" w:color="auto"/>
            </w:tcBorders>
            <w:shd w:val="clear" w:color="auto" w:fill="auto"/>
            <w:vAlign w:val="center"/>
            <w:hideMark/>
          </w:tcPr>
          <w:p w14:paraId="3762FC71" w14:textId="5B8C352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B7B4348" w14:textId="2CDFC44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c>
          <w:tcPr>
            <w:tcW w:w="1350" w:type="dxa"/>
            <w:tcBorders>
              <w:left w:val="single" w:sz="4" w:space="0" w:color="auto"/>
            </w:tcBorders>
            <w:shd w:val="clear" w:color="auto" w:fill="auto"/>
            <w:vAlign w:val="center"/>
            <w:hideMark/>
          </w:tcPr>
          <w:p w14:paraId="72D115E4" w14:textId="1F78B61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7A2C8FC7" w14:textId="77777777" w:rsidTr="00180811">
        <w:trPr>
          <w:trHeight w:val="300"/>
        </w:trPr>
        <w:tc>
          <w:tcPr>
            <w:tcW w:w="4395" w:type="dxa"/>
            <w:tcBorders>
              <w:top w:val="nil"/>
              <w:bottom w:val="nil"/>
              <w:right w:val="single" w:sz="4" w:space="0" w:color="auto"/>
            </w:tcBorders>
            <w:shd w:val="clear" w:color="auto" w:fill="auto"/>
            <w:vAlign w:val="bottom"/>
            <w:hideMark/>
          </w:tcPr>
          <w:p w14:paraId="293D20A8"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Electricians </w:t>
            </w:r>
          </w:p>
        </w:tc>
        <w:tc>
          <w:tcPr>
            <w:tcW w:w="1680" w:type="dxa"/>
            <w:tcBorders>
              <w:left w:val="single" w:sz="4" w:space="0" w:color="auto"/>
              <w:right w:val="single" w:sz="4" w:space="0" w:color="auto"/>
            </w:tcBorders>
            <w:shd w:val="clear" w:color="auto" w:fill="auto"/>
            <w:vAlign w:val="center"/>
            <w:hideMark/>
          </w:tcPr>
          <w:p w14:paraId="291A8707" w14:textId="74EEB7AB"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79BAE1A5" w14:textId="05090C1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c>
          <w:tcPr>
            <w:tcW w:w="1350" w:type="dxa"/>
            <w:tcBorders>
              <w:left w:val="single" w:sz="4" w:space="0" w:color="auto"/>
            </w:tcBorders>
            <w:shd w:val="clear" w:color="auto" w:fill="auto"/>
            <w:vAlign w:val="center"/>
            <w:hideMark/>
          </w:tcPr>
          <w:p w14:paraId="116F696F" w14:textId="47228B14"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r>
      <w:tr w:rsidR="00CD2B22" w:rsidRPr="00B609A9" w14:paraId="5D7FFEFF" w14:textId="77777777" w:rsidTr="00180811">
        <w:trPr>
          <w:trHeight w:val="300"/>
        </w:trPr>
        <w:tc>
          <w:tcPr>
            <w:tcW w:w="4395" w:type="dxa"/>
            <w:tcBorders>
              <w:top w:val="nil"/>
              <w:bottom w:val="nil"/>
              <w:right w:val="single" w:sz="4" w:space="0" w:color="auto"/>
            </w:tcBorders>
            <w:shd w:val="clear" w:color="auto" w:fill="auto"/>
            <w:vAlign w:val="bottom"/>
            <w:hideMark/>
          </w:tcPr>
          <w:p w14:paraId="1A94B7F0"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Airconditioning and Refrigeration Mechanics </w:t>
            </w:r>
          </w:p>
        </w:tc>
        <w:tc>
          <w:tcPr>
            <w:tcW w:w="1680" w:type="dxa"/>
            <w:tcBorders>
              <w:left w:val="single" w:sz="4" w:space="0" w:color="auto"/>
              <w:right w:val="single" w:sz="4" w:space="0" w:color="auto"/>
            </w:tcBorders>
            <w:shd w:val="clear" w:color="auto" w:fill="auto"/>
            <w:vAlign w:val="center"/>
            <w:hideMark/>
          </w:tcPr>
          <w:p w14:paraId="5661225E" w14:textId="133E503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770421E" w14:textId="5899030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c>
          <w:tcPr>
            <w:tcW w:w="1350" w:type="dxa"/>
            <w:tcBorders>
              <w:left w:val="single" w:sz="4" w:space="0" w:color="auto"/>
            </w:tcBorders>
            <w:shd w:val="clear" w:color="auto" w:fill="auto"/>
            <w:vAlign w:val="center"/>
            <w:hideMark/>
          </w:tcPr>
          <w:p w14:paraId="58A56E29" w14:textId="01173A8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r>
      <w:tr w:rsidR="00CD2B22" w:rsidRPr="00B609A9" w14:paraId="3710452E" w14:textId="77777777" w:rsidTr="00180811">
        <w:trPr>
          <w:trHeight w:val="300"/>
        </w:trPr>
        <w:tc>
          <w:tcPr>
            <w:tcW w:w="4395" w:type="dxa"/>
            <w:tcBorders>
              <w:top w:val="nil"/>
              <w:bottom w:val="nil"/>
              <w:right w:val="single" w:sz="4" w:space="0" w:color="auto"/>
            </w:tcBorders>
            <w:shd w:val="clear" w:color="auto" w:fill="auto"/>
            <w:vAlign w:val="bottom"/>
            <w:hideMark/>
          </w:tcPr>
          <w:p w14:paraId="12667041"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Agricultural and Forestry Scientists </w:t>
            </w:r>
          </w:p>
        </w:tc>
        <w:tc>
          <w:tcPr>
            <w:tcW w:w="1680" w:type="dxa"/>
            <w:tcBorders>
              <w:left w:val="single" w:sz="4" w:space="0" w:color="auto"/>
              <w:right w:val="single" w:sz="4" w:space="0" w:color="auto"/>
            </w:tcBorders>
            <w:shd w:val="clear" w:color="auto" w:fill="auto"/>
            <w:vAlign w:val="center"/>
            <w:hideMark/>
          </w:tcPr>
          <w:p w14:paraId="7EED2B80" w14:textId="732E26D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6BAACF0C" w14:textId="4C94C3FF"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12D601D0" w14:textId="022FF45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r>
      <w:tr w:rsidR="00CD2B22" w:rsidRPr="00B609A9" w14:paraId="1D02C4DA" w14:textId="77777777" w:rsidTr="00180811">
        <w:trPr>
          <w:trHeight w:val="300"/>
        </w:trPr>
        <w:tc>
          <w:tcPr>
            <w:tcW w:w="4395" w:type="dxa"/>
            <w:tcBorders>
              <w:top w:val="nil"/>
              <w:bottom w:val="nil"/>
              <w:right w:val="single" w:sz="4" w:space="0" w:color="auto"/>
            </w:tcBorders>
            <w:shd w:val="clear" w:color="auto" w:fill="auto"/>
            <w:vAlign w:val="bottom"/>
            <w:hideMark/>
          </w:tcPr>
          <w:p w14:paraId="063ACD88"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Urban and Regional Planners </w:t>
            </w:r>
          </w:p>
        </w:tc>
        <w:tc>
          <w:tcPr>
            <w:tcW w:w="1680" w:type="dxa"/>
            <w:tcBorders>
              <w:left w:val="single" w:sz="4" w:space="0" w:color="auto"/>
              <w:right w:val="single" w:sz="4" w:space="0" w:color="auto"/>
            </w:tcBorders>
            <w:shd w:val="clear" w:color="auto" w:fill="auto"/>
            <w:vAlign w:val="center"/>
            <w:hideMark/>
          </w:tcPr>
          <w:p w14:paraId="18EB8964" w14:textId="04BE6EC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1F027089" w14:textId="18AB82DD"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c>
          <w:tcPr>
            <w:tcW w:w="1350" w:type="dxa"/>
            <w:tcBorders>
              <w:left w:val="single" w:sz="4" w:space="0" w:color="auto"/>
            </w:tcBorders>
            <w:shd w:val="clear" w:color="auto" w:fill="auto"/>
            <w:vAlign w:val="center"/>
            <w:hideMark/>
          </w:tcPr>
          <w:p w14:paraId="3BA3FBE1" w14:textId="06C80ADB"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r>
      <w:tr w:rsidR="00CD2B22" w:rsidRPr="00B609A9" w14:paraId="55B1D3B0" w14:textId="77777777" w:rsidTr="00180811">
        <w:trPr>
          <w:trHeight w:val="300"/>
        </w:trPr>
        <w:tc>
          <w:tcPr>
            <w:tcW w:w="4395" w:type="dxa"/>
            <w:tcBorders>
              <w:top w:val="nil"/>
              <w:bottom w:val="nil"/>
              <w:right w:val="single" w:sz="4" w:space="0" w:color="auto"/>
            </w:tcBorders>
            <w:shd w:val="clear" w:color="auto" w:fill="auto"/>
            <w:vAlign w:val="bottom"/>
            <w:hideMark/>
          </w:tcPr>
          <w:p w14:paraId="0E469812"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Other Engineering Professionals </w:t>
            </w:r>
          </w:p>
        </w:tc>
        <w:tc>
          <w:tcPr>
            <w:tcW w:w="1680" w:type="dxa"/>
            <w:tcBorders>
              <w:left w:val="single" w:sz="4" w:space="0" w:color="auto"/>
              <w:right w:val="single" w:sz="4" w:space="0" w:color="auto"/>
            </w:tcBorders>
            <w:shd w:val="clear" w:color="auto" w:fill="auto"/>
            <w:vAlign w:val="center"/>
            <w:hideMark/>
          </w:tcPr>
          <w:p w14:paraId="454498D8" w14:textId="43552F17"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73A87A0C" w14:textId="35FC580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215F0790" w14:textId="2CCA4F27"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3DDF94E4" w14:textId="77777777" w:rsidTr="00180811">
        <w:trPr>
          <w:trHeight w:val="300"/>
        </w:trPr>
        <w:tc>
          <w:tcPr>
            <w:tcW w:w="4395" w:type="dxa"/>
            <w:tcBorders>
              <w:top w:val="nil"/>
              <w:bottom w:val="nil"/>
              <w:right w:val="single" w:sz="4" w:space="0" w:color="auto"/>
            </w:tcBorders>
            <w:shd w:val="clear" w:color="auto" w:fill="auto"/>
            <w:vAlign w:val="center"/>
            <w:hideMark/>
          </w:tcPr>
          <w:p w14:paraId="2212DF81"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Industrial, Mechanical and Production Engineers </w:t>
            </w:r>
          </w:p>
        </w:tc>
        <w:tc>
          <w:tcPr>
            <w:tcW w:w="1680" w:type="dxa"/>
            <w:tcBorders>
              <w:left w:val="single" w:sz="4" w:space="0" w:color="auto"/>
              <w:right w:val="single" w:sz="4" w:space="0" w:color="auto"/>
            </w:tcBorders>
            <w:shd w:val="clear" w:color="auto" w:fill="auto"/>
            <w:vAlign w:val="center"/>
            <w:hideMark/>
          </w:tcPr>
          <w:p w14:paraId="4915262A" w14:textId="40D5832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0.4</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4B65EBFA" w14:textId="5A15B341"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50" w:type="dxa"/>
            <w:tcBorders>
              <w:left w:val="single" w:sz="4" w:space="0" w:color="auto"/>
            </w:tcBorders>
            <w:shd w:val="clear" w:color="auto" w:fill="auto"/>
            <w:vAlign w:val="center"/>
            <w:hideMark/>
          </w:tcPr>
          <w:p w14:paraId="201AC40B" w14:textId="0D8AAC0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r>
      <w:tr w:rsidR="00CD2B22" w:rsidRPr="00B609A9" w14:paraId="3200A9C3" w14:textId="77777777" w:rsidTr="00180811">
        <w:trPr>
          <w:trHeight w:val="300"/>
        </w:trPr>
        <w:tc>
          <w:tcPr>
            <w:tcW w:w="4395" w:type="dxa"/>
            <w:tcBorders>
              <w:top w:val="nil"/>
              <w:bottom w:val="nil"/>
              <w:right w:val="single" w:sz="4" w:space="0" w:color="auto"/>
            </w:tcBorders>
            <w:shd w:val="clear" w:color="auto" w:fill="auto"/>
            <w:vAlign w:val="bottom"/>
            <w:hideMark/>
          </w:tcPr>
          <w:p w14:paraId="455FBFD3"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Civil Engineering Professionals </w:t>
            </w:r>
          </w:p>
        </w:tc>
        <w:tc>
          <w:tcPr>
            <w:tcW w:w="1680" w:type="dxa"/>
            <w:tcBorders>
              <w:left w:val="single" w:sz="4" w:space="0" w:color="auto"/>
              <w:right w:val="single" w:sz="4" w:space="0" w:color="auto"/>
            </w:tcBorders>
            <w:shd w:val="clear" w:color="auto" w:fill="auto"/>
            <w:vAlign w:val="center"/>
            <w:hideMark/>
          </w:tcPr>
          <w:p w14:paraId="054EE90F" w14:textId="684B44A3"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0.8</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F4F8B0A" w14:textId="2A95074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1.2</w:t>
            </w:r>
          </w:p>
        </w:tc>
        <w:tc>
          <w:tcPr>
            <w:tcW w:w="1350" w:type="dxa"/>
            <w:tcBorders>
              <w:left w:val="single" w:sz="4" w:space="0" w:color="auto"/>
            </w:tcBorders>
            <w:shd w:val="clear" w:color="auto" w:fill="auto"/>
            <w:vAlign w:val="center"/>
            <w:hideMark/>
          </w:tcPr>
          <w:p w14:paraId="6995C703" w14:textId="3244A4AE"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18519814" w14:textId="77777777" w:rsidTr="00180811">
        <w:trPr>
          <w:trHeight w:val="300"/>
        </w:trPr>
        <w:tc>
          <w:tcPr>
            <w:tcW w:w="4395" w:type="dxa"/>
            <w:tcBorders>
              <w:top w:val="nil"/>
              <w:bottom w:val="nil"/>
              <w:right w:val="single" w:sz="4" w:space="0" w:color="auto"/>
            </w:tcBorders>
            <w:shd w:val="clear" w:color="auto" w:fill="auto"/>
            <w:vAlign w:val="bottom"/>
            <w:hideMark/>
          </w:tcPr>
          <w:p w14:paraId="5E7D785A"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Engineering Managers </w:t>
            </w:r>
          </w:p>
        </w:tc>
        <w:tc>
          <w:tcPr>
            <w:tcW w:w="1680" w:type="dxa"/>
            <w:tcBorders>
              <w:left w:val="single" w:sz="4" w:space="0" w:color="auto"/>
              <w:right w:val="single" w:sz="4" w:space="0" w:color="auto"/>
            </w:tcBorders>
            <w:shd w:val="clear" w:color="auto" w:fill="auto"/>
            <w:vAlign w:val="center"/>
            <w:hideMark/>
          </w:tcPr>
          <w:p w14:paraId="0E7EFEB9" w14:textId="0E6E6D0C"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nil"/>
              <w:right w:val="single" w:sz="4" w:space="0" w:color="auto"/>
            </w:tcBorders>
            <w:shd w:val="clear" w:color="auto" w:fill="D2DE5A" w:themeFill="background2"/>
            <w:vAlign w:val="center"/>
            <w:hideMark/>
          </w:tcPr>
          <w:p w14:paraId="38FEB382" w14:textId="3D5A23ED"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1E3953D3" w14:textId="4621084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r w:rsidR="00CD2B22" w:rsidRPr="00B609A9" w14:paraId="3825506B" w14:textId="77777777" w:rsidTr="00180811">
        <w:trPr>
          <w:trHeight w:val="300"/>
        </w:trPr>
        <w:tc>
          <w:tcPr>
            <w:tcW w:w="4395" w:type="dxa"/>
            <w:tcBorders>
              <w:top w:val="nil"/>
              <w:bottom w:val="single" w:sz="4" w:space="0" w:color="auto"/>
              <w:right w:val="single" w:sz="4" w:space="0" w:color="auto"/>
            </w:tcBorders>
            <w:shd w:val="clear" w:color="auto" w:fill="auto"/>
            <w:vAlign w:val="bottom"/>
            <w:hideMark/>
          </w:tcPr>
          <w:p w14:paraId="0D43E341" w14:textId="77777777" w:rsidR="00CD2B22" w:rsidRPr="00B609A9" w:rsidRDefault="00CD2B22" w:rsidP="00180811">
            <w:pPr>
              <w:spacing w:after="0" w:line="240" w:lineRule="auto"/>
              <w:ind w:left="113"/>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Electrical Engineers </w:t>
            </w:r>
          </w:p>
        </w:tc>
        <w:tc>
          <w:tcPr>
            <w:tcW w:w="1680" w:type="dxa"/>
            <w:tcBorders>
              <w:left w:val="single" w:sz="4" w:space="0" w:color="auto"/>
              <w:right w:val="single" w:sz="4" w:space="0" w:color="auto"/>
            </w:tcBorders>
            <w:shd w:val="clear" w:color="auto" w:fill="auto"/>
            <w:vAlign w:val="center"/>
            <w:hideMark/>
          </w:tcPr>
          <w:p w14:paraId="0071D9A2" w14:textId="7C4742B6"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0.7</w:t>
            </w:r>
          </w:p>
        </w:tc>
        <w:tc>
          <w:tcPr>
            <w:tcW w:w="1395" w:type="dxa"/>
            <w:tcBorders>
              <w:top w:val="nil"/>
              <w:left w:val="single" w:sz="4" w:space="0" w:color="auto"/>
              <w:bottom w:val="single" w:sz="4" w:space="0" w:color="auto"/>
              <w:right w:val="single" w:sz="4" w:space="0" w:color="auto"/>
            </w:tcBorders>
            <w:shd w:val="clear" w:color="auto" w:fill="D2DE5A" w:themeFill="background2"/>
            <w:vAlign w:val="center"/>
            <w:hideMark/>
          </w:tcPr>
          <w:p w14:paraId="2AB6C4FD" w14:textId="54D745CA"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1.1</w:t>
            </w:r>
          </w:p>
        </w:tc>
        <w:tc>
          <w:tcPr>
            <w:tcW w:w="1350" w:type="dxa"/>
            <w:tcBorders>
              <w:left w:val="single" w:sz="4" w:space="0" w:color="auto"/>
            </w:tcBorders>
            <w:shd w:val="clear" w:color="auto" w:fill="auto"/>
            <w:vAlign w:val="center"/>
            <w:hideMark/>
          </w:tcPr>
          <w:p w14:paraId="40AFED09" w14:textId="619D3205" w:rsidR="00CD2B22" w:rsidRPr="00B609A9" w:rsidRDefault="00CD2B22" w:rsidP="00180811">
            <w:pPr>
              <w:spacing w:after="0" w:line="240" w:lineRule="auto"/>
              <w:jc w:val="center"/>
              <w:textAlignment w:val="baseline"/>
              <w:rPr>
                <w:rFonts w:ascii="Times New Roman" w:eastAsia="Times New Roman" w:hAnsi="Times New Roman" w:cs="Times New Roman"/>
                <w:color w:val="000000"/>
                <w:sz w:val="24"/>
                <w:szCs w:val="24"/>
                <w:lang w:eastAsia="en-AU"/>
              </w:rPr>
            </w:pPr>
            <w:r w:rsidRPr="077CE19B">
              <w:rPr>
                <w:rFonts w:eastAsia="Times New Roman" w:cs="Arial"/>
                <w:sz w:val="20"/>
                <w:szCs w:val="20"/>
                <w:lang w:eastAsia="en-AU"/>
              </w:rPr>
              <w:t>1.0</w:t>
            </w:r>
          </w:p>
        </w:tc>
      </w:tr>
    </w:tbl>
    <w:p w14:paraId="2EC1182F" w14:textId="77449540" w:rsidR="00DE5811" w:rsidRDefault="00DE5811" w:rsidP="00DE5811">
      <w:pPr>
        <w:spacing w:after="0"/>
        <w:rPr>
          <w:sz w:val="18"/>
          <w:szCs w:val="18"/>
        </w:rPr>
      </w:pPr>
      <w:r w:rsidRPr="00E226A4">
        <w:rPr>
          <w:sz w:val="18"/>
          <w:szCs w:val="18"/>
        </w:rPr>
        <w:t>Source: Deloitte Access Economics 2023.</w:t>
      </w:r>
    </w:p>
    <w:p w14:paraId="2FA6D155" w14:textId="77777777" w:rsidR="001D5860" w:rsidRDefault="001D5860">
      <w:pPr>
        <w:rPr>
          <w:rFonts w:eastAsiaTheme="majorEastAsia" w:cstheme="majorBidi"/>
          <w:b/>
          <w:sz w:val="32"/>
          <w:szCs w:val="24"/>
        </w:rPr>
      </w:pPr>
      <w:r>
        <w:br w:type="page"/>
      </w:r>
    </w:p>
    <w:p w14:paraId="5238D0C0" w14:textId="3B6BBFB8" w:rsidR="00CD2B22" w:rsidRPr="00525376" w:rsidRDefault="00CD2B22" w:rsidP="00CD2B22">
      <w:pPr>
        <w:pStyle w:val="Heading3"/>
        <w:rPr>
          <w:color w:val="77123D" w:themeColor="accent4" w:themeShade="BF"/>
        </w:rPr>
      </w:pPr>
      <w:r w:rsidRPr="00525376">
        <w:rPr>
          <w:color w:val="77123D" w:themeColor="accent4" w:themeShade="BF"/>
        </w:rPr>
        <w:t>What regions are likely to experience jobs growth?</w:t>
      </w:r>
    </w:p>
    <w:p w14:paraId="68AD3D60" w14:textId="015CAC67" w:rsidR="00CD2B22" w:rsidRPr="004221D5" w:rsidRDefault="00CD2B22" w:rsidP="001D5860">
      <w:pPr>
        <w:spacing w:after="120" w:line="276" w:lineRule="auto"/>
        <w:rPr>
          <w14:numForm w14:val="lining"/>
          <w14:numSpacing w14:val="proportional"/>
        </w:rPr>
      </w:pPr>
      <w:r w:rsidRPr="004221D5">
        <w:rPr>
          <w14:numForm w14:val="lining"/>
          <w14:numSpacing w14:val="proportional"/>
        </w:rPr>
        <w:t xml:space="preserve">Generally, </w:t>
      </w:r>
      <w:r w:rsidR="005703BD">
        <w:rPr>
          <w14:numForm w14:val="lining"/>
          <w14:numSpacing w14:val="proportional"/>
        </w:rPr>
        <w:t xml:space="preserve">the preliminary modelling shows </w:t>
      </w:r>
      <w:r w:rsidRPr="004221D5">
        <w:rPr>
          <w14:numForm w14:val="lining"/>
          <w14:numSpacing w14:val="proportional"/>
        </w:rPr>
        <w:t xml:space="preserve">employment growth is stronger in regional Australia than metropolitan Australia under the </w:t>
      </w:r>
      <w:r w:rsidR="005703BD">
        <w:rPr>
          <w14:numForm w14:val="lining"/>
          <w14:numSpacing w14:val="proportional"/>
        </w:rPr>
        <w:t>c</w:t>
      </w:r>
      <w:r w:rsidRPr="004221D5">
        <w:rPr>
          <w14:numForm w14:val="lining"/>
          <w14:numSpacing w14:val="proportional"/>
        </w:rPr>
        <w:t xml:space="preserve">entral scenario, although there is some variation across regions. The continued investment in the </w:t>
      </w:r>
      <w:r w:rsidR="005703BD">
        <w:rPr>
          <w14:numForm w14:val="lining"/>
          <w14:numSpacing w14:val="proportional"/>
        </w:rPr>
        <w:t>central</w:t>
      </w:r>
      <w:r w:rsidRPr="004221D5">
        <w:rPr>
          <w14:numForm w14:val="lining"/>
          <w14:numSpacing w14:val="proportional"/>
        </w:rPr>
        <w:t xml:space="preserve"> scenario post 2030 capitalises on the investments in low-emissions activity and renewable energy in the first decade, resulting in higher regional growth in employment and across industries through to 2050. </w:t>
      </w:r>
    </w:p>
    <w:p w14:paraId="59186DBB" w14:textId="77777777" w:rsidR="00CD2B22" w:rsidRPr="004221D5" w:rsidRDefault="00CD2B22" w:rsidP="001D5860">
      <w:pPr>
        <w:spacing w:before="240" w:after="120" w:line="276" w:lineRule="auto"/>
        <w:rPr>
          <w:b/>
          <w:bCs/>
          <w14:numForm w14:val="lining"/>
          <w14:numSpacing w14:val="proportional"/>
        </w:rPr>
      </w:pPr>
      <w:r w:rsidRPr="004221D5">
        <w:rPr>
          <w:b/>
          <w:bCs/>
          <w14:numForm w14:val="lining"/>
          <w14:numSpacing w14:val="proportional"/>
        </w:rPr>
        <w:t xml:space="preserve">Likely clean energy jobs growth in various regions to 2030 </w:t>
      </w:r>
    </w:p>
    <w:p w14:paraId="19368151" w14:textId="1A600861" w:rsidR="00CD2B22" w:rsidRPr="004221D5" w:rsidRDefault="00CD2B22" w:rsidP="001D5860">
      <w:pPr>
        <w:spacing w:after="120" w:line="276" w:lineRule="auto"/>
        <w:rPr>
          <w14:numForm w14:val="lining"/>
          <w14:numSpacing w14:val="proportional"/>
        </w:rPr>
      </w:pPr>
      <w:r w:rsidRPr="004221D5">
        <w:rPr>
          <w14:numForm w14:val="lining"/>
          <w14:numSpacing w14:val="proportional"/>
        </w:rPr>
        <w:t xml:space="preserve">Under the </w:t>
      </w:r>
      <w:r w:rsidR="005703BD">
        <w:rPr>
          <w14:numForm w14:val="lining"/>
          <w14:numSpacing w14:val="proportional"/>
        </w:rPr>
        <w:t>c</w:t>
      </w:r>
      <w:r w:rsidRPr="004221D5">
        <w:rPr>
          <w14:numForm w14:val="lining"/>
          <w14:numSpacing w14:val="proportional"/>
        </w:rPr>
        <w:t xml:space="preserve">entral scenario </w:t>
      </w:r>
      <w:r w:rsidR="005703BD">
        <w:rPr>
          <w14:numForm w14:val="lining"/>
          <w14:numSpacing w14:val="proportional"/>
        </w:rPr>
        <w:t>the preliminary modelling shows</w:t>
      </w:r>
      <w:r w:rsidRPr="004221D5">
        <w:rPr>
          <w14:numForm w14:val="lining"/>
          <w14:numSpacing w14:val="proportional"/>
        </w:rPr>
        <w:t xml:space="preserve"> many regions are likely to have average annual employment growth rates close to 2% between 2023 and 2030, including Northern NSW and Southern NSW</w:t>
      </w:r>
      <w:r w:rsidR="00A6079A" w:rsidRPr="004221D5">
        <w:rPr>
          <w14:numForm w14:val="lining"/>
          <w14:numSpacing w14:val="proportional"/>
        </w:rPr>
        <w:t xml:space="preserve">. </w:t>
      </w:r>
      <w:r w:rsidRPr="004221D5">
        <w:rPr>
          <w14:numForm w14:val="lining"/>
          <w14:numSpacing w14:val="proportional"/>
        </w:rPr>
        <w:t>Eastern Victoria and the Northern Territory</w:t>
      </w:r>
      <w:r w:rsidR="00A6079A" w:rsidRPr="004221D5">
        <w:rPr>
          <w14:numForm w14:val="lining"/>
          <w14:numSpacing w14:val="proportional"/>
        </w:rPr>
        <w:t xml:space="preserve"> also</w:t>
      </w:r>
      <w:r w:rsidR="00A30B39" w:rsidRPr="004221D5">
        <w:rPr>
          <w14:numForm w14:val="lining"/>
          <w14:numSpacing w14:val="proportional"/>
        </w:rPr>
        <w:t xml:space="preserve"> have relatively high growth rates</w:t>
      </w:r>
      <w:r w:rsidR="00A6079A" w:rsidRPr="004221D5">
        <w:rPr>
          <w14:numForm w14:val="lining"/>
          <w14:numSpacing w14:val="proportional"/>
        </w:rPr>
        <w:t xml:space="preserve"> but</w:t>
      </w:r>
      <w:r w:rsidRPr="004221D5">
        <w:rPr>
          <w14:numForm w14:val="lining"/>
          <w14:numSpacing w14:val="proportional"/>
        </w:rPr>
        <w:t xml:space="preserve"> in these two regions growth is off a smaller base. This growth reflects renewable energy projects and the associated construction pipelines. Some of these regions, for example Northern NSW and Eastern Victoria, also have transitioning sectors. These regions are also likely to have stronger growth rates under the </w:t>
      </w:r>
      <w:r w:rsidR="005703BD">
        <w:rPr>
          <w14:numForm w14:val="lining"/>
          <w14:numSpacing w14:val="proportional"/>
        </w:rPr>
        <w:t>high</w:t>
      </w:r>
      <w:r w:rsidRPr="004221D5">
        <w:rPr>
          <w14:numForm w14:val="lining"/>
          <w14:numSpacing w14:val="proportional"/>
        </w:rPr>
        <w:t xml:space="preserve"> scenario. Under this scenario Tasmania and South-Eastern Queensland are also likely to have annual average growth above 2%.</w:t>
      </w:r>
    </w:p>
    <w:p w14:paraId="3FBFE9DF" w14:textId="05E036FF" w:rsidR="001D5860" w:rsidRDefault="000D4A39" w:rsidP="00C175CC">
      <w:pPr>
        <w:spacing w:after="240" w:line="276" w:lineRule="auto"/>
        <w:rPr>
          <w:b/>
          <w:bCs/>
        </w:rPr>
      </w:pPr>
      <w:r w:rsidRPr="004221D5">
        <w:rPr>
          <w14:numForm w14:val="lining"/>
          <w14:numSpacing w14:val="proportional"/>
        </w:rPr>
        <w:t xml:space="preserve">In the decade to 2050 overall annual employment growth across regions is likely to be slower than the early periods of the transformation. Under the </w:t>
      </w:r>
      <w:r w:rsidR="00372B50">
        <w:rPr>
          <w14:numForm w14:val="lining"/>
          <w14:numSpacing w14:val="proportional"/>
        </w:rPr>
        <w:t>c</w:t>
      </w:r>
      <w:r w:rsidRPr="004221D5">
        <w:rPr>
          <w14:numForm w14:val="lining"/>
          <w14:numSpacing w14:val="proportional"/>
        </w:rPr>
        <w:t xml:space="preserve">entral scenario Western and Eastern Victoria and Southern NSW are likely to see the relatively largest average annual growth rates. Under the </w:t>
      </w:r>
      <w:r w:rsidR="00372B50">
        <w:rPr>
          <w14:numForm w14:val="lining"/>
          <w14:numSpacing w14:val="proportional"/>
        </w:rPr>
        <w:t>high</w:t>
      </w:r>
      <w:r w:rsidRPr="004221D5">
        <w:rPr>
          <w14:numForm w14:val="lining"/>
          <w14:numSpacing w14:val="proportional"/>
        </w:rPr>
        <w:t xml:space="preserve"> scenario South Eastern and North and Far North Queensland are also likely </w:t>
      </w:r>
      <w:r w:rsidR="00BF13BD" w:rsidRPr="004221D5">
        <w:rPr>
          <w14:numForm w14:val="lining"/>
          <w14:numSpacing w14:val="proportional"/>
        </w:rPr>
        <w:t xml:space="preserve">to </w:t>
      </w:r>
      <w:r w:rsidRPr="004221D5">
        <w:rPr>
          <w14:numForm w14:val="lining"/>
          <w14:numSpacing w14:val="proportional"/>
        </w:rPr>
        <w:t>have relatively high growth rates in addition to regional Victoria.</w:t>
      </w:r>
    </w:p>
    <w:p w14:paraId="2DC5FE96" w14:textId="2DB97B67" w:rsidR="00CD2B22" w:rsidRPr="001D5860" w:rsidRDefault="00CD2B22" w:rsidP="00B71A11">
      <w:pPr>
        <w:pStyle w:val="Bodycopy"/>
        <w:pBdr>
          <w:top w:val="single" w:sz="4" w:space="5" w:color="BFBFBF" w:themeColor="background1" w:themeShade="BF"/>
        </w:pBdr>
        <w:spacing w:after="120"/>
        <w:rPr>
          <w:b/>
          <w:bCs/>
        </w:rPr>
      </w:pPr>
      <w:r w:rsidRPr="00703D31">
        <w:rPr>
          <w:rFonts w:eastAsia="Times New Roman" w:cs="Arial"/>
          <w:b/>
          <w:bCs/>
          <w:lang w:eastAsia="en-AU"/>
        </w:rPr>
        <w:t>Figure</w:t>
      </w:r>
      <w:r w:rsidRPr="077CE19B">
        <w:rPr>
          <w:b/>
          <w:bCs/>
        </w:rPr>
        <w:t xml:space="preserve"> 5.</w:t>
      </w:r>
      <w:r w:rsidR="0052601F">
        <w:rPr>
          <w:b/>
          <w:bCs/>
        </w:rPr>
        <w:t>5</w:t>
      </w:r>
      <w:r w:rsidRPr="077CE19B">
        <w:rPr>
          <w:b/>
          <w:bCs/>
        </w:rPr>
        <w:t>. Overview of regional average annual employment growth – 2023-2030</w:t>
      </w:r>
      <w:r w:rsidRPr="001D5860">
        <w:rPr>
          <w:b/>
          <w:bCs/>
        </w:rPr>
        <w:t xml:space="preserve"> </w:t>
      </w:r>
    </w:p>
    <w:p w14:paraId="1FC47A90" w14:textId="63B304C7" w:rsidR="00CD2B22" w:rsidRDefault="0029223D" w:rsidP="00B71A11">
      <w:pPr>
        <w:pStyle w:val="Bodycopy"/>
        <w:rPr>
          <w:sz w:val="18"/>
          <w:szCs w:val="18"/>
        </w:rPr>
      </w:pPr>
      <w:r>
        <w:rPr>
          <w:rFonts w:eastAsia="Times New Roman" w:cs="Arial"/>
          <w:b/>
          <w:noProof/>
          <w:lang w:eastAsia="en-AU"/>
        </w:rPr>
        <w:drawing>
          <wp:inline distT="0" distB="0" distL="0" distR="0" wp14:anchorId="65CB2753" wp14:editId="24762720">
            <wp:extent cx="5731510" cy="2865755"/>
            <wp:effectExtent l="0" t="0" r="2540" b="0"/>
            <wp:docPr id="1481349544" name="Picture 1481349544" descr="This figure represents average annual employment growth by region from 2023 to 2030 across the three scenarios. Growth is similar across most regions, with the exception of Central QLD, Rest of WA and Rest of SA. Rest of SA has a small negative growth in the Central and Low scenario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49544" name="Picture 1481349544" descr="This figure represents average annual employment growth by region from 2023 to 2030 across the three scenarios. Growth is similar across most regions, with the exception of Central QLD, Rest of WA and Rest of SA. Rest of SA has a small negative growth in the Central and Low scenarios.&#10;"/>
                    <pic:cNvPicPr/>
                  </pic:nvPicPr>
                  <pic:blipFill>
                    <a:blip r:embed="rId166" cstate="screen">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r w:rsidR="00CD2B22" w:rsidRPr="69E461A9">
        <w:rPr>
          <w:sz w:val="18"/>
          <w:szCs w:val="18"/>
        </w:rPr>
        <w:t>Source: Deloitte Access Economics 2023.</w:t>
      </w:r>
    </w:p>
    <w:p w14:paraId="5874B396" w14:textId="75DBFAC9" w:rsidR="005F5E33" w:rsidRPr="00C70041" w:rsidRDefault="00CD2B22" w:rsidP="00B71A11">
      <w:pPr>
        <w:spacing w:after="360"/>
        <w:rPr>
          <w:rFonts w:asciiTheme="minorHAnsi" w:eastAsia="Times New Roman" w:hAnsiTheme="minorHAnsi" w:cstheme="minorHAnsi"/>
          <w:sz w:val="16"/>
          <w:szCs w:val="16"/>
        </w:rPr>
      </w:pPr>
      <w:r w:rsidRPr="00A81332">
        <w:rPr>
          <w:rFonts w:asciiTheme="minorHAnsi" w:hAnsiTheme="minorHAnsi" w:cstheme="minorHAnsi"/>
          <w:sz w:val="16"/>
          <w:szCs w:val="16"/>
        </w:rPr>
        <w:t>Note:</w:t>
      </w:r>
      <w:r w:rsidR="001D5860">
        <w:rPr>
          <w:rFonts w:asciiTheme="minorHAnsi" w:hAnsiTheme="minorHAnsi" w:cstheme="minorHAnsi"/>
          <w:sz w:val="16"/>
          <w:szCs w:val="16"/>
        </w:rPr>
        <w:t xml:space="preserve"> </w:t>
      </w:r>
      <w:r w:rsidRPr="00A81332">
        <w:rPr>
          <w:rFonts w:asciiTheme="minorHAnsi" w:eastAsia="Times New Roman" w:hAnsiTheme="minorHAnsi" w:cstheme="minorHAnsi"/>
          <w:sz w:val="16"/>
          <w:szCs w:val="16"/>
        </w:rPr>
        <w:t xml:space="preserve">Tasmania benefits in the initial forecast period as it gains relatively more renewable energy early and does not have to transition away from high emitting activity and can therefore export renewable energy to the rest of the country. It is a much lower cost and high net gain transition for Tasmania. It should be noted that the ‘levels’ of employment are </w:t>
      </w:r>
      <w:r w:rsidR="00E30EBC">
        <w:rPr>
          <w:rFonts w:asciiTheme="minorHAnsi" w:eastAsia="Times New Roman" w:hAnsiTheme="minorHAnsi" w:cstheme="minorHAnsi"/>
          <w:sz w:val="16"/>
          <w:szCs w:val="16"/>
        </w:rPr>
        <w:t xml:space="preserve">relatively </w:t>
      </w:r>
      <w:r w:rsidRPr="00A81332">
        <w:rPr>
          <w:rFonts w:asciiTheme="minorHAnsi" w:eastAsia="Times New Roman" w:hAnsiTheme="minorHAnsi" w:cstheme="minorHAnsi"/>
          <w:sz w:val="16"/>
          <w:szCs w:val="16"/>
        </w:rPr>
        <w:t xml:space="preserve">small. </w:t>
      </w:r>
    </w:p>
    <w:p w14:paraId="52F13CB9" w14:textId="63788C78" w:rsidR="005F5E33" w:rsidRPr="001D5860" w:rsidRDefault="005F5E33" w:rsidP="00B71A11">
      <w:pPr>
        <w:pStyle w:val="Bodycopy"/>
        <w:pBdr>
          <w:top w:val="single" w:sz="4" w:space="5" w:color="BFBFBF" w:themeColor="background1" w:themeShade="BF"/>
        </w:pBdr>
        <w:spacing w:before="600" w:after="120"/>
        <w:rPr>
          <w:b/>
          <w:bCs/>
        </w:rPr>
      </w:pPr>
      <w:r w:rsidRPr="001D5860">
        <w:rPr>
          <w:b/>
          <w:bCs/>
        </w:rPr>
        <w:t>Figure 5.</w:t>
      </w:r>
      <w:r w:rsidR="0052601F" w:rsidRPr="001D5860">
        <w:rPr>
          <w:b/>
          <w:bCs/>
        </w:rPr>
        <w:t>6</w:t>
      </w:r>
      <w:r w:rsidR="00664318">
        <w:rPr>
          <w:b/>
          <w:bCs/>
        </w:rPr>
        <w:t>.</w:t>
      </w:r>
      <w:r w:rsidRPr="001D5860">
        <w:rPr>
          <w:b/>
          <w:bCs/>
        </w:rPr>
        <w:t xml:space="preserve"> Overview of regional average annual employment growth – 203</w:t>
      </w:r>
      <w:r w:rsidR="003B5E7D" w:rsidRPr="001D5860">
        <w:rPr>
          <w:b/>
          <w:bCs/>
        </w:rPr>
        <w:t>0</w:t>
      </w:r>
      <w:r w:rsidRPr="001D5860">
        <w:rPr>
          <w:b/>
          <w:bCs/>
        </w:rPr>
        <w:t>-2040 </w:t>
      </w:r>
    </w:p>
    <w:p w14:paraId="7E37B517" w14:textId="3A2B3941" w:rsidR="00CC1F76" w:rsidRDefault="00CC1F76" w:rsidP="00CC1F76">
      <w:pPr>
        <w:pStyle w:val="Bodycopy"/>
        <w:spacing w:after="0"/>
        <w:rPr>
          <w:sz w:val="18"/>
          <w:szCs w:val="18"/>
        </w:rPr>
      </w:pPr>
      <w:r>
        <w:rPr>
          <w:rFonts w:cs="Arial"/>
          <w:b/>
          <w:bCs/>
          <w:noProof/>
          <w:color w:val="000000"/>
          <w:shd w:val="clear" w:color="auto" w:fill="FFFFFF"/>
        </w:rPr>
        <w:drawing>
          <wp:inline distT="0" distB="0" distL="0" distR="0" wp14:anchorId="27403CDE" wp14:editId="7985FE35">
            <wp:extent cx="5731510" cy="2865755"/>
            <wp:effectExtent l="0" t="0" r="2540" b="0"/>
            <wp:docPr id="902345066" name="Picture 902345066" descr="This figure represents average annual employment growth by region from 2030 to 2040 across the three scenarios. Growth is strongest in Western Vic, followed by Eastern Vic and South East QLD. Rest of SA has negative growth in the Low scenario. Rest of WA and Tasmania have negative growth in the High scenar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45066" name="Picture 902345066" descr="This figure represents average annual employment growth by region from 2030 to 2040 across the three scenarios. Growth is strongest in Western Vic, followed by Eastern Vic and South East QLD. Rest of SA has negative growth in the Low scenario. Rest of WA and Tasmania have negative growth in the High scenario.&#10;"/>
                    <pic:cNvPicPr/>
                  </pic:nvPicPr>
                  <pic:blipFill>
                    <a:blip r:embed="rId167" cstate="screen">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p>
    <w:p w14:paraId="6AFA9D02" w14:textId="17BB0EE9" w:rsidR="00B71A11" w:rsidRDefault="005F5E33" w:rsidP="00B71A11">
      <w:pPr>
        <w:pStyle w:val="Bodycopy"/>
        <w:rPr>
          <w:sz w:val="18"/>
          <w:szCs w:val="18"/>
        </w:rPr>
      </w:pPr>
      <w:r w:rsidRPr="221E38E4">
        <w:rPr>
          <w:sz w:val="18"/>
          <w:szCs w:val="18"/>
        </w:rPr>
        <w:t>Source: Deloitte Access Economics 2023.</w:t>
      </w:r>
    </w:p>
    <w:p w14:paraId="0C918487" w14:textId="0E27B38F" w:rsidR="005F5E33" w:rsidRDefault="005F5E33" w:rsidP="00B71A11">
      <w:pPr>
        <w:pStyle w:val="Bodycopy"/>
        <w:pBdr>
          <w:top w:val="single" w:sz="4" w:space="5" w:color="BFBFBF" w:themeColor="background1" w:themeShade="BF"/>
        </w:pBdr>
        <w:spacing w:before="600" w:after="120"/>
        <w:rPr>
          <w:b/>
          <w:bCs/>
        </w:rPr>
      </w:pPr>
      <w:r w:rsidRPr="077CE19B">
        <w:rPr>
          <w:b/>
          <w:bCs/>
        </w:rPr>
        <w:t>Figure 5.</w:t>
      </w:r>
      <w:r w:rsidR="0052601F">
        <w:rPr>
          <w:b/>
          <w:bCs/>
        </w:rPr>
        <w:t>7</w:t>
      </w:r>
      <w:r w:rsidR="001D5860">
        <w:rPr>
          <w:b/>
          <w:bCs/>
        </w:rPr>
        <w:t>.</w:t>
      </w:r>
      <w:r w:rsidRPr="077CE19B">
        <w:rPr>
          <w:b/>
          <w:bCs/>
        </w:rPr>
        <w:t xml:space="preserve"> Overview of regional average annual employment growth – 204</w:t>
      </w:r>
      <w:r w:rsidR="003B5E7D">
        <w:rPr>
          <w:b/>
          <w:bCs/>
        </w:rPr>
        <w:t>0</w:t>
      </w:r>
      <w:r w:rsidRPr="077CE19B">
        <w:rPr>
          <w:b/>
          <w:bCs/>
        </w:rPr>
        <w:t>-2050</w:t>
      </w:r>
    </w:p>
    <w:p w14:paraId="2C678830" w14:textId="4FC27D1A" w:rsidR="00BC4E1F" w:rsidRDefault="005F5C34" w:rsidP="00CC5ECF">
      <w:pPr>
        <w:spacing w:after="240"/>
        <w:rPr>
          <w:rFonts w:eastAsiaTheme="majorEastAsia" w:cstheme="majorBidi"/>
          <w:b/>
          <w:sz w:val="56"/>
          <w:szCs w:val="26"/>
        </w:rPr>
      </w:pPr>
      <w:r>
        <w:rPr>
          <w:rFonts w:cs="Arial"/>
          <w:b/>
          <w:bCs/>
          <w:noProof/>
          <w:color w:val="000000"/>
          <w:shd w:val="clear" w:color="auto" w:fill="FFFFFF"/>
        </w:rPr>
        <w:drawing>
          <wp:inline distT="0" distB="0" distL="0" distR="0" wp14:anchorId="73463C10" wp14:editId="49F93C2A">
            <wp:extent cx="5731510" cy="2865755"/>
            <wp:effectExtent l="0" t="0" r="2540" b="0"/>
            <wp:docPr id="1469839279" name="Picture 1469839279" descr="This figure represents average annual employment growth by region from 2040 to 2050 across the three scenarios. The strongest growth overall is in Western Vic followed by Eastern Vic and South East QLD. Northern NSW, North and Far North QLD, Rest of SA and Rest of WA have negative growth in the Low scenar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39279" name="Picture 1469839279" descr="This figure represents average annual employment growth by region from 2040 to 2050 across the three scenarios. The strongest growth overall is in Western Vic followed by Eastern Vic and South East QLD. Northern NSW, North and Far North QLD, Rest of SA and Rest of WA have negative growth in the Low scenario.&#10;"/>
                    <pic:cNvPicPr/>
                  </pic:nvPicPr>
                  <pic:blipFill>
                    <a:blip r:embed="rId168" cstate="screen">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r w:rsidR="005F5E33" w:rsidRPr="221E38E4">
        <w:rPr>
          <w:sz w:val="18"/>
          <w:szCs w:val="18"/>
        </w:rPr>
        <w:t>Source: Deloitte Access Economics 2023.</w:t>
      </w:r>
      <w:r w:rsidR="00BC4E1F">
        <w:br w:type="page"/>
      </w:r>
    </w:p>
    <w:p w14:paraId="571C7E9B" w14:textId="339FC683" w:rsidR="00CD2B22" w:rsidRPr="00E226A4" w:rsidRDefault="00CD2B22" w:rsidP="003E1425">
      <w:pPr>
        <w:pStyle w:val="Heading2"/>
        <w:rPr>
          <w:rFonts w:eastAsiaTheme="minorEastAsia"/>
        </w:rPr>
      </w:pPr>
      <w:bookmarkStart w:id="61" w:name="_Toc146892682"/>
      <w:r w:rsidRPr="003E1425">
        <w:t>5</w:t>
      </w:r>
      <w:r w:rsidR="00313B80" w:rsidRPr="00313B80">
        <w:rPr>
          <w:rFonts w:ascii="Arial Bold" w:hAnsi="Arial Bold"/>
          <w:smallCaps/>
        </w:rPr>
        <w:t>c</w:t>
      </w:r>
      <w:r w:rsidR="00313B80">
        <w:t>.</w:t>
      </w:r>
      <w:r w:rsidRPr="003E1425">
        <w:t xml:space="preserve"> </w:t>
      </w:r>
      <w:r w:rsidRPr="00313B80">
        <w:rPr>
          <w:b w:val="0"/>
          <w:bCs/>
        </w:rPr>
        <w:t>Workforce supply and shortfalls</w:t>
      </w:r>
      <w:bookmarkEnd w:id="61"/>
    </w:p>
    <w:p w14:paraId="4755B8D1" w14:textId="594B87BD" w:rsidR="00CD2B22" w:rsidRPr="007B3B6B" w:rsidRDefault="008B2D1B" w:rsidP="00CD2B22">
      <w:pPr>
        <w:spacing w:after="120" w:line="276" w:lineRule="auto"/>
        <w:rPr>
          <w14:numForm w14:val="lining"/>
          <w14:numSpacing w14:val="proportional"/>
        </w:rPr>
      </w:pPr>
      <w:r>
        <w:rPr>
          <w14:numForm w14:val="lining"/>
          <w14:numSpacing w14:val="proportional"/>
        </w:rPr>
        <w:t>T</w:t>
      </w:r>
      <w:r w:rsidR="00C551A4">
        <w:rPr>
          <w14:numForm w14:val="lining"/>
          <w14:numSpacing w14:val="proportional"/>
        </w:rPr>
        <w:t>he preliminary modelling for the study suggests that</w:t>
      </w:r>
      <w:r>
        <w:rPr>
          <w14:numForm w14:val="lining"/>
          <w14:numSpacing w14:val="proportional"/>
        </w:rPr>
        <w:t xml:space="preserve"> in</w:t>
      </w:r>
      <w:r w:rsidR="00CD2B22" w:rsidRPr="007B3B6B">
        <w:rPr>
          <w14:numForm w14:val="lining"/>
          <w14:numSpacing w14:val="proportional"/>
        </w:rPr>
        <w:t xml:space="preserve"> total, Australia </w:t>
      </w:r>
      <w:r w:rsidR="00E36B30" w:rsidRPr="007B3B6B">
        <w:rPr>
          <w14:numForm w14:val="lining"/>
          <w14:numSpacing w14:val="proportional"/>
        </w:rPr>
        <w:t>is likely to</w:t>
      </w:r>
      <w:r w:rsidR="00CD2B22" w:rsidRPr="007B3B6B">
        <w:rPr>
          <w14:numForm w14:val="lining"/>
          <w14:numSpacing w14:val="proportional"/>
        </w:rPr>
        <w:t xml:space="preserve"> have enough workers to meet demand for the transition period across all </w:t>
      </w:r>
      <w:r w:rsidR="009E1549" w:rsidRPr="007B3B6B">
        <w:rPr>
          <w14:numForm w14:val="lining"/>
          <w14:numSpacing w14:val="proportional"/>
        </w:rPr>
        <w:t>scenarios,</w:t>
      </w:r>
      <w:r w:rsidR="00CD2B22" w:rsidRPr="007B3B6B">
        <w:rPr>
          <w14:numForm w14:val="lining"/>
          <w14:numSpacing w14:val="proportional"/>
        </w:rPr>
        <w:t xml:space="preserve"> but demand </w:t>
      </w:r>
      <w:r w:rsidR="00E36B30" w:rsidRPr="007B3B6B">
        <w:rPr>
          <w14:numForm w14:val="lining"/>
          <w14:numSpacing w14:val="proportional"/>
        </w:rPr>
        <w:t>is likely to</w:t>
      </w:r>
      <w:r w:rsidR="00CD2B22" w:rsidRPr="007B3B6B">
        <w:rPr>
          <w14:numForm w14:val="lining"/>
          <w14:numSpacing w14:val="proportional"/>
        </w:rPr>
        <w:t xml:space="preserve"> exceed supply for clean energy occupations in the first decade. </w:t>
      </w:r>
    </w:p>
    <w:p w14:paraId="3EA00736" w14:textId="2C810797" w:rsidR="00CD2B22" w:rsidRPr="007B3B6B" w:rsidRDefault="00CD2B22" w:rsidP="00CD2B22">
      <w:pPr>
        <w:spacing w:after="120" w:line="276" w:lineRule="auto"/>
        <w:rPr>
          <w14:numForm w14:val="lining"/>
          <w14:numSpacing w14:val="proportional"/>
        </w:rPr>
      </w:pPr>
      <w:r w:rsidRPr="007B3B6B">
        <w:rPr>
          <w14:numForm w14:val="lining"/>
          <w14:numSpacing w14:val="proportional"/>
        </w:rPr>
        <w:t>Electrical trade roles and nearly all the building and engineering trades that are critical to the construction and maintenance of renewable energy are likely to experience shortfalls. This</w:t>
      </w:r>
      <w:r w:rsidR="003C6D94" w:rsidRPr="007B3B6B">
        <w:rPr>
          <w14:numForm w14:val="lining"/>
          <w14:numSpacing w14:val="proportional"/>
        </w:rPr>
        <w:t xml:space="preserve"> will be apparent in regional areas across all three scenarios and</w:t>
      </w:r>
      <w:r w:rsidRPr="007B3B6B">
        <w:rPr>
          <w14:numForm w14:val="lining"/>
          <w14:numSpacing w14:val="proportional"/>
        </w:rPr>
        <w:t xml:space="preserve"> is even the case under the </w:t>
      </w:r>
      <w:r w:rsidR="008B2D1B">
        <w:rPr>
          <w14:numForm w14:val="lining"/>
          <w14:numSpacing w14:val="proportional"/>
        </w:rPr>
        <w:t>low</w:t>
      </w:r>
      <w:r w:rsidRPr="007B3B6B">
        <w:rPr>
          <w14:numForm w14:val="lining"/>
          <w14:numSpacing w14:val="proportional"/>
        </w:rPr>
        <w:t xml:space="preserve"> scenario. We are likely to have enough engineers but there are some gaps for some professional occupations like environmental scientists. These are the potential shortages Australia needs to plan for.</w:t>
      </w:r>
    </w:p>
    <w:p w14:paraId="1187A3DF" w14:textId="77777777" w:rsidR="00CD2B22" w:rsidRPr="009659AD" w:rsidRDefault="00CD2B22" w:rsidP="00CD2B22">
      <w:pPr>
        <w:pStyle w:val="Heading3"/>
        <w:rPr>
          <w:color w:val="77123D" w:themeColor="accent4" w:themeShade="BF"/>
        </w:rPr>
      </w:pPr>
      <w:r w:rsidRPr="009659AD">
        <w:rPr>
          <w:color w:val="77123D" w:themeColor="accent4" w:themeShade="BF"/>
        </w:rPr>
        <w:t>What occupations are likely to be in short supply?</w:t>
      </w:r>
    </w:p>
    <w:p w14:paraId="1BA6539E" w14:textId="741D2F75" w:rsidR="00CD2B22" w:rsidRPr="00E226A4" w:rsidRDefault="00CD2B22" w:rsidP="007B3B6B">
      <w:pPr>
        <w:spacing w:line="276" w:lineRule="auto"/>
      </w:pPr>
      <w:r>
        <w:t>While overall</w:t>
      </w:r>
      <w:r w:rsidR="008B2D1B">
        <w:t xml:space="preserve"> the preliminary modelling suggests</w:t>
      </w:r>
      <w:r>
        <w:t xml:space="preserve"> there is likely to be sufficient workers to meet the demand of the transformation to net zero, we see tight demand for VET qualified occupations. At the more detailed occupational level, we still expect to see ongoing and severe shortages for several critical clean energy occupations.</w:t>
      </w:r>
    </w:p>
    <w:p w14:paraId="56E29150" w14:textId="77777777" w:rsidR="00CD2B22" w:rsidRPr="0016171A" w:rsidRDefault="00CD2B22" w:rsidP="00A904FE">
      <w:pPr>
        <w:pStyle w:val="Heading4"/>
        <w:spacing w:before="240" w:after="120"/>
        <w:rPr>
          <w:color w:val="000000" w:themeColor="text1"/>
        </w:rPr>
      </w:pPr>
      <w:r w:rsidRPr="0016171A">
        <w:rPr>
          <w:color w:val="000000" w:themeColor="text1"/>
        </w:rPr>
        <w:t>Electrical trade roles shortages likely the largest</w:t>
      </w:r>
    </w:p>
    <w:p w14:paraId="1F9F9C8D" w14:textId="77777777" w:rsidR="00C175CC" w:rsidRDefault="00CD2B22" w:rsidP="00C175CC">
      <w:pPr>
        <w:pStyle w:val="Bodycopy"/>
        <w:spacing w:after="120"/>
      </w:pPr>
      <w:bookmarkStart w:id="62" w:name="_Hlk146295039"/>
      <w:r w:rsidRPr="00F1496F">
        <w:t xml:space="preserve">Electricians are the leading example of the critical occupation where total demand is expected to be higher over the next seven years, even under the </w:t>
      </w:r>
      <w:r w:rsidR="008B2D1B" w:rsidRPr="00F1496F">
        <w:t>low</w:t>
      </w:r>
      <w:r w:rsidRPr="00F1496F">
        <w:t xml:space="preserve"> scenario. Labour supply for electricians is forecast to grow only slowly, due to relatively flat completions and a relatively older current workforce. This means that there are likely to be growing supply gaps under all scenarios unless a significant increase in electrician completions from the VET system occurs, with those completions also converting into actual employment as electricians. </w:t>
      </w:r>
    </w:p>
    <w:p w14:paraId="1D7AC47F" w14:textId="3B1E9750" w:rsidR="00CD2B22" w:rsidRPr="00F1496F" w:rsidRDefault="00CD2B22" w:rsidP="00C175CC">
      <w:pPr>
        <w:pStyle w:val="Bodycopy"/>
        <w:spacing w:after="120"/>
      </w:pPr>
      <w:r w:rsidRPr="00F1496F">
        <w:t xml:space="preserve">The gap is the largest single occupational gap observed and is at risk of growing over time unless there is substantial change. </w:t>
      </w:r>
      <w:r w:rsidR="008B2D1B" w:rsidRPr="00F1496F">
        <w:t xml:space="preserve">Preliminary </w:t>
      </w:r>
      <w:r w:rsidR="00C175CC" w:rsidRPr="00F1496F">
        <w:t xml:space="preserve">modelling </w:t>
      </w:r>
      <w:r w:rsidR="00C175CC" w:rsidRPr="00636E2F">
        <w:t>under</w:t>
      </w:r>
      <w:r w:rsidRPr="00F1496F">
        <w:t xml:space="preserve"> our central scenario we would likely need almost 85,000 more electricians by 2050. This is a 27% relative gap. More immediately in the next seven years, we will likely need around 32,000 more electricians</w:t>
      </w:r>
      <w:r w:rsidR="00135126" w:rsidRPr="00F1496F">
        <w:t>.</w:t>
      </w:r>
    </w:p>
    <w:p w14:paraId="2D3455D1" w14:textId="77022DBE" w:rsidR="00135126" w:rsidRPr="00F1496F" w:rsidRDefault="00CD2B22" w:rsidP="00C175CC">
      <w:pPr>
        <w:spacing w:after="120" w:line="276" w:lineRule="auto"/>
        <w:rPr>
          <w14:numForm w14:val="lining"/>
          <w14:numSpacing w14:val="proportional"/>
        </w:rPr>
      </w:pPr>
      <w:r w:rsidRPr="00F1496F">
        <w:rPr>
          <w14:numForm w14:val="lining"/>
          <w14:numSpacing w14:val="proportional"/>
        </w:rPr>
        <w:t xml:space="preserve">Under </w:t>
      </w:r>
      <w:r w:rsidR="00581E80" w:rsidRPr="00636E2F">
        <w:rPr>
          <w14:numForm w14:val="lining"/>
          <w14:numSpacing w14:val="proportional"/>
        </w:rPr>
        <w:t>the c</w:t>
      </w:r>
      <w:r w:rsidRPr="00F1496F">
        <w:rPr>
          <w14:numForm w14:val="lining"/>
          <w14:numSpacing w14:val="proportional"/>
        </w:rPr>
        <w:t xml:space="preserve">entral and </w:t>
      </w:r>
      <w:r w:rsidR="00581E80" w:rsidRPr="00636E2F">
        <w:rPr>
          <w14:numForm w14:val="lining"/>
          <w14:numSpacing w14:val="proportional"/>
        </w:rPr>
        <w:t>high</w:t>
      </w:r>
      <w:r w:rsidRPr="00F1496F">
        <w:rPr>
          <w14:numForm w14:val="lining"/>
          <w14:numSpacing w14:val="proportional"/>
        </w:rPr>
        <w:t xml:space="preserve"> scenarios other electrical trade roles are expected to experience supply gaps – even though supply is growing, it is not expected to be sufficient to keep pace. These include:</w:t>
      </w:r>
    </w:p>
    <w:p w14:paraId="31009AA3" w14:textId="77777777"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Electrical Engineering Draftspersons and Technicians</w:t>
      </w:r>
    </w:p>
    <w:p w14:paraId="7F3931B5" w14:textId="77777777"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Airconditioning and Refrigeration Mechanics</w:t>
      </w:r>
    </w:p>
    <w:p w14:paraId="5034EC6E" w14:textId="77777777"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Electronics Trades workers</w:t>
      </w:r>
    </w:p>
    <w:p w14:paraId="72319500" w14:textId="44C45A83" w:rsidR="00CD2B22" w:rsidRPr="007B3B6B" w:rsidRDefault="00CD2B22" w:rsidP="00F25595">
      <w:pPr>
        <w:pStyle w:val="ListParagraph"/>
        <w:numPr>
          <w:ilvl w:val="1"/>
          <w:numId w:val="86"/>
        </w:numPr>
        <w:spacing w:after="60" w:line="276" w:lineRule="auto"/>
        <w:ind w:left="1134"/>
        <w:contextualSpacing w:val="0"/>
        <w:rPr>
          <w14:numForm w14:val="lining"/>
          <w14:numSpacing w14:val="proportional"/>
        </w:rPr>
      </w:pPr>
      <w:r w:rsidRPr="007B3B6B">
        <w:rPr>
          <w14:numForm w14:val="lining"/>
          <w14:numSpacing w14:val="proportional"/>
        </w:rPr>
        <w:t xml:space="preserve">Telecommunications Trades workers </w:t>
      </w:r>
    </w:p>
    <w:p w14:paraId="258ECBD4" w14:textId="77777777" w:rsidR="001D5860" w:rsidRPr="007B3B6B" w:rsidRDefault="001D5860" w:rsidP="007B3B6B">
      <w:pPr>
        <w:spacing w:line="276" w:lineRule="auto"/>
        <w:rPr>
          <w14:numForm w14:val="lining"/>
          <w14:numSpacing w14:val="proportional"/>
        </w:rPr>
      </w:pPr>
      <w:r w:rsidRPr="007B3B6B">
        <w:rPr>
          <w14:numForm w14:val="lining"/>
          <w14:numSpacing w14:val="proportional"/>
        </w:rPr>
        <w:br w:type="page"/>
      </w:r>
    </w:p>
    <w:p w14:paraId="0D287C99" w14:textId="432A7A41" w:rsidR="00CD2B22" w:rsidRPr="007B3B6B" w:rsidRDefault="00CD2B22" w:rsidP="007B3B6B">
      <w:pPr>
        <w:spacing w:line="276" w:lineRule="auto"/>
        <w:rPr>
          <w14:numForm w14:val="lining"/>
          <w14:numSpacing w14:val="proportional"/>
        </w:rPr>
      </w:pPr>
      <w:r w:rsidRPr="007B3B6B">
        <w:rPr>
          <w14:numForm w14:val="lining"/>
          <w14:numSpacing w14:val="proportional"/>
        </w:rPr>
        <w:t xml:space="preserve">Electrical Distribution Trades Workers are an electrical trade role that is not </w:t>
      </w:r>
      <w:r w:rsidR="008B67E7" w:rsidRPr="007B3B6B">
        <w:rPr>
          <w14:numForm w14:val="lining"/>
          <w14:numSpacing w14:val="proportional"/>
        </w:rPr>
        <w:t>likely</w:t>
      </w:r>
      <w:r w:rsidRPr="007B3B6B">
        <w:rPr>
          <w14:numForm w14:val="lining"/>
          <w14:numSpacing w14:val="proportional"/>
        </w:rPr>
        <w:t xml:space="preserve"> to experience a shortfall under our central scenario over the next thirty years. There would likely be a minor shortage in the medium term (2031-2040) under </w:t>
      </w:r>
      <w:r w:rsidR="008B67E7" w:rsidRPr="007B3B6B">
        <w:rPr>
          <w14:numForm w14:val="lining"/>
          <w14:numSpacing w14:val="proportional"/>
        </w:rPr>
        <w:t xml:space="preserve">the </w:t>
      </w:r>
      <w:r w:rsidR="00581E80">
        <w:rPr>
          <w14:numForm w14:val="lining"/>
          <w14:numSpacing w14:val="proportional"/>
        </w:rPr>
        <w:t>high</w:t>
      </w:r>
      <w:r w:rsidRPr="007B3B6B">
        <w:rPr>
          <w14:numForm w14:val="lining"/>
          <w14:numSpacing w14:val="proportional"/>
        </w:rPr>
        <w:t xml:space="preserve"> </w:t>
      </w:r>
      <w:r w:rsidR="008B67E7" w:rsidRPr="007B3B6B">
        <w:rPr>
          <w14:numForm w14:val="lining"/>
          <w14:numSpacing w14:val="proportional"/>
        </w:rPr>
        <w:t xml:space="preserve">scenario </w:t>
      </w:r>
      <w:r w:rsidRPr="007B3B6B">
        <w:rPr>
          <w14:numForm w14:val="lining"/>
          <w14:numSpacing w14:val="proportional"/>
        </w:rPr>
        <w:t>but there is a stable pipeline for this occupation to 2050.</w:t>
      </w:r>
      <w:r w:rsidRPr="007B3B6B" w:rsidDel="008B67E7">
        <w:rPr>
          <w14:numForm w14:val="lining"/>
          <w14:numSpacing w14:val="proportional"/>
        </w:rPr>
        <w:t xml:space="preserve"> </w:t>
      </w:r>
      <w:r w:rsidRPr="007B3B6B">
        <w:rPr>
          <w14:numForm w14:val="lining"/>
          <w14:numSpacing w14:val="proportional"/>
        </w:rPr>
        <w:t>However, this is based on the current educational attainment profile of the occupation. If all new entrants to the industry require at least Certificate III</w:t>
      </w:r>
      <w:r w:rsidR="000120D3">
        <w:rPr>
          <w14:numForm w14:val="lining"/>
          <w14:numSpacing w14:val="proportional"/>
        </w:rPr>
        <w:t xml:space="preserve"> </w:t>
      </w:r>
      <w:r w:rsidRPr="007B3B6B">
        <w:rPr>
          <w14:numForm w14:val="lining"/>
          <w14:numSpacing w14:val="proportional"/>
        </w:rPr>
        <w:t>level training (noting varying licensing requirements across States and Territories at present), then this would very likely result in this occupation also experiencing a shortfall under the Net Zero Central scenario.</w:t>
      </w:r>
      <w:bookmarkEnd w:id="62"/>
    </w:p>
    <w:p w14:paraId="6540C45C" w14:textId="22FC2788" w:rsidR="00CD2B22" w:rsidRPr="009659AD" w:rsidRDefault="00CD2B22" w:rsidP="00A904FE">
      <w:pPr>
        <w:pStyle w:val="Heading4"/>
        <w:spacing w:before="240" w:after="120"/>
        <w:rPr>
          <w:b w:val="0"/>
          <w:bCs w:val="0"/>
          <w:color w:val="77123D" w:themeColor="accent4" w:themeShade="BF"/>
        </w:rPr>
      </w:pPr>
      <w:r w:rsidRPr="009659AD">
        <w:rPr>
          <w:color w:val="77123D" w:themeColor="accent4" w:themeShade="BF"/>
        </w:rPr>
        <w:t>Building and engineering trade shortages likely also a problem</w:t>
      </w:r>
    </w:p>
    <w:p w14:paraId="00B9E1E8" w14:textId="7B92DA48" w:rsidR="00CD2B22" w:rsidRPr="00C175CC" w:rsidRDefault="00CD2B22" w:rsidP="00C175CC">
      <w:pPr>
        <w:spacing w:after="120" w:line="276" w:lineRule="auto"/>
        <w:rPr>
          <w14:numForm w14:val="lining"/>
          <w14:numSpacing w14:val="proportional"/>
        </w:rPr>
      </w:pPr>
      <w:r w:rsidRPr="007B3B6B">
        <w:rPr>
          <w14:numForm w14:val="lining"/>
          <w14:numSpacing w14:val="proportional"/>
        </w:rPr>
        <w:t>Nearly all the building and engineering trades that are critical to the construction (and maintenance) phases of renewable electricity generation are also likely to experience supply gaps under our central scenario</w:t>
      </w:r>
      <w:r w:rsidR="000120D3">
        <w:rPr>
          <w14:numForm w14:val="lining"/>
          <w14:numSpacing w14:val="proportional"/>
        </w:rPr>
        <w:t>, drawing on the preliminary modelling</w:t>
      </w:r>
      <w:r w:rsidRPr="007B3B6B">
        <w:rPr>
          <w14:numForm w14:val="lining"/>
          <w14:numSpacing w14:val="proportional"/>
        </w:rPr>
        <w:t xml:space="preserve">.  </w:t>
      </w:r>
    </w:p>
    <w:p w14:paraId="761C24A5" w14:textId="3FC4381E" w:rsidR="00CD2B22" w:rsidRPr="00DD4B89" w:rsidRDefault="00CD2B22" w:rsidP="00C175CC">
      <w:pPr>
        <w:spacing w:after="120" w:line="276" w:lineRule="auto"/>
        <w:rPr>
          <w14:numForm w14:val="lining"/>
          <w14:numSpacing w14:val="proportional"/>
        </w:rPr>
      </w:pPr>
      <w:r w:rsidRPr="00DD4B89">
        <w:rPr>
          <w14:numForm w14:val="lining"/>
          <w14:numSpacing w14:val="proportional"/>
        </w:rPr>
        <w:t xml:space="preserve">Under all scenarios, there are likely to be shortfalls of Civil Engineering Draftspersons </w:t>
      </w:r>
      <w:r w:rsidR="00EB4E43" w:rsidRPr="00DD4B89">
        <w:rPr>
          <w14:numForm w14:val="lining"/>
          <w14:numSpacing w14:val="proportional"/>
        </w:rPr>
        <w:t>&amp;</w:t>
      </w:r>
      <w:r w:rsidRPr="00DD4B89">
        <w:rPr>
          <w14:numForm w14:val="lining"/>
          <w14:numSpacing w14:val="proportional"/>
        </w:rPr>
        <w:t xml:space="preserve"> Technicians and Architectural, Building </w:t>
      </w:r>
      <w:r w:rsidR="00EB4E43" w:rsidRPr="00DD4B89">
        <w:rPr>
          <w14:numForm w14:val="lining"/>
          <w14:numSpacing w14:val="proportional"/>
        </w:rPr>
        <w:t>&amp;</w:t>
      </w:r>
      <w:r w:rsidRPr="00DD4B89">
        <w:rPr>
          <w14:numForm w14:val="lining"/>
          <w14:numSpacing w14:val="proportional"/>
        </w:rPr>
        <w:t xml:space="preserve"> Surveying Technicians. In the longer term, the supply estimates suggest that an additional 2</w:t>
      </w:r>
      <w:r w:rsidR="00135126" w:rsidRPr="00DD4B89">
        <w:rPr>
          <w14:numForm w14:val="lining"/>
          <w14:numSpacing w14:val="proportional"/>
        </w:rPr>
        <w:t>,</w:t>
      </w:r>
      <w:r w:rsidRPr="00DD4B89">
        <w:rPr>
          <w14:numForm w14:val="lining"/>
          <w14:numSpacing w14:val="proportional"/>
        </w:rPr>
        <w:t xml:space="preserve">200 Civil Engineering Draftspersons and Technicians will be needed. There is an even bigger shortage of Architectural, Building </w:t>
      </w:r>
      <w:r w:rsidR="00EB4E43" w:rsidRPr="00DD4B89">
        <w:rPr>
          <w14:numForm w14:val="lining"/>
          <w14:numSpacing w14:val="proportional"/>
        </w:rPr>
        <w:t>&amp;</w:t>
      </w:r>
      <w:r w:rsidRPr="00DD4B89">
        <w:rPr>
          <w14:numForm w14:val="lining"/>
          <w14:numSpacing w14:val="proportional"/>
        </w:rPr>
        <w:t xml:space="preserve"> Surveying Technicians across most of the transition period to 2050. </w:t>
      </w:r>
      <w:r w:rsidR="00135126" w:rsidRPr="00DD4B89">
        <w:rPr>
          <w14:numForm w14:val="lining"/>
          <w14:numSpacing w14:val="proportional"/>
        </w:rPr>
        <w:t>If t</w:t>
      </w:r>
      <w:r w:rsidR="00CB5864" w:rsidRPr="00DD4B89">
        <w:rPr>
          <w14:numForm w14:val="lining"/>
          <w14:numSpacing w14:val="proportional"/>
        </w:rPr>
        <w:t>he</w:t>
      </w:r>
      <w:r w:rsidRPr="00DD4B89">
        <w:rPr>
          <w14:numForm w14:val="lining"/>
          <w14:numSpacing w14:val="proportional"/>
        </w:rPr>
        <w:t xml:space="preserve"> education pipeline does not keep pace with demand for this occupation by 2050, Australia is likely to need an additional </w:t>
      </w:r>
      <w:r w:rsidR="00FC5F4F" w:rsidRPr="00DD4B89">
        <w:rPr>
          <w14:numForm w14:val="lining"/>
          <w14:numSpacing w14:val="proportional"/>
        </w:rPr>
        <w:t>25</w:t>
      </w:r>
      <w:r w:rsidRPr="00DD4B89">
        <w:rPr>
          <w14:numForm w14:val="lining"/>
          <w14:numSpacing w14:val="proportional"/>
        </w:rPr>
        <w:t>,000 workers in this occupation with a relative supply gap of 44%.</w:t>
      </w:r>
    </w:p>
    <w:p w14:paraId="6E885050" w14:textId="58094673" w:rsidR="00CD2B22" w:rsidRPr="00DD4B89" w:rsidRDefault="00CD2B22" w:rsidP="00C175CC">
      <w:pPr>
        <w:spacing w:after="120" w:line="276" w:lineRule="auto"/>
        <w:rPr>
          <w14:numForm w14:val="lining"/>
          <w14:numSpacing w14:val="proportional"/>
        </w:rPr>
      </w:pPr>
      <w:r w:rsidRPr="00DD4B89">
        <w:rPr>
          <w14:numForm w14:val="lining"/>
          <w14:numSpacing w14:val="proportional"/>
        </w:rPr>
        <w:t xml:space="preserve">While there may be more growth in the future supply of Metal Fitters and Machinists and for Structural Steel and Welding Trades workers, it will likely not be enough to keep up with expected demand, particularly in the next twenty years. Growth in demand for Metal Fitters and Machinists is expected to outpace supply across all scenarios for most of the transition period. From 2028 onwards, under our main scenario there is </w:t>
      </w:r>
      <w:r w:rsidR="00785F3A" w:rsidRPr="00DD4B89">
        <w:rPr>
          <w14:numForm w14:val="lining"/>
          <w14:numSpacing w14:val="proportional"/>
        </w:rPr>
        <w:t>a</w:t>
      </w:r>
      <w:r w:rsidRPr="00DD4B89">
        <w:rPr>
          <w14:numForm w14:val="lining"/>
          <w14:numSpacing w14:val="proportional"/>
        </w:rPr>
        <w:t xml:space="preserve"> likely shortfall of </w:t>
      </w:r>
      <w:r w:rsidR="0094678A" w:rsidRPr="00DD4B89">
        <w:rPr>
          <w14:numForm w14:val="lining"/>
          <w14:numSpacing w14:val="proportional"/>
        </w:rPr>
        <w:t>over 5</w:t>
      </w:r>
      <w:r w:rsidRPr="00DD4B89">
        <w:rPr>
          <w14:numForm w14:val="lining"/>
          <w14:numSpacing w14:val="proportional"/>
        </w:rPr>
        <w:t xml:space="preserve">,000 workers </w:t>
      </w:r>
      <w:r w:rsidR="0094678A" w:rsidRPr="00DD4B89">
        <w:rPr>
          <w14:numForm w14:val="lining"/>
          <w14:numSpacing w14:val="proportional"/>
        </w:rPr>
        <w:t>which increases to around 8,000 workers within a decade</w:t>
      </w:r>
      <w:r w:rsidRPr="00DD4B89">
        <w:rPr>
          <w14:numForm w14:val="lining"/>
          <w14:numSpacing w14:val="proportional"/>
        </w:rPr>
        <w:t xml:space="preserve"> </w:t>
      </w:r>
      <w:r w:rsidR="00C71D2C" w:rsidRPr="00DD4B89">
        <w:rPr>
          <w14:numForm w14:val="lining"/>
          <w14:numSpacing w14:val="proportional"/>
        </w:rPr>
        <w:t>before decreasing</w:t>
      </w:r>
      <w:r w:rsidRPr="00DD4B89">
        <w:rPr>
          <w14:numForm w14:val="lining"/>
          <w14:numSpacing w14:val="proportional"/>
        </w:rPr>
        <w:t xml:space="preserve"> to around 4</w:t>
      </w:r>
      <w:r w:rsidR="0001384B" w:rsidRPr="00DD4B89">
        <w:rPr>
          <w14:numForm w14:val="lining"/>
          <w14:numSpacing w14:val="proportional"/>
        </w:rPr>
        <w:t>,</w:t>
      </w:r>
      <w:r w:rsidRPr="00DD4B89">
        <w:rPr>
          <w14:numForm w14:val="lining"/>
          <w14:numSpacing w14:val="proportional"/>
        </w:rPr>
        <w:t xml:space="preserve">000 </w:t>
      </w:r>
      <w:r w:rsidR="00452FCF" w:rsidRPr="00DD4B89">
        <w:rPr>
          <w14:numForm w14:val="lining"/>
          <w14:numSpacing w14:val="proportional"/>
        </w:rPr>
        <w:t xml:space="preserve">for </w:t>
      </w:r>
      <w:r w:rsidRPr="00DD4B89">
        <w:rPr>
          <w14:numForm w14:val="lining"/>
          <w14:numSpacing w14:val="proportional"/>
        </w:rPr>
        <w:t xml:space="preserve">Metal Fitters and Machinists by 2050. Structural Steel and Welding Trades workers </w:t>
      </w:r>
      <w:r w:rsidR="00C71D2C" w:rsidRPr="00DD4B89">
        <w:rPr>
          <w14:numForm w14:val="lining"/>
          <w14:numSpacing w14:val="proportional"/>
        </w:rPr>
        <w:t>also have</w:t>
      </w:r>
      <w:r w:rsidRPr="00DD4B89">
        <w:rPr>
          <w14:numForm w14:val="lining"/>
          <w14:numSpacing w14:val="proportional"/>
        </w:rPr>
        <w:t xml:space="preserve"> a supply gap</w:t>
      </w:r>
      <w:r w:rsidR="00D31C3D" w:rsidRPr="00DD4B89">
        <w:rPr>
          <w14:numForm w14:val="lining"/>
          <w14:numSpacing w14:val="proportional"/>
        </w:rPr>
        <w:t>, climbing to</w:t>
      </w:r>
      <w:r w:rsidRPr="00DD4B89">
        <w:rPr>
          <w14:numForm w14:val="lining"/>
          <w14:numSpacing w14:val="proportional"/>
        </w:rPr>
        <w:t xml:space="preserve"> roughly 10,000 by </w:t>
      </w:r>
      <w:r w:rsidR="00D31C3D" w:rsidRPr="00DD4B89">
        <w:rPr>
          <w14:numForm w14:val="lining"/>
          <w14:numSpacing w14:val="proportional"/>
        </w:rPr>
        <w:t xml:space="preserve">2037 and hovering around that mark until </w:t>
      </w:r>
      <w:r w:rsidRPr="00DD4B89">
        <w:rPr>
          <w14:numForm w14:val="lining"/>
          <w14:numSpacing w14:val="proportional"/>
        </w:rPr>
        <w:t xml:space="preserve">2050. </w:t>
      </w:r>
    </w:p>
    <w:p w14:paraId="4362ABCD" w14:textId="366E8E48" w:rsidR="00C175CC" w:rsidRDefault="00CD2B22" w:rsidP="00C175CC">
      <w:pPr>
        <w:spacing w:after="120" w:line="276" w:lineRule="auto"/>
        <w:rPr>
          <w14:numForm w14:val="lining"/>
          <w14:numSpacing w14:val="proportional"/>
        </w:rPr>
      </w:pPr>
      <w:r w:rsidRPr="007B3B6B">
        <w:rPr>
          <w14:numForm w14:val="lining"/>
          <w14:numSpacing w14:val="proportional"/>
        </w:rPr>
        <w:t>Significantly, there is likely to be an emerging supply gap in Chemical, Gas, Petroleum and Power Generation Plant Operators emerge from approximately 2030. This is despite the expected employment declines in fossil fuel power generation and gas production and distribution, with offsetting employment growth in renewable energy and hydrogen</w:t>
      </w:r>
      <w:r w:rsidR="007B3B6B">
        <w:rPr>
          <w14:numForm w14:val="lining"/>
          <w14:numSpacing w14:val="proportional"/>
        </w:rPr>
        <w:t>.</w:t>
      </w:r>
    </w:p>
    <w:p w14:paraId="2E48B5AE" w14:textId="1E72EDDC" w:rsidR="00CD2B22" w:rsidRPr="007B3B6B" w:rsidRDefault="00C175CC" w:rsidP="00C175CC">
      <w:pPr>
        <w:rPr>
          <w14:numForm w14:val="lining"/>
          <w14:numSpacing w14:val="proportional"/>
        </w:rPr>
        <w:sectPr w:rsidR="00CD2B22" w:rsidRPr="007B3B6B" w:rsidSect="00AC4C25">
          <w:pgSz w:w="11906" w:h="16838"/>
          <w:pgMar w:top="1440" w:right="1440" w:bottom="1440" w:left="1440" w:header="0" w:footer="708" w:gutter="0"/>
          <w:cols w:space="708"/>
          <w:titlePg/>
          <w:docGrid w:linePitch="360"/>
        </w:sectPr>
      </w:pPr>
      <w:r>
        <w:rPr>
          <w14:numForm w14:val="lining"/>
          <w14:numSpacing w14:val="proportional"/>
        </w:rPr>
        <w:br w:type="page"/>
      </w:r>
    </w:p>
    <w:p w14:paraId="7A981C4C" w14:textId="39BB952F" w:rsidR="00CD2B22" w:rsidRPr="003D02B9" w:rsidRDefault="0052601F" w:rsidP="00C95CE7">
      <w:pPr>
        <w:pStyle w:val="Bodycopy"/>
        <w:pBdr>
          <w:top w:val="single" w:sz="4" w:space="5" w:color="BFBFBF" w:themeColor="background1" w:themeShade="BF"/>
        </w:pBdr>
        <w:spacing w:after="120"/>
        <w:rPr>
          <w:b/>
          <w:bCs/>
        </w:rPr>
      </w:pPr>
      <w:r>
        <w:rPr>
          <w:b/>
          <w:bCs/>
        </w:rPr>
        <w:t>Figure</w:t>
      </w:r>
      <w:r w:rsidR="006E2C01" w:rsidRPr="69E461A9">
        <w:rPr>
          <w:b/>
          <w:bCs/>
        </w:rPr>
        <w:t xml:space="preserve"> 5.</w:t>
      </w:r>
      <w:r>
        <w:rPr>
          <w:b/>
          <w:bCs/>
        </w:rPr>
        <w:t>8</w:t>
      </w:r>
      <w:r w:rsidR="001D5860">
        <w:rPr>
          <w:b/>
          <w:bCs/>
        </w:rPr>
        <w:t>.</w:t>
      </w:r>
      <w:r w:rsidR="006E2C01" w:rsidRPr="69E461A9">
        <w:rPr>
          <w:b/>
          <w:bCs/>
        </w:rPr>
        <w:t xml:space="preserve"> Demand (all scenarios) and supply for electrical trades and technicians, 2023-2050</w:t>
      </w:r>
    </w:p>
    <w:p w14:paraId="00A0B53F" w14:textId="4A27AFB5" w:rsidR="00CD2B22" w:rsidRDefault="004F7FF9" w:rsidP="004F7FF9">
      <w:pPr>
        <w:spacing w:after="0"/>
      </w:pPr>
      <w:r>
        <w:rPr>
          <w:rFonts w:cs="Arial"/>
          <w:noProof/>
          <w:color w:val="000000"/>
          <w:shd w:val="clear" w:color="auto" w:fill="FFFFFF"/>
        </w:rPr>
        <w:drawing>
          <wp:inline distT="0" distB="0" distL="0" distR="0" wp14:anchorId="6F8C94AF" wp14:editId="3E011116">
            <wp:extent cx="5731510" cy="8119745"/>
            <wp:effectExtent l="0" t="0" r="2540" b="0"/>
            <wp:docPr id="1594133949" name="Picture 1594133949" descr="This figure represents growth in employment demand versus supply for occupations in electrical trades and technicians from 2023 to 2050 across the three scenarios. There is a supply gap in each of these occupations in all scenarios leading up to 2050, with the exception of Electrical Distribution Trades workers. Electricians have the largest deficit in supp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33949" name="Picture 1594133949" descr="This figure represents growth in employment demand versus supply for occupations in electrical trades and technicians from 2023 to 2050 across the three scenarios. There is a supply gap in each of these occupations in all scenarios leading up to 2050, with the exception of Electrical Distribution Trades workers. Electricians have the largest deficit in supply.&#10;"/>
                    <pic:cNvPicPr/>
                  </pic:nvPicPr>
                  <pic:blipFill>
                    <a:blip r:embed="rId169" cstate="screen">
                      <a:extLst>
                        <a:ext uri="{28A0092B-C50C-407E-A947-70E740481C1C}">
                          <a14:useLocalDpi xmlns:a14="http://schemas.microsoft.com/office/drawing/2010/main"/>
                        </a:ext>
                      </a:extLst>
                    </a:blip>
                    <a:stretch>
                      <a:fillRect/>
                    </a:stretch>
                  </pic:blipFill>
                  <pic:spPr>
                    <a:xfrm>
                      <a:off x="0" y="0"/>
                      <a:ext cx="5731510" cy="8119745"/>
                    </a:xfrm>
                    <a:prstGeom prst="rect">
                      <a:avLst/>
                    </a:prstGeom>
                  </pic:spPr>
                </pic:pic>
              </a:graphicData>
            </a:graphic>
          </wp:inline>
        </w:drawing>
      </w:r>
    </w:p>
    <w:p w14:paraId="6882A884" w14:textId="5E2B7C34" w:rsidR="00C95CE7" w:rsidRDefault="00172457" w:rsidP="004F7FF9">
      <w:pPr>
        <w:spacing w:before="120" w:after="0"/>
        <w:rPr>
          <w:sz w:val="18"/>
          <w:szCs w:val="18"/>
        </w:rPr>
      </w:pPr>
      <w:r w:rsidRPr="005F22BD">
        <w:rPr>
          <w:sz w:val="18"/>
          <w:szCs w:val="18"/>
        </w:rPr>
        <w:t>Source: Deloitte Access Economics 2023.</w:t>
      </w:r>
    </w:p>
    <w:p w14:paraId="47D16060" w14:textId="3CA660E9" w:rsidR="00CD2B22" w:rsidRPr="003D02B9" w:rsidRDefault="0052601F" w:rsidP="00C95CE7">
      <w:pPr>
        <w:pStyle w:val="Bodycopy"/>
        <w:pBdr>
          <w:top w:val="single" w:sz="4" w:space="5" w:color="BFBFBF" w:themeColor="background1" w:themeShade="BF"/>
        </w:pBdr>
        <w:spacing w:after="0"/>
        <w:rPr>
          <w:b/>
          <w:bCs/>
        </w:rPr>
      </w:pPr>
      <w:r>
        <w:rPr>
          <w:b/>
          <w:bCs/>
        </w:rPr>
        <w:t>Figure</w:t>
      </w:r>
      <w:r w:rsidR="006E2C01" w:rsidRPr="0011339B">
        <w:rPr>
          <w:b/>
          <w:bCs/>
        </w:rPr>
        <w:t xml:space="preserve"> 5.</w:t>
      </w:r>
      <w:r>
        <w:rPr>
          <w:b/>
          <w:bCs/>
        </w:rPr>
        <w:t>9</w:t>
      </w:r>
      <w:r w:rsidR="00C570BD">
        <w:rPr>
          <w:b/>
          <w:bCs/>
        </w:rPr>
        <w:t>.</w:t>
      </w:r>
      <w:r w:rsidR="006E2C01" w:rsidRPr="0011339B">
        <w:rPr>
          <w:b/>
          <w:bCs/>
        </w:rPr>
        <w:t xml:space="preserve"> Demand (</w:t>
      </w:r>
      <w:r w:rsidR="006E2C01">
        <w:rPr>
          <w:b/>
          <w:bCs/>
        </w:rPr>
        <w:t>all scenarios</w:t>
      </w:r>
      <w:r w:rsidR="006E2C01" w:rsidRPr="0011339B">
        <w:rPr>
          <w:b/>
          <w:bCs/>
        </w:rPr>
        <w:t>) and supply for other trades and technicians, 202</w:t>
      </w:r>
      <w:r w:rsidR="006E2C01">
        <w:rPr>
          <w:b/>
          <w:bCs/>
        </w:rPr>
        <w:t>3</w:t>
      </w:r>
      <w:r w:rsidR="006E2C01" w:rsidRPr="0011339B">
        <w:rPr>
          <w:b/>
          <w:bCs/>
        </w:rPr>
        <w:t>-205</w:t>
      </w:r>
      <w:r w:rsidR="006E2C01">
        <w:rPr>
          <w:b/>
          <w:bCs/>
        </w:rPr>
        <w:t>0</w:t>
      </w:r>
      <w:r w:rsidR="004D53D5">
        <w:rPr>
          <w:rFonts w:cs="Arial"/>
          <w:noProof/>
          <w:color w:val="000000"/>
          <w:shd w:val="clear" w:color="auto" w:fill="FFFFFF"/>
        </w:rPr>
        <w:drawing>
          <wp:inline distT="0" distB="0" distL="0" distR="0" wp14:anchorId="55E09B0B" wp14:editId="18EFAE5E">
            <wp:extent cx="5731510" cy="8119745"/>
            <wp:effectExtent l="0" t="0" r="2540" b="0"/>
            <wp:docPr id="1833226825" name="Picture 1833226825" descr="This figure represents growth in employment demand versus supply for occupations in other trades and technicians from 2023 to 2050. There is a supply gap in each of these occupations across all scenarios leading up to 2050 with the exception of Metal Fitters and Machinists which have a surplus in 2050 under the Low scenario. There is a significant gap in supply across all scenarios of Architectural, Building and Surveying Technici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26825" name="Picture 1833226825" descr="This figure represents growth in employment demand versus supply for occupations in other trades and technicians from 2023 to 2050. There is a supply gap in each of these occupations across all scenarios leading up to 2050 with the exception of Metal Fitters and Machinists which have a surplus in 2050 under the Low scenario. There is a significant gap in supply across all scenarios of Architectural, Building and Surveying Technicians.&#10;"/>
                    <pic:cNvPicPr/>
                  </pic:nvPicPr>
                  <pic:blipFill>
                    <a:blip r:embed="rId170" cstate="screen">
                      <a:extLst>
                        <a:ext uri="{28A0092B-C50C-407E-A947-70E740481C1C}">
                          <a14:useLocalDpi xmlns:a14="http://schemas.microsoft.com/office/drawing/2010/main"/>
                        </a:ext>
                      </a:extLst>
                    </a:blip>
                    <a:stretch>
                      <a:fillRect/>
                    </a:stretch>
                  </pic:blipFill>
                  <pic:spPr>
                    <a:xfrm>
                      <a:off x="0" y="0"/>
                      <a:ext cx="5731510" cy="8119745"/>
                    </a:xfrm>
                    <a:prstGeom prst="rect">
                      <a:avLst/>
                    </a:prstGeom>
                  </pic:spPr>
                </pic:pic>
              </a:graphicData>
            </a:graphic>
          </wp:inline>
        </w:drawing>
      </w:r>
      <w:r w:rsidR="00CD2B22" w:rsidRPr="0011339B">
        <w:rPr>
          <w:sz w:val="18"/>
          <w:szCs w:val="18"/>
        </w:rPr>
        <w:t>Source: Deloitte Access Economics 2023.</w:t>
      </w:r>
    </w:p>
    <w:p w14:paraId="5F73719E" w14:textId="182C7C88" w:rsidR="00CD2B22" w:rsidRPr="009659AD" w:rsidRDefault="00CD2B22" w:rsidP="00A904FE">
      <w:pPr>
        <w:pStyle w:val="Heading4"/>
        <w:spacing w:before="240" w:after="120"/>
        <w:rPr>
          <w:color w:val="77123D" w:themeColor="accent4" w:themeShade="BF"/>
        </w:rPr>
      </w:pPr>
      <w:r w:rsidRPr="009659AD">
        <w:rPr>
          <w:color w:val="77123D" w:themeColor="accent4" w:themeShade="BF"/>
        </w:rPr>
        <w:t>A likely steady supply of engineers, but</w:t>
      </w:r>
      <w:r w:rsidR="00444377" w:rsidRPr="009659AD">
        <w:rPr>
          <w:color w:val="77123D" w:themeColor="accent4" w:themeShade="BF"/>
        </w:rPr>
        <w:t xml:space="preserve"> some</w:t>
      </w:r>
      <w:r w:rsidRPr="009659AD">
        <w:rPr>
          <w:color w:val="77123D" w:themeColor="accent4" w:themeShade="BF"/>
        </w:rPr>
        <w:t xml:space="preserve"> scientist shortfall</w:t>
      </w:r>
      <w:r w:rsidR="00444377" w:rsidRPr="009659AD">
        <w:rPr>
          <w:color w:val="77123D" w:themeColor="accent4" w:themeShade="BF"/>
        </w:rPr>
        <w:t>s</w:t>
      </w:r>
    </w:p>
    <w:p w14:paraId="59C6B5AC" w14:textId="5BFFFE18" w:rsidR="00CD2B22" w:rsidRPr="001D5860" w:rsidRDefault="00CD2B22" w:rsidP="001D5860">
      <w:pPr>
        <w:spacing w:after="120" w:line="276" w:lineRule="auto"/>
        <w:rPr>
          <w14:numForm w14:val="lining"/>
          <w14:numSpacing w14:val="proportional"/>
        </w:rPr>
      </w:pPr>
      <w:r w:rsidRPr="001D5860">
        <w:rPr>
          <w14:numForm w14:val="lining"/>
          <w14:numSpacing w14:val="proportional"/>
        </w:rPr>
        <w:t xml:space="preserve">The </w:t>
      </w:r>
      <w:r w:rsidR="000120D3">
        <w:rPr>
          <w14:numForm w14:val="lining"/>
          <w14:numSpacing w14:val="proportional"/>
        </w:rPr>
        <w:t>preliminary modelling</w:t>
      </w:r>
      <w:r w:rsidRPr="001D5860">
        <w:rPr>
          <w14:numForm w14:val="lining"/>
          <w14:numSpacing w14:val="proportional"/>
        </w:rPr>
        <w:t xml:space="preserve"> results for professional occupations are more varied. Engineering occupations are likely to have sufficient supply under both demand scenarios, with the only exception being Mining Engineers, where the</w:t>
      </w:r>
      <w:r w:rsidR="003335F0" w:rsidRPr="001D5860">
        <w:rPr>
          <w14:numForm w14:val="lining"/>
          <w14:numSpacing w14:val="proportional"/>
        </w:rPr>
        <w:t xml:space="preserve"> projected supply </w:t>
      </w:r>
      <w:r w:rsidRPr="001D5860">
        <w:rPr>
          <w14:numForm w14:val="lining"/>
          <w14:numSpacing w14:val="proportional"/>
        </w:rPr>
        <w:t xml:space="preserve">is rapidly declining. However, supply is close to expected demand for Chemical and Materials Engineers, Civil Engineering Professionals and Other Engineering Professionals, so there is still a high risk of skill shortages occurring (see below). </w:t>
      </w:r>
    </w:p>
    <w:p w14:paraId="3734710F" w14:textId="58806FC4" w:rsidR="00CD2B22" w:rsidRPr="001D5860" w:rsidRDefault="00CD2B22" w:rsidP="001D5860">
      <w:pPr>
        <w:spacing w:after="120" w:line="276" w:lineRule="auto"/>
        <w:rPr>
          <w:rFonts w:eastAsia="Arial" w:cs="Arial"/>
          <w14:numForm w14:val="lining"/>
          <w14:numSpacing w14:val="proportional"/>
        </w:rPr>
      </w:pPr>
      <w:r w:rsidRPr="001D5860">
        <w:rPr>
          <w14:numForm w14:val="lining"/>
          <w14:numSpacing w14:val="proportional"/>
        </w:rPr>
        <w:t xml:space="preserve">The </w:t>
      </w:r>
      <w:r w:rsidR="005C5442">
        <w:rPr>
          <w14:numForm w14:val="lining"/>
          <w14:numSpacing w14:val="proportional"/>
        </w:rPr>
        <w:t>preliminary</w:t>
      </w:r>
      <w:r w:rsidRPr="001D5860">
        <w:rPr>
          <w14:numForm w14:val="lining"/>
          <w14:numSpacing w14:val="proportional"/>
        </w:rPr>
        <w:t xml:space="preserve"> modelling suggests that there is an increasing supply of Electrical Engineers, notwithstanding current shortages. A shortage of </w:t>
      </w:r>
      <w:r w:rsidR="00135126" w:rsidRPr="001D5860">
        <w:rPr>
          <w14:numForm w14:val="lining"/>
          <w14:numSpacing w14:val="proportional"/>
        </w:rPr>
        <w:t>M</w:t>
      </w:r>
      <w:r w:rsidRPr="001D5860">
        <w:rPr>
          <w14:numForm w14:val="lining"/>
          <w14:numSpacing w14:val="proportional"/>
        </w:rPr>
        <w:t xml:space="preserve">ining </w:t>
      </w:r>
      <w:r w:rsidR="00135126" w:rsidRPr="001D5860">
        <w:rPr>
          <w14:numForm w14:val="lining"/>
          <w14:numSpacing w14:val="proportional"/>
        </w:rPr>
        <w:t>E</w:t>
      </w:r>
      <w:r w:rsidRPr="001D5860">
        <w:rPr>
          <w14:numForm w14:val="lining"/>
          <w14:numSpacing w14:val="proportional"/>
        </w:rPr>
        <w:t xml:space="preserve">ngineers is likely to be most acute in the medium term. </w:t>
      </w:r>
    </w:p>
    <w:p w14:paraId="04E158E5" w14:textId="4C9E4F7D" w:rsidR="00B769CF" w:rsidRPr="001D5860" w:rsidRDefault="00CD2B22" w:rsidP="001D5860">
      <w:pPr>
        <w:spacing w:after="120" w:line="276" w:lineRule="auto"/>
        <w:rPr>
          <w14:numForm w14:val="lining"/>
          <w14:numSpacing w14:val="proportional"/>
        </w:rPr>
      </w:pPr>
      <w:r w:rsidRPr="001D5860">
        <w:rPr>
          <w14:numForm w14:val="lining"/>
          <w14:numSpacing w14:val="proportional"/>
        </w:rPr>
        <w:t>Unlike engineering occupations, demand for professional occupations</w:t>
      </w:r>
      <w:r w:rsidR="00386EE9" w:rsidRPr="001D5860">
        <w:rPr>
          <w14:numForm w14:val="lining"/>
          <w14:numSpacing w14:val="proportional"/>
        </w:rPr>
        <w:t xml:space="preserve"> like </w:t>
      </w:r>
      <w:r w:rsidRPr="001D5860">
        <w:rPr>
          <w14:numForm w14:val="lining"/>
          <w14:numSpacing w14:val="proportional"/>
        </w:rPr>
        <w:t>Agricultural and Forestry Scientists</w:t>
      </w:r>
      <w:r w:rsidR="00444377" w:rsidRPr="001D5860">
        <w:rPr>
          <w14:numForm w14:val="lining"/>
          <w14:numSpacing w14:val="proportional"/>
        </w:rPr>
        <w:t xml:space="preserve"> and</w:t>
      </w:r>
      <w:r w:rsidRPr="001D5860">
        <w:rPr>
          <w14:numForm w14:val="lining"/>
          <w14:numSpacing w14:val="proportional"/>
        </w:rPr>
        <w:t xml:space="preserve"> Environmental Scientists </w:t>
      </w:r>
      <w:r w:rsidR="00386EE9" w:rsidRPr="001D5860">
        <w:rPr>
          <w14:numForm w14:val="lining"/>
          <w14:numSpacing w14:val="proportional"/>
        </w:rPr>
        <w:t xml:space="preserve">are likely to experience some shortfalls </w:t>
      </w:r>
      <w:r w:rsidR="00132247" w:rsidRPr="001D5860">
        <w:rPr>
          <w14:numForm w14:val="lining"/>
          <w14:numSpacing w14:val="proportional"/>
        </w:rPr>
        <w:t>as we transition to Net Zero.</w:t>
      </w:r>
      <w:r w:rsidRPr="001D5860">
        <w:rPr>
          <w14:numForm w14:val="lining"/>
          <w14:numSpacing w14:val="proportional"/>
        </w:rPr>
        <w:t xml:space="preserve"> The shortfalls are likely around 1</w:t>
      </w:r>
      <w:r w:rsidR="00135126" w:rsidRPr="001D5860">
        <w:rPr>
          <w14:numForm w14:val="lining"/>
          <w14:numSpacing w14:val="proportional"/>
        </w:rPr>
        <w:t>,</w:t>
      </w:r>
      <w:r w:rsidRPr="001D5860">
        <w:rPr>
          <w14:numForm w14:val="lining"/>
          <w14:numSpacing w14:val="proportional"/>
        </w:rPr>
        <w:t>000-3</w:t>
      </w:r>
      <w:r w:rsidR="00135126" w:rsidRPr="001D5860">
        <w:rPr>
          <w14:numForm w14:val="lining"/>
          <w14:numSpacing w14:val="proportional"/>
        </w:rPr>
        <w:t>,</w:t>
      </w:r>
      <w:r w:rsidRPr="001D5860">
        <w:rPr>
          <w14:numForm w14:val="lining"/>
          <w14:numSpacing w14:val="proportional"/>
        </w:rPr>
        <w:t xml:space="preserve">000 workers at 2050 for both </w:t>
      </w:r>
      <w:r w:rsidR="003675CF" w:rsidRPr="001D5860">
        <w:rPr>
          <w14:numForm w14:val="lining"/>
          <w14:numSpacing w14:val="proportional"/>
        </w:rPr>
        <w:t>A</w:t>
      </w:r>
      <w:r w:rsidRPr="001D5860">
        <w:rPr>
          <w14:numForm w14:val="lining"/>
          <w14:numSpacing w14:val="proportional"/>
        </w:rPr>
        <w:t>gricultural</w:t>
      </w:r>
      <w:r w:rsidR="00B774C8" w:rsidRPr="001D5860">
        <w:rPr>
          <w14:numForm w14:val="lining"/>
          <w14:numSpacing w14:val="proportional"/>
        </w:rPr>
        <w:t xml:space="preserve"> and</w:t>
      </w:r>
      <w:r w:rsidRPr="001D5860">
        <w:rPr>
          <w14:numForm w14:val="lining"/>
          <w14:numSpacing w14:val="proportional"/>
        </w:rPr>
        <w:t xml:space="preserve"> </w:t>
      </w:r>
      <w:r w:rsidR="00B774C8" w:rsidRPr="001D5860">
        <w:rPr>
          <w14:numForm w14:val="lining"/>
          <w14:numSpacing w14:val="proportional"/>
        </w:rPr>
        <w:t>F</w:t>
      </w:r>
      <w:r w:rsidRPr="001D5860">
        <w:rPr>
          <w14:numForm w14:val="lining"/>
          <w14:numSpacing w14:val="proportional"/>
        </w:rPr>
        <w:t xml:space="preserve">orestry </w:t>
      </w:r>
      <w:r w:rsidR="00B774C8" w:rsidRPr="001D5860">
        <w:rPr>
          <w14:numForm w14:val="lining"/>
          <w14:numSpacing w14:val="proportional"/>
        </w:rPr>
        <w:t xml:space="preserve">Scientists </w:t>
      </w:r>
      <w:r w:rsidRPr="001D5860">
        <w:rPr>
          <w14:numForm w14:val="lining"/>
          <w14:numSpacing w14:val="proportional"/>
        </w:rPr>
        <w:t xml:space="preserve">and </w:t>
      </w:r>
      <w:r w:rsidR="00B774C8" w:rsidRPr="001D5860">
        <w:rPr>
          <w14:numForm w14:val="lining"/>
          <w14:numSpacing w14:val="proportional"/>
        </w:rPr>
        <w:t>E</w:t>
      </w:r>
      <w:r w:rsidRPr="001D5860">
        <w:rPr>
          <w14:numForm w14:val="lining"/>
          <w14:numSpacing w14:val="proportional"/>
        </w:rPr>
        <w:t xml:space="preserve">nvironmental </w:t>
      </w:r>
      <w:r w:rsidR="00B774C8" w:rsidRPr="001D5860">
        <w:rPr>
          <w14:numForm w14:val="lining"/>
          <w14:numSpacing w14:val="proportional"/>
        </w:rPr>
        <w:t>S</w:t>
      </w:r>
      <w:r w:rsidRPr="001D5860">
        <w:rPr>
          <w14:numForm w14:val="lining"/>
          <w14:numSpacing w14:val="proportional"/>
        </w:rPr>
        <w:t>cientists</w:t>
      </w:r>
      <w:r w:rsidR="00EC5AF4" w:rsidRPr="001D5860">
        <w:rPr>
          <w14:numForm w14:val="lining"/>
          <w14:numSpacing w14:val="proportional"/>
        </w:rPr>
        <w:t>.</w:t>
      </w:r>
      <w:r w:rsidRPr="001D5860">
        <w:rPr>
          <w14:numForm w14:val="lining"/>
          <w14:numSpacing w14:val="proportional"/>
        </w:rPr>
        <w:t xml:space="preserve"> </w:t>
      </w:r>
      <w:r w:rsidR="00386EE9" w:rsidRPr="001D5860">
        <w:rPr>
          <w14:numForm w14:val="lining"/>
          <w14:numSpacing w14:val="proportional"/>
        </w:rPr>
        <w:t xml:space="preserve">On the other hand, there will likely be a </w:t>
      </w:r>
      <w:r w:rsidR="00135126" w:rsidRPr="001D5860">
        <w:rPr>
          <w14:numForm w14:val="lining"/>
          <w14:numSpacing w14:val="proportional"/>
        </w:rPr>
        <w:t xml:space="preserve">sufficient </w:t>
      </w:r>
      <w:r w:rsidR="00625659" w:rsidRPr="001D5860">
        <w:rPr>
          <w14:numForm w14:val="lining"/>
          <w14:numSpacing w14:val="proportional"/>
        </w:rPr>
        <w:t xml:space="preserve">supply of </w:t>
      </w:r>
      <w:r w:rsidRPr="001D5860">
        <w:rPr>
          <w14:numForm w14:val="lining"/>
          <w14:numSpacing w14:val="proportional"/>
        </w:rPr>
        <w:t>Geologists, Geophysicists and Hydrogeologists.</w:t>
      </w:r>
      <w:r w:rsidR="00625659" w:rsidRPr="001D5860">
        <w:rPr>
          <w14:numForm w14:val="lining"/>
          <w14:numSpacing w14:val="proportional"/>
        </w:rPr>
        <w:t xml:space="preserve"> </w:t>
      </w:r>
    </w:p>
    <w:p w14:paraId="295C3B66" w14:textId="6F4E22C3" w:rsidR="001D5860" w:rsidRDefault="00832219" w:rsidP="001D5860">
      <w:pPr>
        <w:spacing w:after="120" w:line="276" w:lineRule="auto"/>
        <w:rPr>
          <w14:numForm w14:val="lining"/>
          <w14:numSpacing w14:val="proportional"/>
        </w:rPr>
      </w:pPr>
      <w:r w:rsidRPr="001D5860">
        <w:rPr>
          <w14:numForm w14:val="lining"/>
          <w14:numSpacing w14:val="proportional"/>
        </w:rPr>
        <w:t xml:space="preserve">Our assessment about the supply of engineers in general being adequate, should be qualified with the following caveats. First, </w:t>
      </w:r>
      <w:r w:rsidR="00AB4B7D" w:rsidRPr="001D5860">
        <w:rPr>
          <w14:numForm w14:val="lining"/>
          <w14:numSpacing w14:val="proportional"/>
        </w:rPr>
        <w:t>i</w:t>
      </w:r>
      <w:r w:rsidRPr="001D5860">
        <w:rPr>
          <w14:numForm w14:val="lining"/>
          <w14:numSpacing w14:val="proportional"/>
        </w:rPr>
        <w:t xml:space="preserve">t is important to note that these projections of labour supply </w:t>
      </w:r>
      <w:r w:rsidR="00377E6C" w:rsidRPr="001D5860">
        <w:rPr>
          <w14:numForm w14:val="lining"/>
          <w14:numSpacing w14:val="proportional"/>
        </w:rPr>
        <w:t>for engineers (indeed, for all professional occupations) are</w:t>
      </w:r>
      <w:r w:rsidR="00896FAD" w:rsidRPr="001D5860">
        <w:rPr>
          <w14:numForm w14:val="lining"/>
          <w14:numSpacing w14:val="proportional"/>
        </w:rPr>
        <w:t xml:space="preserve"> </w:t>
      </w:r>
      <w:r w:rsidRPr="001D5860">
        <w:rPr>
          <w14:numForm w14:val="lining"/>
          <w14:numSpacing w14:val="proportional"/>
        </w:rPr>
        <w:t>based on past trends</w:t>
      </w:r>
      <w:r w:rsidR="005F43B5" w:rsidRPr="001D5860">
        <w:rPr>
          <w14:numForm w14:val="lining"/>
          <w14:numSpacing w14:val="proportional"/>
        </w:rPr>
        <w:t xml:space="preserve"> in higher education attainment</w:t>
      </w:r>
      <w:r w:rsidRPr="001D5860">
        <w:rPr>
          <w14:numForm w14:val="lining"/>
          <w14:numSpacing w14:val="proportional"/>
        </w:rPr>
        <w:t xml:space="preserve">. This has been significantly shaped by the demand </w:t>
      </w:r>
      <w:r w:rsidR="005F43B5" w:rsidRPr="001D5860">
        <w:rPr>
          <w14:numForm w14:val="lining"/>
          <w14:numSpacing w14:val="proportional"/>
        </w:rPr>
        <w:t>d</w:t>
      </w:r>
      <w:r w:rsidRPr="001D5860">
        <w:rPr>
          <w14:numForm w14:val="lining"/>
          <w14:numSpacing w14:val="proportional"/>
        </w:rPr>
        <w:t xml:space="preserve">riven system of higher education, where there was a substantial expansion of university graduates. There continues to be strong pipeline growth on the number of graduates as a result. </w:t>
      </w:r>
    </w:p>
    <w:p w14:paraId="68BAD75A" w14:textId="0290E58F" w:rsidR="00C95CE7" w:rsidRDefault="005F43B5" w:rsidP="001D5860">
      <w:pPr>
        <w:spacing w:after="120" w:line="276" w:lineRule="auto"/>
        <w:rPr>
          <w14:numForm w14:val="lining"/>
          <w14:numSpacing w14:val="proportional"/>
        </w:rPr>
      </w:pPr>
      <w:r w:rsidRPr="001D5860">
        <w:rPr>
          <w14:numForm w14:val="lining"/>
          <w14:numSpacing w14:val="proportional"/>
        </w:rPr>
        <w:t>However, t</w:t>
      </w:r>
      <w:r w:rsidR="00832219" w:rsidRPr="001D5860">
        <w:rPr>
          <w14:numForm w14:val="lining"/>
          <w14:numSpacing w14:val="proportional"/>
        </w:rPr>
        <w:t>he demand-driven system has been discontinued and the future size of the higher education sector is uncertain. It is currently under review as part the Universities Accord Review process. An adequate supply of engineers to enable the clean energy transition will be an important priority of the system going forward. Second</w:t>
      </w:r>
      <w:r w:rsidRPr="001D5860">
        <w:rPr>
          <w14:numForm w14:val="lining"/>
          <w14:numSpacing w14:val="proportional"/>
        </w:rPr>
        <w:t>,</w:t>
      </w:r>
      <w:r w:rsidR="00832219" w:rsidRPr="001D5860">
        <w:rPr>
          <w14:numForm w14:val="lining"/>
          <w14:numSpacing w14:val="proportional"/>
        </w:rPr>
        <w:t xml:space="preserve"> even if we continue to have strong pipeline of engineering graduates we need to ensure that they have the attributes required for the available jobs. Skills shortages could still happen for reasons outlined below.</w:t>
      </w:r>
    </w:p>
    <w:p w14:paraId="0BC34132" w14:textId="77777777" w:rsidR="00C95CE7" w:rsidRDefault="00C95CE7">
      <w:pPr>
        <w:rPr>
          <w14:numForm w14:val="lining"/>
          <w14:numSpacing w14:val="proportional"/>
        </w:rPr>
      </w:pPr>
      <w:r>
        <w:rPr>
          <w14:numForm w14:val="lining"/>
          <w14:numSpacing w14:val="proportional"/>
        </w:rPr>
        <w:br w:type="page"/>
      </w:r>
    </w:p>
    <w:p w14:paraId="5A0F7557" w14:textId="005CB9E1" w:rsidR="004E57A8" w:rsidRDefault="0052601F" w:rsidP="00C95CE7">
      <w:pPr>
        <w:pStyle w:val="Bodycopy"/>
        <w:pBdr>
          <w:top w:val="single" w:sz="4" w:space="5" w:color="BFBFBF" w:themeColor="background1" w:themeShade="BF"/>
        </w:pBdr>
        <w:spacing w:after="0"/>
        <w:rPr>
          <w:b/>
          <w:bCs/>
        </w:rPr>
      </w:pPr>
      <w:r>
        <w:rPr>
          <w:b/>
          <w:bCs/>
        </w:rPr>
        <w:t>Figure</w:t>
      </w:r>
      <w:r w:rsidR="004E57A8" w:rsidRPr="003D44FF">
        <w:rPr>
          <w:b/>
          <w:bCs/>
        </w:rPr>
        <w:t xml:space="preserve"> 5.</w:t>
      </w:r>
      <w:r>
        <w:rPr>
          <w:b/>
          <w:bCs/>
        </w:rPr>
        <w:t>10</w:t>
      </w:r>
      <w:r w:rsidR="00C570BD">
        <w:rPr>
          <w:b/>
          <w:bCs/>
        </w:rPr>
        <w:t>.</w:t>
      </w:r>
      <w:r w:rsidR="004E57A8" w:rsidRPr="003D44FF">
        <w:rPr>
          <w:b/>
          <w:bCs/>
        </w:rPr>
        <w:t xml:space="preserve"> Demand (all scenarios) and supply for engineering professionals, 202</w:t>
      </w:r>
      <w:r w:rsidR="004E57A8">
        <w:rPr>
          <w:b/>
          <w:bCs/>
        </w:rPr>
        <w:t>3</w:t>
      </w:r>
      <w:r w:rsidR="004E57A8" w:rsidRPr="003D44FF">
        <w:rPr>
          <w:b/>
          <w:bCs/>
        </w:rPr>
        <w:t>-205</w:t>
      </w:r>
      <w:r w:rsidR="004E57A8">
        <w:rPr>
          <w:b/>
          <w:bCs/>
        </w:rPr>
        <w:t>0</w:t>
      </w:r>
    </w:p>
    <w:p w14:paraId="49A3118D" w14:textId="256146CA" w:rsidR="001E76E1" w:rsidRPr="003D44FF" w:rsidRDefault="004739D0" w:rsidP="00131529">
      <w:pPr>
        <w:rPr>
          <w:b/>
          <w:bCs/>
        </w:rPr>
      </w:pPr>
      <w:r>
        <w:rPr>
          <w:noProof/>
        </w:rPr>
        <w:drawing>
          <wp:inline distT="0" distB="0" distL="0" distR="0" wp14:anchorId="1FE58548" wp14:editId="015AF182">
            <wp:extent cx="5731510" cy="8119745"/>
            <wp:effectExtent l="0" t="0" r="2540" b="0"/>
            <wp:docPr id="425034342" name="Picture 425034342" descr="This figure represents growth in employment demand versus supply for occupations in engineering professionals from 2023 to 2050. There is a supply surplus for all of these occupations to 2050 with the exception of Mining Engineers which shows a deficit in supply from 2023 onwards. There is a significant  gap in supply across all scenarios of Industrial, Mechanical and Production Engine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34342" name="Picture 425034342" descr="This figure represents growth in employment demand versus supply for occupations in engineering professionals from 2023 to 2050. There is a supply surplus for all of these occupations to 2050 with the exception of Mining Engineers which shows a deficit in supply from 2023 onwards. There is a significant  gap in supply across all scenarios of Industrial, Mechanical and Production Engineers.&#10;"/>
                    <pic:cNvPicPr/>
                  </pic:nvPicPr>
                  <pic:blipFill>
                    <a:blip r:embed="rId171" cstate="screen">
                      <a:extLst>
                        <a:ext uri="{28A0092B-C50C-407E-A947-70E740481C1C}">
                          <a14:useLocalDpi xmlns:a14="http://schemas.microsoft.com/office/drawing/2010/main"/>
                        </a:ext>
                      </a:extLst>
                    </a:blip>
                    <a:stretch>
                      <a:fillRect/>
                    </a:stretch>
                  </pic:blipFill>
                  <pic:spPr>
                    <a:xfrm>
                      <a:off x="0" y="0"/>
                      <a:ext cx="5731510" cy="8119745"/>
                    </a:xfrm>
                    <a:prstGeom prst="rect">
                      <a:avLst/>
                    </a:prstGeom>
                  </pic:spPr>
                </pic:pic>
              </a:graphicData>
            </a:graphic>
          </wp:inline>
        </w:drawing>
      </w:r>
    </w:p>
    <w:p w14:paraId="1CC92DED" w14:textId="607D3607" w:rsidR="00CD2B22" w:rsidRPr="001E76E1" w:rsidRDefault="00CD2B22" w:rsidP="00CD2B22">
      <w:pPr>
        <w:spacing w:after="0"/>
        <w:rPr>
          <w:sz w:val="18"/>
          <w:szCs w:val="18"/>
        </w:rPr>
      </w:pPr>
      <w:r w:rsidRPr="00E226A4">
        <w:rPr>
          <w:sz w:val="18"/>
          <w:szCs w:val="18"/>
        </w:rPr>
        <w:t>Source: Deloitte Access Economics 2023.</w:t>
      </w:r>
    </w:p>
    <w:p w14:paraId="6CF39105" w14:textId="213F264A" w:rsidR="004E57A8" w:rsidRDefault="0052601F" w:rsidP="002217A5">
      <w:pPr>
        <w:pStyle w:val="Bodycopy"/>
        <w:pBdr>
          <w:top w:val="single" w:sz="4" w:space="5" w:color="BFBFBF" w:themeColor="background1" w:themeShade="BF"/>
        </w:pBdr>
        <w:spacing w:after="0"/>
        <w:rPr>
          <w:b/>
          <w:bCs/>
        </w:rPr>
      </w:pPr>
      <w:r>
        <w:rPr>
          <w:b/>
          <w:bCs/>
        </w:rPr>
        <w:t>Figure</w:t>
      </w:r>
      <w:r w:rsidR="004E57A8" w:rsidRPr="00BB4225">
        <w:rPr>
          <w:b/>
          <w:bCs/>
        </w:rPr>
        <w:t xml:space="preserve"> 5.</w:t>
      </w:r>
      <w:r>
        <w:rPr>
          <w:b/>
          <w:bCs/>
        </w:rPr>
        <w:t>11</w:t>
      </w:r>
      <w:r w:rsidR="00C570BD">
        <w:rPr>
          <w:b/>
          <w:bCs/>
        </w:rPr>
        <w:t>.</w:t>
      </w:r>
      <w:r w:rsidR="004E57A8" w:rsidRPr="00BB4225">
        <w:rPr>
          <w:b/>
          <w:bCs/>
        </w:rPr>
        <w:t xml:space="preserve"> Demand (all scenarios) and supply for </w:t>
      </w:r>
      <w:r w:rsidR="004E57A8">
        <w:rPr>
          <w:b/>
          <w:bCs/>
        </w:rPr>
        <w:t xml:space="preserve">selected </w:t>
      </w:r>
      <w:r w:rsidR="004E57A8" w:rsidRPr="00BB4225">
        <w:rPr>
          <w:b/>
          <w:bCs/>
        </w:rPr>
        <w:t>other professionals, 202</w:t>
      </w:r>
      <w:r w:rsidR="004E57A8">
        <w:rPr>
          <w:b/>
          <w:bCs/>
        </w:rPr>
        <w:t>3</w:t>
      </w:r>
      <w:r w:rsidR="004E57A8" w:rsidRPr="00BB4225">
        <w:rPr>
          <w:b/>
          <w:bCs/>
        </w:rPr>
        <w:t>-205</w:t>
      </w:r>
      <w:r w:rsidR="004E57A8">
        <w:rPr>
          <w:b/>
          <w:bCs/>
        </w:rPr>
        <w:t>0</w:t>
      </w:r>
    </w:p>
    <w:p w14:paraId="76524E83" w14:textId="5E83CE83" w:rsidR="009C3E54" w:rsidRPr="00BB4225" w:rsidRDefault="000E2139" w:rsidP="004169EC">
      <w:pPr>
        <w:pStyle w:val="Bodycopy"/>
      </w:pPr>
      <w:r>
        <w:rPr>
          <w:b/>
          <w:bCs/>
          <w:noProof/>
        </w:rPr>
        <w:drawing>
          <wp:inline distT="0" distB="0" distL="0" distR="0" wp14:anchorId="01966C08" wp14:editId="43467749">
            <wp:extent cx="5731510" cy="5253990"/>
            <wp:effectExtent l="0" t="0" r="2540" b="3810"/>
            <wp:docPr id="175228729" name="Picture 175228729" descr="This figure represents growth in employment demand versus supply for occupations in other professionals from 2023 to 2050. There is a large surplus across all scenarios  of Geologists, Geophysicists and Hydrogeologists. Agricultural and Forestry Scientists have a supply deficit across all scenarios and Environmental Scientists have a supply deficit in all scenarios with the exception of the Low scenario, where there is a minor surpl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8729" name="Picture 175228729" descr="This figure represents growth in employment demand versus supply for occupations in other professionals from 2023 to 2050. There is a large surplus across all scenarios  of Geologists, Geophysicists and Hydrogeologists. Agricultural and Forestry Scientists have a supply deficit across all scenarios and Environmental Scientists have a supply deficit in all scenarios with the exception of the Low scenario, where there is a minor surplus.&#10;"/>
                    <pic:cNvPicPr/>
                  </pic:nvPicPr>
                  <pic:blipFill>
                    <a:blip r:embed="rId172" cstate="screen">
                      <a:extLst>
                        <a:ext uri="{28A0092B-C50C-407E-A947-70E740481C1C}">
                          <a14:useLocalDpi xmlns:a14="http://schemas.microsoft.com/office/drawing/2010/main"/>
                        </a:ext>
                      </a:extLst>
                    </a:blip>
                    <a:stretch>
                      <a:fillRect/>
                    </a:stretch>
                  </pic:blipFill>
                  <pic:spPr>
                    <a:xfrm>
                      <a:off x="0" y="0"/>
                      <a:ext cx="5731510" cy="5253990"/>
                    </a:xfrm>
                    <a:prstGeom prst="rect">
                      <a:avLst/>
                    </a:prstGeom>
                  </pic:spPr>
                </pic:pic>
              </a:graphicData>
            </a:graphic>
          </wp:inline>
        </w:drawing>
      </w:r>
    </w:p>
    <w:p w14:paraId="149ADDD0" w14:textId="77777777" w:rsidR="00CD2B22" w:rsidRDefault="00CD2B22" w:rsidP="00CD2B22">
      <w:pPr>
        <w:spacing w:after="0"/>
        <w:rPr>
          <w:sz w:val="18"/>
          <w:szCs w:val="18"/>
        </w:rPr>
      </w:pPr>
      <w:r w:rsidRPr="00E226A4">
        <w:rPr>
          <w:sz w:val="18"/>
          <w:szCs w:val="18"/>
        </w:rPr>
        <w:t>Source: Deloitte Access Economics 2023.</w:t>
      </w:r>
    </w:p>
    <w:p w14:paraId="00A0801D" w14:textId="77777777" w:rsidR="009E1549" w:rsidRDefault="009E1549">
      <w:pPr>
        <w:rPr>
          <w:rFonts w:eastAsiaTheme="majorEastAsia" w:cstheme="majorBidi"/>
          <w:b/>
          <w:sz w:val="32"/>
          <w:szCs w:val="24"/>
        </w:rPr>
      </w:pPr>
      <w:r>
        <w:br w:type="page"/>
      </w:r>
    </w:p>
    <w:p w14:paraId="3A81790B" w14:textId="467138E5" w:rsidR="00CD2B22" w:rsidRPr="009659AD" w:rsidRDefault="00CD2B22" w:rsidP="003E1425">
      <w:pPr>
        <w:pStyle w:val="Heading3"/>
        <w:rPr>
          <w:color w:val="77123D" w:themeColor="accent4" w:themeShade="BF"/>
        </w:rPr>
      </w:pPr>
      <w:r w:rsidRPr="009659AD">
        <w:rPr>
          <w:color w:val="77123D" w:themeColor="accent4" w:themeShade="BF"/>
        </w:rPr>
        <w:t>Skills shortages for occupations could still happen</w:t>
      </w:r>
    </w:p>
    <w:p w14:paraId="37511196" w14:textId="4E60AAA7" w:rsidR="00CD2B22" w:rsidRPr="00F54D4C" w:rsidRDefault="00CD2B22" w:rsidP="00F54D4C">
      <w:pPr>
        <w:spacing w:line="276" w:lineRule="auto"/>
        <w:rPr>
          <w14:numForm w14:val="lining"/>
          <w14:numSpacing w14:val="proportional"/>
        </w:rPr>
      </w:pPr>
      <w:r w:rsidRPr="00F54D4C">
        <w:rPr>
          <w14:numForm w14:val="lining"/>
          <w14:numSpacing w14:val="proportional"/>
        </w:rPr>
        <w:t xml:space="preserve">It is important to be very clear that skill shortages for a given occupation can still occur even when the </w:t>
      </w:r>
      <w:r w:rsidR="005C5442">
        <w:rPr>
          <w14:numForm w14:val="lining"/>
          <w14:numSpacing w14:val="proportional"/>
        </w:rPr>
        <w:t xml:space="preserve">preliminary </w:t>
      </w:r>
      <w:r w:rsidRPr="00F54D4C">
        <w:rPr>
          <w14:numForm w14:val="lining"/>
          <w14:numSpacing w14:val="proportional"/>
        </w:rPr>
        <w:t>modelling suggests there is sufficient supply. Skill shortages can exist when:</w:t>
      </w:r>
    </w:p>
    <w:p w14:paraId="3C1C726C" w14:textId="77777777" w:rsidR="00CD2B22" w:rsidRPr="00F54D4C" w:rsidRDefault="00CD2B22" w:rsidP="00F25595">
      <w:pPr>
        <w:pStyle w:val="ListParagraph"/>
        <w:numPr>
          <w:ilvl w:val="0"/>
          <w:numId w:val="87"/>
        </w:numPr>
        <w:spacing w:after="120" w:line="276" w:lineRule="auto"/>
        <w:ind w:left="567" w:hanging="352"/>
        <w:contextualSpacing w:val="0"/>
        <w:rPr>
          <w14:numForm w14:val="lining"/>
          <w14:numSpacing w14:val="proportional"/>
        </w:rPr>
      </w:pPr>
      <w:r w:rsidRPr="00F54D4C">
        <w:rPr>
          <w14:numForm w14:val="lining"/>
          <w14:numSpacing w14:val="proportional"/>
        </w:rPr>
        <w:t>There is an insufficient number of available workers with the required skills</w:t>
      </w:r>
    </w:p>
    <w:p w14:paraId="2A5E70C1" w14:textId="77777777" w:rsidR="00CD2B22" w:rsidRPr="00F54D4C" w:rsidRDefault="00CD2B22" w:rsidP="00F25595">
      <w:pPr>
        <w:pStyle w:val="ListParagraph"/>
        <w:numPr>
          <w:ilvl w:val="0"/>
          <w:numId w:val="87"/>
        </w:numPr>
        <w:spacing w:after="120" w:line="276" w:lineRule="auto"/>
        <w:ind w:left="567" w:hanging="352"/>
        <w:contextualSpacing w:val="0"/>
        <w:rPr>
          <w14:numForm w14:val="lining"/>
          <w14:numSpacing w14:val="proportional"/>
        </w:rPr>
      </w:pPr>
      <w:r w:rsidRPr="00F54D4C">
        <w:rPr>
          <w14:numForm w14:val="lining"/>
          <w14:numSpacing w14:val="proportional"/>
        </w:rPr>
        <w:t>Potential workers have the requisite general skills but lack the required level of experience or other attributes sought by employers</w:t>
      </w:r>
    </w:p>
    <w:p w14:paraId="04185596" w14:textId="305A5A06" w:rsidR="00CD2B22" w:rsidRPr="00F54D4C" w:rsidRDefault="00CD2B22" w:rsidP="00F25595">
      <w:pPr>
        <w:pStyle w:val="ListParagraph"/>
        <w:numPr>
          <w:ilvl w:val="0"/>
          <w:numId w:val="87"/>
        </w:numPr>
        <w:spacing w:after="120" w:line="276" w:lineRule="auto"/>
        <w:ind w:left="567" w:hanging="352"/>
        <w:contextualSpacing w:val="0"/>
        <w:rPr>
          <w14:numForm w14:val="lining"/>
          <w14:numSpacing w14:val="proportional"/>
        </w:rPr>
      </w:pPr>
      <w:r w:rsidRPr="00F54D4C">
        <w:rPr>
          <w14:numForm w14:val="lining"/>
          <w14:numSpacing w14:val="proportional"/>
        </w:rPr>
        <w:t>There are sufficient workers with the skills, but relative wages and other employment conditions mean that many prefer to work in alternative roles (even ones that do not make full use of their qualifications and skills)</w:t>
      </w:r>
      <w:r w:rsidR="00554678" w:rsidRPr="00F54D4C">
        <w:rPr>
          <w14:numForm w14:val="lining"/>
          <w14:numSpacing w14:val="proportional"/>
        </w:rPr>
        <w:t>.</w:t>
      </w:r>
    </w:p>
    <w:p w14:paraId="15CDFCBB" w14:textId="77777777" w:rsidR="001D5860" w:rsidRPr="00F54D4C" w:rsidRDefault="00CD2B22" w:rsidP="00F54D4C">
      <w:pPr>
        <w:spacing w:after="120" w:line="276" w:lineRule="auto"/>
        <w:rPr>
          <w14:numForm w14:val="lining"/>
          <w14:numSpacing w14:val="proportional"/>
        </w:rPr>
      </w:pPr>
      <w:r w:rsidRPr="00F54D4C">
        <w:rPr>
          <w14:numForm w14:val="lining"/>
          <w14:numSpacing w14:val="proportional"/>
        </w:rPr>
        <w:t>Recent JSA analysis of engineers demonstrates this situation. While employers report they attract sufficient applicants for engineering vacancies with the required qualifications, applicants often lack the amount or type of experience employers want for the role.</w:t>
      </w:r>
      <w:r w:rsidR="00490BA1" w:rsidRPr="00F54D4C">
        <w:rPr>
          <w:rStyle w:val="EndnoteReference"/>
          <w14:numForm w14:val="lining"/>
          <w14:numSpacing w14:val="proportional"/>
        </w:rPr>
        <w:endnoteReference w:id="91"/>
      </w:r>
      <w:r w:rsidRPr="00F54D4C">
        <w:rPr>
          <w14:numForm w14:val="lining"/>
          <w14:numSpacing w14:val="proportional"/>
        </w:rPr>
        <w:t xml:space="preserve"> </w:t>
      </w:r>
    </w:p>
    <w:p w14:paraId="34981B2F" w14:textId="33671CF0" w:rsidR="00CD2B22" w:rsidRPr="00F54D4C" w:rsidRDefault="00CD2B22" w:rsidP="00F54D4C">
      <w:pPr>
        <w:spacing w:after="120" w:line="276" w:lineRule="auto"/>
        <w:rPr>
          <w14:numForm w14:val="lining"/>
          <w14:numSpacing w14:val="proportional"/>
        </w:rPr>
      </w:pPr>
      <w:r w:rsidRPr="00F54D4C">
        <w:rPr>
          <w14:numForm w14:val="lining"/>
          <w14:numSpacing w14:val="proportional"/>
        </w:rPr>
        <w:t>For these reasons, it is very difficult (and likely misleading) to attempt to forecast skill shortages well into the future. The labour supply projections here are a benchmark based on current trends, around which to assess expected demand, and an indicator of where gaps may otherwise emerge.</w:t>
      </w:r>
    </w:p>
    <w:p w14:paraId="6BFAAB24" w14:textId="40127E81" w:rsidR="004D4C6E" w:rsidRPr="00F54D4C" w:rsidRDefault="004D4C6E" w:rsidP="00F54D4C">
      <w:pPr>
        <w:spacing w:line="276" w:lineRule="auto"/>
        <w:rPr>
          <w:rFonts w:ascii="Calibri" w:hAnsi="Calibri"/>
          <w:color w:val="auto"/>
          <w14:numForm w14:val="lining"/>
          <w14:numSpacing w14:val="proportional"/>
        </w:rPr>
      </w:pPr>
      <w:r w:rsidRPr="00F54D4C">
        <w:rPr>
          <w14:numForm w14:val="lining"/>
          <w14:numSpacing w14:val="proportional"/>
        </w:rPr>
        <w:t xml:space="preserve">As well as the quantity of graduate engineers coming into the labour market, particular attention will need to be given to their employability attributes. It will be important for industry and tertiary education providers to work closely together to provide work experience to students and support the development of their employability skills, an issue that is also discussed in </w:t>
      </w:r>
      <w:r w:rsidRPr="00F54D4C">
        <w:rPr>
          <w:b/>
          <w:bCs/>
          <w14:numForm w14:val="lining"/>
          <w14:numSpacing w14:val="proportional"/>
        </w:rPr>
        <w:t>C</w:t>
      </w:r>
      <w:r w:rsidRPr="00F54D4C">
        <w:rPr>
          <w:b/>
          <w14:numForm w14:val="lining"/>
          <w14:numSpacing w14:val="proportional"/>
        </w:rPr>
        <w:t>hapters 4 and 7</w:t>
      </w:r>
      <w:r w:rsidRPr="00F54D4C">
        <w:rPr>
          <w14:numForm w14:val="lining"/>
          <w14:numSpacing w14:val="proportional"/>
        </w:rPr>
        <w:t>.</w:t>
      </w:r>
    </w:p>
    <w:p w14:paraId="49F2715F" w14:textId="1885C08B" w:rsidR="00F5106A" w:rsidRDefault="00F5106A" w:rsidP="00F54D4C">
      <w:pPr>
        <w:spacing w:line="276" w:lineRule="auto"/>
        <w:rPr>
          <w14:numForm w14:val="lining"/>
          <w14:numSpacing w14:val="proportional"/>
        </w:rPr>
      </w:pPr>
    </w:p>
    <w:p w14:paraId="072C4047" w14:textId="3B65C454" w:rsidR="00983B78" w:rsidRPr="00842F7A" w:rsidRDefault="00983B78" w:rsidP="00842F7A">
      <w:pPr>
        <w:rPr>
          <w:b/>
          <w:bCs/>
        </w:rPr>
      </w:pPr>
    </w:p>
    <w:p w14:paraId="587235E5" w14:textId="77777777" w:rsidR="00C175CC" w:rsidRDefault="00C175CC">
      <w:pPr>
        <w:rPr>
          <w:rFonts w:eastAsiaTheme="majorEastAsia" w:cstheme="majorBidi"/>
          <w:b/>
          <w:sz w:val="56"/>
          <w:szCs w:val="26"/>
        </w:rPr>
      </w:pPr>
      <w:bookmarkStart w:id="63" w:name="_Toc146892683"/>
      <w:r>
        <w:br w:type="page"/>
      </w:r>
    </w:p>
    <w:p w14:paraId="1BE7476B" w14:textId="082B008C" w:rsidR="00CD2B22" w:rsidRDefault="00CD2B22" w:rsidP="00A10902">
      <w:pPr>
        <w:pStyle w:val="Heading2"/>
        <w:tabs>
          <w:tab w:val="left" w:pos="6746"/>
        </w:tabs>
      </w:pPr>
      <w:r>
        <w:t>Chapter s</w:t>
      </w:r>
      <w:r w:rsidRPr="00680CF1">
        <w:t>ummary</w:t>
      </w:r>
      <w:bookmarkEnd w:id="63"/>
    </w:p>
    <w:p w14:paraId="572E95E9" w14:textId="1880A79E"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This chapter has explored the workforce implications of three different pathways to reach net zero. With active investment and clear policy direction to ensure all emissions-intensive sectors have the incentives to transition to lower emissions technology, Australia can achieve a higher level of employment and industrial diversity, while still decarbonising the economy. With a higher level of ambition and investment, Australia c</w:t>
      </w:r>
      <w:r w:rsidR="00D05A0C" w:rsidRPr="006927ED">
        <w:rPr>
          <w14:numForm w14:val="lining"/>
          <w14:numSpacing w14:val="proportional"/>
        </w:rPr>
        <w:t>ould</w:t>
      </w:r>
      <w:r w:rsidRPr="006927ED">
        <w:rPr>
          <w14:numForm w14:val="lining"/>
          <w14:numSpacing w14:val="proportional"/>
        </w:rPr>
        <w:t xml:space="preserve"> expand its production of </w:t>
      </w:r>
      <w:r w:rsidR="005A10C6" w:rsidRPr="006927ED">
        <w:rPr>
          <w14:numForm w14:val="lining"/>
          <w14:numSpacing w14:val="proportional"/>
        </w:rPr>
        <w:t>low emissions</w:t>
      </w:r>
      <w:r w:rsidRPr="006927ED">
        <w:rPr>
          <w14:numForm w14:val="lining"/>
          <w14:numSpacing w14:val="proportional"/>
        </w:rPr>
        <w:t xml:space="preserve"> goods to create an export market to replace what we can expect to lose from fossil fuels. </w:t>
      </w:r>
    </w:p>
    <w:p w14:paraId="3139E02A" w14:textId="5F1DE2BB"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 xml:space="preserve">There are clear workforce challenges associated with both the central and </w:t>
      </w:r>
      <w:r w:rsidR="001555D0">
        <w:rPr>
          <w14:numForm w14:val="lining"/>
          <w14:numSpacing w14:val="proportional"/>
        </w:rPr>
        <w:t>high</w:t>
      </w:r>
      <w:r w:rsidRPr="006927ED">
        <w:rPr>
          <w14:numForm w14:val="lining"/>
          <w14:numSpacing w14:val="proportional"/>
        </w:rPr>
        <w:t xml:space="preserve"> scenarios. Indeed, even under the </w:t>
      </w:r>
      <w:r w:rsidR="001555D0">
        <w:rPr>
          <w14:numForm w14:val="lining"/>
          <w14:numSpacing w14:val="proportional"/>
        </w:rPr>
        <w:t>low</w:t>
      </w:r>
      <w:r w:rsidRPr="006927ED">
        <w:rPr>
          <w14:numForm w14:val="lining"/>
          <w14:numSpacing w14:val="proportional"/>
        </w:rPr>
        <w:t xml:space="preserve"> scenario, there are the same challenges in the next ten years as we look to convert our electricity grid to renewable sources.</w:t>
      </w:r>
    </w:p>
    <w:p w14:paraId="145980E7" w14:textId="1890108E"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 xml:space="preserve">These are the strong growth in trades and technical occupations, particularly the occupations that are critical to clean energy such as electricians, metal fitters and machinists, and plant operators. The </w:t>
      </w:r>
      <w:r w:rsidR="001555D0">
        <w:rPr>
          <w14:numForm w14:val="lining"/>
          <w14:numSpacing w14:val="proportional"/>
        </w:rPr>
        <w:t>preliminary modelling</w:t>
      </w:r>
      <w:r w:rsidRPr="006927ED">
        <w:rPr>
          <w14:numForm w14:val="lining"/>
          <w14:numSpacing w14:val="proportional"/>
        </w:rPr>
        <w:t xml:space="preserve"> supply results suggest there may not be sufficient capacity in the training and migration pipelines based on recent trends to meet this demand. </w:t>
      </w:r>
    </w:p>
    <w:p w14:paraId="48B2E8FF" w14:textId="64B51971" w:rsidR="00CD2B22" w:rsidRPr="006927ED" w:rsidRDefault="00CD2B22" w:rsidP="006927ED">
      <w:pPr>
        <w:pStyle w:val="Bodycopy"/>
        <w:spacing w:after="120" w:line="276" w:lineRule="auto"/>
        <w:rPr>
          <w14:numForm w14:val="lining"/>
          <w14:numSpacing w14:val="proportional"/>
        </w:rPr>
      </w:pPr>
      <w:r w:rsidRPr="006927ED">
        <w:rPr>
          <w14:numForm w14:val="lining"/>
          <w14:numSpacing w14:val="proportional"/>
        </w:rPr>
        <w:t xml:space="preserve">Growth in these occupations are likely to be concentrated in regional Australia. There is great opportunity here, as it will continue to provide well paid employment opportunities that might otherwise be lost as global demand for fossil fuels decreases. However, the concentration of growth in trades and technical employment in regional Australia will require an even more substantial uplift in the training infrastructure if local students and workers are going to share in the opportunities. These are issues we further explore in </w:t>
      </w:r>
      <w:r w:rsidRPr="006927ED">
        <w:rPr>
          <w:b/>
          <w:bCs/>
          <w14:numForm w14:val="lining"/>
          <w14:numSpacing w14:val="proportional"/>
        </w:rPr>
        <w:t>Chapter</w:t>
      </w:r>
      <w:r w:rsidR="00CF43BA">
        <w:rPr>
          <w:b/>
          <w:bCs/>
          <w14:numForm w14:val="lining"/>
          <w14:numSpacing w14:val="proportional"/>
        </w:rPr>
        <w:t>s</w:t>
      </w:r>
      <w:r w:rsidRPr="006927ED">
        <w:rPr>
          <w:b/>
          <w:bCs/>
          <w14:numForm w14:val="lining"/>
          <w14:numSpacing w14:val="proportional"/>
        </w:rPr>
        <w:t xml:space="preserve"> 7</w:t>
      </w:r>
      <w:r w:rsidRPr="006927ED">
        <w:rPr>
          <w14:numForm w14:val="lining"/>
          <w14:numSpacing w14:val="proportional"/>
        </w:rPr>
        <w:t xml:space="preserve"> and </w:t>
      </w:r>
      <w:r w:rsidRPr="006927ED">
        <w:rPr>
          <w:b/>
          <w:bCs/>
          <w14:numForm w14:val="lining"/>
          <w14:numSpacing w14:val="proportional"/>
        </w:rPr>
        <w:t>8</w:t>
      </w:r>
      <w:r w:rsidRPr="006927ED">
        <w:rPr>
          <w14:numForm w14:val="lining"/>
          <w14:numSpacing w14:val="proportional"/>
        </w:rPr>
        <w:t>.</w:t>
      </w:r>
    </w:p>
    <w:p w14:paraId="5F68DE39" w14:textId="201A7DF3" w:rsidR="00CD2B22" w:rsidRDefault="00CD2B22" w:rsidP="006927ED">
      <w:pPr>
        <w:spacing w:after="240" w:line="276" w:lineRule="auto"/>
        <w:rPr>
          <w14:numForm w14:val="lining"/>
          <w14:numSpacing w14:val="proportional"/>
        </w:rPr>
      </w:pPr>
      <w:r w:rsidRPr="006927ED">
        <w:rPr>
          <w14:numForm w14:val="lining"/>
          <w14:numSpacing w14:val="proportional"/>
        </w:rPr>
        <w:t>In examining workforce trends over a thirty-year period, there is necessarily a lot of uncertainty. In this chapter, we have looked at the set of broader economic relationships, focusing on the clean energy sectors such as renewable electricity and hydrogen where there is more data available. To better understand the skill gaps as emerging occupations become more established, as well as capturing the impacts as the sectoral plans are finalised, there is merit in repeating such modelling exercises regularly</w:t>
      </w:r>
      <w:r w:rsidR="00371980" w:rsidRPr="006927ED">
        <w:rPr>
          <w14:numForm w14:val="lining"/>
          <w14:numSpacing w14:val="proportional"/>
        </w:rPr>
        <w:t>.</w:t>
      </w:r>
    </w:p>
    <w:p w14:paraId="192597B3" w14:textId="236E0E3B" w:rsidR="006927ED" w:rsidRPr="00C840DE" w:rsidRDefault="006927ED" w:rsidP="006927ED">
      <w:pPr>
        <w:spacing w:before="360" w:after="0" w:line="240" w:lineRule="auto"/>
        <w:ind w:left="170" w:right="113"/>
        <w:rPr>
          <w:b/>
          <w:bCs/>
        </w:rPr>
      </w:pPr>
      <w:r>
        <w:rPr>
          <w:noProof/>
        </w:rPr>
        <mc:AlternateContent>
          <mc:Choice Requires="wpg">
            <w:drawing>
              <wp:anchor distT="0" distB="0" distL="114300" distR="114300" simplePos="0" relativeHeight="251658300" behindDoc="1" locked="0" layoutInCell="1" allowOverlap="1" wp14:anchorId="5B0AEA6D" wp14:editId="0ED9DD15">
                <wp:simplePos x="0" y="0"/>
                <wp:positionH relativeFrom="column">
                  <wp:posOffset>-27709</wp:posOffset>
                </wp:positionH>
                <wp:positionV relativeFrom="paragraph">
                  <wp:posOffset>43295</wp:posOffset>
                </wp:positionV>
                <wp:extent cx="5731510" cy="935174"/>
                <wp:effectExtent l="0" t="0" r="21590" b="17780"/>
                <wp:wrapNone/>
                <wp:docPr id="958068266" name="Group 958068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935174"/>
                          <a:chOff x="0" y="0"/>
                          <a:chExt cx="58807" cy="9609"/>
                        </a:xfrm>
                      </wpg:grpSpPr>
                      <wps:wsp>
                        <wps:cNvPr id="1834522611" name="Rectangle: Top Corners Rounded 147"/>
                        <wps:cNvSpPr>
                          <a:spLocks/>
                        </wps:cNvSpPr>
                        <wps:spPr bwMode="auto">
                          <a:xfrm>
                            <a:off x="0" y="0"/>
                            <a:ext cx="17982" cy="2327"/>
                          </a:xfrm>
                          <a:custGeom>
                            <a:avLst/>
                            <a:gdLst>
                              <a:gd name="T0" fmla="*/ 38799 w 1798231"/>
                              <a:gd name="T1" fmla="*/ 0 h 232791"/>
                              <a:gd name="T2" fmla="*/ 1759432 w 1798231"/>
                              <a:gd name="T3" fmla="*/ 0 h 232791"/>
                              <a:gd name="T4" fmla="*/ 1798231 w 1798231"/>
                              <a:gd name="T5" fmla="*/ 38799 h 232791"/>
                              <a:gd name="T6" fmla="*/ 1798231 w 1798231"/>
                              <a:gd name="T7" fmla="*/ 232791 h 232791"/>
                              <a:gd name="T8" fmla="*/ 1798231 w 1798231"/>
                              <a:gd name="T9" fmla="*/ 232791 h 232791"/>
                              <a:gd name="T10" fmla="*/ 0 w 1798231"/>
                              <a:gd name="T11" fmla="*/ 232791 h 232791"/>
                              <a:gd name="T12" fmla="*/ 0 w 1798231"/>
                              <a:gd name="T13" fmla="*/ 232791 h 232791"/>
                              <a:gd name="T14" fmla="*/ 0 w 1798231"/>
                              <a:gd name="T15" fmla="*/ 38799 h 232791"/>
                              <a:gd name="T16" fmla="*/ 38799 w 1798231"/>
                              <a:gd name="T17" fmla="*/ 0 h 23279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798231"/>
                              <a:gd name="T28" fmla="*/ 0 h 232791"/>
                              <a:gd name="T29" fmla="*/ 1798231 w 1798231"/>
                              <a:gd name="T30" fmla="*/ 232791 h 232791"/>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798231" h="232791">
                                <a:moveTo>
                                  <a:pt x="38799" y="0"/>
                                </a:moveTo>
                                <a:lnTo>
                                  <a:pt x="1759432" y="0"/>
                                </a:lnTo>
                                <a:cubicBezTo>
                                  <a:pt x="1780860" y="0"/>
                                  <a:pt x="1798231" y="17371"/>
                                  <a:pt x="1798231" y="38799"/>
                                </a:cubicBezTo>
                                <a:lnTo>
                                  <a:pt x="1798231" y="232791"/>
                                </a:lnTo>
                                <a:lnTo>
                                  <a:pt x="0" y="232791"/>
                                </a:lnTo>
                                <a:lnTo>
                                  <a:pt x="0" y="38799"/>
                                </a:lnTo>
                                <a:cubicBezTo>
                                  <a:pt x="0" y="17371"/>
                                  <a:pt x="17371" y="0"/>
                                  <a:pt x="38799" y="0"/>
                                </a:cubicBezTo>
                                <a:close/>
                              </a:path>
                            </a:pathLst>
                          </a:custGeom>
                          <a:solidFill>
                            <a:srgbClr val="FEDBDD"/>
                          </a:solidFill>
                          <a:ln w="12700">
                            <a:solidFill>
                              <a:srgbClr val="FEDBDD"/>
                            </a:solidFill>
                            <a:miter lim="800000"/>
                            <a:headEnd/>
                            <a:tailEnd/>
                          </a:ln>
                        </wps:spPr>
                        <wps:txbx>
                          <w:txbxContent>
                            <w:p w14:paraId="6B1BB7EB" w14:textId="4A91E2D4" w:rsidR="002C36C0" w:rsidRPr="00C840DE" w:rsidRDefault="002C36C0" w:rsidP="002C36C0">
                              <w:pPr>
                                <w:spacing w:after="0" w:line="240" w:lineRule="auto"/>
                                <w:rPr>
                                  <w:b/>
                                  <w:bCs/>
                                </w:rPr>
                              </w:pPr>
                            </w:p>
                          </w:txbxContent>
                        </wps:txbx>
                        <wps:bodyPr rot="0" vert="horz" wrap="square" lIns="91440" tIns="0" rIns="91440" bIns="0" anchor="ctr" anchorCtr="0" upright="1">
                          <a:noAutofit/>
                        </wps:bodyPr>
                      </wps:wsp>
                      <wps:wsp>
                        <wps:cNvPr id="1713797801" name="Rectangle 148"/>
                        <wps:cNvSpPr>
                          <a:spLocks noChangeArrowheads="1"/>
                        </wps:cNvSpPr>
                        <wps:spPr bwMode="auto">
                          <a:xfrm>
                            <a:off x="0" y="2300"/>
                            <a:ext cx="58807" cy="7309"/>
                          </a:xfrm>
                          <a:prstGeom prst="rect">
                            <a:avLst/>
                          </a:prstGeom>
                          <a:solidFill>
                            <a:srgbClr val="F2F2F2"/>
                          </a:solidFill>
                          <a:ln w="12700">
                            <a:solidFill>
                              <a:srgbClr val="FEDBDD"/>
                            </a:solidFill>
                            <a:miter lim="800000"/>
                            <a:headEnd/>
                            <a:tailEnd/>
                          </a:ln>
                        </wps:spPr>
                        <wps:txbx>
                          <w:txbxContent>
                            <w:p w14:paraId="216B938E" w14:textId="7E58A3CA" w:rsidR="002C36C0" w:rsidRPr="00C840DE" w:rsidRDefault="002C36C0" w:rsidP="002C36C0">
                              <w:pPr>
                                <w:spacing w:after="0" w:line="240" w:lineRule="auto"/>
                                <w:rPr>
                                  <w:rFonts w:eastAsia="Calibri" w:cs="Times New Roman"/>
                                  <w:color w:val="000000"/>
                                </w:rPr>
                              </w:pPr>
                            </w:p>
                          </w:txbxContent>
                        </wps:txbx>
                        <wps:bodyPr rot="0" vert="horz" wrap="square" lIns="72000" tIns="36000" rIns="72000" bIns="360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AEA6D" id="Group 958068266" o:spid="_x0000_s1112" alt="&quot;&quot;" style="position:absolute;left:0;text-align:left;margin-left:-2.2pt;margin-top:3.4pt;width:451.3pt;height:73.65pt;z-index:-251658180" coordsize="58807,9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">
                <v:shape id="Rectangle: Top Corners Rounded 147" o:spid="_x0000_s1113" style="position:absolute;width:17982;height:2327;visibility:visible;mso-wrap-style:square;v-text-anchor:middle" coordsize="1798231,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" adj="-11796480,,5400" path="m38799,l1759432,v21428,,38799,17371,38799,38799l1798231,232791,,232791,,38799c,17371,17371,,38799,xe" fillcolor="#fedbdd" strokecolor="#fedbdd" strokeweight="1pt">
                  <v:stroke joinstyle="miter"/>
                  <v:formulas/>
                  <v:path arrowok="t" o:connecttype="custom" o:connectlocs="388,0;17594,0;17982,388;17982,2327;17982,2327;0,2327;0,2327;0,388;388,0" o:connectangles="0,0,0,0,0,0,0,0,0" textboxrect="0,0,1798231,232791"/>
                  <v:textbox inset=",0,,0">
                    <w:txbxContent>
                      <w:p w14:paraId="6B1BB7EB" w14:textId="4A91E2D4" w:rsidR="002C36C0" w:rsidRPr="00C840DE" w:rsidRDefault="002C36C0" w:rsidP="002C36C0">
                        <w:pPr>
                          <w:spacing w:after="0" w:line="240" w:lineRule="auto"/>
                          <w:rPr>
                            <w:b/>
                            <w:bCs/>
                          </w:rPr>
                        </w:pPr>
                      </w:p>
                    </w:txbxContent>
                  </v:textbox>
                </v:shape>
                <v:rect id="Rectangle 148" o:spid="_x0000_s1114" style="position:absolute;top:2300;width:58807;height:7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" fillcolor="#f2f2f2" strokecolor="#fedbdd" strokeweight="1pt">
                  <v:textbox inset="2mm,1mm,2mm,1mm">
                    <w:txbxContent>
                      <w:p w14:paraId="216B938E" w14:textId="7E58A3CA" w:rsidR="002C36C0" w:rsidRPr="00C840DE" w:rsidRDefault="002C36C0" w:rsidP="002C36C0">
                        <w:pPr>
                          <w:spacing w:after="0" w:line="240" w:lineRule="auto"/>
                          <w:rPr>
                            <w:rFonts w:eastAsia="Calibri" w:cs="Times New Roman"/>
                            <w:color w:val="000000"/>
                          </w:rPr>
                        </w:pPr>
                      </w:p>
                    </w:txbxContent>
                  </v:textbox>
                </v:rect>
              </v:group>
            </w:pict>
          </mc:Fallback>
        </mc:AlternateContent>
      </w:r>
      <w:r w:rsidRPr="00C840DE">
        <w:rPr>
          <w:b/>
          <w:bCs/>
        </w:rPr>
        <w:t>Recommendation 5.1</w:t>
      </w:r>
    </w:p>
    <w:p w14:paraId="29908461" w14:textId="4B49611D" w:rsidR="006927ED" w:rsidRPr="00C840DE" w:rsidRDefault="006927ED" w:rsidP="006927ED">
      <w:pPr>
        <w:spacing w:before="200" w:after="0" w:line="240" w:lineRule="auto"/>
        <w:ind w:left="170" w:right="113"/>
        <w:rPr>
          <w:rFonts w:eastAsia="Calibri" w:cs="Times New Roman"/>
          <w:color w:val="000000"/>
        </w:rPr>
      </w:pPr>
      <w:r>
        <w:t>The Australian Government could sponsor regular modelling exercises to update the potential employment impacts of the transition to net zero so that further policy work can be incorporated into the results, particularly the sectoral plans under development.</w:t>
      </w:r>
    </w:p>
    <w:p w14:paraId="0779FA84" w14:textId="77777777" w:rsidR="00CD2B22" w:rsidRDefault="00CD2B22" w:rsidP="00CD2B22">
      <w:pPr>
        <w:pStyle w:val="Bodycopy"/>
      </w:pPr>
    </w:p>
    <w:p w14:paraId="6D8C3BBF" w14:textId="77777777" w:rsidR="00CD2B22" w:rsidRDefault="00CD2B22" w:rsidP="00CD2B22">
      <w:pPr>
        <w:pStyle w:val="Bodycopy"/>
        <w:sectPr w:rsidR="00CD2B22" w:rsidSect="00700BC9">
          <w:endnotePr>
            <w:numFmt w:val="decimal"/>
          </w:endnotePr>
          <w:type w:val="continuous"/>
          <w:pgSz w:w="11906" w:h="16838"/>
          <w:pgMar w:top="1440" w:right="1440" w:bottom="1440" w:left="1440" w:header="0" w:footer="708" w:gutter="0"/>
          <w:cols w:space="708"/>
          <w:titlePg/>
          <w:docGrid w:linePitch="360"/>
        </w:sectPr>
      </w:pPr>
    </w:p>
    <w:p w14:paraId="37DCFC26" w14:textId="77777777" w:rsidR="00CD2B22" w:rsidRPr="00EB70B6" w:rsidRDefault="00CD2B22" w:rsidP="00EB70B6">
      <w:pPr>
        <w:spacing w:after="0" w:line="240" w:lineRule="atLeast"/>
        <w:ind w:right="-501"/>
        <w:jc w:val="right"/>
        <w:rPr>
          <w:rFonts w:asciiTheme="minorHAnsi" w:eastAsia="SimSun" w:hAnsiTheme="minorHAnsi"/>
          <w:b/>
          <w:bCs/>
          <w:sz w:val="24"/>
          <w:szCs w:val="24"/>
          <w:lang w:eastAsia="en-GB"/>
        </w:rPr>
      </w:pPr>
      <w:r w:rsidRPr="00EB70B6">
        <w:rPr>
          <w:rFonts w:asciiTheme="minorHAnsi" w:eastAsia="SimSun" w:hAnsiTheme="minorHAnsi"/>
          <w:b/>
          <w:bCs/>
          <w:sz w:val="24"/>
          <w:szCs w:val="24"/>
          <w:lang w:eastAsia="en-GB"/>
        </w:rPr>
        <w:t>Appendix 5A – Definition of Regions</w:t>
      </w:r>
    </w:p>
    <w:tbl>
      <w:tblPr>
        <w:tblStyle w:val="TableGrid"/>
        <w:tblW w:w="15305" w:type="dxa"/>
        <w:tblInd w:w="-71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04"/>
        <w:gridCol w:w="1287"/>
        <w:gridCol w:w="974"/>
        <w:gridCol w:w="7938"/>
        <w:gridCol w:w="1842"/>
        <w:gridCol w:w="1560"/>
      </w:tblGrid>
      <w:tr w:rsidR="007E482B" w:rsidRPr="002F2944" w14:paraId="06F27224" w14:textId="77777777" w:rsidTr="003464E0">
        <w:trPr>
          <w:trHeight w:val="57"/>
        </w:trPr>
        <w:tc>
          <w:tcPr>
            <w:tcW w:w="1704" w:type="dxa"/>
            <w:shd w:val="clear" w:color="auto" w:fill="FEDBDD"/>
            <w:noWrap/>
            <w:hideMark/>
          </w:tcPr>
          <w:p w14:paraId="36D9C88E"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Database Regions</w:t>
            </w:r>
          </w:p>
        </w:tc>
        <w:tc>
          <w:tcPr>
            <w:tcW w:w="1287" w:type="dxa"/>
            <w:shd w:val="clear" w:color="auto" w:fill="FEDBDD"/>
            <w:noWrap/>
            <w:hideMark/>
          </w:tcPr>
          <w:p w14:paraId="5BEFCAD9"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Code</w:t>
            </w:r>
          </w:p>
        </w:tc>
        <w:tc>
          <w:tcPr>
            <w:tcW w:w="974" w:type="dxa"/>
            <w:shd w:val="clear" w:color="auto" w:fill="FEDBDD"/>
            <w:noWrap/>
            <w:hideMark/>
          </w:tcPr>
          <w:p w14:paraId="1945C9D1"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State</w:t>
            </w:r>
          </w:p>
        </w:tc>
        <w:tc>
          <w:tcPr>
            <w:tcW w:w="7938" w:type="dxa"/>
            <w:shd w:val="clear" w:color="auto" w:fill="FEDBDD"/>
            <w:hideMark/>
          </w:tcPr>
          <w:p w14:paraId="255C0861"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SA4 Name</w:t>
            </w:r>
          </w:p>
        </w:tc>
        <w:tc>
          <w:tcPr>
            <w:tcW w:w="1842" w:type="dxa"/>
            <w:shd w:val="clear" w:color="auto" w:fill="FEDBDD"/>
            <w:noWrap/>
            <w:hideMark/>
          </w:tcPr>
          <w:p w14:paraId="56BA4695"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Renewable Energy Zone</w:t>
            </w:r>
          </w:p>
        </w:tc>
        <w:tc>
          <w:tcPr>
            <w:tcW w:w="1560" w:type="dxa"/>
            <w:shd w:val="clear" w:color="auto" w:fill="FEDBDD"/>
            <w:hideMark/>
          </w:tcPr>
          <w:p w14:paraId="433297B2" w14:textId="77777777" w:rsidR="00CF1F9C" w:rsidRPr="003464E0" w:rsidRDefault="00CF1F9C" w:rsidP="009F6AF5">
            <w:pPr>
              <w:pStyle w:val="NoSpacing"/>
              <w:rPr>
                <w:rFonts w:ascii="Arial" w:hAnsi="Arial" w:cs="Arial"/>
                <w:b/>
                <w:bCs/>
                <w:color w:val="000000" w:themeColor="text1"/>
                <w:sz w:val="20"/>
                <w:szCs w:val="20"/>
              </w:rPr>
            </w:pPr>
            <w:r w:rsidRPr="003464E0">
              <w:rPr>
                <w:rFonts w:ascii="Arial" w:hAnsi="Arial" w:cs="Arial"/>
                <w:b/>
                <w:bCs/>
                <w:color w:val="000000" w:themeColor="text1"/>
                <w:sz w:val="20"/>
                <w:szCs w:val="20"/>
              </w:rPr>
              <w:t xml:space="preserve">Total Employment </w:t>
            </w:r>
          </w:p>
        </w:tc>
      </w:tr>
      <w:tr w:rsidR="00D907A0" w:rsidRPr="002F2944" w14:paraId="3900F0EB" w14:textId="77777777" w:rsidTr="00EB70B6">
        <w:trPr>
          <w:trHeight w:val="1094"/>
        </w:trPr>
        <w:tc>
          <w:tcPr>
            <w:tcW w:w="1704" w:type="dxa"/>
            <w:hideMark/>
          </w:tcPr>
          <w:p w14:paraId="1E1186D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Sydney</w:t>
            </w:r>
          </w:p>
        </w:tc>
        <w:tc>
          <w:tcPr>
            <w:tcW w:w="1287" w:type="dxa"/>
            <w:hideMark/>
          </w:tcPr>
          <w:p w14:paraId="216E2BE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SYD</w:t>
            </w:r>
          </w:p>
        </w:tc>
        <w:tc>
          <w:tcPr>
            <w:tcW w:w="974" w:type="dxa"/>
            <w:hideMark/>
          </w:tcPr>
          <w:p w14:paraId="1A967823" w14:textId="1B8C6A41"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NSW</w:t>
            </w:r>
          </w:p>
        </w:tc>
        <w:tc>
          <w:tcPr>
            <w:tcW w:w="7938" w:type="dxa"/>
            <w:hideMark/>
          </w:tcPr>
          <w:p w14:paraId="198B93E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Coast, Sydney - Baulkham Hills and Hawkesbury, Sydney - Blacktown, Sydney - City and Inner South, Sydney - Eastern Suburbs, Sydney - Inner South West, Sydney - Inner West, Sydney - North Sydney and Hornsby, Sydney - Northern Beaches, Sydney - Outer South West, Sydney - Outer West and Blue Mountains, Sydney - Parramatta, Sydney - Ryde, Sydney - South West, Sydney - Sutherland</w:t>
            </w:r>
          </w:p>
        </w:tc>
        <w:tc>
          <w:tcPr>
            <w:tcW w:w="1842" w:type="dxa"/>
            <w:hideMark/>
          </w:tcPr>
          <w:p w14:paraId="1AB6FAA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78BB0021"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2,310,013</w:t>
            </w:r>
          </w:p>
        </w:tc>
      </w:tr>
      <w:tr w:rsidR="00D907A0" w:rsidRPr="002F2944" w14:paraId="4AA1DDC7" w14:textId="77777777" w:rsidTr="00EB70B6">
        <w:trPr>
          <w:trHeight w:val="437"/>
        </w:trPr>
        <w:tc>
          <w:tcPr>
            <w:tcW w:w="1704" w:type="dxa"/>
            <w:hideMark/>
          </w:tcPr>
          <w:p w14:paraId="742735D1"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Southern New South Wales</w:t>
            </w:r>
          </w:p>
        </w:tc>
        <w:tc>
          <w:tcPr>
            <w:tcW w:w="1287" w:type="dxa"/>
            <w:hideMark/>
          </w:tcPr>
          <w:p w14:paraId="1F4899F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 NSW</w:t>
            </w:r>
          </w:p>
        </w:tc>
        <w:tc>
          <w:tcPr>
            <w:tcW w:w="974" w:type="dxa"/>
            <w:hideMark/>
          </w:tcPr>
          <w:p w14:paraId="3F46BF0B" w14:textId="75C65233"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NSW</w:t>
            </w:r>
          </w:p>
        </w:tc>
        <w:tc>
          <w:tcPr>
            <w:tcW w:w="7938" w:type="dxa"/>
            <w:hideMark/>
          </w:tcPr>
          <w:p w14:paraId="181BD29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Capital Region, Illawarra, Murray, Riverina, Southern Highlands and Shoalhaven, ACT</w:t>
            </w:r>
          </w:p>
        </w:tc>
        <w:tc>
          <w:tcPr>
            <w:tcW w:w="1842" w:type="dxa"/>
            <w:hideMark/>
          </w:tcPr>
          <w:p w14:paraId="7E6A3979"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 West REZ, Illawarra REZ</w:t>
            </w:r>
          </w:p>
        </w:tc>
        <w:tc>
          <w:tcPr>
            <w:tcW w:w="1560" w:type="dxa"/>
            <w:hideMark/>
          </w:tcPr>
          <w:p w14:paraId="4C2BE29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678,277</w:t>
            </w:r>
          </w:p>
        </w:tc>
      </w:tr>
      <w:tr w:rsidR="00D907A0" w:rsidRPr="002F2944" w14:paraId="26F3C405" w14:textId="77777777" w:rsidTr="00EB70B6">
        <w:trPr>
          <w:trHeight w:val="564"/>
        </w:trPr>
        <w:tc>
          <w:tcPr>
            <w:tcW w:w="1704" w:type="dxa"/>
            <w:hideMark/>
          </w:tcPr>
          <w:p w14:paraId="3EC60A5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Northern New South Wales</w:t>
            </w:r>
          </w:p>
        </w:tc>
        <w:tc>
          <w:tcPr>
            <w:tcW w:w="1287" w:type="dxa"/>
            <w:hideMark/>
          </w:tcPr>
          <w:p w14:paraId="4E87666C"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 NSW</w:t>
            </w:r>
          </w:p>
        </w:tc>
        <w:tc>
          <w:tcPr>
            <w:tcW w:w="974" w:type="dxa"/>
            <w:hideMark/>
          </w:tcPr>
          <w:p w14:paraId="3B712DA1" w14:textId="23118116"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NSW</w:t>
            </w:r>
          </w:p>
        </w:tc>
        <w:tc>
          <w:tcPr>
            <w:tcW w:w="7938" w:type="dxa"/>
            <w:hideMark/>
          </w:tcPr>
          <w:p w14:paraId="7FF03EA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West, Coffs Harbour - Grafton, Far West and Orana, Mid North Coast, New England and North West, Newcastle and Lake Macquarie, Richmond - Tweed</w:t>
            </w:r>
          </w:p>
        </w:tc>
        <w:tc>
          <w:tcPr>
            <w:tcW w:w="1842" w:type="dxa"/>
            <w:hideMark/>
          </w:tcPr>
          <w:p w14:paraId="3EA032E2"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Hunter-Central Coast REZ, New England REZ, Central West REZ</w:t>
            </w:r>
          </w:p>
        </w:tc>
        <w:tc>
          <w:tcPr>
            <w:tcW w:w="1560" w:type="dxa"/>
            <w:hideMark/>
          </w:tcPr>
          <w:p w14:paraId="22CCD42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766,687</w:t>
            </w:r>
          </w:p>
        </w:tc>
      </w:tr>
      <w:tr w:rsidR="00D907A0" w:rsidRPr="002F2944" w14:paraId="688C0A30" w14:textId="77777777" w:rsidTr="00EB70B6">
        <w:trPr>
          <w:trHeight w:val="316"/>
        </w:trPr>
        <w:tc>
          <w:tcPr>
            <w:tcW w:w="1704" w:type="dxa"/>
            <w:hideMark/>
          </w:tcPr>
          <w:p w14:paraId="70B3C43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Eastern Victoria</w:t>
            </w:r>
          </w:p>
        </w:tc>
        <w:tc>
          <w:tcPr>
            <w:tcW w:w="1287" w:type="dxa"/>
            <w:hideMark/>
          </w:tcPr>
          <w:p w14:paraId="3B7B480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East VIC</w:t>
            </w:r>
          </w:p>
        </w:tc>
        <w:tc>
          <w:tcPr>
            <w:tcW w:w="974" w:type="dxa"/>
            <w:hideMark/>
          </w:tcPr>
          <w:p w14:paraId="0385EF8F" w14:textId="6D6E0A46"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VIC</w:t>
            </w:r>
          </w:p>
        </w:tc>
        <w:tc>
          <w:tcPr>
            <w:tcW w:w="7938" w:type="dxa"/>
            <w:noWrap/>
            <w:hideMark/>
          </w:tcPr>
          <w:p w14:paraId="4444065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Latrobe – Gippsland, Hume, Shepparton</w:t>
            </w:r>
          </w:p>
        </w:tc>
        <w:tc>
          <w:tcPr>
            <w:tcW w:w="1842" w:type="dxa"/>
            <w:hideMark/>
          </w:tcPr>
          <w:p w14:paraId="00B3CC5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Gippsland REZ, Ovens Murray REZ, Central North REZ</w:t>
            </w:r>
          </w:p>
        </w:tc>
        <w:tc>
          <w:tcPr>
            <w:tcW w:w="1560" w:type="dxa"/>
            <w:hideMark/>
          </w:tcPr>
          <w:p w14:paraId="0CB3CB5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262,276</w:t>
            </w:r>
          </w:p>
        </w:tc>
      </w:tr>
      <w:tr w:rsidR="00D907A0" w:rsidRPr="002F2944" w14:paraId="0779050D" w14:textId="77777777" w:rsidTr="00EB70B6">
        <w:trPr>
          <w:trHeight w:val="572"/>
        </w:trPr>
        <w:tc>
          <w:tcPr>
            <w:tcW w:w="1704" w:type="dxa"/>
            <w:hideMark/>
          </w:tcPr>
          <w:p w14:paraId="5F6FD36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Melbourne</w:t>
            </w:r>
          </w:p>
        </w:tc>
        <w:tc>
          <w:tcPr>
            <w:tcW w:w="1287" w:type="dxa"/>
            <w:hideMark/>
          </w:tcPr>
          <w:p w14:paraId="600CFCA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MEL</w:t>
            </w:r>
          </w:p>
        </w:tc>
        <w:tc>
          <w:tcPr>
            <w:tcW w:w="974" w:type="dxa"/>
            <w:hideMark/>
          </w:tcPr>
          <w:p w14:paraId="6D45EA16" w14:textId="6C3F68AA"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VIC</w:t>
            </w:r>
          </w:p>
        </w:tc>
        <w:tc>
          <w:tcPr>
            <w:tcW w:w="7938" w:type="dxa"/>
            <w:hideMark/>
          </w:tcPr>
          <w:p w14:paraId="2E32302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Melbourne - Inner, Melbourne - Inner East, Melbourne - Inner South, Melbourne - North East, Melbourne - North West, Melbourne - Outer East, Melbourne - South East, Melbourne - West, Mornington Peninsula</w:t>
            </w:r>
          </w:p>
        </w:tc>
        <w:tc>
          <w:tcPr>
            <w:tcW w:w="1842" w:type="dxa"/>
            <w:hideMark/>
          </w:tcPr>
          <w:p w14:paraId="566DF9D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5416BDB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2,327,525</w:t>
            </w:r>
          </w:p>
        </w:tc>
      </w:tr>
      <w:tr w:rsidR="00D907A0" w:rsidRPr="002F2944" w14:paraId="1B7800D6" w14:textId="77777777" w:rsidTr="00EB70B6">
        <w:trPr>
          <w:trHeight w:val="645"/>
        </w:trPr>
        <w:tc>
          <w:tcPr>
            <w:tcW w:w="1704" w:type="dxa"/>
            <w:hideMark/>
          </w:tcPr>
          <w:p w14:paraId="48C388F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Western Victoria</w:t>
            </w:r>
          </w:p>
        </w:tc>
        <w:tc>
          <w:tcPr>
            <w:tcW w:w="1287" w:type="dxa"/>
            <w:hideMark/>
          </w:tcPr>
          <w:p w14:paraId="1069F28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West VIC</w:t>
            </w:r>
          </w:p>
        </w:tc>
        <w:tc>
          <w:tcPr>
            <w:tcW w:w="974" w:type="dxa"/>
            <w:hideMark/>
          </w:tcPr>
          <w:p w14:paraId="4B8AD301" w14:textId="0C605028"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VIC</w:t>
            </w:r>
          </w:p>
        </w:tc>
        <w:tc>
          <w:tcPr>
            <w:tcW w:w="7938" w:type="dxa"/>
            <w:hideMark/>
          </w:tcPr>
          <w:p w14:paraId="27CDA7A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Ballarat, Bendigo, Geelong, North West, Warrnambool and South West</w:t>
            </w:r>
          </w:p>
        </w:tc>
        <w:tc>
          <w:tcPr>
            <w:tcW w:w="1842" w:type="dxa"/>
            <w:hideMark/>
          </w:tcPr>
          <w:p w14:paraId="17A586C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Geelong Warnambul and Murray River REZ, Western Victoria REZ, Southern West REZ</w:t>
            </w:r>
          </w:p>
        </w:tc>
        <w:tc>
          <w:tcPr>
            <w:tcW w:w="1560" w:type="dxa"/>
            <w:hideMark/>
          </w:tcPr>
          <w:p w14:paraId="4430B40C"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425,397</w:t>
            </w:r>
          </w:p>
        </w:tc>
      </w:tr>
      <w:tr w:rsidR="00D907A0" w:rsidRPr="002F2944" w14:paraId="43C75134" w14:textId="77777777" w:rsidTr="00EB70B6">
        <w:trPr>
          <w:trHeight w:val="740"/>
        </w:trPr>
        <w:tc>
          <w:tcPr>
            <w:tcW w:w="1704" w:type="dxa"/>
            <w:hideMark/>
          </w:tcPr>
          <w:p w14:paraId="65C4C85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 Eastern Queensland</w:t>
            </w:r>
          </w:p>
        </w:tc>
        <w:tc>
          <w:tcPr>
            <w:tcW w:w="1287" w:type="dxa"/>
            <w:hideMark/>
          </w:tcPr>
          <w:p w14:paraId="4947819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SEQ</w:t>
            </w:r>
          </w:p>
        </w:tc>
        <w:tc>
          <w:tcPr>
            <w:tcW w:w="974" w:type="dxa"/>
            <w:hideMark/>
          </w:tcPr>
          <w:p w14:paraId="57431D40" w14:textId="1A9A4D83"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QLD</w:t>
            </w:r>
          </w:p>
        </w:tc>
        <w:tc>
          <w:tcPr>
            <w:tcW w:w="7938" w:type="dxa"/>
            <w:hideMark/>
          </w:tcPr>
          <w:p w14:paraId="44C5FE3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Brisbane - East, Brisbane - North, Brisbane - South, Brisbane - West, Brisbane Inner City, Darling Downs - Maranoa, Gold Coast, Ipswich, Logan - Beaudesert, Moreton Bay - North, Moreton Bay - South, Sunshine Coast, Toowoomba</w:t>
            </w:r>
          </w:p>
        </w:tc>
        <w:tc>
          <w:tcPr>
            <w:tcW w:w="1842" w:type="dxa"/>
            <w:hideMark/>
          </w:tcPr>
          <w:p w14:paraId="7AB62EE9"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Southern REZ</w:t>
            </w:r>
          </w:p>
        </w:tc>
        <w:tc>
          <w:tcPr>
            <w:tcW w:w="1560" w:type="dxa"/>
            <w:hideMark/>
          </w:tcPr>
          <w:p w14:paraId="3A32A3EB"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1,788,185</w:t>
            </w:r>
          </w:p>
        </w:tc>
      </w:tr>
      <w:tr w:rsidR="00D907A0" w:rsidRPr="002F2944" w14:paraId="47341C5F" w14:textId="77777777" w:rsidTr="00EB70B6">
        <w:trPr>
          <w:trHeight w:val="437"/>
        </w:trPr>
        <w:tc>
          <w:tcPr>
            <w:tcW w:w="1704" w:type="dxa"/>
            <w:hideMark/>
          </w:tcPr>
          <w:p w14:paraId="508301C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 and Far North Queensland</w:t>
            </w:r>
          </w:p>
        </w:tc>
        <w:tc>
          <w:tcPr>
            <w:tcW w:w="1287" w:type="dxa"/>
            <w:hideMark/>
          </w:tcPr>
          <w:p w14:paraId="4CE7C02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 QLD</w:t>
            </w:r>
          </w:p>
        </w:tc>
        <w:tc>
          <w:tcPr>
            <w:tcW w:w="974" w:type="dxa"/>
            <w:hideMark/>
          </w:tcPr>
          <w:p w14:paraId="71C36CFC" w14:textId="223053B9"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QLD</w:t>
            </w:r>
          </w:p>
        </w:tc>
        <w:tc>
          <w:tcPr>
            <w:tcW w:w="7938" w:type="dxa"/>
            <w:hideMark/>
          </w:tcPr>
          <w:p w14:paraId="7138F11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Cairns, Mackay - Isaac - Whitsunday, Townsville, Queensland - Outback</w:t>
            </w:r>
          </w:p>
        </w:tc>
        <w:tc>
          <w:tcPr>
            <w:tcW w:w="1842" w:type="dxa"/>
            <w:hideMark/>
          </w:tcPr>
          <w:p w14:paraId="3084D3D9"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Northern REZ</w:t>
            </w:r>
          </w:p>
        </w:tc>
        <w:tc>
          <w:tcPr>
            <w:tcW w:w="1560" w:type="dxa"/>
            <w:hideMark/>
          </w:tcPr>
          <w:p w14:paraId="72BFE7F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334,695</w:t>
            </w:r>
          </w:p>
        </w:tc>
      </w:tr>
      <w:tr w:rsidR="00D907A0" w:rsidRPr="002F2944" w14:paraId="30D97DF7" w14:textId="77777777" w:rsidTr="00EB70B6">
        <w:trPr>
          <w:trHeight w:val="218"/>
        </w:trPr>
        <w:tc>
          <w:tcPr>
            <w:tcW w:w="1704" w:type="dxa"/>
            <w:hideMark/>
          </w:tcPr>
          <w:p w14:paraId="3531305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Queensland</w:t>
            </w:r>
          </w:p>
        </w:tc>
        <w:tc>
          <w:tcPr>
            <w:tcW w:w="1287" w:type="dxa"/>
            <w:hideMark/>
          </w:tcPr>
          <w:p w14:paraId="3B19676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QLD</w:t>
            </w:r>
          </w:p>
        </w:tc>
        <w:tc>
          <w:tcPr>
            <w:tcW w:w="974" w:type="dxa"/>
            <w:hideMark/>
          </w:tcPr>
          <w:p w14:paraId="58A0D1C7" w14:textId="10CD570A"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QLD</w:t>
            </w:r>
          </w:p>
        </w:tc>
        <w:tc>
          <w:tcPr>
            <w:tcW w:w="7938" w:type="dxa"/>
            <w:noWrap/>
            <w:hideMark/>
          </w:tcPr>
          <w:p w14:paraId="2C9CA6B2"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Queensland, Wide Bay</w:t>
            </w:r>
          </w:p>
        </w:tc>
        <w:tc>
          <w:tcPr>
            <w:tcW w:w="1842" w:type="dxa"/>
            <w:hideMark/>
          </w:tcPr>
          <w:p w14:paraId="10B3C79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Central REZ</w:t>
            </w:r>
          </w:p>
        </w:tc>
        <w:tc>
          <w:tcPr>
            <w:tcW w:w="1560" w:type="dxa"/>
            <w:hideMark/>
          </w:tcPr>
          <w:p w14:paraId="5BFDC0C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208,369</w:t>
            </w:r>
          </w:p>
        </w:tc>
      </w:tr>
      <w:tr w:rsidR="00D907A0" w:rsidRPr="002F2944" w14:paraId="2E0097A8" w14:textId="77777777" w:rsidTr="00EB70B6">
        <w:trPr>
          <w:trHeight w:val="437"/>
        </w:trPr>
        <w:tc>
          <w:tcPr>
            <w:tcW w:w="1704" w:type="dxa"/>
            <w:hideMark/>
          </w:tcPr>
          <w:p w14:paraId="22C2473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Adelaide</w:t>
            </w:r>
          </w:p>
        </w:tc>
        <w:tc>
          <w:tcPr>
            <w:tcW w:w="1287" w:type="dxa"/>
            <w:hideMark/>
          </w:tcPr>
          <w:p w14:paraId="1233FF8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ADL</w:t>
            </w:r>
          </w:p>
        </w:tc>
        <w:tc>
          <w:tcPr>
            <w:tcW w:w="974" w:type="dxa"/>
            <w:hideMark/>
          </w:tcPr>
          <w:p w14:paraId="6FDF7885" w14:textId="4C232892"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SA</w:t>
            </w:r>
          </w:p>
        </w:tc>
        <w:tc>
          <w:tcPr>
            <w:tcW w:w="7938" w:type="dxa"/>
            <w:hideMark/>
          </w:tcPr>
          <w:p w14:paraId="6B1F7E4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Adelaide - Central and Hills, Adelaide - North, Adelaide - South, Adelaide - West</w:t>
            </w:r>
          </w:p>
        </w:tc>
        <w:tc>
          <w:tcPr>
            <w:tcW w:w="1842" w:type="dxa"/>
            <w:hideMark/>
          </w:tcPr>
          <w:p w14:paraId="323C3C4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4BE1BC4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649,031</w:t>
            </w:r>
          </w:p>
        </w:tc>
      </w:tr>
      <w:tr w:rsidR="00D907A0" w:rsidRPr="002F2944" w14:paraId="0F6509DC" w14:textId="77777777" w:rsidTr="00EB70B6">
        <w:trPr>
          <w:trHeight w:val="437"/>
        </w:trPr>
        <w:tc>
          <w:tcPr>
            <w:tcW w:w="1704" w:type="dxa"/>
            <w:hideMark/>
          </w:tcPr>
          <w:p w14:paraId="67C6D3C8" w14:textId="4409DD36"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Rest of </w:t>
            </w:r>
            <w:r w:rsidR="00D907A0">
              <w:rPr>
                <w:rFonts w:asciiTheme="majorHAnsi" w:hAnsiTheme="majorHAnsi" w:cstheme="majorHAnsi"/>
                <w:sz w:val="18"/>
                <w:szCs w:val="18"/>
              </w:rPr>
              <w:t>SA</w:t>
            </w:r>
          </w:p>
        </w:tc>
        <w:tc>
          <w:tcPr>
            <w:tcW w:w="1287" w:type="dxa"/>
            <w:hideMark/>
          </w:tcPr>
          <w:p w14:paraId="51B791FF"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Rest of SA</w:t>
            </w:r>
          </w:p>
        </w:tc>
        <w:tc>
          <w:tcPr>
            <w:tcW w:w="974" w:type="dxa"/>
            <w:hideMark/>
          </w:tcPr>
          <w:p w14:paraId="0A68C486" w14:textId="0329AB2E"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SA</w:t>
            </w:r>
          </w:p>
        </w:tc>
        <w:tc>
          <w:tcPr>
            <w:tcW w:w="7938" w:type="dxa"/>
            <w:hideMark/>
          </w:tcPr>
          <w:p w14:paraId="7047F6D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Barossa - Yorke - Mid North, South Australia - Outback, South Australia - South East</w:t>
            </w:r>
          </w:p>
        </w:tc>
        <w:tc>
          <w:tcPr>
            <w:tcW w:w="1842" w:type="dxa"/>
            <w:hideMark/>
          </w:tcPr>
          <w:p w14:paraId="13D5456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77D3B21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162,158</w:t>
            </w:r>
          </w:p>
        </w:tc>
      </w:tr>
      <w:tr w:rsidR="00D907A0" w:rsidRPr="002F2944" w14:paraId="3D8C65EA" w14:textId="77777777" w:rsidTr="00EB70B6">
        <w:trPr>
          <w:trHeight w:val="314"/>
        </w:trPr>
        <w:tc>
          <w:tcPr>
            <w:tcW w:w="1704" w:type="dxa"/>
            <w:hideMark/>
          </w:tcPr>
          <w:p w14:paraId="3237F232" w14:textId="5FDE9709"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Rest of </w:t>
            </w:r>
            <w:r w:rsidR="00D907A0">
              <w:rPr>
                <w:rFonts w:asciiTheme="majorHAnsi" w:hAnsiTheme="majorHAnsi" w:cstheme="majorHAnsi"/>
                <w:sz w:val="18"/>
                <w:szCs w:val="18"/>
              </w:rPr>
              <w:t>WA</w:t>
            </w:r>
          </w:p>
        </w:tc>
        <w:tc>
          <w:tcPr>
            <w:tcW w:w="1287" w:type="dxa"/>
            <w:hideMark/>
          </w:tcPr>
          <w:p w14:paraId="275347A0"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Rest of WA</w:t>
            </w:r>
          </w:p>
        </w:tc>
        <w:tc>
          <w:tcPr>
            <w:tcW w:w="974" w:type="dxa"/>
            <w:hideMark/>
          </w:tcPr>
          <w:p w14:paraId="40EF8856" w14:textId="63AD449E"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WA</w:t>
            </w:r>
          </w:p>
        </w:tc>
        <w:tc>
          <w:tcPr>
            <w:tcW w:w="7938" w:type="dxa"/>
            <w:hideMark/>
          </w:tcPr>
          <w:p w14:paraId="404E2276"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Bunbury, Western Australia - Wheat Belt, Western Australia - Outback</w:t>
            </w:r>
          </w:p>
        </w:tc>
        <w:tc>
          <w:tcPr>
            <w:tcW w:w="1842" w:type="dxa"/>
            <w:hideMark/>
          </w:tcPr>
          <w:p w14:paraId="108CCCD5"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049AB131"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235,378</w:t>
            </w:r>
          </w:p>
        </w:tc>
      </w:tr>
      <w:tr w:rsidR="00D907A0" w:rsidRPr="002F2944" w14:paraId="1BEEE4A5" w14:textId="77777777" w:rsidTr="00EB70B6">
        <w:trPr>
          <w:trHeight w:val="297"/>
        </w:trPr>
        <w:tc>
          <w:tcPr>
            <w:tcW w:w="1704" w:type="dxa"/>
            <w:hideMark/>
          </w:tcPr>
          <w:p w14:paraId="4E2E95ED"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Perth</w:t>
            </w:r>
          </w:p>
        </w:tc>
        <w:tc>
          <w:tcPr>
            <w:tcW w:w="1287" w:type="dxa"/>
            <w:hideMark/>
          </w:tcPr>
          <w:p w14:paraId="6C3A8FB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PER</w:t>
            </w:r>
          </w:p>
        </w:tc>
        <w:tc>
          <w:tcPr>
            <w:tcW w:w="974" w:type="dxa"/>
            <w:hideMark/>
          </w:tcPr>
          <w:p w14:paraId="1DA871E5" w14:textId="0C73338A"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WA</w:t>
            </w:r>
          </w:p>
        </w:tc>
        <w:tc>
          <w:tcPr>
            <w:tcW w:w="7938" w:type="dxa"/>
            <w:hideMark/>
          </w:tcPr>
          <w:p w14:paraId="62260EF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Mandurah, Perth - Inner, Perth - North East, Perth - North West, Perth - South East, Perth - South West</w:t>
            </w:r>
          </w:p>
        </w:tc>
        <w:tc>
          <w:tcPr>
            <w:tcW w:w="1842" w:type="dxa"/>
            <w:hideMark/>
          </w:tcPr>
          <w:p w14:paraId="69192372"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0471C71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1,008,776</w:t>
            </w:r>
          </w:p>
        </w:tc>
      </w:tr>
      <w:tr w:rsidR="00D907A0" w:rsidRPr="002F2944" w14:paraId="7BA1A6F4" w14:textId="77777777" w:rsidTr="00EB70B6">
        <w:trPr>
          <w:trHeight w:val="280"/>
        </w:trPr>
        <w:tc>
          <w:tcPr>
            <w:tcW w:w="1704" w:type="dxa"/>
            <w:hideMark/>
          </w:tcPr>
          <w:p w14:paraId="36C63F05" w14:textId="661DF082" w:rsidR="00CF1F9C" w:rsidRPr="00FF4DDB" w:rsidRDefault="003464E0" w:rsidP="00FF4DDB">
            <w:pPr>
              <w:pStyle w:val="NoSpacing"/>
              <w:rPr>
                <w:rFonts w:asciiTheme="majorHAnsi" w:hAnsiTheme="majorHAnsi" w:cstheme="majorHAnsi"/>
                <w:sz w:val="18"/>
                <w:szCs w:val="18"/>
              </w:rPr>
            </w:pPr>
            <w:r>
              <w:rPr>
                <w:rFonts w:asciiTheme="majorHAnsi" w:hAnsiTheme="majorHAnsi" w:cstheme="majorHAnsi"/>
                <w:sz w:val="18"/>
                <w:szCs w:val="18"/>
              </w:rPr>
              <w:t>T</w:t>
            </w:r>
            <w:r w:rsidR="00CF1F9C" w:rsidRPr="00FF4DDB">
              <w:rPr>
                <w:rFonts w:asciiTheme="majorHAnsi" w:hAnsiTheme="majorHAnsi" w:cstheme="majorHAnsi"/>
                <w:sz w:val="18"/>
                <w:szCs w:val="18"/>
              </w:rPr>
              <w:t>asmania</w:t>
            </w:r>
          </w:p>
        </w:tc>
        <w:tc>
          <w:tcPr>
            <w:tcW w:w="1287" w:type="dxa"/>
            <w:hideMark/>
          </w:tcPr>
          <w:p w14:paraId="6E6C7BA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TAS</w:t>
            </w:r>
          </w:p>
        </w:tc>
        <w:tc>
          <w:tcPr>
            <w:tcW w:w="974" w:type="dxa"/>
            <w:hideMark/>
          </w:tcPr>
          <w:p w14:paraId="52D1AC62" w14:textId="26982020" w:rsidR="00CF1F9C" w:rsidRPr="00FF4DDB" w:rsidRDefault="00FF4DDB" w:rsidP="00FF4DDB">
            <w:pPr>
              <w:pStyle w:val="NoSpacing"/>
              <w:rPr>
                <w:rFonts w:asciiTheme="majorHAnsi" w:hAnsiTheme="majorHAnsi" w:cstheme="majorHAnsi"/>
                <w:sz w:val="18"/>
                <w:szCs w:val="18"/>
              </w:rPr>
            </w:pPr>
            <w:r>
              <w:rPr>
                <w:rFonts w:asciiTheme="majorHAnsi" w:hAnsiTheme="majorHAnsi" w:cstheme="majorHAnsi"/>
                <w:sz w:val="18"/>
                <w:szCs w:val="18"/>
              </w:rPr>
              <w:t>TAS</w:t>
            </w:r>
          </w:p>
        </w:tc>
        <w:tc>
          <w:tcPr>
            <w:tcW w:w="7938" w:type="dxa"/>
            <w:hideMark/>
          </w:tcPr>
          <w:p w14:paraId="50CF1447"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Hobart, Launceston and North East, South East, West and North West</w:t>
            </w:r>
          </w:p>
        </w:tc>
        <w:tc>
          <w:tcPr>
            <w:tcW w:w="1842" w:type="dxa"/>
            <w:hideMark/>
          </w:tcPr>
          <w:p w14:paraId="3349B81E"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2E2925F3"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248,655</w:t>
            </w:r>
          </w:p>
        </w:tc>
      </w:tr>
      <w:tr w:rsidR="00D907A0" w:rsidRPr="002F2944" w14:paraId="1FEBE34F" w14:textId="77777777" w:rsidTr="00EB70B6">
        <w:trPr>
          <w:trHeight w:val="218"/>
        </w:trPr>
        <w:tc>
          <w:tcPr>
            <w:tcW w:w="1704" w:type="dxa"/>
            <w:hideMark/>
          </w:tcPr>
          <w:p w14:paraId="038ECA04"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Northern Territory</w:t>
            </w:r>
          </w:p>
        </w:tc>
        <w:tc>
          <w:tcPr>
            <w:tcW w:w="1287" w:type="dxa"/>
            <w:hideMark/>
          </w:tcPr>
          <w:p w14:paraId="17E8BA2C"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NT</w:t>
            </w:r>
          </w:p>
        </w:tc>
        <w:tc>
          <w:tcPr>
            <w:tcW w:w="974" w:type="dxa"/>
            <w:hideMark/>
          </w:tcPr>
          <w:p w14:paraId="563ADEBC" w14:textId="0EFCC845" w:rsidR="00CF1F9C" w:rsidRPr="00FF4DDB" w:rsidRDefault="00D907A0" w:rsidP="00FF4DDB">
            <w:pPr>
              <w:pStyle w:val="NoSpacing"/>
              <w:rPr>
                <w:rFonts w:asciiTheme="majorHAnsi" w:hAnsiTheme="majorHAnsi" w:cstheme="majorHAnsi"/>
                <w:sz w:val="18"/>
                <w:szCs w:val="18"/>
              </w:rPr>
            </w:pPr>
            <w:r>
              <w:rPr>
                <w:rFonts w:asciiTheme="majorHAnsi" w:hAnsiTheme="majorHAnsi" w:cstheme="majorHAnsi"/>
                <w:sz w:val="18"/>
                <w:szCs w:val="18"/>
              </w:rPr>
              <w:t>NT</w:t>
            </w:r>
          </w:p>
        </w:tc>
        <w:tc>
          <w:tcPr>
            <w:tcW w:w="7938" w:type="dxa"/>
            <w:hideMark/>
          </w:tcPr>
          <w:p w14:paraId="2B7FA758"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xml:space="preserve">Darwin, Northern Territory - Outback </w:t>
            </w:r>
          </w:p>
        </w:tc>
        <w:tc>
          <w:tcPr>
            <w:tcW w:w="1842" w:type="dxa"/>
            <w:hideMark/>
          </w:tcPr>
          <w:p w14:paraId="5B4394A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 </w:t>
            </w:r>
          </w:p>
        </w:tc>
        <w:tc>
          <w:tcPr>
            <w:tcW w:w="1560" w:type="dxa"/>
            <w:hideMark/>
          </w:tcPr>
          <w:p w14:paraId="4AAB125A" w14:textId="77777777" w:rsidR="00CF1F9C" w:rsidRPr="00FF4DDB" w:rsidRDefault="00CF1F9C" w:rsidP="00FF4DDB">
            <w:pPr>
              <w:pStyle w:val="NoSpacing"/>
              <w:rPr>
                <w:rFonts w:asciiTheme="majorHAnsi" w:hAnsiTheme="majorHAnsi" w:cstheme="majorHAnsi"/>
                <w:sz w:val="18"/>
                <w:szCs w:val="18"/>
              </w:rPr>
            </w:pPr>
            <w:r w:rsidRPr="00FF4DDB">
              <w:rPr>
                <w:rFonts w:asciiTheme="majorHAnsi" w:hAnsiTheme="majorHAnsi" w:cstheme="majorHAnsi"/>
                <w:sz w:val="18"/>
                <w:szCs w:val="18"/>
              </w:rPr>
              <w:t>102,299</w:t>
            </w:r>
          </w:p>
        </w:tc>
      </w:tr>
    </w:tbl>
    <w:p w14:paraId="5CA3D0CA" w14:textId="32BB4331" w:rsidR="00CD2B22" w:rsidRDefault="00CD2B22" w:rsidP="00A10902">
      <w:pPr>
        <w:rPr>
          <w:b/>
          <w:bCs/>
        </w:rPr>
      </w:pPr>
      <w:r w:rsidRPr="00E226A4">
        <w:rPr>
          <w:b/>
          <w:bCs/>
        </w:rPr>
        <w:t xml:space="preserve">Alignment of regions with Renewable Energy Zones </w:t>
      </w:r>
    </w:p>
    <w:p w14:paraId="777A0650" w14:textId="4E1C5445" w:rsidR="00CD2B22" w:rsidRDefault="00213EC2" w:rsidP="00CD2B22">
      <w:pPr>
        <w:spacing w:before="120" w:after="120" w:line="240" w:lineRule="atLeast"/>
        <w:rPr>
          <w:b/>
          <w:bCs/>
        </w:rPr>
      </w:pPr>
      <w:r w:rsidRPr="00213EC2">
        <w:rPr>
          <w:b/>
          <w:bCs/>
          <w:noProof/>
        </w:rPr>
        <w:drawing>
          <wp:inline distT="0" distB="0" distL="0" distR="0" wp14:anchorId="6DCC8166" wp14:editId="35F65832">
            <wp:extent cx="8863330" cy="5097780"/>
            <wp:effectExtent l="0" t="0" r="0" b="7620"/>
            <wp:docPr id="620958201" name="Picture 620958201" descr="This figure shows how modelling results align with different Renewable Energy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58201" name="Picture 620958201" descr="This figure shows how modelling results align with different Renewable Energy Zones"/>
                    <pic:cNvPicPr/>
                  </pic:nvPicPr>
                  <pic:blipFill>
                    <a:blip r:embed="rId173"/>
                    <a:stretch>
                      <a:fillRect/>
                    </a:stretch>
                  </pic:blipFill>
                  <pic:spPr>
                    <a:xfrm>
                      <a:off x="0" y="0"/>
                      <a:ext cx="8863330" cy="5097780"/>
                    </a:xfrm>
                    <a:prstGeom prst="rect">
                      <a:avLst/>
                    </a:prstGeom>
                  </pic:spPr>
                </pic:pic>
              </a:graphicData>
            </a:graphic>
          </wp:inline>
        </w:drawing>
      </w:r>
    </w:p>
    <w:p w14:paraId="1F512CC4" w14:textId="77777777" w:rsidR="00CD2B22" w:rsidRDefault="00CD2B22" w:rsidP="00CD2B22">
      <w:pPr>
        <w:spacing w:before="120" w:after="120" w:line="240" w:lineRule="atLeast"/>
        <w:rPr>
          <w:b/>
          <w:bCs/>
        </w:rPr>
      </w:pPr>
    </w:p>
    <w:p w14:paraId="2EE3476C" w14:textId="2FD9BA9A" w:rsidR="00AE559F" w:rsidRPr="00AE559F" w:rsidRDefault="00AE559F" w:rsidP="00AE559F">
      <w:pPr>
        <w:tabs>
          <w:tab w:val="left" w:pos="3681"/>
        </w:tabs>
        <w:sectPr w:rsidR="00AE559F" w:rsidRPr="00AE559F" w:rsidSect="00A10902">
          <w:pgSz w:w="16838" w:h="11906" w:orient="landscape"/>
          <w:pgMar w:top="1134" w:right="1440" w:bottom="1134" w:left="1440" w:header="0" w:footer="709" w:gutter="0"/>
          <w:cols w:space="708"/>
          <w:titlePg/>
          <w:docGrid w:linePitch="360"/>
        </w:sectPr>
      </w:pPr>
    </w:p>
    <w:p w14:paraId="401A38A1" w14:textId="4CBB1A40" w:rsidR="004678C0" w:rsidRPr="00FB335C" w:rsidRDefault="00750802" w:rsidP="004678C0">
      <w:pPr>
        <w:pStyle w:val="Heading1"/>
        <w:spacing w:before="8000" w:line="240" w:lineRule="auto"/>
        <w:ind w:left="283" w:right="283"/>
      </w:pPr>
      <w:bookmarkStart w:id="64" w:name="_Toc146892684"/>
      <w:r>
        <w:rPr>
          <w:b w:val="0"/>
          <w:bCs/>
          <w:noProof/>
          <w:sz w:val="72"/>
          <w:szCs w:val="72"/>
        </w:rPr>
        <w:drawing>
          <wp:anchor distT="0" distB="0" distL="114300" distR="114300" simplePos="0" relativeHeight="251665508" behindDoc="0" locked="0" layoutInCell="1" allowOverlap="1" wp14:anchorId="45ABDCD5" wp14:editId="25B2467A">
            <wp:simplePos x="0" y="0"/>
            <wp:positionH relativeFrom="column">
              <wp:posOffset>-914730</wp:posOffset>
            </wp:positionH>
            <wp:positionV relativeFrom="paragraph">
              <wp:posOffset>-919703</wp:posOffset>
            </wp:positionV>
            <wp:extent cx="7559675" cy="5431790"/>
            <wp:effectExtent l="0" t="0" r="3175" b="0"/>
            <wp:wrapNone/>
            <wp:docPr id="738971306"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71306" name="Picture 10">
                      <a:extLst>
                        <a:ext uri="{C183D7F6-B498-43B3-948B-1728B52AA6E4}">
                          <adec:decorative xmlns:adec="http://schemas.microsoft.com/office/drawing/2017/decorative" val="1"/>
                        </a:ext>
                      </a:extLst>
                    </pic:cNvPr>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anchor>
        </w:drawing>
      </w:r>
      <w:r w:rsidR="001D5860" w:rsidRPr="00E5087D">
        <w:rPr>
          <w:noProof/>
        </w:rPr>
        <mc:AlternateContent>
          <mc:Choice Requires="wps">
            <w:drawing>
              <wp:anchor distT="0" distB="0" distL="114300" distR="114300" simplePos="0" relativeHeight="251658270" behindDoc="1" locked="0" layoutInCell="1" allowOverlap="1" wp14:anchorId="6388F141" wp14:editId="3E697A2F">
                <wp:simplePos x="0" y="0"/>
                <wp:positionH relativeFrom="page">
                  <wp:posOffset>4445</wp:posOffset>
                </wp:positionH>
                <wp:positionV relativeFrom="page">
                  <wp:posOffset>5423599</wp:posOffset>
                </wp:positionV>
                <wp:extent cx="7559675" cy="5259705"/>
                <wp:effectExtent l="0" t="0" r="3175" b="0"/>
                <wp:wrapNone/>
                <wp:docPr id="175" name="Freeform: Shape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F6C6DB"/>
                        </a:solidFill>
                      </wps:spPr>
                      <wps:txbx>
                        <w:txbxContent>
                          <w:p w14:paraId="27C16A84" w14:textId="77777777" w:rsidR="007E2013" w:rsidRDefault="007E2013" w:rsidP="007E2013">
                            <w:pPr>
                              <w:jc w:val="center"/>
                            </w:pPr>
                          </w:p>
                        </w:txbxContent>
                      </wps:txbx>
                      <wps:bodyPr wrap="square" lIns="0" tIns="0" rIns="0" bIns="0" rtlCol="0">
                        <a:prstTxWarp prst="textNoShape">
                          <a:avLst/>
                        </a:prstTxWarp>
                        <a:noAutofit/>
                      </wps:bodyPr>
                    </wps:wsp>
                  </a:graphicData>
                </a:graphic>
              </wp:anchor>
            </w:drawing>
          </mc:Choice>
          <mc:Fallback>
            <w:pict>
              <v:shape w14:anchorId="6388F141" id="Freeform: Shape 175" o:spid="_x0000_s1115" alt="&quot;&quot;" style="position:absolute;left:0;text-align:left;margin-left:.35pt;margin-top:427.05pt;width:595.25pt;height:414.15pt;z-index:-251658210;visibility:visible;mso-wrap-style:square;mso-wrap-distance-left:9pt;mso-wrap-distance-top:0;mso-wrap-distance-right:9pt;mso-wrap-distance-bottom:0;mso-position-horizontal:absolute;mso-position-horizontal-relative:page;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" adj="-11796480,,5400" path="m7559992,l,,,5259603r7559992,l7559992,xe" fillcolor="#f6c6db" stroked="f">
                <v:stroke joinstyle="miter"/>
                <v:formulas/>
                <v:path arrowok="t" o:connecttype="custom" textboxrect="0,0,7560309,5259705"/>
                <v:textbox inset="0,0,0,0">
                  <w:txbxContent>
                    <w:p w14:paraId="27C16A84" w14:textId="77777777" w:rsidR="007E2013" w:rsidRDefault="007E2013" w:rsidP="007E2013">
                      <w:pPr>
                        <w:jc w:val="center"/>
                      </w:pPr>
                    </w:p>
                  </w:txbxContent>
                </v:textbox>
                <w10:wrap anchorx="page" anchory="page"/>
              </v:shape>
            </w:pict>
          </mc:Fallback>
        </mc:AlternateContent>
      </w:r>
      <w:r w:rsidR="004678C0" w:rsidRPr="00526606">
        <w:rPr>
          <w:b w:val="0"/>
          <w:bCs/>
          <w:sz w:val="72"/>
          <w:szCs w:val="72"/>
        </w:rPr>
        <w:t>Chapter 6:</w:t>
      </w:r>
      <w:r w:rsidR="004678C0">
        <w:rPr>
          <w:sz w:val="72"/>
          <w:szCs w:val="72"/>
        </w:rPr>
        <w:br/>
      </w:r>
      <w:r w:rsidR="004678C0" w:rsidRPr="00526606">
        <w:rPr>
          <w:sz w:val="92"/>
          <w:szCs w:val="92"/>
        </w:rPr>
        <w:t>Emerging and transforming sectors</w:t>
      </w:r>
      <w:bookmarkEnd w:id="64"/>
    </w:p>
    <w:p w14:paraId="48FB5A7F" w14:textId="31CD2A50" w:rsidR="004678C0" w:rsidRPr="00BB2E09" w:rsidRDefault="000620D8" w:rsidP="004678C0">
      <w:pPr>
        <w:pStyle w:val="BodyText"/>
        <w:spacing w:before="360"/>
        <w:ind w:left="283" w:right="737"/>
        <w:rPr>
          <w:lang w:val="en-AU"/>
        </w:rPr>
      </w:pPr>
      <w:r w:rsidRPr="00BB2E09">
        <w:rPr>
          <w:lang w:val="en-AU"/>
        </w:rPr>
        <w:t>Exploring how occupations may change overtime as new technologies and sectors emerge.</w:t>
      </w:r>
    </w:p>
    <w:p w14:paraId="2D29860E" w14:textId="6DCB8417" w:rsidR="00526606" w:rsidRPr="00E5087D" w:rsidRDefault="00526606" w:rsidP="004678C0">
      <w:pPr>
        <w:sectPr w:rsidR="00526606" w:rsidRPr="00E5087D" w:rsidSect="00D57138">
          <w:headerReference w:type="even" r:id="rId175"/>
          <w:headerReference w:type="default" r:id="rId176"/>
          <w:footerReference w:type="even" r:id="rId177"/>
          <w:footerReference w:type="default" r:id="rId178"/>
          <w:headerReference w:type="first" r:id="rId179"/>
          <w:footerReference w:type="first" r:id="rId180"/>
          <w:endnotePr>
            <w:numFmt w:val="decimal"/>
          </w:endnotePr>
          <w:pgSz w:w="11906" w:h="16838" w:code="9"/>
          <w:pgMar w:top="1440" w:right="1440" w:bottom="1440" w:left="1440" w:header="0" w:footer="709" w:gutter="0"/>
          <w:cols w:space="708"/>
          <w:docGrid w:linePitch="360"/>
        </w:sectPr>
      </w:pPr>
    </w:p>
    <w:p w14:paraId="1C78A872" w14:textId="459AF586" w:rsidR="005919F3" w:rsidRPr="005919F3" w:rsidRDefault="005919F3" w:rsidP="009E09C1">
      <w:pPr>
        <w:pStyle w:val="Heading2"/>
      </w:pPr>
      <w:bookmarkStart w:id="65" w:name="_Toc146892685"/>
      <w:r w:rsidRPr="005919F3">
        <w:t>New skills and new contexts</w:t>
      </w:r>
      <w:bookmarkEnd w:id="65"/>
    </w:p>
    <w:p w14:paraId="5BE2D60F" w14:textId="190E2B46" w:rsidR="005919F3" w:rsidRPr="005919F3" w:rsidRDefault="005919F3" w:rsidP="005919F3">
      <w:pPr>
        <w:spacing w:line="276" w:lineRule="auto"/>
        <w:rPr>
          <w14:numForm w14:val="lining"/>
          <w14:numSpacing w14:val="proportional"/>
        </w:rPr>
      </w:pPr>
      <w:r w:rsidRPr="005919F3">
        <w:t xml:space="preserve">Workforce change means more than just the number of jobs that will be created or lost. </w:t>
      </w:r>
      <w:r w:rsidRPr="005919F3">
        <w:rPr>
          <w14:numForm w14:val="lining"/>
          <w14:numSpacing w14:val="proportional"/>
        </w:rPr>
        <w:t>While it’s easy to assume that the biggest impact will be in the sectors that need to grow the most, this is not</w:t>
      </w:r>
      <w:r w:rsidR="0035596D">
        <w:rPr>
          <w14:numForm w14:val="lining"/>
          <w14:numSpacing w14:val="proportional"/>
        </w:rPr>
        <w:t xml:space="preserve"> </w:t>
      </w:r>
      <w:r w:rsidR="002A1684">
        <w:rPr>
          <w14:numForm w14:val="lining"/>
          <w14:numSpacing w14:val="proportional"/>
        </w:rPr>
        <w:t>necessarily</w:t>
      </w:r>
      <w:r w:rsidRPr="005919F3">
        <w:rPr>
          <w14:numForm w14:val="lining"/>
          <w14:numSpacing w14:val="proportional"/>
        </w:rPr>
        <w:t xml:space="preserve"> the case. Increasingly over the next thirty years, the skills and roles of existing occupations will change in response to decarbonisation, even if overall demand does not increase. New occupations are also emerging which, even in small numbers, can be particularly difficult to grow.</w:t>
      </w:r>
    </w:p>
    <w:p w14:paraId="283AE394" w14:textId="129E087A" w:rsidR="005919F3" w:rsidRPr="005919F3" w:rsidRDefault="005919F3" w:rsidP="005919F3">
      <w:pPr>
        <w:spacing w:line="276" w:lineRule="auto"/>
        <w:rPr>
          <w14:numForm w14:val="lining"/>
          <w14:numSpacing w14:val="proportional"/>
        </w:rPr>
      </w:pPr>
      <w:r w:rsidRPr="005919F3">
        <w:rPr>
          <w14:numForm w14:val="lining"/>
          <w14:numSpacing w14:val="proportional"/>
        </w:rPr>
        <w:t xml:space="preserve">These types of changes will greatly impact the labour market and education and training sectors, but are impossible to capture with the kind of modelling exercise presented in </w:t>
      </w:r>
      <w:r w:rsidRPr="000F04EE">
        <w:rPr>
          <w:b/>
          <w:bCs/>
          <w14:numForm w14:val="lining"/>
          <w14:numSpacing w14:val="proportional"/>
        </w:rPr>
        <w:t>Chapter 5</w:t>
      </w:r>
      <w:r w:rsidRPr="005919F3">
        <w:rPr>
          <w14:numForm w14:val="lining"/>
          <w14:numSpacing w14:val="proportional"/>
        </w:rPr>
        <w:t xml:space="preserve">. The purpose of this chapter is to explore how the transition to clean energy is likely to impact jobs across many of the segments we identified in </w:t>
      </w:r>
      <w:r w:rsidRPr="000F04EE">
        <w:rPr>
          <w:b/>
          <w:bCs/>
          <w14:numForm w14:val="lining"/>
          <w14:numSpacing w14:val="proportional"/>
        </w:rPr>
        <w:t xml:space="preserve">Chapter </w:t>
      </w:r>
      <w:r w:rsidR="00F42B09" w:rsidRPr="000F04EE">
        <w:rPr>
          <w:b/>
          <w:bCs/>
          <w14:numForm w14:val="lining"/>
          <w14:numSpacing w14:val="proportional"/>
        </w:rPr>
        <w:t>2</w:t>
      </w:r>
      <w:r w:rsidRPr="005919F3">
        <w:rPr>
          <w14:numForm w14:val="lining"/>
          <w14:numSpacing w14:val="proportional"/>
        </w:rPr>
        <w:t>, including:</w:t>
      </w:r>
    </w:p>
    <w:p w14:paraId="76396E58" w14:textId="16E40CCF"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f</w:t>
      </w:r>
      <w:r w:rsidR="005919F3" w:rsidRPr="005919F3">
        <w:rPr>
          <w14:numForm w14:val="lining"/>
          <w14:numSpacing w14:val="proportional"/>
        </w:rPr>
        <w:t>uels and storage, including hydrogen, biofuels, batteries and pumped hydro</w:t>
      </w:r>
    </w:p>
    <w:p w14:paraId="144B0E0C" w14:textId="45CC1533"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t</w:t>
      </w:r>
      <w:r w:rsidR="005919F3" w:rsidRPr="005919F3">
        <w:rPr>
          <w14:numForm w14:val="lining"/>
          <w14:numSpacing w14:val="proportional"/>
        </w:rPr>
        <w:t>ransport, including road passenger vehicles, road freight vehicles, rail, aviation and maritime</w:t>
      </w:r>
    </w:p>
    <w:p w14:paraId="1E66A160" w14:textId="4156219D"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e</w:t>
      </w:r>
      <w:r w:rsidR="005919F3" w:rsidRPr="005919F3">
        <w:rPr>
          <w14:numForm w14:val="lining"/>
          <w14:numSpacing w14:val="proportional"/>
        </w:rPr>
        <w:t>nergy performance, covering energy efficiency and energy management</w:t>
      </w:r>
    </w:p>
    <w:p w14:paraId="6249B07F" w14:textId="205466F1" w:rsidR="005919F3" w:rsidRPr="005919F3" w:rsidRDefault="00543CF9" w:rsidP="00F25595">
      <w:pPr>
        <w:numPr>
          <w:ilvl w:val="0"/>
          <w:numId w:val="66"/>
        </w:numPr>
        <w:spacing w:after="120" w:line="276" w:lineRule="auto"/>
        <w:rPr>
          <w14:numForm w14:val="lining"/>
          <w14:numSpacing w14:val="proportional"/>
        </w:rPr>
      </w:pPr>
      <w:r>
        <w:rPr>
          <w14:numForm w14:val="lining"/>
          <w14:numSpacing w14:val="proportional"/>
        </w:rPr>
        <w:t>m</w:t>
      </w:r>
      <w:r w:rsidR="005919F3" w:rsidRPr="005919F3">
        <w:rPr>
          <w14:numForm w14:val="lining"/>
          <w14:numSpacing w14:val="proportional"/>
        </w:rPr>
        <w:t>anufacturing and processing</w:t>
      </w:r>
      <w:r w:rsidR="00137E0C">
        <w:rPr>
          <w14:numForm w14:val="lining"/>
          <w14:numSpacing w14:val="proportional"/>
        </w:rPr>
        <w:t xml:space="preserve">, </w:t>
      </w:r>
      <w:r w:rsidR="001B5694">
        <w:rPr>
          <w14:numForm w14:val="lining"/>
          <w14:numSpacing w14:val="proportional"/>
        </w:rPr>
        <w:t xml:space="preserve">including opportunities to onshore </w:t>
      </w:r>
    </w:p>
    <w:p w14:paraId="4004E30F" w14:textId="60FDFC66" w:rsidR="005919F3" w:rsidRPr="005919F3" w:rsidRDefault="00543CF9" w:rsidP="00F25595">
      <w:pPr>
        <w:numPr>
          <w:ilvl w:val="0"/>
          <w:numId w:val="66"/>
        </w:numPr>
        <w:spacing w:after="240" w:line="276" w:lineRule="auto"/>
        <w:ind w:left="714" w:hanging="357"/>
      </w:pPr>
      <w:r>
        <w:rPr>
          <w14:numForm w14:val="lining"/>
          <w14:numSpacing w14:val="proportional"/>
        </w:rPr>
        <w:t>l</w:t>
      </w:r>
      <w:r w:rsidR="005919F3" w:rsidRPr="005919F3">
        <w:rPr>
          <w14:numForm w14:val="lining"/>
          <w14:numSpacing w14:val="proportional"/>
        </w:rPr>
        <w:t>and use and the circular economy, including agriculture, forestry, and recycling and waste management.</w:t>
      </w:r>
    </w:p>
    <w:p w14:paraId="16879802" w14:textId="77777777" w:rsidR="005919F3" w:rsidRPr="005919F3" w:rsidRDefault="005919F3" w:rsidP="005919F3">
      <w:pPr>
        <w:spacing w:after="120" w:line="276" w:lineRule="auto"/>
        <w:rPr>
          <w14:numForm w14:val="lining"/>
          <w14:numSpacing w14:val="proportional"/>
        </w:rPr>
      </w:pPr>
      <w:r w:rsidRPr="005919F3">
        <w:rPr>
          <w14:numForm w14:val="lining"/>
          <w14:numSpacing w14:val="proportional"/>
        </w:rPr>
        <w:t>As a preview of the types of impacts we discuss in this chapter:</w:t>
      </w:r>
    </w:p>
    <w:p w14:paraId="6ADF4B3B" w14:textId="0AC8AE86" w:rsidR="005919F3" w:rsidRPr="005919F3" w:rsidRDefault="005919F3" w:rsidP="00F25595">
      <w:pPr>
        <w:numPr>
          <w:ilvl w:val="0"/>
          <w:numId w:val="66"/>
        </w:numPr>
        <w:spacing w:after="120" w:line="276" w:lineRule="auto"/>
        <w:rPr>
          <w14:numForm w14:val="lining"/>
          <w14:numSpacing w14:val="proportional"/>
        </w:rPr>
      </w:pPr>
      <w:r w:rsidRPr="005919F3">
        <w:rPr>
          <w14:numForm w14:val="lining"/>
          <w14:numSpacing w14:val="proportional"/>
        </w:rPr>
        <w:t xml:space="preserve">The </w:t>
      </w:r>
      <w:r w:rsidR="00543CF9">
        <w:rPr>
          <w14:numForm w14:val="lining"/>
          <w14:numSpacing w14:val="proportional"/>
        </w:rPr>
        <w:t>b</w:t>
      </w:r>
      <w:r w:rsidRPr="005919F3">
        <w:rPr>
          <w14:numForm w14:val="lining"/>
          <w14:numSpacing w14:val="proportional"/>
        </w:rPr>
        <w:t>ioenergy sector provides opportunities for skilled employment opportunities and economic growth across regional areas. With many bioenergy feedstocks stemming from agricultural activities including sugarcane waste and livestock industries, and with most of these industries located in regional Australia, bioenergy investment could support long-term regional employment, and provide additional revenue streams to support employment in agricultural industries.</w:t>
      </w:r>
    </w:p>
    <w:p w14:paraId="135613B7" w14:textId="7B0C9319" w:rsidR="005919F3" w:rsidRPr="005919F3" w:rsidRDefault="005919F3" w:rsidP="00F25595">
      <w:pPr>
        <w:numPr>
          <w:ilvl w:val="0"/>
          <w:numId w:val="66"/>
        </w:numPr>
        <w:spacing w:after="120" w:line="276" w:lineRule="auto"/>
      </w:pPr>
      <w:r w:rsidRPr="005919F3">
        <w:rPr>
          <w14:numForm w14:val="lining"/>
          <w14:numSpacing w14:val="proportional"/>
        </w:rPr>
        <w:t xml:space="preserve">In transport, we consider the job impacts on </w:t>
      </w:r>
      <w:r w:rsidR="0F7A2C27" w:rsidRPr="005919F3">
        <w:rPr>
          <w14:numForm w14:val="lining"/>
          <w14:numSpacing w14:val="proportional"/>
        </w:rPr>
        <w:t>M</w:t>
      </w:r>
      <w:r w:rsidRPr="005919F3">
        <w:rPr>
          <w14:numForm w14:val="lining"/>
          <w14:numSpacing w14:val="proportional"/>
        </w:rPr>
        <w:t xml:space="preserve">echanics and </w:t>
      </w:r>
      <w:r w:rsidR="40900B29" w:rsidRPr="005919F3">
        <w:rPr>
          <w14:numForm w14:val="lining"/>
          <w14:numSpacing w14:val="proportional"/>
        </w:rPr>
        <w:t>S</w:t>
      </w:r>
      <w:r w:rsidRPr="005919F3">
        <w:rPr>
          <w14:numForm w14:val="lining"/>
          <w14:numSpacing w14:val="proportional"/>
        </w:rPr>
        <w:t xml:space="preserve">ervice Station Operators. As combustible passenger vehicles are replaced with </w:t>
      </w:r>
      <w:r w:rsidR="006C66CE">
        <w:rPr>
          <w:rFonts w:cs="Arial"/>
          <w14:numForm w14:val="lining"/>
          <w14:numSpacing w14:val="proportional"/>
        </w:rPr>
        <w:t>EV</w:t>
      </w:r>
      <w:r w:rsidRPr="005919F3">
        <w:rPr>
          <w14:numForm w14:val="lining"/>
          <w14:numSpacing w14:val="proportional"/>
        </w:rPr>
        <w:t xml:space="preserve">s, demand for specialist </w:t>
      </w:r>
      <w:r w:rsidR="006F328E">
        <w:rPr>
          <w:rFonts w:cs="Arial"/>
          <w14:numForm w14:val="lining"/>
          <w14:numSpacing w14:val="proportional"/>
        </w:rPr>
        <w:t>EV</w:t>
      </w:r>
      <w:r w:rsidRPr="005919F3">
        <w:rPr>
          <w14:numForm w14:val="lining"/>
          <w14:numSpacing w14:val="proportional"/>
        </w:rPr>
        <w:t xml:space="preserve"> </w:t>
      </w:r>
      <w:r w:rsidR="1E234D8C" w:rsidRPr="005919F3">
        <w:rPr>
          <w14:numForm w14:val="lining"/>
          <w14:numSpacing w14:val="proportional"/>
        </w:rPr>
        <w:t>M</w:t>
      </w:r>
      <w:r w:rsidRPr="005919F3">
        <w:rPr>
          <w14:numForm w14:val="lining"/>
          <w14:numSpacing w14:val="proportional"/>
        </w:rPr>
        <w:t xml:space="preserve">echanics will increase, as will demand for </w:t>
      </w:r>
      <w:r w:rsidR="2C424CEC" w:rsidRPr="005919F3">
        <w:rPr>
          <w14:numForm w14:val="lining"/>
          <w14:numSpacing w14:val="proportional"/>
        </w:rPr>
        <w:t>M</w:t>
      </w:r>
      <w:r w:rsidRPr="005919F3">
        <w:rPr>
          <w14:numForm w14:val="lining"/>
          <w14:numSpacing w14:val="proportional"/>
        </w:rPr>
        <w:t xml:space="preserve">echanics able to work across both vehicle types (something touched on in </w:t>
      </w:r>
      <w:r w:rsidRPr="000F04EE">
        <w:rPr>
          <w:b/>
          <w:bCs/>
          <w14:numForm w14:val="lining"/>
          <w14:numSpacing w14:val="proportional"/>
        </w:rPr>
        <w:t>Chapter 4</w:t>
      </w:r>
      <w:r w:rsidRPr="005919F3">
        <w:rPr>
          <w14:numForm w14:val="lining"/>
          <w14:numSpacing w14:val="proportional"/>
        </w:rPr>
        <w:t xml:space="preserve">). There is debate about whether the transition to </w:t>
      </w:r>
      <w:r w:rsidR="006F328E">
        <w:rPr>
          <w:rFonts w:cs="Arial"/>
          <w14:numForm w14:val="lining"/>
          <w14:numSpacing w14:val="proportional"/>
        </w:rPr>
        <w:t>EV</w:t>
      </w:r>
      <w:r w:rsidRPr="005919F3">
        <w:rPr>
          <w14:numForm w14:val="lining"/>
          <w14:numSpacing w14:val="proportional"/>
        </w:rPr>
        <w:t xml:space="preserve">s will reduce overall demand for </w:t>
      </w:r>
      <w:r w:rsidR="72390D68" w:rsidRPr="005919F3">
        <w:rPr>
          <w14:numForm w14:val="lining"/>
          <w14:numSpacing w14:val="proportional"/>
        </w:rPr>
        <w:t>M</w:t>
      </w:r>
      <w:r w:rsidRPr="005919F3">
        <w:rPr>
          <w14:numForm w14:val="lining"/>
          <w14:numSpacing w14:val="proportional"/>
        </w:rPr>
        <w:t xml:space="preserve">echanics. </w:t>
      </w:r>
    </w:p>
    <w:p w14:paraId="683F21EE" w14:textId="2FFBF725" w:rsidR="005919F3" w:rsidRPr="005919F3" w:rsidRDefault="005919F3" w:rsidP="00F25595">
      <w:pPr>
        <w:numPr>
          <w:ilvl w:val="0"/>
          <w:numId w:val="66"/>
        </w:numPr>
        <w:spacing w:after="120" w:line="276" w:lineRule="auto"/>
      </w:pPr>
      <w:r w:rsidRPr="005919F3">
        <w:rPr>
          <w14:numForm w14:val="lining"/>
          <w14:numSpacing w14:val="proportional"/>
        </w:rPr>
        <w:t>In energy performance, we look at the roles of Energy Auditors on the one hand</w:t>
      </w:r>
      <w:r w:rsidR="34DFEBF9" w:rsidRPr="005919F3">
        <w:rPr>
          <w14:numForm w14:val="lining"/>
          <w14:numSpacing w14:val="proportional"/>
        </w:rPr>
        <w:t>,</w:t>
      </w:r>
      <w:r w:rsidRPr="005919F3">
        <w:rPr>
          <w14:numForm w14:val="lining"/>
          <w14:numSpacing w14:val="proportional"/>
        </w:rPr>
        <w:t xml:space="preserve"> and Air</w:t>
      </w:r>
      <w:r w:rsidR="00565BFF">
        <w:rPr>
          <w14:numForm w14:val="lining"/>
          <w14:numSpacing w14:val="proportional"/>
        </w:rPr>
        <w:t>-</w:t>
      </w:r>
      <w:r w:rsidRPr="005919F3">
        <w:rPr>
          <w14:numForm w14:val="lining"/>
          <w14:numSpacing w14:val="proportional"/>
        </w:rPr>
        <w:t>condition</w:t>
      </w:r>
      <w:r w:rsidR="00565BFF">
        <w:rPr>
          <w14:numForm w14:val="lining"/>
          <w14:numSpacing w14:val="proportional"/>
        </w:rPr>
        <w:t>ing</w:t>
      </w:r>
      <w:r w:rsidRPr="005919F3">
        <w:rPr>
          <w14:numForm w14:val="lining"/>
          <w14:numSpacing w14:val="proportional"/>
        </w:rPr>
        <w:t xml:space="preserve"> and Refrigeration Mechanics and Facility Managers on the other</w:t>
      </w:r>
      <w:r w:rsidR="4F8785C5" w:rsidRPr="005919F3">
        <w:rPr>
          <w14:numForm w14:val="lining"/>
          <w14:numSpacing w14:val="proportional"/>
        </w:rPr>
        <w:t>,</w:t>
      </w:r>
      <w:r w:rsidRPr="005919F3">
        <w:rPr>
          <w14:numForm w14:val="lining"/>
          <w14:numSpacing w14:val="proportional"/>
        </w:rPr>
        <w:t xml:space="preserve"> as examples of new growing roles and existing roles which will have changed skill and knowledge requirements.</w:t>
      </w:r>
    </w:p>
    <w:p w14:paraId="200D95F9" w14:textId="14C984DA" w:rsidR="00365335" w:rsidRDefault="005919F3" w:rsidP="00A61B2C">
      <w:pPr>
        <w:spacing w:before="240" w:after="240" w:line="240" w:lineRule="auto"/>
        <w:rPr>
          <w14:numForm w14:val="lining"/>
          <w14:numSpacing w14:val="proportional"/>
        </w:rPr>
      </w:pPr>
      <w:r w:rsidRPr="005919F3">
        <w:rPr>
          <w14:numForm w14:val="lining"/>
          <w14:numSpacing w14:val="proportional"/>
        </w:rPr>
        <w:t xml:space="preserve">While clean energy will transform our economy – and workforce – it’s important to remember that our economy is always in a state of change. </w:t>
      </w:r>
      <w:r w:rsidR="00AF0030">
        <w:rPr>
          <w14:numForm w14:val="lining"/>
          <w14:numSpacing w14:val="proportional"/>
        </w:rPr>
        <w:t>As shown by the imagery in this chapter, e</w:t>
      </w:r>
      <w:r w:rsidRPr="005919F3">
        <w:rPr>
          <w14:numForm w14:val="lining"/>
          <w14:numSpacing w14:val="proportional"/>
        </w:rPr>
        <w:t xml:space="preserve">ven </w:t>
      </w:r>
      <w:r w:rsidR="001C5C12">
        <w:rPr>
          <w14:numForm w14:val="lining"/>
          <w14:numSpacing w14:val="proportional"/>
        </w:rPr>
        <w:t>in</w:t>
      </w:r>
      <w:r w:rsidRPr="005919F3">
        <w:rPr>
          <w14:numForm w14:val="lining"/>
          <w14:numSpacing w14:val="proportional"/>
        </w:rPr>
        <w:t xml:space="preserve"> </w:t>
      </w:r>
      <w:r w:rsidR="00077035">
        <w:rPr>
          <w14:numForm w14:val="lining"/>
          <w14:numSpacing w14:val="proportional"/>
        </w:rPr>
        <w:t xml:space="preserve">with </w:t>
      </w:r>
      <w:r w:rsidRPr="005919F3">
        <w:rPr>
          <w14:numForm w14:val="lining"/>
          <w14:numSpacing w14:val="proportional"/>
        </w:rPr>
        <w:t xml:space="preserve">emerging sectors </w:t>
      </w:r>
      <w:r w:rsidR="00CB3AAF">
        <w:rPr>
          <w14:numForm w14:val="lining"/>
          <w14:numSpacing w14:val="proportional"/>
        </w:rPr>
        <w:t>we have past skills and experience to draw on.</w:t>
      </w:r>
      <w:r w:rsidRPr="005919F3">
        <w:rPr>
          <w14:numForm w14:val="lining"/>
          <w14:numSpacing w14:val="proportional"/>
        </w:rPr>
        <w:t xml:space="preserve"> </w:t>
      </w:r>
      <w:r w:rsidR="00CB3AAF">
        <w:rPr>
          <w14:numForm w14:val="lining"/>
          <w14:numSpacing w14:val="proportional"/>
        </w:rPr>
        <w:t xml:space="preserve"> </w:t>
      </w:r>
      <w:r>
        <w:rPr>
          <w14:numForm w14:val="lining"/>
          <w14:numSpacing w14:val="proportional"/>
        </w:rPr>
        <w:br w:type="page"/>
      </w:r>
    </w:p>
    <w:p w14:paraId="32B43C4F" w14:textId="031C3205" w:rsidR="00FC0D7F" w:rsidRPr="00FC0D7F" w:rsidRDefault="00C175CC" w:rsidP="00BE0902">
      <w:pPr>
        <w:pStyle w:val="Bodycopy"/>
        <w:ind w:left="-1457"/>
        <w:rPr>
          <w:rStyle w:val="Heading2Char"/>
          <w:rFonts w:eastAsiaTheme="minorHAnsi" w:cstheme="minorBidi"/>
          <w:b w:val="0"/>
          <w:sz w:val="22"/>
          <w:szCs w:val="22"/>
        </w:rPr>
      </w:pPr>
      <w:r>
        <w:rPr>
          <w:noProof/>
        </w:rPr>
        <mc:AlternateContent>
          <mc:Choice Requires="wps">
            <w:drawing>
              <wp:anchor distT="0" distB="0" distL="114300" distR="114300" simplePos="0" relativeHeight="251658301" behindDoc="0" locked="0" layoutInCell="1" allowOverlap="1" wp14:anchorId="2EF2B18B" wp14:editId="3CBE1B71">
                <wp:simplePos x="0" y="0"/>
                <wp:positionH relativeFrom="column">
                  <wp:posOffset>-903393</wp:posOffset>
                </wp:positionH>
                <wp:positionV relativeFrom="paragraph">
                  <wp:posOffset>3754967</wp:posOffset>
                </wp:positionV>
                <wp:extent cx="7545286" cy="227407"/>
                <wp:effectExtent l="0" t="0" r="0" b="0"/>
                <wp:wrapNone/>
                <wp:docPr id="1087981640" name="Text Box 10879816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45286" cy="227407"/>
                        </a:xfrm>
                        <a:prstGeom prst="rect">
                          <a:avLst/>
                        </a:prstGeom>
                        <a:solidFill>
                          <a:srgbClr val="262626">
                            <a:alpha val="60000"/>
                          </a:srgbClr>
                        </a:solidFill>
                        <a:ln w="6350">
                          <a:noFill/>
                        </a:ln>
                      </wps:spPr>
                      <wps:txbx>
                        <w:txbxContent>
                          <w:p w14:paraId="5FB04304" w14:textId="77777777" w:rsidR="00C175CC" w:rsidRPr="00B36298" w:rsidRDefault="00C175CC" w:rsidP="00C175CC">
                            <w:pPr>
                              <w:spacing w:after="0" w:line="240" w:lineRule="auto"/>
                              <w:ind w:left="964" w:right="227"/>
                              <w:jc w:val="right"/>
                              <w:rPr>
                                <w:color w:val="FFFFFF" w:themeColor="background1"/>
                                <w:sz w:val="18"/>
                                <w:szCs w:val="18"/>
                              </w:rPr>
                            </w:pPr>
                            <w:r w:rsidRPr="00B36298">
                              <w:rPr>
                                <w:color w:val="FFFFFF" w:themeColor="background1"/>
                                <w:sz w:val="18"/>
                                <w:szCs w:val="18"/>
                              </w:rPr>
                              <w:t>Hydrogen generation plant, Australia 1955</w:t>
                            </w:r>
                            <w:r>
                              <w:rPr>
                                <w:color w:val="FFFFFF" w:themeColor="background1"/>
                                <w:sz w:val="18"/>
                                <w:szCs w:val="18"/>
                              </w:rPr>
                              <w:t>.  National Archives of Australia – 9671915.</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a:graphicData>
                </a:graphic>
              </wp:anchor>
            </w:drawing>
          </mc:Choice>
          <mc:Fallback>
            <w:pict>
              <v:shape w14:anchorId="2EF2B18B" id="Text Box 1087981640" o:spid="_x0000_s1116" type="#_x0000_t202" alt="&quot;&quot;" style="position:absolute;left:0;text-align:left;margin-left:-71.15pt;margin-top:295.65pt;width:594.1pt;height:17.9pt;z-index:2516583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" fillcolor="#262626" stroked="f" strokeweight=".5pt">
                <v:fill opacity="39321f"/>
                <v:textbox inset="2mm,1mm,1mm,1mm">
                  <w:txbxContent>
                    <w:p w14:paraId="5FB04304" w14:textId="77777777" w:rsidR="00C175CC" w:rsidRPr="00B36298" w:rsidRDefault="00C175CC" w:rsidP="00C175CC">
                      <w:pPr>
                        <w:spacing w:after="0" w:line="240" w:lineRule="auto"/>
                        <w:ind w:left="964" w:right="227"/>
                        <w:jc w:val="right"/>
                        <w:rPr>
                          <w:color w:val="FFFFFF" w:themeColor="background1"/>
                          <w:sz w:val="18"/>
                          <w:szCs w:val="18"/>
                        </w:rPr>
                      </w:pPr>
                      <w:r w:rsidRPr="00B36298">
                        <w:rPr>
                          <w:color w:val="FFFFFF" w:themeColor="background1"/>
                          <w:sz w:val="18"/>
                          <w:szCs w:val="18"/>
                        </w:rPr>
                        <w:t>Hydrogen generation plant, Australia 1955</w:t>
                      </w:r>
                      <w:r>
                        <w:rPr>
                          <w:color w:val="FFFFFF" w:themeColor="background1"/>
                          <w:sz w:val="18"/>
                          <w:szCs w:val="18"/>
                        </w:rPr>
                        <w:t>.  National Archives of Australia – 9671915.</w:t>
                      </w:r>
                    </w:p>
                  </w:txbxContent>
                </v:textbox>
              </v:shape>
            </w:pict>
          </mc:Fallback>
        </mc:AlternateContent>
      </w:r>
      <w:r w:rsidR="00750802">
        <w:rPr>
          <w:rStyle w:val="Heading2Char"/>
          <w:rFonts w:eastAsiaTheme="minorHAnsi" w:cstheme="minorBidi"/>
          <w:b w:val="0"/>
          <w:noProof/>
          <w:sz w:val="22"/>
          <w:szCs w:val="22"/>
        </w:rPr>
        <w:drawing>
          <wp:inline distT="0" distB="0" distL="0" distR="0" wp14:anchorId="0786558A" wp14:editId="6B7FECF4">
            <wp:extent cx="7639050" cy="3987165"/>
            <wp:effectExtent l="0" t="0" r="0" b="0"/>
            <wp:docPr id="18343529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7639050" cy="3987165"/>
                    </a:xfrm>
                    <a:prstGeom prst="rect">
                      <a:avLst/>
                    </a:prstGeom>
                    <a:noFill/>
                  </pic:spPr>
                </pic:pic>
              </a:graphicData>
            </a:graphic>
          </wp:inline>
        </w:drawing>
      </w:r>
    </w:p>
    <w:p w14:paraId="042A3775" w14:textId="030E13C9" w:rsidR="009E09C1" w:rsidRDefault="009E09C1" w:rsidP="006475C1">
      <w:pPr>
        <w:pStyle w:val="Heading2"/>
        <w:spacing w:before="360" w:after="120"/>
        <w:rPr>
          <w14:numForm w14:val="lining"/>
          <w14:numSpacing w14:val="proportional"/>
        </w:rPr>
      </w:pPr>
      <w:bookmarkStart w:id="66" w:name="_Toc146892687"/>
      <w:r w:rsidRPr="00BF465F">
        <w:rPr>
          <w:rStyle w:val="Heading2Char"/>
          <w:rFonts w:asciiTheme="minorHAnsi" w:hAnsiTheme="minorHAnsi" w:cstheme="minorHAnsi"/>
          <w:b/>
        </w:rPr>
        <w:t>6</w:t>
      </w:r>
      <w:r w:rsidRPr="00BF465F">
        <w:rPr>
          <w:rStyle w:val="Heading2Char"/>
          <w:rFonts w:asciiTheme="minorHAnsi" w:hAnsiTheme="minorHAnsi" w:cstheme="minorHAnsi"/>
          <w:b/>
          <w:smallCaps/>
        </w:rPr>
        <w:t>a</w:t>
      </w:r>
      <w:r w:rsidRPr="00BF465F">
        <w:rPr>
          <w:rStyle w:val="Heading2Char"/>
          <w:rFonts w:asciiTheme="minorHAnsi" w:hAnsiTheme="minorHAnsi" w:cstheme="minorHAnsi"/>
          <w:b/>
        </w:rPr>
        <w:t>.</w:t>
      </w:r>
      <w:r w:rsidRPr="009E09C1">
        <w:rPr>
          <w:rStyle w:val="Heading2Char"/>
        </w:rPr>
        <w:t xml:space="preserve"> </w:t>
      </w:r>
      <w:r w:rsidRPr="00F07F0F">
        <w:rPr>
          <w:rStyle w:val="Heading2Char"/>
          <w:bCs/>
        </w:rPr>
        <w:t>Fuels and storage</w:t>
      </w:r>
      <w:bookmarkEnd w:id="66"/>
    </w:p>
    <w:p w14:paraId="629E278B" w14:textId="77777777" w:rsidR="009E09C1" w:rsidRPr="009E09C1" w:rsidRDefault="009E09C1" w:rsidP="005E451D">
      <w:pPr>
        <w:pStyle w:val="Heading3"/>
        <w:spacing w:before="480"/>
        <w:rPr>
          <w:color w:val="9F1853" w:themeColor="accent4"/>
        </w:rPr>
      </w:pPr>
      <w:r w:rsidRPr="009E09C1">
        <w:rPr>
          <w:color w:val="9F1853" w:themeColor="accent4"/>
        </w:rPr>
        <w:t>Hydrogen</w:t>
      </w:r>
    </w:p>
    <w:p w14:paraId="685FE77F" w14:textId="77777777" w:rsidR="009E09C1" w:rsidRPr="007B7DCD" w:rsidRDefault="009E09C1" w:rsidP="009E09C1">
      <w:pPr>
        <w:spacing w:before="240" w:after="120" w:line="276" w:lineRule="auto"/>
        <w:rPr>
          <w14:numForm w14:val="lining"/>
          <w14:numSpacing w14:val="proportional"/>
        </w:rPr>
      </w:pPr>
      <w:r w:rsidRPr="007B7DCD">
        <w:rPr>
          <w14:numForm w14:val="lining"/>
          <w14:numSpacing w14:val="proportional"/>
        </w:rPr>
        <w:t>Hydrogen could be the missing link that solves three wicked problems for Australia:</w:t>
      </w:r>
    </w:p>
    <w:p w14:paraId="4240D179" w14:textId="77777777" w:rsidR="009E09C1" w:rsidRPr="007B7DCD" w:rsidRDefault="009E09C1" w:rsidP="00F25595">
      <w:pPr>
        <w:pStyle w:val="ListParagraph"/>
        <w:numPr>
          <w:ilvl w:val="0"/>
          <w:numId w:val="67"/>
        </w:numPr>
        <w:spacing w:before="120" w:after="120" w:line="276" w:lineRule="auto"/>
        <w:ind w:left="714" w:hanging="357"/>
        <w:contextualSpacing w:val="0"/>
        <w:rPr>
          <w14:numForm w14:val="lining"/>
          <w14:numSpacing w14:val="proportional"/>
        </w:rPr>
      </w:pPr>
      <w:r w:rsidRPr="007B7DCD">
        <w:rPr>
          <w14:numForm w14:val="lining"/>
          <w14:numSpacing w14:val="proportional"/>
        </w:rPr>
        <w:t>Replacing fossil fuels in hard to abate sectors like manufacturing and heavy transport that rely on high density fuels</w:t>
      </w:r>
    </w:p>
    <w:p w14:paraId="4BB0DCBB" w14:textId="77777777" w:rsidR="009E09C1" w:rsidRPr="007B7DCD" w:rsidRDefault="009E09C1" w:rsidP="00F25595">
      <w:pPr>
        <w:pStyle w:val="ListParagraph"/>
        <w:numPr>
          <w:ilvl w:val="0"/>
          <w:numId w:val="67"/>
        </w:numPr>
        <w:spacing w:after="120" w:line="276" w:lineRule="auto"/>
        <w:ind w:left="714" w:hanging="357"/>
        <w:contextualSpacing w:val="0"/>
        <w:rPr>
          <w14:numForm w14:val="lining"/>
          <w14:numSpacing w14:val="proportional"/>
        </w:rPr>
      </w:pPr>
      <w:r w:rsidRPr="007B7DCD">
        <w:rPr>
          <w14:numForm w14:val="lining"/>
          <w14:numSpacing w14:val="proportional"/>
        </w:rPr>
        <w:t>Storing energy when we have too much, and accessing it when we have too little</w:t>
      </w:r>
    </w:p>
    <w:p w14:paraId="5B10E09A" w14:textId="77777777" w:rsidR="009E09C1" w:rsidRPr="007B7DCD" w:rsidRDefault="009E09C1" w:rsidP="00F25595">
      <w:pPr>
        <w:pStyle w:val="ListParagraph"/>
        <w:numPr>
          <w:ilvl w:val="0"/>
          <w:numId w:val="67"/>
        </w:numPr>
        <w:spacing w:after="0" w:line="276" w:lineRule="auto"/>
        <w:ind w:left="714" w:hanging="357"/>
        <w:contextualSpacing w:val="0"/>
        <w:rPr>
          <w14:numForm w14:val="lining"/>
          <w14:numSpacing w14:val="proportional"/>
        </w:rPr>
      </w:pPr>
      <w:r w:rsidRPr="007B7DCD">
        <w:rPr>
          <w14:numForm w14:val="lining"/>
          <w14:numSpacing w14:val="proportional"/>
        </w:rPr>
        <w:t>Transporting renewable energy across large distances to enable export markets.</w:t>
      </w:r>
    </w:p>
    <w:p w14:paraId="318558A6" w14:textId="77777777" w:rsidR="009E09C1" w:rsidRPr="007B7DCD" w:rsidRDefault="009E09C1" w:rsidP="009E09C1">
      <w:pPr>
        <w:spacing w:before="160" w:after="120" w:line="276" w:lineRule="auto"/>
        <w:rPr>
          <w14:numForm w14:val="lining"/>
          <w14:numSpacing w14:val="proportional"/>
        </w:rPr>
      </w:pPr>
      <w:r w:rsidRPr="007B7DCD">
        <w:rPr>
          <w14:numForm w14:val="lining"/>
          <w14:numSpacing w14:val="proportional"/>
        </w:rPr>
        <w:t>Australia could play a significant role in the global hydrogen industry by leveraging its untapped renewable energy potential, skilled workforce and long history as a trusted energy exporter.</w:t>
      </w:r>
      <w:r w:rsidRPr="007B7DCD">
        <w:rPr>
          <w:rStyle w:val="EndnoteReference"/>
          <w14:numForm w14:val="lining"/>
          <w14:numSpacing w14:val="proportional"/>
        </w:rPr>
        <w:endnoteReference w:id="92"/>
      </w:r>
      <w:r w:rsidRPr="007B7DCD">
        <w:rPr>
          <w14:numForm w14:val="lining"/>
          <w14:numSpacing w14:val="proportional"/>
        </w:rPr>
        <w:t xml:space="preserve"> The Australian Government has announced several measures to kickstart the market for hydrogen, including a $2 billion investment under the Hydrogen Headstart program. This is joined by significant investments from state and territory governments, industry and research organisations.</w:t>
      </w:r>
    </w:p>
    <w:p w14:paraId="63A6B6F0" w14:textId="77777777" w:rsidR="009E09C1" w:rsidRPr="007B7DCD" w:rsidRDefault="009E09C1" w:rsidP="009E09C1">
      <w:pPr>
        <w:spacing w:before="120" w:after="120" w:line="276" w:lineRule="auto"/>
        <w:rPr>
          <w14:numForm w14:val="lining"/>
          <w14:numSpacing w14:val="proportional"/>
        </w:rPr>
      </w:pPr>
      <w:r w:rsidRPr="007B7DCD">
        <w:rPr>
          <w14:numForm w14:val="lining"/>
          <w14:numSpacing w14:val="proportional"/>
        </w:rPr>
        <w:t xml:space="preserve">Hydrogen production through electrolysis is not a new concept and has been done for many years, including in Australia. What is new is the mammoth scale of production and how we intend to use it. Like any energy sector, this will require a large workforce with a diverse mix of skills. However, unlike other energy sectors, large scale hydrogen production is still nascent across the globe, limiting our ability to draw on overseas talent. Until the hydrogen industry truly scales and matures, we will not know the exact skills mix we need. </w:t>
      </w:r>
    </w:p>
    <w:p w14:paraId="0DC4FED7" w14:textId="7F6070E4" w:rsidR="009E09C1" w:rsidRPr="007B7DCD" w:rsidRDefault="009E09C1" w:rsidP="009E09C1">
      <w:pPr>
        <w:spacing w:before="120" w:after="120" w:line="276" w:lineRule="auto"/>
      </w:pPr>
      <w:r w:rsidRPr="007B7DCD">
        <w:rPr>
          <w14:numForm w14:val="lining"/>
          <w14:numSpacing w14:val="proportional"/>
        </w:rPr>
        <w:t xml:space="preserve">As of now, employment in hydrogen is likely to be very low, with our LinkedIn analysis suggesting most employment is predominantly in research and development. Australia’s broader industrial gas manufacturing industry (which includes hydrogen and ammonia) employed around 1,900 people in 2021, with a mix of occupations like </w:t>
      </w:r>
      <w:r w:rsidRPr="48834AD3">
        <w:rPr>
          <w14:numForm w14:val="lining"/>
          <w14:numSpacing w14:val="proportional"/>
        </w:rPr>
        <w:t>Gas or Petroleum Operators</w:t>
      </w:r>
      <w:r w:rsidRPr="007B7DCD">
        <w:rPr>
          <w14:numForm w14:val="lining"/>
          <w14:numSpacing w14:val="proportional"/>
        </w:rPr>
        <w:t xml:space="preserve">, </w:t>
      </w:r>
      <w:r w:rsidRPr="48834AD3">
        <w:rPr>
          <w14:numForm w14:val="lining"/>
          <w14:numSpacing w14:val="proportional"/>
        </w:rPr>
        <w:t>Chemical Engineers</w:t>
      </w:r>
      <w:r w:rsidR="483CB20D" w:rsidRPr="48834AD3">
        <w:rPr>
          <w14:numForm w14:val="lining"/>
          <w14:numSpacing w14:val="proportional"/>
        </w:rPr>
        <w:t>,</w:t>
      </w:r>
      <w:r w:rsidRPr="007B7DCD">
        <w:rPr>
          <w14:numForm w14:val="lining"/>
          <w14:numSpacing w14:val="proportional"/>
        </w:rPr>
        <w:t xml:space="preserve"> and </w:t>
      </w:r>
      <w:r w:rsidRPr="48834AD3">
        <w:rPr>
          <w14:numForm w14:val="lining"/>
          <w14:numSpacing w14:val="proportional"/>
        </w:rPr>
        <w:t>Chemical Plant Operators</w:t>
      </w:r>
      <w:r w:rsidRPr="007B7DCD">
        <w:rPr>
          <w14:numForm w14:val="lining"/>
          <w14:numSpacing w14:val="proportional"/>
        </w:rPr>
        <w:t>. Most of this employment is in capital cities like Sydney, Melbourne, Brisbane, Pe</w:t>
      </w:r>
      <w:r>
        <w:rPr>
          <w14:numForm w14:val="lining"/>
          <w14:numSpacing w14:val="proportional"/>
        </w:rPr>
        <w:t>r</w:t>
      </w:r>
      <w:r w:rsidRPr="007B7DCD">
        <w:rPr>
          <w14:numForm w14:val="lining"/>
          <w14:numSpacing w14:val="proportional"/>
        </w:rPr>
        <w:t>th and Adelaide.</w:t>
      </w:r>
      <w:r w:rsidRPr="007B7DCD">
        <w:rPr>
          <w:rStyle w:val="EndnoteReference"/>
          <w14:numForm w14:val="lining"/>
          <w14:numSpacing w14:val="proportional"/>
        </w:rPr>
        <w:endnoteReference w:id="93"/>
      </w:r>
    </w:p>
    <w:p w14:paraId="597135ED" w14:textId="5562051D" w:rsidR="009E09C1" w:rsidRPr="007B7DCD" w:rsidRDefault="009E09C1" w:rsidP="009E09C1">
      <w:pPr>
        <w:spacing w:after="120" w:line="276" w:lineRule="auto"/>
        <w:rPr>
          <w14:numForm w14:val="lining"/>
          <w14:numSpacing w14:val="proportional"/>
        </w:rPr>
      </w:pPr>
      <w:r w:rsidRPr="007B7DCD">
        <w:rPr>
          <w14:numForm w14:val="lining"/>
          <w14:numSpacing w14:val="proportional"/>
        </w:rPr>
        <w:t>In the first instance, hydrogen will require a large construction and fabrication workforce to establish new facilities and electrolysers. While electrolysers are predominantly manufactured overseas, companies like Fortescue Future Industries intend to begin domestic manufacturing. As hydrogen facilities come online, a smaller but important workforce for operations and maintenance will be required.</w:t>
      </w:r>
    </w:p>
    <w:p w14:paraId="672EAB4C" w14:textId="24312468" w:rsidR="009E09C1" w:rsidRPr="007B7DCD" w:rsidRDefault="009E09C1" w:rsidP="009E09C1">
      <w:pPr>
        <w:spacing w:after="120" w:line="276" w:lineRule="auto"/>
      </w:pPr>
      <w:r w:rsidRPr="007B7DCD">
        <w:rPr>
          <w14:numForm w14:val="lining"/>
          <w14:numSpacing w14:val="proportional"/>
        </w:rPr>
        <w:t xml:space="preserve">Beyond manufacturing hydrogen, Australia will also need workers to build pipelines and other infrastructure like refuelling stations. There are around 2,100 people already working in pipeline transport, with a mix of </w:t>
      </w:r>
      <w:r w:rsidR="21EE7CCA" w:rsidRPr="007B7DCD">
        <w:rPr>
          <w14:numForm w14:val="lining"/>
          <w14:numSpacing w14:val="proportional"/>
        </w:rPr>
        <w:t>E</w:t>
      </w:r>
      <w:r w:rsidRPr="007B7DCD">
        <w:rPr>
          <w14:numForm w14:val="lining"/>
          <w14:numSpacing w14:val="proportional"/>
        </w:rPr>
        <w:t xml:space="preserve">ngineers and </w:t>
      </w:r>
      <w:r w:rsidR="4B39E073" w:rsidRPr="007B7DCD">
        <w:rPr>
          <w14:numForm w14:val="lining"/>
          <w14:numSpacing w14:val="proportional"/>
        </w:rPr>
        <w:t>G</w:t>
      </w:r>
      <w:r w:rsidRPr="007B7DCD">
        <w:rPr>
          <w14:numForm w14:val="lining"/>
          <w14:numSpacing w14:val="proportional"/>
        </w:rPr>
        <w:t>asfitters. Australia will be able to leverage its large and skilled natural gas workforce to support these types of infrastructure works.</w:t>
      </w:r>
      <w:r w:rsidR="00A45B98">
        <w:rPr>
          <w14:numForm w14:val="lining"/>
          <w14:numSpacing w14:val="proportional"/>
        </w:rPr>
        <w:t xml:space="preserve"> The Minerals Council of Australia noted that a successful clean hydrogen industry will require similar skills to those already required by mining, oil and gas, meaning significant re-skilling won’t be needed.</w:t>
      </w:r>
      <w:r w:rsidRPr="4AB85293">
        <w:rPr>
          <w:rStyle w:val="EndnoteReference"/>
        </w:rPr>
        <w:endnoteReference w:id="94"/>
      </w:r>
    </w:p>
    <w:p w14:paraId="046E7986" w14:textId="3AA46C00" w:rsidR="009E09C1" w:rsidRPr="007B7DCD" w:rsidRDefault="009E09C1" w:rsidP="009E09C1">
      <w:pPr>
        <w:spacing w:after="120" w:line="276" w:lineRule="auto"/>
        <w:rPr>
          <w:rFonts w:eastAsia="Arial"/>
          <w:b/>
          <w:bCs/>
          <w14:numForm w14:val="lining"/>
          <w14:numSpacing w14:val="proportional"/>
        </w:rPr>
      </w:pPr>
      <w:r w:rsidRPr="007B7DCD">
        <w:rPr>
          <w:rFonts w:eastAsia="Arial"/>
          <w14:numForm w14:val="lining"/>
          <w14:numSpacing w14:val="proportional"/>
        </w:rPr>
        <w:t>Like many other elements of clean energy, hydrogen builds on existing trade, technician and engineering roles, rather than needing entirely bespoke occupations. There are several specialist units and electives already being delivered in VET and Higher Education for hydrogen</w:t>
      </w:r>
      <w:r>
        <w:rPr>
          <w:rFonts w:eastAsia="Arial"/>
          <w14:numForm w14:val="lining"/>
          <w14:numSpacing w14:val="proportional"/>
        </w:rPr>
        <w:t xml:space="preserve"> technology</w:t>
      </w:r>
      <w:r w:rsidRPr="007B7DCD">
        <w:rPr>
          <w:rFonts w:eastAsia="Arial"/>
          <w14:numForm w14:val="lining"/>
          <w14:numSpacing w14:val="proportional"/>
        </w:rPr>
        <w:t xml:space="preserve">. For example, the Gas Industry Training Package includes a unit </w:t>
      </w:r>
      <w:r w:rsidRPr="3E880473">
        <w:rPr>
          <w:rFonts w:eastAsia="Arial"/>
          <w:i/>
          <w:iCs/>
          <w14:numForm w14:val="lining"/>
          <w14:numSpacing w14:val="proportional"/>
        </w:rPr>
        <w:t>Apply safety practices, procedures and compliance standards for handling hydrogen gas</w:t>
      </w:r>
      <w:r w:rsidRPr="007B7DCD">
        <w:rPr>
          <w:rFonts w:eastAsia="Arial"/>
          <w14:numForm w14:val="lining"/>
          <w14:numSpacing w14:val="proportional"/>
        </w:rPr>
        <w:t xml:space="preserve"> that provides skills and knowledge for handling hydrogen.</w:t>
      </w:r>
      <w:r w:rsidRPr="007B7DCD">
        <w:rPr>
          <w:rStyle w:val="EndnoteReference"/>
          <w:rFonts w:eastAsia="Arial"/>
          <w14:numForm w14:val="lining"/>
          <w14:numSpacing w14:val="proportional"/>
        </w:rPr>
        <w:endnoteReference w:id="95"/>
      </w:r>
      <w:r w:rsidRPr="007B7DCD">
        <w:rPr>
          <w:rFonts w:eastAsia="Arial"/>
          <w14:numForm w14:val="lining"/>
          <w14:numSpacing w14:val="proportional"/>
        </w:rPr>
        <w:t xml:space="preserve"> Additionally, both Swinburne</w:t>
      </w:r>
      <w:r w:rsidR="00B72A3B">
        <w:rPr>
          <w:rFonts w:eastAsia="Arial"/>
          <w14:numForm w14:val="lining"/>
          <w14:numSpacing w14:val="proportional"/>
        </w:rPr>
        <w:t xml:space="preserve">, Federation University Australia, </w:t>
      </w:r>
      <w:r w:rsidR="00993604">
        <w:rPr>
          <w:rFonts w:eastAsia="Arial"/>
          <w14:numForm w14:val="lining"/>
          <w14:numSpacing w14:val="proportional"/>
        </w:rPr>
        <w:t xml:space="preserve">RMIT, </w:t>
      </w:r>
      <w:r w:rsidRPr="007B7DCD">
        <w:rPr>
          <w:rFonts w:eastAsia="Arial"/>
          <w14:numForm w14:val="lining"/>
          <w14:numSpacing w14:val="proportional"/>
        </w:rPr>
        <w:t xml:space="preserve">Curtin University </w:t>
      </w:r>
      <w:r w:rsidR="00993604">
        <w:rPr>
          <w:rFonts w:eastAsia="Arial"/>
          <w14:numForm w14:val="lining"/>
          <w14:numSpacing w14:val="proportional"/>
        </w:rPr>
        <w:t>and Victoria University</w:t>
      </w:r>
      <w:r w:rsidRPr="007B7DCD">
        <w:rPr>
          <w:rFonts w:eastAsia="Arial"/>
          <w14:numForm w14:val="lining"/>
          <w14:numSpacing w14:val="proportional"/>
        </w:rPr>
        <w:t xml:space="preserve"> deliver engineering units for hydrogen. </w:t>
      </w:r>
      <w:r w:rsidRPr="00034217">
        <w:rPr>
          <w:rFonts w:eastAsia="Arial"/>
          <w14:numForm w14:val="lining"/>
          <w14:numSpacing w14:val="proportional"/>
        </w:rPr>
        <w:t xml:space="preserve">A full </w:t>
      </w:r>
      <w:r w:rsidR="009051AA" w:rsidRPr="00034217">
        <w:rPr>
          <w:rFonts w:eastAsia="Arial"/>
          <w14:numForm w14:val="lining"/>
          <w14:numSpacing w14:val="proportional"/>
        </w:rPr>
        <w:t>list</w:t>
      </w:r>
      <w:r w:rsidRPr="00034217">
        <w:rPr>
          <w:rFonts w:eastAsia="Arial"/>
          <w14:numForm w14:val="lining"/>
          <w14:numSpacing w14:val="proportional"/>
        </w:rPr>
        <w:t xml:space="preserve"> of specialist units </w:t>
      </w:r>
      <w:r w:rsidR="00325088" w:rsidRPr="00034217">
        <w:rPr>
          <w:rFonts w:eastAsia="Arial"/>
          <w14:numForm w14:val="lining"/>
          <w14:numSpacing w14:val="proportional"/>
        </w:rPr>
        <w:t xml:space="preserve">can </w:t>
      </w:r>
      <w:r w:rsidRPr="00034217">
        <w:rPr>
          <w:rFonts w:eastAsia="Arial"/>
          <w14:numForm w14:val="lining"/>
          <w14:numSpacing w14:val="proportional"/>
        </w:rPr>
        <w:t xml:space="preserve">be found in Attachment </w:t>
      </w:r>
      <w:r w:rsidR="00590C5A">
        <w:rPr>
          <w:rFonts w:eastAsia="Arial"/>
          <w14:numForm w14:val="lining"/>
          <w14:numSpacing w14:val="proportional"/>
        </w:rPr>
        <w:t>B</w:t>
      </w:r>
      <w:r w:rsidRPr="00034217">
        <w:rPr>
          <w:rFonts w:eastAsia="Arial"/>
          <w14:numForm w14:val="lining"/>
          <w14:numSpacing w14:val="proportional"/>
        </w:rPr>
        <w:t>.</w:t>
      </w:r>
    </w:p>
    <w:p w14:paraId="3D9DB85A" w14:textId="1D488755" w:rsidR="00FC4846" w:rsidRDefault="009E09C1" w:rsidP="009808D8">
      <w:pPr>
        <w:pStyle w:val="Default"/>
        <w:spacing w:before="120" w:line="276" w:lineRule="auto"/>
        <w:rPr>
          <w:rFonts w:eastAsiaTheme="majorEastAsia" w:cstheme="majorBidi"/>
          <w:b/>
          <w:color w:val="9F1853" w:themeColor="accent4"/>
          <w:sz w:val="32"/>
        </w:rPr>
      </w:pPr>
      <w:r w:rsidRPr="007B7DCD">
        <w:rPr>
          <w:sz w:val="22"/>
          <w:szCs w:val="22"/>
          <w14:numForm w14:val="lining"/>
          <w14:numSpacing w14:val="proportional"/>
        </w:rPr>
        <w:t xml:space="preserve">It’s important to note that a domestic hydrogen industry will also require much larger generation and transmission capacity. To become a ‘hydrogen superpower’, AEMO have suggested it would take a grid about </w:t>
      </w:r>
      <w:r w:rsidR="002055FF">
        <w:rPr>
          <w:sz w:val="22"/>
          <w:szCs w:val="22"/>
          <w14:numForm w14:val="lining"/>
          <w14:numSpacing w14:val="proportional"/>
        </w:rPr>
        <w:t>eight</w:t>
      </w:r>
      <w:r w:rsidRPr="007B7DCD">
        <w:rPr>
          <w:sz w:val="22"/>
          <w:szCs w:val="22"/>
          <w14:numForm w14:val="lining"/>
          <w14:numSpacing w14:val="proportional"/>
        </w:rPr>
        <w:t xml:space="preserve"> times the current size, which would drive enormous demand for workers in other segments of the economy.</w:t>
      </w:r>
      <w:r>
        <w:rPr>
          <w:rStyle w:val="EndnoteReference"/>
          <w:sz w:val="22"/>
          <w:szCs w:val="22"/>
          <w14:numForm w14:val="lining"/>
          <w14:numSpacing w14:val="proportional"/>
        </w:rPr>
        <w:endnoteReference w:id="96"/>
      </w:r>
      <w:r>
        <w:rPr>
          <w:sz w:val="22"/>
          <w:szCs w:val="22"/>
          <w14:numForm w14:val="lining"/>
          <w14:numSpacing w14:val="proportional"/>
        </w:rPr>
        <w:t xml:space="preserve"> </w:t>
      </w:r>
      <w:r w:rsidR="002055FF">
        <w:rPr>
          <w:sz w:val="22"/>
          <w:szCs w:val="22"/>
          <w14:numForm w14:val="lining"/>
          <w14:numSpacing w14:val="proportional"/>
        </w:rPr>
        <w:t xml:space="preserve">Reaching the </w:t>
      </w:r>
      <w:r w:rsidR="000C54D2">
        <w:rPr>
          <w:sz w:val="22"/>
          <w:szCs w:val="22"/>
          <w14:numForm w14:val="lining"/>
          <w14:numSpacing w14:val="proportional"/>
        </w:rPr>
        <w:t xml:space="preserve">ambition of other estimates, like those by </w:t>
      </w:r>
      <w:r w:rsidR="008C73F8" w:rsidRPr="008C73F8">
        <w:rPr>
          <w:sz w:val="22"/>
          <w:szCs w:val="22"/>
          <w14:numForm w14:val="lining"/>
          <w14:numSpacing w14:val="proportional"/>
        </w:rPr>
        <w:t>Emeritus Professor</w:t>
      </w:r>
      <w:r w:rsidR="008C73F8">
        <w:rPr>
          <w:sz w:val="22"/>
          <w:szCs w:val="22"/>
          <w14:numForm w14:val="lining"/>
          <w14:numSpacing w14:val="proportional"/>
        </w:rPr>
        <w:t xml:space="preserve"> </w:t>
      </w:r>
      <w:r w:rsidR="000C54D2">
        <w:rPr>
          <w:sz w:val="22"/>
          <w:szCs w:val="22"/>
          <w14:numForm w14:val="lining"/>
          <w14:numSpacing w14:val="proportional"/>
        </w:rPr>
        <w:t>Ross Garna</w:t>
      </w:r>
      <w:r w:rsidR="008C73F8">
        <w:rPr>
          <w:sz w:val="22"/>
          <w:szCs w:val="22"/>
          <w14:numForm w14:val="lining"/>
          <w14:numSpacing w14:val="proportional"/>
        </w:rPr>
        <w:t>u</w:t>
      </w:r>
      <w:r w:rsidR="000C54D2">
        <w:rPr>
          <w:sz w:val="22"/>
          <w:szCs w:val="22"/>
          <w14:numForm w14:val="lining"/>
          <w14:numSpacing w14:val="proportional"/>
        </w:rPr>
        <w:t xml:space="preserve">t and Net Zero Australia, could require a grid around 50 times the current size. </w:t>
      </w:r>
      <w:r w:rsidR="00FD6858">
        <w:rPr>
          <w:sz w:val="22"/>
          <w:szCs w:val="22"/>
          <w14:numForm w14:val="lining"/>
          <w14:numSpacing w14:val="proportional"/>
        </w:rPr>
        <w:t>Some h</w:t>
      </w:r>
      <w:r>
        <w:rPr>
          <w:sz w:val="22"/>
          <w:szCs w:val="22"/>
          <w14:numForm w14:val="lining"/>
          <w14:numSpacing w14:val="proportional"/>
        </w:rPr>
        <w:t xml:space="preserve">ydrogen and ammonia production </w:t>
      </w:r>
      <w:r w:rsidR="008C73F8">
        <w:rPr>
          <w:sz w:val="22"/>
          <w:szCs w:val="22"/>
          <w14:numForm w14:val="lining"/>
          <w14:numSpacing w14:val="proportional"/>
        </w:rPr>
        <w:t>may</w:t>
      </w:r>
      <w:r>
        <w:rPr>
          <w:sz w:val="22"/>
          <w:szCs w:val="22"/>
          <w14:numForm w14:val="lining"/>
          <w14:numSpacing w14:val="proportional"/>
        </w:rPr>
        <w:t xml:space="preserve"> also take place in proximity to large scale renewable generation, which is often away from major population centres</w:t>
      </w:r>
      <w:r w:rsidR="008C73F8">
        <w:rPr>
          <w:sz w:val="22"/>
          <w:szCs w:val="22"/>
          <w14:numForm w14:val="lining"/>
          <w14:numSpacing w14:val="proportional"/>
        </w:rPr>
        <w:t xml:space="preserve"> and could</w:t>
      </w:r>
      <w:r>
        <w:rPr>
          <w:sz w:val="22"/>
          <w:szCs w:val="22"/>
          <w14:numForm w14:val="lining"/>
          <w14:numSpacing w14:val="proportional"/>
        </w:rPr>
        <w:t xml:space="preserve"> mak</w:t>
      </w:r>
      <w:r w:rsidR="008C73F8">
        <w:rPr>
          <w:sz w:val="22"/>
          <w:szCs w:val="22"/>
          <w14:numForm w14:val="lining"/>
          <w14:numSpacing w14:val="proportional"/>
        </w:rPr>
        <w:t>e</w:t>
      </w:r>
      <w:r>
        <w:rPr>
          <w:sz w:val="22"/>
          <w:szCs w:val="22"/>
          <w14:numForm w14:val="lining"/>
          <w14:numSpacing w14:val="proportional"/>
        </w:rPr>
        <w:t xml:space="preserve"> it difficult to source workers.</w:t>
      </w:r>
      <w:r w:rsidR="00FC4846">
        <w:rPr>
          <w:color w:val="9F1853" w:themeColor="accent4"/>
        </w:rPr>
        <w:br w:type="page"/>
      </w:r>
    </w:p>
    <w:p w14:paraId="4A97B18E" w14:textId="4A66AFFE" w:rsidR="006475C1" w:rsidRDefault="00750802" w:rsidP="00D176F1">
      <w:pPr>
        <w:pStyle w:val="Bodycopy"/>
        <w:ind w:left="-1474"/>
        <w:rPr>
          <w:color w:val="9F1853" w:themeColor="accent4"/>
        </w:rPr>
      </w:pPr>
      <w:r>
        <w:rPr>
          <w:noProof/>
          <w:color w:val="9F1853" w:themeColor="accent4"/>
        </w:rPr>
        <mc:AlternateContent>
          <mc:Choice Requires="wps">
            <w:drawing>
              <wp:anchor distT="0" distB="0" distL="114300" distR="114300" simplePos="0" relativeHeight="251666532" behindDoc="0" locked="0" layoutInCell="1" allowOverlap="1" wp14:anchorId="3F248477" wp14:editId="1C50B4F5">
                <wp:simplePos x="0" y="0"/>
                <wp:positionH relativeFrom="column">
                  <wp:posOffset>-920750</wp:posOffset>
                </wp:positionH>
                <wp:positionV relativeFrom="paragraph">
                  <wp:posOffset>4114326</wp:posOffset>
                </wp:positionV>
                <wp:extent cx="7555865" cy="226695"/>
                <wp:effectExtent l="0" t="0" r="6985" b="1905"/>
                <wp:wrapNone/>
                <wp:docPr id="1087981643"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5865" cy="226695"/>
                        </a:xfrm>
                        <a:prstGeom prst="rect">
                          <a:avLst/>
                        </a:prstGeom>
                        <a:solidFill>
                          <a:srgbClr val="262626">
                            <a:alpha val="60000"/>
                          </a:srgbClr>
                        </a:solidFill>
                        <a:ln w="6350">
                          <a:noFill/>
                        </a:ln>
                      </wps:spPr>
                      <wps:txbx>
                        <w:txbxContent>
                          <w:p w14:paraId="66B61F66" w14:textId="77777777" w:rsidR="00FC4846" w:rsidRPr="00B36298" w:rsidRDefault="00FC4846" w:rsidP="006475C1">
                            <w:pPr>
                              <w:spacing w:after="0" w:line="240" w:lineRule="auto"/>
                              <w:ind w:right="357"/>
                              <w:jc w:val="right"/>
                              <w:rPr>
                                <w:color w:val="FFFFFF" w:themeColor="background1"/>
                                <w:sz w:val="18"/>
                                <w:szCs w:val="18"/>
                              </w:rPr>
                            </w:pPr>
                            <w:r w:rsidRPr="00716E3A">
                              <w:rPr>
                                <w:color w:val="F2F2F2" w:themeColor="background1" w:themeShade="F2"/>
                                <w:sz w:val="18"/>
                                <w:szCs w:val="18"/>
                              </w:rPr>
                              <w:t xml:space="preserve">Sugarcane </w:t>
                            </w:r>
                            <w:r>
                              <w:rPr>
                                <w:color w:val="F2F2F2" w:themeColor="background1" w:themeShade="F2"/>
                                <w:sz w:val="18"/>
                                <w:szCs w:val="18"/>
                              </w:rPr>
                              <w:t>h</w:t>
                            </w:r>
                            <w:r w:rsidRPr="00716E3A">
                              <w:rPr>
                                <w:color w:val="F2F2F2" w:themeColor="background1" w:themeShade="F2"/>
                                <w:sz w:val="18"/>
                                <w:szCs w:val="18"/>
                              </w:rPr>
                              <w:t xml:space="preserve">arvesting, Mackay QLD 1989. National Archives of Australia, </w:t>
                            </w:r>
                            <w:r>
                              <w:rPr>
                                <w:color w:val="F2F2F2" w:themeColor="background1" w:themeShade="F2"/>
                                <w:sz w:val="18"/>
                                <w:szCs w:val="18"/>
                              </w:rPr>
                              <w:t xml:space="preserve">item </w:t>
                            </w:r>
                            <w:r w:rsidRPr="00716E3A">
                              <w:rPr>
                                <w:color w:val="F2F2F2" w:themeColor="background1" w:themeShade="F2"/>
                                <w:sz w:val="18"/>
                                <w:szCs w:val="18"/>
                              </w:rPr>
                              <w:t>11672299</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a:graphicData>
                </a:graphic>
              </wp:anchor>
            </w:drawing>
          </mc:Choice>
          <mc:Fallback>
            <w:pict>
              <v:shape w14:anchorId="3F248477" id="Text Box 12" o:spid="_x0000_s1117" type="#_x0000_t202" alt="&quot;&quot;" style="position:absolute;left:0;text-align:left;margin-left:-72.5pt;margin-top:323.95pt;width:594.95pt;height:17.85pt;z-index:2516665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" fillcolor="#262626" stroked="f" strokeweight=".5pt">
                <v:fill opacity="39321f"/>
                <v:textbox inset="2mm,1mm,1mm,1mm">
                  <w:txbxContent>
                    <w:p w14:paraId="66B61F66" w14:textId="77777777" w:rsidR="00FC4846" w:rsidRPr="00B36298" w:rsidRDefault="00FC4846" w:rsidP="006475C1">
                      <w:pPr>
                        <w:spacing w:after="0" w:line="240" w:lineRule="auto"/>
                        <w:ind w:right="357"/>
                        <w:jc w:val="right"/>
                        <w:rPr>
                          <w:color w:val="FFFFFF" w:themeColor="background1"/>
                          <w:sz w:val="18"/>
                          <w:szCs w:val="18"/>
                        </w:rPr>
                      </w:pPr>
                      <w:r w:rsidRPr="00716E3A">
                        <w:rPr>
                          <w:color w:val="F2F2F2" w:themeColor="background1" w:themeShade="F2"/>
                          <w:sz w:val="18"/>
                          <w:szCs w:val="18"/>
                        </w:rPr>
                        <w:t xml:space="preserve">Sugarcane </w:t>
                      </w:r>
                      <w:r>
                        <w:rPr>
                          <w:color w:val="F2F2F2" w:themeColor="background1" w:themeShade="F2"/>
                          <w:sz w:val="18"/>
                          <w:szCs w:val="18"/>
                        </w:rPr>
                        <w:t>h</w:t>
                      </w:r>
                      <w:r w:rsidRPr="00716E3A">
                        <w:rPr>
                          <w:color w:val="F2F2F2" w:themeColor="background1" w:themeShade="F2"/>
                          <w:sz w:val="18"/>
                          <w:szCs w:val="18"/>
                        </w:rPr>
                        <w:t xml:space="preserve">arvesting, Mackay QLD 1989. National Archives of Australia, </w:t>
                      </w:r>
                      <w:r>
                        <w:rPr>
                          <w:color w:val="F2F2F2" w:themeColor="background1" w:themeShade="F2"/>
                          <w:sz w:val="18"/>
                          <w:szCs w:val="18"/>
                        </w:rPr>
                        <w:t xml:space="preserve">item </w:t>
                      </w:r>
                      <w:r w:rsidRPr="00716E3A">
                        <w:rPr>
                          <w:color w:val="F2F2F2" w:themeColor="background1" w:themeShade="F2"/>
                          <w:sz w:val="18"/>
                          <w:szCs w:val="18"/>
                        </w:rPr>
                        <w:t>11672299</w:t>
                      </w:r>
                      <w:r>
                        <w:rPr>
                          <w:color w:val="FFFFFF" w:themeColor="background1"/>
                          <w:sz w:val="18"/>
                          <w:szCs w:val="18"/>
                        </w:rPr>
                        <w:t>.</w:t>
                      </w:r>
                    </w:p>
                  </w:txbxContent>
                </v:textbox>
              </v:shape>
            </w:pict>
          </mc:Fallback>
        </mc:AlternateContent>
      </w:r>
      <w:r>
        <w:rPr>
          <w:noProof/>
          <w:color w:val="9F1853" w:themeColor="accent4"/>
        </w:rPr>
        <w:drawing>
          <wp:inline distT="0" distB="0" distL="0" distR="0" wp14:anchorId="08C50CAB" wp14:editId="28EEC81E">
            <wp:extent cx="7566025" cy="4115435"/>
            <wp:effectExtent l="0" t="0" r="0" b="0"/>
            <wp:docPr id="201822571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25717" name="Picture 13">
                      <a:extLst>
                        <a:ext uri="{C183D7F6-B498-43B3-948B-1728B52AA6E4}">
                          <adec:decorative xmlns:adec="http://schemas.microsoft.com/office/drawing/2017/decorative" val="1"/>
                        </a:ext>
                      </a:extLst>
                    </pic:cNvPr>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7566025" cy="4115435"/>
                    </a:xfrm>
                    <a:prstGeom prst="rect">
                      <a:avLst/>
                    </a:prstGeom>
                    <a:noFill/>
                  </pic:spPr>
                </pic:pic>
              </a:graphicData>
            </a:graphic>
          </wp:inline>
        </w:drawing>
      </w:r>
    </w:p>
    <w:p w14:paraId="264187BF" w14:textId="477E127A" w:rsidR="009E09C1" w:rsidRPr="009E09C1" w:rsidRDefault="009E09C1" w:rsidP="00750802">
      <w:pPr>
        <w:pStyle w:val="Heading3"/>
        <w:spacing w:before="720"/>
        <w:rPr>
          <w:color w:val="9F1853" w:themeColor="accent4"/>
        </w:rPr>
      </w:pPr>
      <w:r w:rsidRPr="009E09C1">
        <w:rPr>
          <w:color w:val="9F1853" w:themeColor="accent4"/>
        </w:rPr>
        <w:t>Bioenergy</w:t>
      </w:r>
    </w:p>
    <w:p w14:paraId="3B017085" w14:textId="06B0AC4A" w:rsidR="009E09C1" w:rsidRPr="000613DF" w:rsidRDefault="009E09C1" w:rsidP="009E09C1">
      <w:pPr>
        <w:pStyle w:val="Default"/>
        <w:spacing w:before="240" w:line="276"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Bio</w:t>
      </w:r>
      <w:r>
        <w:rPr>
          <w:rFonts w:eastAsia="Arial"/>
          <w:color w:val="000000" w:themeColor="text1"/>
          <w:sz w:val="22"/>
          <w:szCs w:val="22"/>
          <w14:numForm w14:val="lining"/>
          <w14:numSpacing w14:val="proportional"/>
        </w:rPr>
        <w:t>energy</w:t>
      </w:r>
      <w:r w:rsidRPr="000613DF">
        <w:rPr>
          <w:rFonts w:eastAsia="Arial"/>
          <w:color w:val="000000" w:themeColor="text1"/>
          <w:sz w:val="22"/>
          <w:szCs w:val="22"/>
          <w14:numForm w14:val="lining"/>
          <w14:numSpacing w14:val="proportional"/>
        </w:rPr>
        <w:t xml:space="preserve"> </w:t>
      </w:r>
      <w:r>
        <w:rPr>
          <w:rFonts w:eastAsia="Arial"/>
          <w:color w:val="000000" w:themeColor="text1"/>
          <w:sz w:val="22"/>
          <w:szCs w:val="22"/>
          <w14:numForm w14:val="lining"/>
          <w14:numSpacing w14:val="proportional"/>
        </w:rPr>
        <w:t>is</w:t>
      </w:r>
      <w:r w:rsidRPr="000613DF">
        <w:rPr>
          <w:rFonts w:eastAsia="Arial"/>
          <w:color w:val="000000" w:themeColor="text1"/>
          <w:sz w:val="22"/>
          <w:szCs w:val="22"/>
          <w14:numForm w14:val="lining"/>
          <w14:numSpacing w14:val="proportional"/>
        </w:rPr>
        <w:t xml:space="preserve"> generated from conver</w:t>
      </w:r>
      <w:r>
        <w:rPr>
          <w:rFonts w:eastAsia="Arial"/>
          <w:color w:val="000000" w:themeColor="text1"/>
          <w:sz w:val="22"/>
          <w:szCs w:val="22"/>
          <w14:numForm w14:val="lining"/>
          <w14:numSpacing w14:val="proportional"/>
        </w:rPr>
        <w:t>ting</w:t>
      </w:r>
      <w:r w:rsidRPr="000613DF">
        <w:rPr>
          <w:rFonts w:eastAsia="Arial"/>
          <w:color w:val="000000" w:themeColor="text1"/>
          <w:sz w:val="22"/>
          <w:szCs w:val="22"/>
          <w14:numForm w14:val="lining"/>
          <w14:numSpacing w14:val="proportional"/>
        </w:rPr>
        <w:t xml:space="preserve"> biomass </w:t>
      </w:r>
      <w:r>
        <w:rPr>
          <w:rFonts w:eastAsia="Arial"/>
          <w:color w:val="000000" w:themeColor="text1"/>
          <w:sz w:val="22"/>
          <w:szCs w:val="22"/>
          <w14:numForm w14:val="lining"/>
          <w14:numSpacing w14:val="proportional"/>
        </w:rPr>
        <w:t>(like sugarcane)</w:t>
      </w:r>
      <w:r w:rsidRPr="000613DF">
        <w:rPr>
          <w:rFonts w:eastAsia="Arial"/>
          <w:color w:val="000000" w:themeColor="text1"/>
          <w:sz w:val="22"/>
          <w:szCs w:val="22"/>
          <w14:numForm w14:val="lining"/>
          <w14:numSpacing w14:val="proportional"/>
        </w:rPr>
        <w:t xml:space="preserve"> into heat, electricity, biogas and liqui</w:t>
      </w:r>
      <w:r w:rsidR="00D83C99">
        <w:rPr>
          <w:rFonts w:eastAsia="Arial"/>
          <w:color w:val="000000" w:themeColor="text1"/>
          <w:sz w:val="22"/>
          <w:szCs w:val="22"/>
          <w14:numForm w14:val="lining"/>
          <w14:numSpacing w14:val="proportional"/>
        </w:rPr>
        <w:t>fied</w:t>
      </w:r>
      <w:r w:rsidRPr="000613DF">
        <w:rPr>
          <w:rFonts w:eastAsia="Arial"/>
          <w:color w:val="000000" w:themeColor="text1"/>
          <w:sz w:val="22"/>
          <w:szCs w:val="22"/>
          <w14:numForm w14:val="lining"/>
          <w14:numSpacing w14:val="proportional"/>
        </w:rPr>
        <w:t xml:space="preserve"> fuels.</w:t>
      </w:r>
      <w:r>
        <w:rPr>
          <w:rFonts w:eastAsia="Arial"/>
          <w:color w:val="000000" w:themeColor="text1"/>
          <w:sz w:val="22"/>
          <w:szCs w:val="22"/>
          <w14:numForm w14:val="lining"/>
          <w14:numSpacing w14:val="proportional"/>
        </w:rPr>
        <w:t xml:space="preserve"> Unlike other types of renewable fuels and storage, bioenergy can be integrated into existing infrastructure with relative ease. Biodiesel and bioethanol are examples of this, which Australia already produces in significant quantities: </w:t>
      </w:r>
      <w:r w:rsidRPr="0009016E">
        <w:rPr>
          <w:rFonts w:eastAsia="Arial"/>
          <w:color w:val="000000" w:themeColor="text1"/>
          <w:sz w:val="22"/>
          <w:szCs w:val="22"/>
          <w14:numForm w14:val="lining"/>
          <w14:numSpacing w14:val="proportional"/>
        </w:rPr>
        <w:t>180 million litres of fuel ethanol and 18 million litres of biodiesel</w:t>
      </w:r>
      <w:r>
        <w:rPr>
          <w:rFonts w:eastAsia="Arial"/>
          <w:color w:val="000000" w:themeColor="text1"/>
          <w:sz w:val="22"/>
          <w:szCs w:val="22"/>
          <w14:numForm w14:val="lining"/>
          <w14:numSpacing w14:val="proportional"/>
        </w:rPr>
        <w:t xml:space="preserve"> in 2021.</w:t>
      </w:r>
      <w:r>
        <w:rPr>
          <w:rStyle w:val="EndnoteReference"/>
          <w:rFonts w:eastAsia="Arial"/>
          <w:color w:val="000000" w:themeColor="text1"/>
          <w:sz w:val="22"/>
          <w:szCs w:val="22"/>
          <w14:numForm w14:val="lining"/>
          <w14:numSpacing w14:val="proportional"/>
        </w:rPr>
        <w:endnoteReference w:id="97"/>
      </w:r>
    </w:p>
    <w:p w14:paraId="414678C1" w14:textId="0DC6A9FC" w:rsidR="009E09C1" w:rsidRDefault="009E09C1" w:rsidP="009E09C1">
      <w:pPr>
        <w:pStyle w:val="Default"/>
        <w:spacing w:before="120" w:line="276"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 xml:space="preserve">The ABS </w:t>
      </w:r>
      <w:r>
        <w:rPr>
          <w:rFonts w:eastAsia="Arial"/>
          <w:color w:val="000000" w:themeColor="text1"/>
          <w:sz w:val="22"/>
          <w:szCs w:val="22"/>
          <w14:numForm w14:val="lining"/>
          <w14:numSpacing w14:val="proportional"/>
        </w:rPr>
        <w:t>estimates</w:t>
      </w:r>
      <w:r w:rsidRPr="000613DF">
        <w:rPr>
          <w:rFonts w:eastAsia="Arial"/>
          <w:color w:val="000000" w:themeColor="text1"/>
          <w:sz w:val="22"/>
          <w:szCs w:val="22"/>
          <w14:numForm w14:val="lining"/>
          <w14:numSpacing w14:val="proportional"/>
        </w:rPr>
        <w:t xml:space="preserve"> that in 2018-19 </w:t>
      </w:r>
      <w:r>
        <w:rPr>
          <w:rFonts w:eastAsia="Arial"/>
          <w:color w:val="000000" w:themeColor="text1"/>
          <w:sz w:val="22"/>
          <w:szCs w:val="22"/>
          <w14:numForm w14:val="lining"/>
          <w14:numSpacing w14:val="proportional"/>
        </w:rPr>
        <w:t>b</w:t>
      </w:r>
      <w:r w:rsidRPr="000613DF">
        <w:rPr>
          <w:rFonts w:eastAsia="Arial"/>
          <w:color w:val="000000" w:themeColor="text1"/>
          <w:sz w:val="22"/>
          <w:szCs w:val="22"/>
          <w14:numForm w14:val="lining"/>
          <w14:numSpacing w14:val="proportional"/>
        </w:rPr>
        <w:t xml:space="preserve">iomass accounted for around 1,580 jobs across Australia, with </w:t>
      </w:r>
      <w:r>
        <w:rPr>
          <w:rFonts w:eastAsia="Arial"/>
          <w:color w:val="000000" w:themeColor="text1"/>
          <w:sz w:val="22"/>
          <w:szCs w:val="22"/>
          <w14:numForm w14:val="lining"/>
          <w14:numSpacing w14:val="proportional"/>
        </w:rPr>
        <w:t>t</w:t>
      </w:r>
      <w:r w:rsidRPr="000613DF">
        <w:rPr>
          <w:rFonts w:eastAsia="Arial"/>
          <w:color w:val="000000" w:themeColor="text1"/>
          <w:sz w:val="22"/>
          <w:szCs w:val="22"/>
          <w14:numForm w14:val="lining"/>
          <w14:numSpacing w14:val="proportional"/>
        </w:rPr>
        <w:t>he vast majority in Queensland (1,230) followed by New South Wales (190). According to the International Renewable Energy Agency (IRENA), global employment in the bioenergy sector gr</w:t>
      </w:r>
      <w:r>
        <w:rPr>
          <w:rFonts w:eastAsia="Arial"/>
          <w:color w:val="000000" w:themeColor="text1"/>
          <w:sz w:val="22"/>
          <w:szCs w:val="22"/>
          <w14:numForm w14:val="lining"/>
          <w14:numSpacing w14:val="proportional"/>
        </w:rPr>
        <w:t>ew</w:t>
      </w:r>
      <w:r w:rsidRPr="000613DF">
        <w:rPr>
          <w:rFonts w:eastAsia="Arial"/>
          <w:color w:val="000000" w:themeColor="text1"/>
          <w:sz w:val="22"/>
          <w:szCs w:val="22"/>
          <w14:numForm w14:val="lining"/>
          <w14:numSpacing w14:val="proportional"/>
        </w:rPr>
        <w:t xml:space="preserve"> to 3.18 million jobs in 2018. </w:t>
      </w:r>
      <w:r w:rsidRPr="3E880473">
        <w:rPr>
          <w:rFonts w:eastAsia="Arial"/>
          <w:i/>
          <w:iCs/>
          <w:color w:val="000000" w:themeColor="text1"/>
          <w:sz w:val="22"/>
          <w:szCs w:val="22"/>
          <w14:numForm w14:val="lining"/>
          <w14:numSpacing w14:val="proportional"/>
        </w:rPr>
        <w:t xml:space="preserve">Australia’s Bioenergy Roadmap </w:t>
      </w:r>
      <w:r w:rsidRPr="000613DF">
        <w:rPr>
          <w:rFonts w:eastAsia="Arial"/>
          <w:color w:val="000000" w:themeColor="text1"/>
          <w:sz w:val="22"/>
          <w:szCs w:val="22"/>
          <w14:numForm w14:val="lining"/>
          <w14:numSpacing w14:val="proportional"/>
        </w:rPr>
        <w:t xml:space="preserve">(2021) estimates that if supported adequately, the bioenergy sector could </w:t>
      </w:r>
      <w:r>
        <w:rPr>
          <w:rFonts w:eastAsia="Arial"/>
          <w:color w:val="000000" w:themeColor="text1"/>
          <w:sz w:val="22"/>
          <w:szCs w:val="22"/>
          <w14:numForm w14:val="lining"/>
          <w14:numSpacing w14:val="proportional"/>
        </w:rPr>
        <w:t>create an extra</w:t>
      </w:r>
      <w:r w:rsidRPr="000613DF">
        <w:rPr>
          <w:rFonts w:eastAsia="Arial"/>
          <w:color w:val="000000" w:themeColor="text1"/>
          <w:sz w:val="22"/>
          <w:szCs w:val="22"/>
          <w14:numForm w14:val="lining"/>
          <w14:numSpacing w14:val="proportional"/>
        </w:rPr>
        <w:t xml:space="preserve"> </w:t>
      </w:r>
      <w:r>
        <w:rPr>
          <w:rFonts w:eastAsia="Arial"/>
          <w:color w:val="000000" w:themeColor="text1"/>
          <w:sz w:val="22"/>
          <w:szCs w:val="22"/>
          <w14:numForm w14:val="lining"/>
          <w14:numSpacing w14:val="proportional"/>
        </w:rPr>
        <w:t>26</w:t>
      </w:r>
      <w:r w:rsidRPr="000613DF">
        <w:rPr>
          <w:rFonts w:eastAsia="Arial"/>
          <w:color w:val="000000" w:themeColor="text1"/>
          <w:sz w:val="22"/>
          <w:szCs w:val="22"/>
          <w14:numForm w14:val="lining"/>
          <w14:numSpacing w14:val="proportional"/>
        </w:rPr>
        <w:t>,</w:t>
      </w:r>
      <w:r w:rsidR="00D76E7F">
        <w:rPr>
          <w:rFonts w:eastAsia="Arial"/>
          <w:color w:val="000000" w:themeColor="text1"/>
          <w:sz w:val="22"/>
          <w:szCs w:val="22"/>
          <w14:numForm w14:val="lining"/>
          <w14:numSpacing w14:val="proportional"/>
        </w:rPr>
        <w:t>2</w:t>
      </w:r>
      <w:r w:rsidRPr="000613DF">
        <w:rPr>
          <w:rFonts w:eastAsia="Arial"/>
          <w:color w:val="000000" w:themeColor="text1"/>
          <w:sz w:val="22"/>
          <w:szCs w:val="22"/>
          <w14:numForm w14:val="lining"/>
          <w14:numSpacing w14:val="proportional"/>
        </w:rPr>
        <w:t xml:space="preserve">00 new </w:t>
      </w:r>
      <w:r>
        <w:rPr>
          <w:rFonts w:eastAsia="Arial"/>
          <w:color w:val="000000" w:themeColor="text1"/>
          <w:sz w:val="22"/>
          <w:szCs w:val="22"/>
          <w14:numForm w14:val="lining"/>
          <w14:numSpacing w14:val="proportional"/>
        </w:rPr>
        <w:t xml:space="preserve">local </w:t>
      </w:r>
      <w:r w:rsidRPr="000613DF">
        <w:rPr>
          <w:rFonts w:eastAsia="Arial"/>
          <w:color w:val="000000" w:themeColor="text1"/>
          <w:sz w:val="22"/>
          <w:szCs w:val="22"/>
          <w14:numForm w14:val="lining"/>
          <w14:numSpacing w14:val="proportional"/>
        </w:rPr>
        <w:t>jobs by 2030.</w:t>
      </w:r>
      <w:r>
        <w:rPr>
          <w:rStyle w:val="EndnoteReference"/>
          <w:rFonts w:eastAsia="Arial"/>
          <w:color w:val="000000" w:themeColor="text1"/>
          <w:sz w:val="22"/>
          <w:szCs w:val="22"/>
          <w14:numForm w14:val="lining"/>
          <w14:numSpacing w14:val="proportional"/>
        </w:rPr>
        <w:endnoteReference w:id="98"/>
      </w:r>
    </w:p>
    <w:p w14:paraId="4793672B" w14:textId="49DD52E5" w:rsidR="009E09C1" w:rsidRDefault="009E09C1" w:rsidP="009E09C1">
      <w:pPr>
        <w:pStyle w:val="Default"/>
        <w:spacing w:before="120" w:line="276" w:lineRule="auto"/>
        <w:rPr>
          <w:rFonts w:eastAsia="Arial"/>
          <w:color w:val="000000" w:themeColor="text1"/>
          <w:sz w:val="22"/>
          <w:szCs w:val="22"/>
          <w14:numForm w14:val="lining"/>
          <w14:numSpacing w14:val="proportional"/>
        </w:rPr>
      </w:pPr>
      <w:r>
        <w:rPr>
          <w:rFonts w:eastAsia="Arial"/>
          <w:color w:val="000000" w:themeColor="text1"/>
          <w:sz w:val="22"/>
          <w:szCs w:val="22"/>
          <w14:numForm w14:val="lining"/>
          <w14:numSpacing w14:val="proportional"/>
        </w:rPr>
        <w:t xml:space="preserve">JSA heard from stakeholders that in many cases, the manufacturing processes involved in producing biofuels are similar to those in refined fossil fuels. Therefore, it’s likely that existing workers in petroleum refining (around 1,500 in 2021) could easily transition to biofuel employment, including at the same worksite. It also means that the VET and higher education sectors already produce many of the requisite skills. </w:t>
      </w:r>
      <w:r w:rsidRPr="001401A1">
        <w:rPr>
          <w:rFonts w:eastAsia="Arial"/>
          <w:color w:val="000000" w:themeColor="text1"/>
          <w:sz w:val="22"/>
          <w:szCs w:val="22"/>
          <w14:numForm w14:val="lining"/>
          <w14:numSpacing w14:val="proportional"/>
        </w:rPr>
        <w:t xml:space="preserve">Another 500 </w:t>
      </w:r>
      <w:r>
        <w:rPr>
          <w:rFonts w:eastAsia="Arial"/>
          <w:color w:val="000000" w:themeColor="text1"/>
          <w:sz w:val="22"/>
          <w:szCs w:val="22"/>
          <w14:numForm w14:val="lining"/>
          <w14:numSpacing w14:val="proportional"/>
        </w:rPr>
        <w:t>workers are already employed</w:t>
      </w:r>
      <w:r w:rsidRPr="001401A1">
        <w:rPr>
          <w:rFonts w:eastAsia="Arial"/>
          <w:color w:val="000000" w:themeColor="text1"/>
          <w:sz w:val="22"/>
          <w:szCs w:val="22"/>
          <w14:numForm w14:val="lining"/>
          <w14:numSpacing w14:val="proportional"/>
        </w:rPr>
        <w:t xml:space="preserve"> in Basic Organic Chemical Manufacturing which includes </w:t>
      </w:r>
      <w:r>
        <w:rPr>
          <w:rFonts w:eastAsia="Arial"/>
          <w:color w:val="000000" w:themeColor="text1"/>
          <w:sz w:val="22"/>
          <w:szCs w:val="22"/>
          <w14:numForm w14:val="lining"/>
          <w14:numSpacing w14:val="proportional"/>
        </w:rPr>
        <w:t>producing e</w:t>
      </w:r>
      <w:r w:rsidRPr="001401A1">
        <w:rPr>
          <w:rFonts w:eastAsia="Arial"/>
          <w:color w:val="000000" w:themeColor="text1"/>
          <w:sz w:val="22"/>
          <w:szCs w:val="22"/>
          <w14:numForm w14:val="lining"/>
          <w14:numSpacing w14:val="proportional"/>
        </w:rPr>
        <w:t xml:space="preserve">thanol </w:t>
      </w:r>
      <w:r>
        <w:rPr>
          <w:rFonts w:eastAsia="Arial"/>
          <w:color w:val="000000" w:themeColor="text1"/>
          <w:sz w:val="22"/>
          <w:szCs w:val="22"/>
          <w14:numForm w14:val="lining"/>
          <w14:numSpacing w14:val="proportional"/>
        </w:rPr>
        <w:t xml:space="preserve">that </w:t>
      </w:r>
      <w:r w:rsidRPr="001401A1">
        <w:rPr>
          <w:rFonts w:eastAsia="Arial"/>
          <w:color w:val="000000" w:themeColor="text1"/>
          <w:sz w:val="22"/>
          <w:szCs w:val="22"/>
          <w14:numForm w14:val="lining"/>
          <w14:numSpacing w14:val="proportional"/>
        </w:rPr>
        <w:t xml:space="preserve">can be blended </w:t>
      </w:r>
      <w:r>
        <w:rPr>
          <w:rFonts w:eastAsia="Arial"/>
          <w:color w:val="000000" w:themeColor="text1"/>
          <w:sz w:val="22"/>
          <w:szCs w:val="22"/>
          <w14:numForm w14:val="lining"/>
          <w14:numSpacing w14:val="proportional"/>
        </w:rPr>
        <w:t xml:space="preserve">with </w:t>
      </w:r>
      <w:r w:rsidRPr="001401A1">
        <w:rPr>
          <w:rFonts w:eastAsia="Arial"/>
          <w:color w:val="000000" w:themeColor="text1"/>
          <w:sz w:val="22"/>
          <w:szCs w:val="22"/>
          <w14:numForm w14:val="lining"/>
          <w14:numSpacing w14:val="proportional"/>
        </w:rPr>
        <w:t>petroleum fuels</w:t>
      </w:r>
      <w:r>
        <w:rPr>
          <w:rFonts w:eastAsia="Arial"/>
          <w:color w:val="000000" w:themeColor="text1"/>
          <w:sz w:val="22"/>
          <w:szCs w:val="22"/>
          <w14:numForm w14:val="lining"/>
          <w14:numSpacing w14:val="proportional"/>
        </w:rPr>
        <w:t xml:space="preserve"> (Figure 6.1)</w:t>
      </w:r>
      <w:r w:rsidRPr="001401A1">
        <w:rPr>
          <w:rFonts w:eastAsia="Arial"/>
          <w:color w:val="000000" w:themeColor="text1"/>
          <w:sz w:val="22"/>
          <w:szCs w:val="22"/>
          <w14:numForm w14:val="lining"/>
          <w14:numSpacing w14:val="proportional"/>
        </w:rPr>
        <w:t>.</w:t>
      </w:r>
    </w:p>
    <w:p w14:paraId="7CE9BB67" w14:textId="77777777" w:rsidR="009E09C1" w:rsidRDefault="009E09C1" w:rsidP="009E09C1">
      <w:pPr>
        <w:rPr>
          <w:rFonts w:eastAsia="Arial" w:cs="Arial"/>
          <w:b/>
          <w:bCs/>
          <w14:numForm w14:val="lining"/>
          <w14:numSpacing w14:val="proportional"/>
        </w:rPr>
      </w:pPr>
      <w:r>
        <w:rPr>
          <w:rFonts w:eastAsia="Arial"/>
          <w:b/>
          <w:bCs/>
          <w14:numForm w14:val="lining"/>
          <w14:numSpacing w14:val="proportional"/>
        </w:rPr>
        <w:br w:type="page"/>
      </w:r>
    </w:p>
    <w:p w14:paraId="6285858F" w14:textId="20D5B2D8" w:rsidR="00D5241C" w:rsidRPr="00D5241C" w:rsidRDefault="009E09C1" w:rsidP="00304D92">
      <w:pPr>
        <w:pStyle w:val="Default"/>
        <w:pBdr>
          <w:top w:val="single" w:sz="4" w:space="5" w:color="A6A6A6" w:themeColor="background1" w:themeShade="A6"/>
        </w:pBdr>
        <w:spacing w:line="276" w:lineRule="auto"/>
        <w:rPr>
          <w:rFonts w:eastAsia="Arial"/>
          <w:b/>
          <w:bCs/>
          <w:color w:val="000000" w:themeColor="text1"/>
          <w:sz w:val="22"/>
          <w:szCs w:val="22"/>
          <w14:numForm w14:val="lining"/>
          <w14:numSpacing w14:val="proportional"/>
        </w:rPr>
      </w:pPr>
      <w:r w:rsidRPr="001B05B7">
        <w:rPr>
          <w:rFonts w:eastAsia="Arial"/>
          <w:b/>
          <w:bCs/>
          <w:color w:val="000000" w:themeColor="text1"/>
          <w:sz w:val="22"/>
          <w:szCs w:val="22"/>
          <w14:numForm w14:val="lining"/>
          <w14:numSpacing w14:val="proportional"/>
        </w:rPr>
        <w:t>Figure</w:t>
      </w:r>
      <w:r w:rsidRPr="00694E00">
        <w:rPr>
          <w:rFonts w:eastAsia="Arial"/>
          <w:b/>
          <w:bCs/>
          <w:color w:val="000000" w:themeColor="text1"/>
          <w:sz w:val="22"/>
          <w:szCs w:val="22"/>
          <w14:numForm w14:val="lining"/>
          <w14:numSpacing w14:val="proportional"/>
        </w:rPr>
        <w:t xml:space="preserve"> </w:t>
      </w:r>
      <w:r>
        <w:rPr>
          <w:rFonts w:eastAsia="Arial"/>
          <w:b/>
          <w:bCs/>
          <w:color w:val="000000" w:themeColor="text1"/>
          <w:sz w:val="22"/>
          <w:szCs w:val="22"/>
          <w14:numForm w14:val="lining"/>
          <w14:numSpacing w14:val="proportional"/>
        </w:rPr>
        <w:t>6</w:t>
      </w:r>
      <w:r w:rsidRPr="00694E00">
        <w:rPr>
          <w:rFonts w:eastAsia="Arial"/>
          <w:b/>
          <w:bCs/>
          <w:color w:val="000000" w:themeColor="text1"/>
          <w:sz w:val="22"/>
          <w:szCs w:val="22"/>
          <w14:numForm w14:val="lining"/>
          <w14:numSpacing w14:val="proportional"/>
        </w:rPr>
        <w:t>.</w:t>
      </w:r>
      <w:r>
        <w:rPr>
          <w:rFonts w:eastAsia="Arial"/>
          <w:b/>
          <w:bCs/>
          <w:color w:val="000000" w:themeColor="text1"/>
          <w:sz w:val="22"/>
          <w:szCs w:val="22"/>
          <w14:numForm w14:val="lining"/>
          <w14:numSpacing w14:val="proportional"/>
        </w:rPr>
        <w:t>1.</w:t>
      </w:r>
      <w:r w:rsidRPr="00694E00">
        <w:rPr>
          <w:rFonts w:eastAsia="Arial"/>
          <w:b/>
          <w:bCs/>
          <w:color w:val="000000" w:themeColor="text1"/>
          <w:sz w:val="22"/>
          <w:szCs w:val="22"/>
          <w14:numForm w14:val="lining"/>
          <w14:numSpacing w14:val="proportional"/>
        </w:rPr>
        <w:t xml:space="preserve"> Employment in biofuel related industries, 2021</w:t>
      </w:r>
      <w:r w:rsidR="00D5241C">
        <w:rPr>
          <w:noProof/>
        </w:rPr>
        <w:drawing>
          <wp:inline distT="0" distB="0" distL="0" distR="0" wp14:anchorId="39A78718" wp14:editId="44A2D7AD">
            <wp:extent cx="5212080" cy="2204772"/>
            <wp:effectExtent l="0" t="0" r="7620" b="5080"/>
            <wp:docPr id="1087981662" name="Graphic 1087981662" descr="This figure represents the employment levels in biofuel related industries. This figure shows that employment is highest under the Other Grain Growing (includes oil seed) industry, followed by Sugar Cane Growing, Petroleum Refining and Petroleum Fuel Manufacturing, Oil and Fat Manufacturing and Basic Organic Chemical Manufacturing (which includes eth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62" name="Graphic 1087981662" descr="This figure represents the employment levels in biofuel related industries. This figure shows that employment is highest under the Other Grain Growing (includes oil seed) industry, followed by Sugar Cane Growing, Petroleum Refining and Petroleum Fuel Manufacturing, Oil and Fat Manufacturing and Basic Organic Chemical Manufacturing (which includes ethanol)"/>
                    <pic:cNvPicPr/>
                  </pic:nvPicPr>
                  <pic:blipFill>
                    <a:blip r:embed="rId183">
                      <a:extLst>
                        <a:ext uri="{96DAC541-7B7A-43D3-8B79-37D633B846F1}">
                          <asvg:svgBlip xmlns:asvg="http://schemas.microsoft.com/office/drawing/2016/SVG/main" r:embed="rId184"/>
                        </a:ext>
                      </a:extLst>
                    </a:blip>
                    <a:stretch>
                      <a:fillRect/>
                    </a:stretch>
                  </pic:blipFill>
                  <pic:spPr>
                    <a:xfrm>
                      <a:off x="0" y="0"/>
                      <a:ext cx="5229049" cy="2211950"/>
                    </a:xfrm>
                    <a:prstGeom prst="rect">
                      <a:avLst/>
                    </a:prstGeom>
                  </pic:spPr>
                </pic:pic>
              </a:graphicData>
            </a:graphic>
          </wp:inline>
        </w:drawing>
      </w:r>
    </w:p>
    <w:p w14:paraId="2238A94A" w14:textId="11ED954E" w:rsidR="009E09C1" w:rsidRPr="00694E00" w:rsidRDefault="009E09C1" w:rsidP="00304D92">
      <w:pPr>
        <w:pStyle w:val="Default"/>
        <w:spacing w:after="120" w:line="276" w:lineRule="auto"/>
        <w:rPr>
          <w:rFonts w:eastAsia="Arial"/>
          <w:color w:val="000000" w:themeColor="text1"/>
          <w:sz w:val="18"/>
          <w:szCs w:val="18"/>
          <w14:numForm w14:val="lining"/>
          <w14:numSpacing w14:val="proportional"/>
        </w:rPr>
      </w:pPr>
      <w:r w:rsidRPr="00694E00">
        <w:rPr>
          <w:rFonts w:eastAsia="Arial"/>
          <w:color w:val="000000" w:themeColor="text1"/>
          <w:sz w:val="18"/>
          <w:szCs w:val="18"/>
          <w14:numForm w14:val="lining"/>
          <w14:numSpacing w14:val="proportional"/>
        </w:rPr>
        <w:t>Source: ABS Census of Population and Housing 2021</w:t>
      </w:r>
    </w:p>
    <w:p w14:paraId="72C34562" w14:textId="5B9DA8CE" w:rsidR="009E09C1" w:rsidRDefault="009E09C1" w:rsidP="00304D92">
      <w:pPr>
        <w:pStyle w:val="Default"/>
        <w:spacing w:before="120" w:after="120" w:line="269" w:lineRule="auto"/>
        <w:rPr>
          <w:rFonts w:eastAsia="Arial"/>
          <w:color w:val="000000" w:themeColor="text1"/>
          <w:sz w:val="22"/>
          <w:szCs w:val="22"/>
          <w14:numForm w14:val="lining"/>
          <w14:numSpacing w14:val="proportional"/>
        </w:rPr>
      </w:pPr>
      <w:r>
        <w:rPr>
          <w:rFonts w:eastAsia="Arial"/>
          <w:color w:val="000000" w:themeColor="text1"/>
          <w:sz w:val="22"/>
          <w:szCs w:val="22"/>
          <w14:numForm w14:val="lining"/>
          <w14:numSpacing w14:val="proportional"/>
        </w:rPr>
        <w:t>Canola, sugar cane, tallow and vegetable oil are key biofuel feedstocks that Australia produces in large quantities. Australia is the world’s third largest exporter of sugar cane, and t</w:t>
      </w:r>
      <w:r w:rsidRPr="00B90B43">
        <w:rPr>
          <w:rFonts w:eastAsia="Arial"/>
          <w:color w:val="000000" w:themeColor="text1"/>
          <w:sz w:val="22"/>
          <w:szCs w:val="22"/>
          <w14:numForm w14:val="lining"/>
          <w14:numSpacing w14:val="proportional"/>
        </w:rPr>
        <w:t>he majority of Australia’s canola seed exports in 2021-22</w:t>
      </w:r>
      <w:r>
        <w:rPr>
          <w:rFonts w:eastAsia="Arial"/>
          <w:color w:val="000000" w:themeColor="text1"/>
          <w:sz w:val="22"/>
          <w:szCs w:val="22"/>
          <w14:numForm w14:val="lining"/>
          <w14:numSpacing w14:val="proportional"/>
        </w:rPr>
        <w:t xml:space="preserve"> </w:t>
      </w:r>
      <w:r w:rsidRPr="00B90B43">
        <w:rPr>
          <w:rFonts w:eastAsia="Arial"/>
          <w:color w:val="000000" w:themeColor="text1"/>
          <w:sz w:val="22"/>
          <w:szCs w:val="22"/>
          <w14:numForm w14:val="lining"/>
          <w14:numSpacing w14:val="proportional"/>
        </w:rPr>
        <w:t xml:space="preserve">will be used to make biofuel in the </w:t>
      </w:r>
      <w:r>
        <w:rPr>
          <w:rFonts w:eastAsia="Arial"/>
          <w:color w:val="000000" w:themeColor="text1"/>
          <w:sz w:val="22"/>
          <w:szCs w:val="22"/>
          <w14:numForm w14:val="lining"/>
          <w14:numSpacing w14:val="proportional"/>
        </w:rPr>
        <w:t xml:space="preserve">European </w:t>
      </w:r>
      <w:r w:rsidRPr="00B90B43">
        <w:rPr>
          <w:rFonts w:eastAsia="Arial"/>
          <w:color w:val="000000" w:themeColor="text1"/>
          <w:sz w:val="22"/>
          <w:szCs w:val="22"/>
          <w14:numForm w14:val="lining"/>
          <w14:numSpacing w14:val="proportional"/>
        </w:rPr>
        <w:t>U</w:t>
      </w:r>
      <w:r>
        <w:rPr>
          <w:rFonts w:eastAsia="Arial"/>
          <w:color w:val="000000" w:themeColor="text1"/>
          <w:sz w:val="22"/>
          <w:szCs w:val="22"/>
          <w14:numForm w14:val="lining"/>
          <w14:numSpacing w14:val="proportional"/>
        </w:rPr>
        <w:t>nion ($5.7b).</w:t>
      </w:r>
      <w:r>
        <w:rPr>
          <w:rStyle w:val="EndnoteReference"/>
          <w:rFonts w:eastAsia="Arial"/>
          <w:color w:val="000000" w:themeColor="text1"/>
          <w:sz w:val="22"/>
          <w:szCs w:val="22"/>
          <w14:numForm w14:val="lining"/>
          <w14:numSpacing w14:val="proportional"/>
        </w:rPr>
        <w:endnoteReference w:id="99"/>
      </w:r>
      <w:r>
        <w:rPr>
          <w:rFonts w:eastAsia="Arial"/>
          <w:color w:val="000000" w:themeColor="text1"/>
          <w:sz w:val="22"/>
          <w:szCs w:val="22"/>
          <w14:numForm w14:val="lining"/>
          <w14:numSpacing w14:val="proportional"/>
        </w:rPr>
        <w:t xml:space="preserve"> In 2021</w:t>
      </w:r>
      <w:r w:rsidR="00ED1943">
        <w:rPr>
          <w:rFonts w:eastAsia="Arial"/>
          <w:color w:val="000000" w:themeColor="text1"/>
          <w:sz w:val="22"/>
          <w:szCs w:val="22"/>
          <w14:numForm w14:val="lining"/>
          <w14:numSpacing w14:val="proportional"/>
        </w:rPr>
        <w:t>,</w:t>
      </w:r>
      <w:r>
        <w:rPr>
          <w:rFonts w:eastAsia="Arial"/>
          <w:color w:val="000000" w:themeColor="text1"/>
          <w:sz w:val="22"/>
          <w:szCs w:val="22"/>
          <w14:numForm w14:val="lining"/>
          <w14:numSpacing w14:val="proportional"/>
        </w:rPr>
        <w:t xml:space="preserve"> there </w:t>
      </w:r>
      <w:r w:rsidR="007E2252">
        <w:rPr>
          <w:rFonts w:eastAsia="Arial"/>
          <w:color w:val="000000" w:themeColor="text1"/>
          <w:sz w:val="22"/>
          <w:szCs w:val="22"/>
          <w14:numForm w14:val="lining"/>
          <w14:numSpacing w14:val="proportional"/>
        </w:rPr>
        <w:t xml:space="preserve">were </w:t>
      </w:r>
      <w:r>
        <w:rPr>
          <w:rFonts w:eastAsia="Arial"/>
          <w:color w:val="000000" w:themeColor="text1"/>
          <w:sz w:val="22"/>
          <w:szCs w:val="22"/>
          <w14:numForm w14:val="lining"/>
          <w14:numSpacing w14:val="proportional"/>
        </w:rPr>
        <w:t>around 4,200 employed in sugar cane growing and almost 19,000 in other grain growing (including oil seeds like canola). Another 1,100 work in manufacturing oils and fats, which includes tallow and vegetable oil for biofuels. While there are crops dedicated to biofuel feedstocks, residues from other crops (like chaff, husks and bagasse) can also be used for fuels, although for now much of this is burned off instead.</w:t>
      </w:r>
    </w:p>
    <w:p w14:paraId="4849C812" w14:textId="370B8A86" w:rsidR="009E09C1" w:rsidRPr="000613DF" w:rsidRDefault="009E09C1" w:rsidP="00304D92">
      <w:pPr>
        <w:pStyle w:val="Default"/>
        <w:spacing w:before="120" w:after="120" w:line="269" w:lineRule="auto"/>
        <w:rPr>
          <w:rFonts w:eastAsia="Arial"/>
          <w:color w:val="000000" w:themeColor="text1"/>
          <w:sz w:val="22"/>
          <w:szCs w:val="22"/>
          <w14:numForm w14:val="lining"/>
          <w14:numSpacing w14:val="proportional"/>
        </w:rPr>
      </w:pPr>
      <w:r>
        <w:rPr>
          <w:rFonts w:eastAsia="Arial"/>
          <w:color w:val="000000" w:themeColor="text1"/>
          <w:sz w:val="22"/>
          <w:szCs w:val="22"/>
          <w14:numForm w14:val="lining"/>
          <w14:numSpacing w14:val="proportional"/>
        </w:rPr>
        <w:t>There are very few courses specific to bioenergy</w:t>
      </w:r>
      <w:r w:rsidRPr="000613DF">
        <w:rPr>
          <w:rFonts w:eastAsia="Arial"/>
          <w:color w:val="000000" w:themeColor="text1"/>
          <w:sz w:val="22"/>
          <w:szCs w:val="22"/>
          <w14:numForm w14:val="lining"/>
          <w14:numSpacing w14:val="proportional"/>
        </w:rPr>
        <w:t>.</w:t>
      </w:r>
      <w:r>
        <w:rPr>
          <w:rFonts w:eastAsia="Arial"/>
          <w:color w:val="000000" w:themeColor="text1"/>
          <w:sz w:val="22"/>
          <w:szCs w:val="22"/>
          <w14:numForm w14:val="lining"/>
          <w14:numSpacing w14:val="proportional"/>
        </w:rPr>
        <w:t xml:space="preserve"> The M</w:t>
      </w:r>
      <w:r w:rsidRPr="000613DF">
        <w:rPr>
          <w:rFonts w:eastAsia="Arial"/>
          <w:color w:val="000000" w:themeColor="text1"/>
          <w:sz w:val="22"/>
          <w:szCs w:val="22"/>
          <w14:numForm w14:val="lining"/>
          <w14:numSpacing w14:val="proportional"/>
        </w:rPr>
        <w:t xml:space="preserve">anufacturing </w:t>
      </w:r>
      <w:r>
        <w:rPr>
          <w:rFonts w:eastAsia="Arial"/>
          <w:color w:val="000000" w:themeColor="text1"/>
          <w:sz w:val="22"/>
          <w:szCs w:val="22"/>
          <w14:numForm w14:val="lining"/>
          <w14:numSpacing w14:val="proportional"/>
        </w:rPr>
        <w:t>T</w:t>
      </w:r>
      <w:r w:rsidRPr="000613DF">
        <w:rPr>
          <w:rFonts w:eastAsia="Arial"/>
          <w:color w:val="000000" w:themeColor="text1"/>
          <w:sz w:val="22"/>
          <w:szCs w:val="22"/>
          <w14:numForm w14:val="lining"/>
          <w14:numSpacing w14:val="proportional"/>
        </w:rPr>
        <w:t xml:space="preserve">raining </w:t>
      </w:r>
      <w:r>
        <w:rPr>
          <w:rFonts w:eastAsia="Arial"/>
          <w:color w:val="000000" w:themeColor="text1"/>
          <w:sz w:val="22"/>
          <w:szCs w:val="22"/>
          <w14:numForm w14:val="lining"/>
          <w14:numSpacing w14:val="proportional"/>
        </w:rPr>
        <w:t>P</w:t>
      </w:r>
      <w:r w:rsidRPr="000613DF">
        <w:rPr>
          <w:rFonts w:eastAsia="Arial"/>
          <w:color w:val="000000" w:themeColor="text1"/>
          <w:sz w:val="22"/>
          <w:szCs w:val="22"/>
          <w14:numForm w14:val="lining"/>
          <w14:numSpacing w14:val="proportional"/>
        </w:rPr>
        <w:t xml:space="preserve">ackage </w:t>
      </w:r>
      <w:r>
        <w:rPr>
          <w:rFonts w:eastAsia="Arial"/>
          <w:color w:val="000000" w:themeColor="text1"/>
          <w:sz w:val="22"/>
          <w:szCs w:val="22"/>
          <w14:numForm w14:val="lining"/>
          <w14:numSpacing w14:val="proportional"/>
        </w:rPr>
        <w:t xml:space="preserve">includes two skill sets: </w:t>
      </w:r>
      <w:r w:rsidRPr="3E880473">
        <w:rPr>
          <w:rFonts w:eastAsia="Arial"/>
          <w:i/>
          <w:iCs/>
          <w:color w:val="000000" w:themeColor="text1"/>
          <w:sz w:val="22"/>
          <w:szCs w:val="22"/>
          <w14:numForm w14:val="lining"/>
          <w14:numSpacing w14:val="proportional"/>
        </w:rPr>
        <w:t>bioprocessing using fermentation</w:t>
      </w:r>
      <w:r>
        <w:rPr>
          <w:rFonts w:eastAsia="Arial"/>
          <w:color w:val="000000" w:themeColor="text1"/>
          <w:sz w:val="22"/>
          <w:szCs w:val="22"/>
          <w14:numForm w14:val="lining"/>
          <w14:numSpacing w14:val="proportional"/>
        </w:rPr>
        <w:t xml:space="preserve"> and</w:t>
      </w:r>
      <w:r w:rsidRPr="000613DF">
        <w:rPr>
          <w:rFonts w:eastAsia="Arial"/>
          <w:color w:val="000000" w:themeColor="text1"/>
          <w:sz w:val="22"/>
          <w:szCs w:val="22"/>
          <w14:numForm w14:val="lining"/>
          <w14:numSpacing w14:val="proportional"/>
        </w:rPr>
        <w:t xml:space="preserve"> </w:t>
      </w:r>
      <w:r w:rsidRPr="3E880473">
        <w:rPr>
          <w:rFonts w:eastAsia="Arial"/>
          <w:i/>
          <w:iCs/>
          <w:color w:val="000000" w:themeColor="text1"/>
          <w:sz w:val="22"/>
          <w:szCs w:val="22"/>
          <w14:numForm w14:val="lining"/>
          <w14:numSpacing w14:val="proportional"/>
        </w:rPr>
        <w:t>bioprocessing using pyrolysis</w:t>
      </w:r>
      <w:r>
        <w:rPr>
          <w:rFonts w:eastAsia="Arial"/>
          <w:color w:val="000000" w:themeColor="text1"/>
          <w:sz w:val="22"/>
          <w:szCs w:val="22"/>
          <w14:numForm w14:val="lining"/>
          <w14:numSpacing w14:val="proportional"/>
        </w:rPr>
        <w:t>. These</w:t>
      </w:r>
      <w:r w:rsidRPr="000613DF">
        <w:rPr>
          <w:rFonts w:eastAsia="Arial"/>
          <w:color w:val="000000" w:themeColor="text1"/>
          <w:sz w:val="22"/>
          <w:szCs w:val="22"/>
          <w14:numForm w14:val="lining"/>
          <w14:numSpacing w14:val="proportional"/>
        </w:rPr>
        <w:t xml:space="preserve"> cover the skills and knowledge required for staff responsible for monitoring bioprocessing equipment and processes to produce a range of products and bi-products, such as biochar, bio-oil, ethanol, livestock feed and fertiliser.</w:t>
      </w:r>
      <w:r>
        <w:rPr>
          <w:rStyle w:val="EndnoteReference"/>
          <w:rFonts w:eastAsia="Arial"/>
          <w:color w:val="000000" w:themeColor="text1"/>
          <w:sz w:val="22"/>
          <w:szCs w:val="22"/>
          <w14:numForm w14:val="lining"/>
          <w14:numSpacing w14:val="proportional"/>
        </w:rPr>
        <w:endnoteReference w:id="100"/>
      </w:r>
      <w:r w:rsidR="00D720ED">
        <w:rPr>
          <w:rFonts w:eastAsia="Arial"/>
          <w:color w:val="000000" w:themeColor="text1"/>
          <w:sz w:val="22"/>
          <w:szCs w:val="22"/>
          <w14:numForm w14:val="lining"/>
          <w14:numSpacing w14:val="proportional"/>
        </w:rPr>
        <w:t xml:space="preserve"> TAFE Gippsland </w:t>
      </w:r>
      <w:r w:rsidR="004602C6">
        <w:rPr>
          <w:rFonts w:eastAsia="Arial"/>
          <w:color w:val="000000" w:themeColor="text1"/>
          <w:sz w:val="22"/>
          <w:szCs w:val="22"/>
          <w14:numForm w14:val="lining"/>
          <w14:numSpacing w14:val="proportional"/>
        </w:rPr>
        <w:t xml:space="preserve">now </w:t>
      </w:r>
      <w:r w:rsidR="00D720ED">
        <w:rPr>
          <w:rFonts w:eastAsia="Arial"/>
          <w:color w:val="000000" w:themeColor="text1"/>
          <w:sz w:val="22"/>
          <w:szCs w:val="22"/>
          <w14:numForm w14:val="lining"/>
          <w14:numSpacing w14:val="proportional"/>
        </w:rPr>
        <w:t xml:space="preserve">offers a </w:t>
      </w:r>
      <w:r w:rsidR="00626C19">
        <w:rPr>
          <w:rFonts w:eastAsia="Arial"/>
          <w:color w:val="000000" w:themeColor="text1"/>
          <w:sz w:val="22"/>
          <w:szCs w:val="22"/>
          <w14:numForm w14:val="lining"/>
          <w14:numSpacing w14:val="proportional"/>
        </w:rPr>
        <w:t>five day course</w:t>
      </w:r>
      <w:r w:rsidR="00D720ED">
        <w:rPr>
          <w:rFonts w:eastAsia="Arial"/>
          <w:color w:val="000000" w:themeColor="text1"/>
          <w:sz w:val="22"/>
          <w:szCs w:val="22"/>
          <w14:numForm w14:val="lining"/>
          <w14:numSpacing w14:val="proportional"/>
        </w:rPr>
        <w:t xml:space="preserve"> </w:t>
      </w:r>
      <w:r w:rsidR="00626C19">
        <w:rPr>
          <w:rFonts w:eastAsia="Arial"/>
          <w:color w:val="000000" w:themeColor="text1"/>
          <w:sz w:val="22"/>
          <w:szCs w:val="22"/>
          <w14:numForm w14:val="lining"/>
          <w14:numSpacing w14:val="proportional"/>
        </w:rPr>
        <w:t xml:space="preserve">in biomanufacturing </w:t>
      </w:r>
      <w:r w:rsidR="00D720ED">
        <w:rPr>
          <w:rFonts w:eastAsia="Arial"/>
          <w:color w:val="000000" w:themeColor="text1"/>
          <w:sz w:val="22"/>
          <w:szCs w:val="22"/>
          <w14:numForm w14:val="lining"/>
          <w14:numSpacing w14:val="proportional"/>
        </w:rPr>
        <w:t xml:space="preserve">that </w:t>
      </w:r>
      <w:r w:rsidR="00621B57">
        <w:rPr>
          <w:rFonts w:eastAsia="Arial"/>
          <w:color w:val="000000" w:themeColor="text1"/>
          <w:sz w:val="22"/>
          <w:szCs w:val="22"/>
          <w14:numForm w14:val="lining"/>
          <w14:numSpacing w14:val="proportional"/>
        </w:rPr>
        <w:t xml:space="preserve">was designed </w:t>
      </w:r>
      <w:r w:rsidR="004602C6">
        <w:rPr>
          <w:rFonts w:eastAsia="Arial"/>
          <w:color w:val="000000" w:themeColor="text1"/>
          <w:sz w:val="22"/>
          <w:szCs w:val="22"/>
          <w14:numForm w14:val="lining"/>
          <w14:numSpacing w14:val="proportional"/>
        </w:rPr>
        <w:t xml:space="preserve">as an industry-led collaboration </w:t>
      </w:r>
      <w:r w:rsidR="00E75D89">
        <w:rPr>
          <w:rFonts w:eastAsia="Arial"/>
          <w:color w:val="000000" w:themeColor="text1"/>
          <w:sz w:val="22"/>
          <w:szCs w:val="22"/>
          <w14:numForm w14:val="lining"/>
          <w14:numSpacing w14:val="proportional"/>
        </w:rPr>
        <w:t>with</w:t>
      </w:r>
      <w:r w:rsidR="004602C6">
        <w:rPr>
          <w:rFonts w:eastAsia="Arial"/>
          <w:color w:val="000000" w:themeColor="text1"/>
          <w:sz w:val="22"/>
          <w:szCs w:val="22"/>
          <w14:numForm w14:val="lining"/>
          <w14:numSpacing w14:val="proportional"/>
        </w:rPr>
        <w:t xml:space="preserve"> Opal Australian Paper and Federation University.</w:t>
      </w:r>
    </w:p>
    <w:p w14:paraId="518D43F6" w14:textId="5CF81A45" w:rsidR="009E09C1" w:rsidRPr="00EB2319" w:rsidRDefault="009E09C1" w:rsidP="00304D92">
      <w:pPr>
        <w:pStyle w:val="Default"/>
        <w:spacing w:before="120" w:after="120" w:line="269"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 xml:space="preserve">The University of Newcastle </w:t>
      </w:r>
      <w:r>
        <w:rPr>
          <w:rFonts w:eastAsia="Arial"/>
          <w:color w:val="000000" w:themeColor="text1"/>
          <w:sz w:val="22"/>
          <w:szCs w:val="22"/>
          <w14:numForm w14:val="lining"/>
          <w14:numSpacing w14:val="proportional"/>
        </w:rPr>
        <w:t>has</w:t>
      </w:r>
      <w:r w:rsidRPr="000613DF">
        <w:rPr>
          <w:rFonts w:eastAsia="Arial"/>
          <w:color w:val="000000" w:themeColor="text1"/>
          <w:sz w:val="22"/>
          <w:szCs w:val="22"/>
          <w14:numForm w14:val="lining"/>
          <w14:numSpacing w14:val="proportional"/>
        </w:rPr>
        <w:t xml:space="preserve"> offered course</w:t>
      </w:r>
      <w:r>
        <w:rPr>
          <w:rFonts w:eastAsia="Arial"/>
          <w:color w:val="000000" w:themeColor="text1"/>
          <w:sz w:val="22"/>
          <w:szCs w:val="22"/>
          <w14:numForm w14:val="lining"/>
          <w14:numSpacing w14:val="proportional"/>
        </w:rPr>
        <w:t>s</w:t>
      </w:r>
      <w:r w:rsidRPr="000613DF">
        <w:rPr>
          <w:rFonts w:eastAsia="Arial"/>
          <w:color w:val="000000" w:themeColor="text1"/>
          <w:sz w:val="22"/>
          <w:szCs w:val="22"/>
          <w14:numForm w14:val="lining"/>
          <w14:numSpacing w14:val="proportional"/>
        </w:rPr>
        <w:t xml:space="preserve"> </w:t>
      </w:r>
      <w:r>
        <w:rPr>
          <w:rFonts w:eastAsia="Arial"/>
          <w:color w:val="000000" w:themeColor="text1"/>
          <w:sz w:val="22"/>
          <w:szCs w:val="22"/>
          <w14:numForm w14:val="lining"/>
          <w14:numSpacing w14:val="proportional"/>
        </w:rPr>
        <w:t>on</w:t>
      </w:r>
      <w:r w:rsidRPr="000613DF">
        <w:rPr>
          <w:rFonts w:eastAsia="Arial"/>
          <w:color w:val="000000" w:themeColor="text1"/>
          <w:sz w:val="22"/>
          <w:szCs w:val="22"/>
          <w14:numForm w14:val="lining"/>
          <w14:numSpacing w14:val="proportional"/>
        </w:rPr>
        <w:t xml:space="preserve"> biomass technology options for the production of renewable energy (heat and electric power), fuels, and chemicals that are suitable as substitutes for fossil fuels and their refined products. In its Chemical Engineering course, the University of Adelaide offer</w:t>
      </w:r>
      <w:r>
        <w:rPr>
          <w:rFonts w:eastAsia="Arial"/>
          <w:color w:val="000000" w:themeColor="text1"/>
          <w:sz w:val="22"/>
          <w:szCs w:val="22"/>
          <w14:numForm w14:val="lining"/>
          <w14:numSpacing w14:val="proportional"/>
        </w:rPr>
        <w:t>s</w:t>
      </w:r>
      <w:r w:rsidRPr="000613DF">
        <w:rPr>
          <w:rFonts w:eastAsia="Arial"/>
          <w:color w:val="000000" w:themeColor="text1"/>
          <w:sz w:val="22"/>
          <w:szCs w:val="22"/>
          <w14:numForm w14:val="lining"/>
          <w14:numSpacing w14:val="proportional"/>
        </w:rPr>
        <w:t xml:space="preserve"> subject matter covering </w:t>
      </w:r>
      <w:r w:rsidR="007F3756">
        <w:rPr>
          <w:rFonts w:eastAsia="Arial"/>
          <w:color w:val="000000" w:themeColor="text1"/>
          <w:sz w:val="22"/>
          <w:szCs w:val="22"/>
          <w14:numForm w14:val="lining"/>
          <w14:numSpacing w14:val="proportional"/>
        </w:rPr>
        <w:t>b</w:t>
      </w:r>
      <w:r w:rsidRPr="000613DF">
        <w:rPr>
          <w:rFonts w:eastAsia="Arial"/>
          <w:color w:val="000000" w:themeColor="text1"/>
          <w:sz w:val="22"/>
          <w:szCs w:val="22"/>
          <w14:numForm w14:val="lining"/>
          <w14:numSpacing w14:val="proportional"/>
        </w:rPr>
        <w:t xml:space="preserve">iofuels, </w:t>
      </w:r>
      <w:r w:rsidR="007F3756">
        <w:rPr>
          <w:rFonts w:eastAsia="Arial"/>
          <w:color w:val="000000" w:themeColor="text1"/>
          <w:sz w:val="22"/>
          <w:szCs w:val="22"/>
          <w14:numForm w14:val="lining"/>
          <w14:numSpacing w14:val="proportional"/>
        </w:rPr>
        <w:t>b</w:t>
      </w:r>
      <w:r w:rsidRPr="000613DF">
        <w:rPr>
          <w:rFonts w:eastAsia="Arial"/>
          <w:color w:val="000000" w:themeColor="text1"/>
          <w:sz w:val="22"/>
          <w:szCs w:val="22"/>
          <w14:numForm w14:val="lining"/>
          <w14:numSpacing w14:val="proportional"/>
        </w:rPr>
        <w:t xml:space="preserve">iomass and </w:t>
      </w:r>
      <w:r w:rsidR="007F3756">
        <w:rPr>
          <w:rFonts w:eastAsia="Arial"/>
          <w:color w:val="000000" w:themeColor="text1"/>
          <w:sz w:val="22"/>
          <w:szCs w:val="22"/>
          <w14:numForm w14:val="lining"/>
          <w14:numSpacing w14:val="proportional"/>
        </w:rPr>
        <w:t>w</w:t>
      </w:r>
      <w:r w:rsidRPr="000613DF">
        <w:rPr>
          <w:rFonts w:eastAsia="Arial"/>
          <w:color w:val="000000" w:themeColor="text1"/>
          <w:sz w:val="22"/>
          <w:szCs w:val="22"/>
          <w14:numForm w14:val="lining"/>
          <w14:numSpacing w14:val="proportional"/>
        </w:rPr>
        <w:t>astes, aiming to provide a fundamental understanding on the characteristics of biomass resources, and the design and operations of biomass energy systems.</w:t>
      </w:r>
    </w:p>
    <w:p w14:paraId="2FF3534B" w14:textId="3B2F7ABD" w:rsidR="009E09C1" w:rsidRDefault="009E09C1" w:rsidP="00304D92">
      <w:pPr>
        <w:pStyle w:val="Default"/>
        <w:spacing w:before="120" w:after="120" w:line="269"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Many bioenergy projects are already underway across Australia. Between 2012 and 2020 ARENA committed around $131 million to bioenergy related projects. In total, ARENA has fund</w:t>
      </w:r>
      <w:r>
        <w:rPr>
          <w:rFonts w:eastAsia="Arial"/>
          <w:color w:val="000000" w:themeColor="text1"/>
          <w:sz w:val="22"/>
          <w:szCs w:val="22"/>
          <w14:numForm w14:val="lining"/>
          <w14:numSpacing w14:val="proportional"/>
        </w:rPr>
        <w:t>ed</w:t>
      </w:r>
      <w:r w:rsidRPr="000613DF">
        <w:rPr>
          <w:rFonts w:eastAsia="Arial"/>
          <w:color w:val="000000" w:themeColor="text1"/>
          <w:sz w:val="22"/>
          <w:szCs w:val="22"/>
          <w14:numForm w14:val="lining"/>
          <w14:numSpacing w14:val="proportional"/>
        </w:rPr>
        <w:t xml:space="preserve"> 38 bioenergy related projects, including $57.3 million to 7 projects in Western Australia, $34.3 million to 11 projects in </w:t>
      </w:r>
      <w:r>
        <w:rPr>
          <w:rFonts w:eastAsia="Arial"/>
          <w:color w:val="000000" w:themeColor="text1"/>
          <w:sz w:val="22"/>
          <w:szCs w:val="22"/>
          <w14:numForm w14:val="lining"/>
          <w14:numSpacing w14:val="proportional"/>
        </w:rPr>
        <w:t>Queensland,</w:t>
      </w:r>
      <w:r w:rsidRPr="000613DF">
        <w:rPr>
          <w:rFonts w:eastAsia="Arial"/>
          <w:color w:val="000000" w:themeColor="text1"/>
          <w:sz w:val="22"/>
          <w:szCs w:val="22"/>
          <w14:numForm w14:val="lining"/>
          <w14:numSpacing w14:val="proportional"/>
        </w:rPr>
        <w:t xml:space="preserve"> and $28.9 million to 13 projects in NSW.</w:t>
      </w:r>
      <w:r>
        <w:rPr>
          <w:rStyle w:val="EndnoteReference"/>
          <w:rFonts w:eastAsia="Arial"/>
          <w:color w:val="000000" w:themeColor="text1"/>
          <w:sz w:val="22"/>
          <w:szCs w:val="22"/>
          <w14:numForm w14:val="lining"/>
          <w14:numSpacing w14:val="proportional"/>
        </w:rPr>
        <w:endnoteReference w:id="101"/>
      </w:r>
      <w:r w:rsidR="00D5241C">
        <w:rPr>
          <w:rFonts w:eastAsia="Arial"/>
          <w:color w:val="000000" w:themeColor="text1"/>
          <w:sz w:val="22"/>
          <w:szCs w:val="22"/>
          <w14:numForm w14:val="lining"/>
          <w14:numSpacing w14:val="proportional"/>
        </w:rPr>
        <w:t xml:space="preserve"> </w:t>
      </w:r>
      <w:bookmarkStart w:id="67" w:name="_Hlk145006594"/>
      <w:r w:rsidR="00304D92">
        <w:rPr>
          <w:rFonts w:eastAsia="Arial"/>
          <w:color w:val="000000" w:themeColor="text1"/>
          <w:sz w:val="22"/>
          <w:szCs w:val="22"/>
          <w14:numForm w14:val="lining"/>
          <w14:numSpacing w14:val="proportional"/>
        </w:rPr>
        <w:t xml:space="preserve"> </w:t>
      </w:r>
      <w:r w:rsidRPr="000613DF">
        <w:rPr>
          <w:rFonts w:eastAsia="Arial"/>
          <w:color w:val="000000" w:themeColor="text1"/>
          <w:sz w:val="22"/>
          <w:szCs w:val="22"/>
          <w14:numForm w14:val="lining"/>
          <w14:numSpacing w14:val="proportional"/>
        </w:rPr>
        <w:t>The Bioenergy sector provides opportunities for skilled employment opportunities and economic growth across regional areas. With many bioenergy feedstocks stemming from agricultural activities including sugarcane waste and livestock industries, and with most of these industries located in regional Australia, bioenergy investment could</w:t>
      </w:r>
      <w:r>
        <w:rPr>
          <w:rFonts w:eastAsia="Arial"/>
          <w:color w:val="000000" w:themeColor="text1"/>
          <w:sz w:val="22"/>
          <w:szCs w:val="22"/>
          <w14:numForm w14:val="lining"/>
          <w14:numSpacing w14:val="proportional"/>
        </w:rPr>
        <w:t xml:space="preserve"> </w:t>
      </w:r>
      <w:r w:rsidRPr="000613DF">
        <w:rPr>
          <w:rFonts w:eastAsia="Arial"/>
          <w:color w:val="000000" w:themeColor="text1"/>
          <w:sz w:val="22"/>
          <w:szCs w:val="22"/>
          <w14:numForm w14:val="lining"/>
          <w14:numSpacing w14:val="proportional"/>
        </w:rPr>
        <w:t xml:space="preserve">support long-term regional employment, and provide additional revenue streams </w:t>
      </w:r>
      <w:r>
        <w:rPr>
          <w:rFonts w:eastAsia="Arial"/>
          <w:color w:val="000000" w:themeColor="text1"/>
          <w:sz w:val="22"/>
          <w:szCs w:val="22"/>
          <w14:numForm w14:val="lining"/>
          <w14:numSpacing w14:val="proportional"/>
        </w:rPr>
        <w:t>to support employment in agricultural industries.</w:t>
      </w:r>
    </w:p>
    <w:p w14:paraId="144F6187" w14:textId="3B2F7ABD" w:rsidR="00FD311D" w:rsidRPr="000613DF" w:rsidRDefault="00FD311D" w:rsidP="00387CE5">
      <w:pPr>
        <w:pStyle w:val="Default"/>
        <w:spacing w:before="120" w:after="120" w:line="276" w:lineRule="auto"/>
        <w:ind w:left="-1474"/>
        <w:rPr>
          <w:rFonts w:eastAsia="Arial"/>
          <w:color w:val="000000" w:themeColor="text1"/>
          <w:sz w:val="22"/>
          <w:szCs w:val="22"/>
          <w14:numForm w14:val="lining"/>
          <w14:numSpacing w14:val="proportional"/>
        </w:rPr>
      </w:pPr>
      <w:r w:rsidRPr="00BB2E09">
        <w:rPr>
          <w:noProof/>
        </w:rPr>
        <mc:AlternateContent>
          <mc:Choice Requires="wpg">
            <w:drawing>
              <wp:inline distT="0" distB="0" distL="0" distR="0" wp14:anchorId="49AF63FF" wp14:editId="7AEE7440">
                <wp:extent cx="7578725" cy="3888740"/>
                <wp:effectExtent l="0" t="0" r="3175" b="0"/>
                <wp:docPr id="1087981644" name="Group 1087981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8725" cy="3888740"/>
                          <a:chOff x="0" y="0"/>
                          <a:chExt cx="5675630" cy="2915285"/>
                        </a:xfrm>
                      </wpg:grpSpPr>
                      <wpg:grpSp>
                        <wpg:cNvPr id="1087981645" name="Group 1087981645"/>
                        <wpg:cNvGrpSpPr/>
                        <wpg:grpSpPr>
                          <a:xfrm>
                            <a:off x="0" y="0"/>
                            <a:ext cx="5675630" cy="2915285"/>
                            <a:chOff x="0" y="0"/>
                            <a:chExt cx="5676169" cy="2915285"/>
                          </a:xfrm>
                        </wpg:grpSpPr>
                        <pic:pic xmlns:pic="http://schemas.openxmlformats.org/drawingml/2006/picture">
                          <pic:nvPicPr>
                            <pic:cNvPr id="1087981646" name="Picture 1087981646">
                              <a:extLst>
                                <a:ext uri="{C183D7F6-B498-43B3-948B-1728B52AA6E4}">
                                  <adec:decorative xmlns:adec="http://schemas.microsoft.com/office/drawing/2017/decorative" val="1"/>
                                </a:ext>
                              </a:extLst>
                            </pic:cNvPr>
                            <pic:cNvPicPr>
                              <a:picLocks noChangeAspect="1"/>
                            </pic:cNvPicPr>
                          </pic:nvPicPr>
                          <pic:blipFill rotWithShape="1">
                            <a:blip r:embed="rId185">
                              <a:extLst>
                                <a:ext uri="{28A0092B-C50C-407E-A947-70E740481C1C}">
                                  <a14:useLocalDpi xmlns:a14="http://schemas.microsoft.com/office/drawing/2010/main"/>
                                </a:ext>
                              </a:extLst>
                            </a:blip>
                            <a:srcRect/>
                            <a:stretch/>
                          </pic:blipFill>
                          <pic:spPr bwMode="auto">
                            <a:xfrm>
                              <a:off x="2829464" y="0"/>
                              <a:ext cx="2846705" cy="2915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7981647" name="Picture 1087981647">
                              <a:extLst>
                                <a:ext uri="{C183D7F6-B498-43B3-948B-1728B52AA6E4}">
                                  <adec:decorative xmlns:adec="http://schemas.microsoft.com/office/drawing/2017/decorative" val="1"/>
                                </a:ext>
                              </a:extLst>
                            </pic:cNvPr>
                            <pic:cNvPicPr>
                              <a:picLocks noChangeAspect="1"/>
                            </pic:cNvPicPr>
                          </pic:nvPicPr>
                          <pic:blipFill rotWithShape="1">
                            <a:blip r:embed="rId186">
                              <a:extLst>
                                <a:ext uri="{28A0092B-C50C-407E-A947-70E740481C1C}">
                                  <a14:useLocalDpi xmlns:a14="http://schemas.microsoft.com/office/drawing/2010/main" val="0"/>
                                </a:ext>
                              </a:extLst>
                            </a:blip>
                            <a:srcRect/>
                            <a:stretch/>
                          </pic:blipFill>
                          <pic:spPr bwMode="auto">
                            <a:xfrm>
                              <a:off x="0" y="0"/>
                              <a:ext cx="2854960" cy="2915285"/>
                            </a:xfrm>
                            <a:prstGeom prst="rect">
                              <a:avLst/>
                            </a:prstGeom>
                            <a:ln>
                              <a:noFill/>
                            </a:ln>
                            <a:extLst>
                              <a:ext uri="{53640926-AAD7-44D8-BBD7-CCE9431645EC}">
                                <a14:shadowObscured xmlns:a14="http://schemas.microsoft.com/office/drawing/2010/main"/>
                              </a:ext>
                            </a:extLst>
                          </pic:spPr>
                        </pic:pic>
                      </wpg:grpSp>
                      <wps:wsp>
                        <wps:cNvPr id="1087981648" name="Text Box 1087981648"/>
                        <wps:cNvSpPr txBox="1"/>
                        <wps:spPr>
                          <a:xfrm>
                            <a:off x="17864" y="2778643"/>
                            <a:ext cx="2836654" cy="134919"/>
                          </a:xfrm>
                          <a:prstGeom prst="rect">
                            <a:avLst/>
                          </a:prstGeom>
                          <a:solidFill>
                            <a:srgbClr val="262626">
                              <a:alpha val="60000"/>
                            </a:srgbClr>
                          </a:solidFill>
                          <a:ln w="6350">
                            <a:noFill/>
                          </a:ln>
                        </wps:spPr>
                        <wps:txbx>
                          <w:txbxContent>
                            <w:p w14:paraId="653F3696"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 xml:space="preserve">CSIRO Battery Research, 1980. National Archives of Australia, item </w:t>
                              </w:r>
                              <w:r w:rsidRPr="00B64FA0">
                                <w:rPr>
                                  <w:color w:val="FFFFFF" w:themeColor="background1"/>
                                  <w:sz w:val="16"/>
                                  <w:szCs w:val="16"/>
                                </w:rPr>
                                <w:t>11897428</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s:wsp>
                        <wps:cNvPr id="1087981649" name="Text Box 1087981649">
                          <a:extLst>
                            <a:ext uri="{C183D7F6-B498-43B3-948B-1728B52AA6E4}">
                              <adec:decorative xmlns:adec="http://schemas.microsoft.com/office/drawing/2017/decorative" val="1"/>
                            </a:ext>
                          </a:extLst>
                        </wps:cNvPr>
                        <wps:cNvSpPr txBox="1"/>
                        <wps:spPr>
                          <a:xfrm>
                            <a:off x="2854518" y="2780313"/>
                            <a:ext cx="2804544" cy="134919"/>
                          </a:xfrm>
                          <a:prstGeom prst="rect">
                            <a:avLst/>
                          </a:prstGeom>
                          <a:solidFill>
                            <a:srgbClr val="262626">
                              <a:alpha val="60000"/>
                            </a:srgbClr>
                          </a:solidFill>
                          <a:ln w="6350">
                            <a:noFill/>
                          </a:ln>
                        </wps:spPr>
                        <wps:txbx>
                          <w:txbxContent>
                            <w:p w14:paraId="451E0750"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Electric car conversion, SA 1976</w:t>
                              </w:r>
                              <w:r>
                                <w:rPr>
                                  <w:color w:val="FFFFFF" w:themeColor="background1"/>
                                  <w:sz w:val="16"/>
                                  <w:szCs w:val="16"/>
                                </w:rPr>
                                <w:t>. National Archives of Australia, item 11412438</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49AF63FF" id="Group 1087981644" o:spid="_x0000_s1118" alt="&quot;&quot;" style="width:596.75pt;height:306.2pt;mso-position-horizontal-relative:char;mso-position-vertical-relative:line" coordsize="56756,29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">
                <v:group id="Group 1087981645" o:spid="_x0000_s1119" style="position:absolute;width:56756;height:29152" coordsize="56761,2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7981646" o:spid="_x0000_s1120" type="#_x0000_t75" alt="&quot;&quot;" style="position:absolute;left:28294;width:28467;height:29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">
                    <v:imagedata r:id="rId187" o:title=""/>
                  </v:shape>
                  <v:shape id="Picture 1087981647" o:spid="_x0000_s1121" type="#_x0000_t75" alt="&quot;&quot;" style="position:absolute;width:28549;height:29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">
                    <v:imagedata r:id="rId188" o:title=""/>
                  </v:shape>
                </v:group>
                <v:shape id="Text Box 1087981648" o:spid="_x0000_s1122" type="#_x0000_t202" style="position:absolute;left:178;top:27786;width:28367;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" fillcolor="#262626" stroked="f" strokeweight=".5pt">
                  <v:fill opacity="39321f"/>
                  <v:textbox inset="2mm,1mm,1mm,1mm">
                    <w:txbxContent>
                      <w:p w14:paraId="653F3696"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 xml:space="preserve">CSIRO Battery Research, 1980. National Archives of Australia, item </w:t>
                        </w:r>
                        <w:r w:rsidRPr="00B64FA0">
                          <w:rPr>
                            <w:color w:val="FFFFFF" w:themeColor="background1"/>
                            <w:sz w:val="16"/>
                            <w:szCs w:val="16"/>
                          </w:rPr>
                          <w:t>11897428</w:t>
                        </w:r>
                      </w:p>
                    </w:txbxContent>
                  </v:textbox>
                </v:shape>
                <v:shape id="Text Box 1087981649" o:spid="_x0000_s1123" type="#_x0000_t202" alt="&quot;&quot;" style="position:absolute;left:28545;top:27803;width:28045;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" fillcolor="#262626" stroked="f" strokeweight=".5pt">
                  <v:fill opacity="39321f"/>
                  <v:textbox inset="2mm,1mm,1mm,1mm">
                    <w:txbxContent>
                      <w:p w14:paraId="451E0750" w14:textId="77777777" w:rsidR="00FD311D" w:rsidRPr="00393299" w:rsidRDefault="00FD311D" w:rsidP="00387CE5">
                        <w:pPr>
                          <w:spacing w:after="0" w:line="240" w:lineRule="auto"/>
                          <w:rPr>
                            <w:color w:val="FFFFFF" w:themeColor="background1"/>
                            <w:sz w:val="16"/>
                            <w:szCs w:val="16"/>
                          </w:rPr>
                        </w:pPr>
                        <w:r w:rsidRPr="00393299">
                          <w:rPr>
                            <w:color w:val="FFFFFF" w:themeColor="background1"/>
                            <w:sz w:val="16"/>
                            <w:szCs w:val="16"/>
                          </w:rPr>
                          <w:t>Electric car conversion, SA 1976</w:t>
                        </w:r>
                        <w:r>
                          <w:rPr>
                            <w:color w:val="FFFFFF" w:themeColor="background1"/>
                            <w:sz w:val="16"/>
                            <w:szCs w:val="16"/>
                          </w:rPr>
                          <w:t>. National Archives of Australia, item 11412438</w:t>
                        </w:r>
                      </w:p>
                    </w:txbxContent>
                  </v:textbox>
                </v:shape>
                <w10:anchorlock/>
              </v:group>
            </w:pict>
          </mc:Fallback>
        </mc:AlternateContent>
      </w:r>
    </w:p>
    <w:bookmarkEnd w:id="67"/>
    <w:p w14:paraId="24CF33AC" w14:textId="108245BE" w:rsidR="009E09C1" w:rsidRPr="009E09C1" w:rsidRDefault="009E09C1" w:rsidP="00304D92">
      <w:pPr>
        <w:pStyle w:val="Heading3"/>
        <w:spacing w:before="600"/>
        <w:rPr>
          <w:color w:val="9F1853" w:themeColor="accent4"/>
        </w:rPr>
      </w:pPr>
      <w:r w:rsidRPr="009E09C1">
        <w:rPr>
          <w:color w:val="9F1853" w:themeColor="accent4"/>
        </w:rPr>
        <w:t>Batteries</w:t>
      </w:r>
    </w:p>
    <w:p w14:paraId="3BFE15A4" w14:textId="027C98A8" w:rsidR="009E09C1" w:rsidRPr="008E683F" w:rsidRDefault="009E09C1" w:rsidP="009E09C1">
      <w:pPr>
        <w:pStyle w:val="Default"/>
        <w:spacing w:after="120" w:line="276" w:lineRule="auto"/>
        <w:rPr>
          <w:sz w:val="22"/>
          <w:szCs w:val="22"/>
          <w14:numForm w14:val="lining"/>
          <w14:numSpacing w14:val="proportional"/>
        </w:rPr>
      </w:pPr>
      <w:r w:rsidRPr="008E683F">
        <w:rPr>
          <w:sz w:val="22"/>
          <w:szCs w:val="22"/>
          <w14:numForm w14:val="lining"/>
          <w14:numSpacing w14:val="proportional"/>
        </w:rPr>
        <w:t>Battery storage</w:t>
      </w:r>
      <w:r w:rsidRPr="064BD4EF">
        <w:rPr>
          <w:b/>
          <w:bCs/>
          <w:sz w:val="22"/>
          <w:szCs w:val="22"/>
          <w14:numForm w14:val="lining"/>
          <w14:numSpacing w14:val="proportional"/>
        </w:rPr>
        <w:t xml:space="preserve"> </w:t>
      </w:r>
      <w:r w:rsidRPr="008E683F">
        <w:rPr>
          <w:sz w:val="22"/>
          <w:szCs w:val="22"/>
          <w14:numForm w14:val="lining"/>
          <w14:numSpacing w14:val="proportional"/>
        </w:rPr>
        <w:t>will be a critical feature of Australia’s future energy supply, both at grid-scale to support transmission but also in tandem with small-scale solar</w:t>
      </w:r>
      <w:r>
        <w:rPr>
          <w:sz w:val="22"/>
          <w:szCs w:val="22"/>
          <w14:numForm w14:val="lining"/>
          <w14:numSpacing w14:val="proportional"/>
        </w:rPr>
        <w:t xml:space="preserve"> on houses and businesses</w:t>
      </w:r>
      <w:r w:rsidRPr="008E683F">
        <w:rPr>
          <w:sz w:val="22"/>
          <w:szCs w:val="22"/>
          <w14:numForm w14:val="lining"/>
          <w14:numSpacing w14:val="proportional"/>
        </w:rPr>
        <w:t>. Energy storage system</w:t>
      </w:r>
      <w:r>
        <w:rPr>
          <w:sz w:val="22"/>
          <w:szCs w:val="22"/>
          <w14:numForm w14:val="lining"/>
          <w14:numSpacing w14:val="proportional"/>
        </w:rPr>
        <w:t>s</w:t>
      </w:r>
      <w:r w:rsidRPr="008E683F">
        <w:rPr>
          <w:sz w:val="22"/>
          <w:szCs w:val="22"/>
          <w14:numForm w14:val="lining"/>
          <w14:numSpacing w14:val="proportional"/>
        </w:rPr>
        <w:t xml:space="preserve"> enable access to energy during peak time when renewable energy output is usually low, reducing energy grid reliance on fossil fuel generated power. Additionally, the global demand for lithium-ion batteries is expected to surge as the </w:t>
      </w:r>
      <w:r w:rsidR="006F328E" w:rsidRPr="7E978612">
        <w:rPr>
          <w:sz w:val="22"/>
          <w:szCs w:val="22"/>
          <w14:numForm w14:val="lining"/>
          <w14:numSpacing w14:val="proportional"/>
        </w:rPr>
        <w:t>EV</w:t>
      </w:r>
      <w:r w:rsidRPr="008E683F">
        <w:rPr>
          <w:sz w:val="22"/>
          <w:szCs w:val="22"/>
          <w14:numForm w14:val="lining"/>
          <w14:numSpacing w14:val="proportional"/>
        </w:rPr>
        <w:t xml:space="preserve"> market is rapidly expanding worldwide.</w:t>
      </w:r>
    </w:p>
    <w:p w14:paraId="1D910B59" w14:textId="2B821C74" w:rsidR="00726D35" w:rsidRDefault="009E09C1" w:rsidP="009E09C1">
      <w:pPr>
        <w:pStyle w:val="Default"/>
        <w:spacing w:line="276" w:lineRule="auto"/>
        <w:rPr>
          <w:sz w:val="22"/>
          <w:szCs w:val="22"/>
        </w:rPr>
      </w:pPr>
      <w:r w:rsidRPr="008E683F">
        <w:rPr>
          <w:sz w:val="22"/>
          <w:szCs w:val="22"/>
          <w14:numForm w14:val="lining"/>
          <w14:numSpacing w14:val="proportional"/>
        </w:rPr>
        <w:t>Australia is a dominant player in the mining of raw battery materials</w:t>
      </w:r>
      <w:r w:rsidR="55AAB6AC" w:rsidRPr="3E880473">
        <w:rPr>
          <w:sz w:val="22"/>
          <w:szCs w:val="22"/>
        </w:rPr>
        <w:t xml:space="preserve"> with around half the global lithium market and a leading role in other key metals</w:t>
      </w:r>
      <w:r w:rsidRPr="2DDF3BF7" w:rsidDel="009E09C1">
        <w:rPr>
          <w:sz w:val="22"/>
          <w:szCs w:val="22"/>
        </w:rPr>
        <w:t>,</w:t>
      </w:r>
      <w:r w:rsidRPr="008E683F">
        <w:rPr>
          <w:sz w:val="22"/>
          <w:szCs w:val="22"/>
          <w14:numForm w14:val="lining"/>
          <w14:numSpacing w14:val="proportional"/>
        </w:rPr>
        <w:t xml:space="preserve"> but </w:t>
      </w:r>
      <w:r>
        <w:rPr>
          <w:sz w:val="22"/>
          <w:szCs w:val="22"/>
          <w14:numForm w14:val="lining"/>
          <w14:numSpacing w14:val="proportional"/>
        </w:rPr>
        <w:t xml:space="preserve">processing and </w:t>
      </w:r>
      <w:r w:rsidRPr="008E683F">
        <w:rPr>
          <w:sz w:val="22"/>
          <w:szCs w:val="22"/>
          <w14:numForm w14:val="lining"/>
          <w14:numSpacing w14:val="proportional"/>
        </w:rPr>
        <w:t xml:space="preserve">battery manufacturing </w:t>
      </w:r>
      <w:r w:rsidR="00C23D2E">
        <w:rPr>
          <w:sz w:val="22"/>
          <w:szCs w:val="22"/>
          <w14:numForm w14:val="lining"/>
          <w14:numSpacing w14:val="proportional"/>
        </w:rPr>
        <w:t xml:space="preserve">mostly </w:t>
      </w:r>
      <w:r w:rsidRPr="008E683F">
        <w:rPr>
          <w:sz w:val="22"/>
          <w:szCs w:val="22"/>
          <w14:numForm w14:val="lining"/>
          <w14:numSpacing w14:val="proportional"/>
        </w:rPr>
        <w:t xml:space="preserve">takes place through complex </w:t>
      </w:r>
      <w:r w:rsidR="374B71F2" w:rsidRPr="48834AD3">
        <w:rPr>
          <w:sz w:val="22"/>
          <w:szCs w:val="22"/>
        </w:rPr>
        <w:t>overseas</w:t>
      </w:r>
      <w:r w:rsidR="374B71F2" w:rsidRPr="008E683F">
        <w:rPr>
          <w:sz w:val="22"/>
          <w:szCs w:val="22"/>
          <w14:numForm w14:val="lining"/>
          <w14:numSpacing w14:val="proportional"/>
        </w:rPr>
        <w:t xml:space="preserve"> </w:t>
      </w:r>
      <w:r w:rsidRPr="008E683F">
        <w:rPr>
          <w:sz w:val="22"/>
          <w:szCs w:val="22"/>
          <w14:numForm w14:val="lining"/>
          <w14:numSpacing w14:val="proportional"/>
        </w:rPr>
        <w:t>value chain</w:t>
      </w:r>
      <w:r w:rsidRPr="4AB85293">
        <w:rPr>
          <w:sz w:val="22"/>
          <w:szCs w:val="22"/>
        </w:rPr>
        <w:t>s</w:t>
      </w:r>
      <w:r w:rsidRPr="008E683F">
        <w:rPr>
          <w:sz w:val="22"/>
          <w:szCs w:val="22"/>
          <w14:numForm w14:val="lining"/>
          <w14:numSpacing w14:val="proportional"/>
        </w:rPr>
        <w:t xml:space="preserve"> </w:t>
      </w:r>
      <w:r w:rsidRPr="48834AD3">
        <w:rPr>
          <w:sz w:val="22"/>
          <w:szCs w:val="22"/>
        </w:rPr>
        <w:t>.</w:t>
      </w:r>
      <w:r>
        <w:rPr>
          <w:rStyle w:val="EndnoteReference"/>
          <w:color w:val="auto"/>
          <w:sz w:val="18"/>
          <w:szCs w:val="18"/>
        </w:rPr>
        <w:endnoteReference w:id="102"/>
      </w:r>
      <w:r w:rsidRPr="008E683F">
        <w:rPr>
          <w:sz w:val="22"/>
          <w:szCs w:val="22"/>
        </w:rPr>
        <w:t xml:space="preserve"> Analysis of the LinkedIn Talent Insights database suggests that the </w:t>
      </w:r>
      <w:r w:rsidR="00E27DE1" w:rsidRPr="4AB85293">
        <w:rPr>
          <w:sz w:val="22"/>
          <w:szCs w:val="22"/>
        </w:rPr>
        <w:t>b</w:t>
      </w:r>
      <w:r w:rsidRPr="008E683F">
        <w:rPr>
          <w:sz w:val="22"/>
          <w:szCs w:val="22"/>
        </w:rPr>
        <w:t>atteries sector is still in the development phase in Australia – four of the five largest employers are universities, although the largest industries (based on the LinkedIn categories) are Renewables Environment</w:t>
      </w:r>
      <w:r w:rsidR="4C2CB060">
        <w:rPr>
          <w:sz w:val="22"/>
          <w:szCs w:val="22"/>
        </w:rPr>
        <w:t>,</w:t>
      </w:r>
      <w:r w:rsidRPr="008E683F">
        <w:rPr>
          <w:sz w:val="22"/>
          <w:szCs w:val="22"/>
        </w:rPr>
        <w:t xml:space="preserve"> and Electrical and Electronic Manufacturing. Slightly more than 800 LinkedIn job posts in the last 12 months listed one or more of the battery skills (Batteries; Battery Management Systems; </w:t>
      </w:r>
      <w:r>
        <w:rPr>
          <w:sz w:val="22"/>
          <w:szCs w:val="22"/>
        </w:rPr>
        <w:t>B</w:t>
      </w:r>
      <w:r w:rsidRPr="008E683F">
        <w:rPr>
          <w:sz w:val="22"/>
          <w:szCs w:val="22"/>
        </w:rPr>
        <w:t>attery Design; BEV).</w:t>
      </w:r>
    </w:p>
    <w:p w14:paraId="57D04A59" w14:textId="77777777" w:rsidR="00726D35" w:rsidRDefault="00726D35">
      <w:pPr>
        <w:rPr>
          <w:rFonts w:cs="Arial"/>
          <w:color w:val="000000"/>
        </w:rPr>
      </w:pPr>
      <w:r>
        <w:br w:type="page"/>
      </w:r>
    </w:p>
    <w:p w14:paraId="606D15D8" w14:textId="616F7C43" w:rsidR="009E09C1" w:rsidRDefault="009E09C1" w:rsidP="004F4B0C">
      <w:pPr>
        <w:pStyle w:val="Default"/>
        <w:spacing w:before="120" w:after="240" w:line="276" w:lineRule="auto"/>
        <w:rPr>
          <w:rFonts w:eastAsia="Arial"/>
          <w:color w:val="000000" w:themeColor="text1"/>
          <w:sz w:val="22"/>
          <w:szCs w:val="22"/>
          <w14:numForm w14:val="lining"/>
          <w14:numSpacing w14:val="proportional"/>
        </w:rPr>
      </w:pPr>
      <w:r w:rsidRPr="000613DF">
        <w:rPr>
          <w:rFonts w:eastAsia="Arial"/>
          <w:color w:val="000000" w:themeColor="text1"/>
          <w:sz w:val="22"/>
          <w:szCs w:val="22"/>
          <w14:numForm w14:val="lining"/>
          <w14:numSpacing w14:val="proportional"/>
        </w:rPr>
        <w:t>The ABS estimates that in 2018-19, around 2,380 people were employed working on small-scale batteries, and only 30 on large scale batteries. It is very likely that employment in both groups has grown considerably since then</w:t>
      </w:r>
      <w:r>
        <w:rPr>
          <w:rFonts w:eastAsia="Arial"/>
          <w:color w:val="000000" w:themeColor="text1"/>
          <w:sz w:val="22"/>
          <w:szCs w:val="22"/>
          <w14:numForm w14:val="lining"/>
          <w14:numSpacing w14:val="proportional"/>
        </w:rPr>
        <w:t xml:space="preserve"> as record numbers of batteries are installed</w:t>
      </w:r>
      <w:r w:rsidRPr="000613DF">
        <w:rPr>
          <w:rFonts w:eastAsia="Arial"/>
          <w:color w:val="000000" w:themeColor="text1"/>
          <w:sz w:val="22"/>
          <w:szCs w:val="22"/>
          <w14:numForm w14:val="lining"/>
          <w14:numSpacing w14:val="proportional"/>
        </w:rPr>
        <w:t>.</w:t>
      </w:r>
      <w:r w:rsidRPr="000613DF">
        <w:rPr>
          <w:rStyle w:val="EndnoteReference"/>
          <w:rFonts w:eastAsia="Arial"/>
          <w:color w:val="000000" w:themeColor="text1"/>
          <w:sz w:val="22"/>
          <w:szCs w:val="22"/>
          <w14:numForm w14:val="lining"/>
          <w14:numSpacing w14:val="proportional"/>
        </w:rPr>
        <w:endnoteReference w:id="103"/>
      </w:r>
      <w:r>
        <w:rPr>
          <w:rFonts w:eastAsia="Arial"/>
          <w:color w:val="000000" w:themeColor="text1"/>
          <w:sz w:val="22"/>
          <w:szCs w:val="22"/>
          <w14:numForm w14:val="lining"/>
          <w14:numSpacing w14:val="proportional"/>
        </w:rPr>
        <w:t xml:space="preserve"> </w:t>
      </w:r>
      <w:r w:rsidRPr="000613DF">
        <w:rPr>
          <w:rFonts w:eastAsia="Arial"/>
          <w:color w:val="000000" w:themeColor="text1"/>
          <w:sz w:val="22"/>
          <w:szCs w:val="22"/>
          <w14:numForm w14:val="lining"/>
          <w14:numSpacing w14:val="proportional"/>
        </w:rPr>
        <w:t xml:space="preserve">As explored in </w:t>
      </w:r>
      <w:r w:rsidRPr="000F04EE">
        <w:rPr>
          <w:rFonts w:eastAsia="Arial"/>
          <w:b/>
          <w:bCs/>
          <w:color w:val="000000" w:themeColor="text1"/>
          <w:sz w:val="22"/>
          <w:szCs w:val="22"/>
          <w14:numForm w14:val="lining"/>
          <w14:numSpacing w14:val="proportional"/>
        </w:rPr>
        <w:t>Chapter 4</w:t>
      </w:r>
      <w:r w:rsidRPr="000613DF">
        <w:rPr>
          <w:rFonts w:eastAsia="Arial"/>
          <w:color w:val="000000" w:themeColor="text1"/>
          <w:sz w:val="22"/>
          <w:szCs w:val="22"/>
          <w14:numForm w14:val="lining"/>
          <w14:numSpacing w14:val="proportional"/>
        </w:rPr>
        <w:t>, there are a number of new units relevant to battery installation</w:t>
      </w:r>
      <w:r>
        <w:rPr>
          <w:rFonts w:eastAsia="Arial"/>
          <w:color w:val="000000" w:themeColor="text1"/>
          <w:sz w:val="22"/>
          <w:szCs w:val="22"/>
          <w14:numForm w14:val="lining"/>
          <w14:numSpacing w14:val="proportional"/>
        </w:rPr>
        <w:t xml:space="preserve">, maintenance and design for </w:t>
      </w:r>
      <w:r w:rsidR="334F595F">
        <w:rPr>
          <w:rFonts w:eastAsia="Arial"/>
          <w:color w:val="000000" w:themeColor="text1"/>
          <w:sz w:val="22"/>
          <w:szCs w:val="22"/>
          <w14:numForm w14:val="lining"/>
          <w14:numSpacing w14:val="proportional"/>
        </w:rPr>
        <w:t>E</w:t>
      </w:r>
      <w:r>
        <w:rPr>
          <w:rFonts w:eastAsia="Arial"/>
          <w:color w:val="000000" w:themeColor="text1"/>
          <w:sz w:val="22"/>
          <w:szCs w:val="22"/>
          <w14:numForm w14:val="lining"/>
          <w14:numSpacing w14:val="proportional"/>
        </w:rPr>
        <w:t xml:space="preserve">lectricians. The number of enrolments in these units has grown from 482 in 2017 to 2,626 in 2022 which may be linked to </w:t>
      </w:r>
      <w:r w:rsidR="00F72FA8">
        <w:rPr>
          <w14:numForm w14:val="lining"/>
          <w14:numSpacing w14:val="proportional"/>
        </w:rPr>
        <w:t>CEC</w:t>
      </w:r>
      <w:r>
        <w:rPr>
          <w:rFonts w:eastAsia="Arial"/>
          <w:color w:val="000000" w:themeColor="text1"/>
          <w:sz w:val="22"/>
          <w:szCs w:val="22"/>
          <w14:numForm w14:val="lining"/>
          <w14:numSpacing w14:val="proportional"/>
        </w:rPr>
        <w:t xml:space="preserve"> industry accreditation requirements (Table 6.1).</w:t>
      </w:r>
    </w:p>
    <w:p w14:paraId="1C3E4361" w14:textId="77777777" w:rsidR="009E09C1" w:rsidRPr="00E7256D" w:rsidRDefault="009E09C1" w:rsidP="009E09C1">
      <w:pPr>
        <w:pStyle w:val="Default"/>
        <w:spacing w:before="120" w:line="276" w:lineRule="auto"/>
        <w:rPr>
          <w:rFonts w:eastAsia="Arial"/>
          <w:b/>
          <w:bCs/>
          <w:color w:val="000000" w:themeColor="text1"/>
          <w:sz w:val="22"/>
          <w:szCs w:val="22"/>
          <w14:numForm w14:val="lining"/>
          <w14:numSpacing w14:val="proportional"/>
        </w:rPr>
      </w:pPr>
      <w:r w:rsidRPr="00B903CF">
        <w:rPr>
          <w:rFonts w:eastAsia="Arial"/>
          <w:b/>
          <w:bCs/>
          <w:color w:val="000000" w:themeColor="text1"/>
          <w:sz w:val="22"/>
          <w:szCs w:val="22"/>
          <w14:numForm w14:val="lining"/>
          <w14:numSpacing w14:val="proportional"/>
        </w:rPr>
        <w:t>Table 6.1. Ba</w:t>
      </w:r>
      <w:r w:rsidRPr="00E7256D">
        <w:rPr>
          <w:rFonts w:eastAsia="Arial"/>
          <w:b/>
          <w:bCs/>
          <w:color w:val="000000" w:themeColor="text1"/>
          <w:sz w:val="22"/>
          <w:szCs w:val="22"/>
          <w14:numForm w14:val="lining"/>
          <w14:numSpacing w14:val="proportional"/>
        </w:rPr>
        <w:t>ttery VET unit enrolments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893"/>
        <w:gridCol w:w="676"/>
        <w:gridCol w:w="733"/>
        <w:gridCol w:w="731"/>
        <w:gridCol w:w="732"/>
        <w:gridCol w:w="749"/>
        <w:gridCol w:w="750"/>
        <w:gridCol w:w="762"/>
      </w:tblGrid>
      <w:tr w:rsidR="009E09C1" w:rsidRPr="004467EF" w14:paraId="520BF69F" w14:textId="77777777">
        <w:trPr>
          <w:trHeight w:val="57"/>
        </w:trPr>
        <w:tc>
          <w:tcPr>
            <w:tcW w:w="0" w:type="auto"/>
            <w:tcBorders>
              <w:top w:val="single" w:sz="4" w:space="0" w:color="auto"/>
              <w:bottom w:val="single" w:sz="4" w:space="0" w:color="auto"/>
            </w:tcBorders>
            <w:shd w:val="clear" w:color="auto" w:fill="77123D" w:themeFill="accent4" w:themeFillShade="BF"/>
            <w:tcMar>
              <w:top w:w="0" w:type="dxa"/>
              <w:left w:w="0" w:type="dxa"/>
              <w:bottom w:w="0" w:type="dxa"/>
              <w:right w:w="0" w:type="dxa"/>
            </w:tcMar>
            <w:vAlign w:val="center"/>
          </w:tcPr>
          <w:p w14:paraId="1BABA2ED" w14:textId="77777777" w:rsidR="009E09C1" w:rsidRPr="004467EF" w:rsidRDefault="009E09C1">
            <w:pPr>
              <w:spacing w:after="0" w:line="240" w:lineRule="auto"/>
              <w:ind w:left="57"/>
              <w:textAlignment w:val="center"/>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CEC Battery Accreditation units</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22962AE7"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2017</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75F89A5C"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2018</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5D46AF56"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2019</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7BC15014"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2020</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422A074D"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2021</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6166EE83"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2022</w:t>
            </w:r>
          </w:p>
        </w:tc>
        <w:tc>
          <w:tcPr>
            <w:tcW w:w="0" w:type="auto"/>
            <w:tcBorders>
              <w:top w:val="single" w:sz="4" w:space="0" w:color="auto"/>
              <w:bottom w:val="single" w:sz="4" w:space="0" w:color="auto"/>
            </w:tcBorders>
            <w:shd w:val="clear" w:color="auto" w:fill="77123D" w:themeFill="accent4" w:themeFillShade="BF"/>
            <w:noWrap/>
            <w:tcMar>
              <w:top w:w="90" w:type="dxa"/>
              <w:left w:w="150" w:type="dxa"/>
              <w:bottom w:w="90" w:type="dxa"/>
              <w:right w:w="150" w:type="dxa"/>
            </w:tcMar>
            <w:vAlign w:val="bottom"/>
          </w:tcPr>
          <w:p w14:paraId="44D8F3C0" w14:textId="77777777" w:rsidR="009E09C1" w:rsidRPr="004467EF" w:rsidRDefault="009E09C1">
            <w:pPr>
              <w:spacing w:after="0" w:line="240" w:lineRule="auto"/>
              <w:jc w:val="right"/>
              <w:rPr>
                <w:rFonts w:asciiTheme="majorHAnsi" w:eastAsia="Times New Roman" w:hAnsiTheme="majorHAnsi" w:cstheme="majorHAnsi"/>
                <w:b/>
                <w:bCs/>
                <w:color w:val="FFFFFF" w:themeColor="background1"/>
                <w:sz w:val="18"/>
                <w:szCs w:val="18"/>
                <w:lang w:eastAsia="en-AU"/>
                <w14:numForm w14:val="lining"/>
                <w14:numSpacing w14:val="proportional"/>
              </w:rPr>
            </w:pPr>
            <w:r w:rsidRPr="004467EF">
              <w:rPr>
                <w:rFonts w:asciiTheme="majorHAnsi" w:eastAsia="Times New Roman" w:hAnsiTheme="majorHAnsi" w:cstheme="majorHAnsi"/>
                <w:b/>
                <w:bCs/>
                <w:color w:val="FFFFFF" w:themeColor="background1"/>
                <w:sz w:val="18"/>
                <w:szCs w:val="18"/>
                <w:lang w:eastAsia="en-AU"/>
                <w14:numForm w14:val="lining"/>
                <w14:numSpacing w14:val="proportional"/>
              </w:rPr>
              <w:t>Total</w:t>
            </w:r>
          </w:p>
        </w:tc>
      </w:tr>
      <w:tr w:rsidR="009E09C1" w:rsidRPr="004467EF" w14:paraId="41518238" w14:textId="77777777">
        <w:trPr>
          <w:trHeight w:val="20"/>
        </w:trPr>
        <w:tc>
          <w:tcPr>
            <w:tcW w:w="0" w:type="auto"/>
            <w:tcBorders>
              <w:top w:val="single" w:sz="4" w:space="0" w:color="auto"/>
            </w:tcBorders>
            <w:shd w:val="clear" w:color="auto" w:fill="F6C5DB" w:themeFill="accent4" w:themeFillTint="33"/>
            <w:tcMar>
              <w:top w:w="0" w:type="dxa"/>
              <w:left w:w="0" w:type="dxa"/>
              <w:bottom w:w="0" w:type="dxa"/>
              <w:right w:w="0" w:type="dxa"/>
            </w:tcMar>
            <w:vAlign w:val="center"/>
            <w:hideMark/>
          </w:tcPr>
          <w:p w14:paraId="300124DA" w14:textId="77777777" w:rsidR="009E09C1" w:rsidRPr="004467EF" w:rsidRDefault="009E09C1">
            <w:pPr>
              <w:spacing w:after="0" w:line="240" w:lineRule="auto"/>
              <w:ind w:left="57"/>
              <w:textAlignment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UEERE4001 - Install, maintain and fault find battery storage systems for grid-connected photovoltaic systems</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36EF9909" w14:textId="24D5702B"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23</w:t>
            </w:r>
            <w:r w:rsidR="00E8062E">
              <w:rPr>
                <w:rFonts w:asciiTheme="majorHAnsi" w:eastAsia="Times New Roman" w:hAnsiTheme="majorHAnsi" w:cstheme="majorHAnsi"/>
                <w:sz w:val="18"/>
                <w:szCs w:val="18"/>
                <w:lang w:eastAsia="en-AU"/>
                <w14:numForm w14:val="lining"/>
                <w14:numSpacing w14:val="proportional"/>
              </w:rPr>
              <w:t>4</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20CEBFF2" w14:textId="5F38758A"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62</w:t>
            </w:r>
            <w:r w:rsidR="00927ED5" w:rsidRPr="0046299E">
              <w:rPr>
                <w:rFonts w:asciiTheme="majorHAnsi" w:eastAsia="Times New Roman" w:hAnsiTheme="majorHAnsi" w:cstheme="majorHAnsi"/>
                <w:sz w:val="18"/>
                <w:szCs w:val="18"/>
                <w:lang w:eastAsia="en-AU"/>
                <w14:numForm w14:val="lining"/>
                <w14:numSpacing w14:val="proportional"/>
              </w:rPr>
              <w:t>5</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36A659F1" w14:textId="2D0536C2"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95</w:t>
            </w:r>
            <w:r w:rsidR="00927ED5" w:rsidRPr="0046299E">
              <w:rPr>
                <w:rFonts w:asciiTheme="majorHAnsi" w:eastAsia="Times New Roman" w:hAnsiTheme="majorHAnsi" w:cstheme="majorHAnsi"/>
                <w:sz w:val="18"/>
                <w:szCs w:val="18"/>
                <w:lang w:eastAsia="en-AU"/>
                <w14:numForm w14:val="lining"/>
                <w14:numSpacing w14:val="proportional"/>
              </w:rPr>
              <w:t>2</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26D540C7" w14:textId="6E78BE03"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7</w:t>
            </w:r>
            <w:r w:rsidR="00927ED5" w:rsidRPr="0046299E">
              <w:rPr>
                <w:rFonts w:asciiTheme="majorHAnsi" w:eastAsia="Times New Roman" w:hAnsiTheme="majorHAnsi" w:cstheme="majorHAnsi"/>
                <w:sz w:val="18"/>
                <w:szCs w:val="18"/>
                <w:lang w:eastAsia="en-AU"/>
                <w14:numForm w14:val="lining"/>
                <w14:numSpacing w14:val="proportional"/>
              </w:rPr>
              <w:t>62</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5E22DE0B" w14:textId="0F6B17A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03</w:t>
            </w:r>
            <w:r w:rsidR="00927ED5" w:rsidRPr="0046299E">
              <w:rPr>
                <w:rFonts w:asciiTheme="majorHAnsi" w:eastAsia="Times New Roman" w:hAnsiTheme="majorHAnsi" w:cstheme="majorHAnsi"/>
                <w:sz w:val="18"/>
                <w:szCs w:val="18"/>
                <w:lang w:eastAsia="en-AU"/>
                <w14:numForm w14:val="lining"/>
                <w14:numSpacing w14:val="proportional"/>
              </w:rPr>
              <w:t>7</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7AAD3E55" w14:textId="095B73B5"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29</w:t>
            </w:r>
            <w:r w:rsidR="00927ED5" w:rsidRPr="0046299E">
              <w:rPr>
                <w:rFonts w:asciiTheme="majorHAnsi" w:eastAsia="Times New Roman" w:hAnsiTheme="majorHAnsi" w:cstheme="majorHAnsi"/>
                <w:sz w:val="18"/>
                <w:szCs w:val="18"/>
                <w:lang w:eastAsia="en-AU"/>
                <w14:numForm w14:val="lining"/>
                <w14:numSpacing w14:val="proportional"/>
              </w:rPr>
              <w:t>9</w:t>
            </w:r>
          </w:p>
        </w:tc>
        <w:tc>
          <w:tcPr>
            <w:tcW w:w="0" w:type="auto"/>
            <w:tcBorders>
              <w:top w:val="single" w:sz="4" w:space="0" w:color="auto"/>
            </w:tcBorders>
            <w:shd w:val="clear" w:color="auto" w:fill="F6C5DB" w:themeFill="accent4" w:themeFillTint="33"/>
            <w:noWrap/>
            <w:tcMar>
              <w:top w:w="90" w:type="dxa"/>
              <w:left w:w="150" w:type="dxa"/>
              <w:bottom w:w="90" w:type="dxa"/>
              <w:right w:w="150" w:type="dxa"/>
            </w:tcMar>
            <w:vAlign w:val="center"/>
            <w:hideMark/>
          </w:tcPr>
          <w:p w14:paraId="633D4A1F" w14:textId="33EA1F1C"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4,</w:t>
            </w:r>
            <w:r w:rsidRPr="0046299E">
              <w:rPr>
                <w:rFonts w:asciiTheme="majorHAnsi" w:eastAsia="Times New Roman" w:hAnsiTheme="majorHAnsi" w:cstheme="majorHAnsi"/>
                <w:b/>
                <w:bCs/>
                <w:sz w:val="18"/>
                <w:szCs w:val="18"/>
                <w:lang w:eastAsia="en-AU"/>
                <w14:numForm w14:val="lining"/>
                <w14:numSpacing w14:val="proportional"/>
              </w:rPr>
              <w:t>90</w:t>
            </w:r>
            <w:r w:rsidR="0046299E" w:rsidRPr="0046299E">
              <w:rPr>
                <w:rFonts w:asciiTheme="majorHAnsi" w:eastAsia="Times New Roman" w:hAnsiTheme="majorHAnsi" w:cstheme="majorHAnsi"/>
                <w:b/>
                <w:bCs/>
                <w:sz w:val="18"/>
                <w:szCs w:val="18"/>
                <w:lang w:eastAsia="en-AU"/>
                <w14:numForm w14:val="lining"/>
                <w14:numSpacing w14:val="proportional"/>
              </w:rPr>
              <w:t>5</w:t>
            </w:r>
          </w:p>
        </w:tc>
      </w:tr>
      <w:tr w:rsidR="009E09C1" w:rsidRPr="004467EF" w14:paraId="12B3F8A9" w14:textId="77777777">
        <w:trPr>
          <w:trHeight w:val="20"/>
        </w:trPr>
        <w:tc>
          <w:tcPr>
            <w:tcW w:w="0" w:type="auto"/>
            <w:shd w:val="clear" w:color="auto" w:fill="FDFDFD"/>
            <w:tcMar>
              <w:top w:w="0" w:type="dxa"/>
              <w:left w:w="0" w:type="dxa"/>
              <w:bottom w:w="0" w:type="dxa"/>
              <w:right w:w="0" w:type="dxa"/>
            </w:tcMar>
            <w:vAlign w:val="center"/>
            <w:hideMark/>
          </w:tcPr>
          <w:p w14:paraId="6EFD7AF4" w14:textId="77777777" w:rsidR="009E09C1" w:rsidRPr="004467EF" w:rsidRDefault="009E09C1">
            <w:pPr>
              <w:spacing w:after="0" w:line="240" w:lineRule="auto"/>
              <w:ind w:left="57"/>
              <w:textAlignment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UEERE5001 - Design battery storage systems for grid-connected photovoltaic systems</w:t>
            </w:r>
          </w:p>
        </w:tc>
        <w:tc>
          <w:tcPr>
            <w:tcW w:w="0" w:type="auto"/>
            <w:shd w:val="clear" w:color="auto" w:fill="FFFFFF"/>
            <w:noWrap/>
            <w:tcMar>
              <w:top w:w="90" w:type="dxa"/>
              <w:left w:w="150" w:type="dxa"/>
              <w:bottom w:w="90" w:type="dxa"/>
              <w:right w:w="150" w:type="dxa"/>
            </w:tcMar>
            <w:vAlign w:val="center"/>
            <w:hideMark/>
          </w:tcPr>
          <w:p w14:paraId="0D62CFF7" w14:textId="5CC9F813"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24</w:t>
            </w:r>
            <w:r w:rsidR="00E8062E">
              <w:rPr>
                <w:rFonts w:asciiTheme="majorHAnsi" w:eastAsia="Times New Roman" w:hAnsiTheme="majorHAnsi" w:cstheme="majorHAnsi"/>
                <w:sz w:val="18"/>
                <w:szCs w:val="18"/>
                <w:lang w:eastAsia="en-AU"/>
                <w14:numForm w14:val="lining"/>
                <w14:numSpacing w14:val="proportional"/>
              </w:rPr>
              <w:t>7</w:t>
            </w:r>
          </w:p>
        </w:tc>
        <w:tc>
          <w:tcPr>
            <w:tcW w:w="0" w:type="auto"/>
            <w:shd w:val="clear" w:color="auto" w:fill="FFFFFF"/>
            <w:noWrap/>
            <w:tcMar>
              <w:top w:w="90" w:type="dxa"/>
              <w:left w:w="150" w:type="dxa"/>
              <w:bottom w:w="90" w:type="dxa"/>
              <w:right w:w="150" w:type="dxa"/>
            </w:tcMar>
            <w:vAlign w:val="center"/>
            <w:hideMark/>
          </w:tcPr>
          <w:p w14:paraId="22D0EACF" w14:textId="5BD59C95"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62</w:t>
            </w:r>
            <w:r w:rsidR="00927ED5" w:rsidRPr="0046299E">
              <w:rPr>
                <w:rFonts w:asciiTheme="majorHAnsi" w:eastAsia="Times New Roman" w:hAnsiTheme="majorHAnsi" w:cstheme="majorHAnsi"/>
                <w:sz w:val="18"/>
                <w:szCs w:val="18"/>
                <w:lang w:eastAsia="en-AU"/>
                <w14:numForm w14:val="lining"/>
                <w14:numSpacing w14:val="proportional"/>
              </w:rPr>
              <w:t>1</w:t>
            </w:r>
          </w:p>
        </w:tc>
        <w:tc>
          <w:tcPr>
            <w:tcW w:w="0" w:type="auto"/>
            <w:shd w:val="clear" w:color="auto" w:fill="FFFFFF"/>
            <w:noWrap/>
            <w:tcMar>
              <w:top w:w="90" w:type="dxa"/>
              <w:left w:w="150" w:type="dxa"/>
              <w:bottom w:w="90" w:type="dxa"/>
              <w:right w:w="150" w:type="dxa"/>
            </w:tcMar>
            <w:vAlign w:val="center"/>
            <w:hideMark/>
          </w:tcPr>
          <w:p w14:paraId="43CCC3E4" w14:textId="2CDB67E9"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88</w:t>
            </w:r>
            <w:r w:rsidR="00927ED5" w:rsidRPr="0046299E">
              <w:rPr>
                <w:rFonts w:asciiTheme="majorHAnsi" w:eastAsia="Times New Roman" w:hAnsiTheme="majorHAnsi" w:cstheme="majorHAnsi"/>
                <w:sz w:val="18"/>
                <w:szCs w:val="18"/>
                <w:lang w:eastAsia="en-AU"/>
                <w14:numForm w14:val="lining"/>
                <w14:numSpacing w14:val="proportional"/>
              </w:rPr>
              <w:t>7</w:t>
            </w:r>
          </w:p>
        </w:tc>
        <w:tc>
          <w:tcPr>
            <w:tcW w:w="0" w:type="auto"/>
            <w:shd w:val="clear" w:color="auto" w:fill="FFFFFF"/>
            <w:noWrap/>
            <w:tcMar>
              <w:top w:w="90" w:type="dxa"/>
              <w:left w:w="150" w:type="dxa"/>
              <w:bottom w:w="90" w:type="dxa"/>
              <w:right w:w="150" w:type="dxa"/>
            </w:tcMar>
            <w:vAlign w:val="center"/>
            <w:hideMark/>
          </w:tcPr>
          <w:p w14:paraId="2183E09D" w14:textId="17B5A63D"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7</w:t>
            </w:r>
            <w:r w:rsidR="00927ED5" w:rsidRPr="0046299E">
              <w:rPr>
                <w:rFonts w:asciiTheme="majorHAnsi" w:eastAsia="Times New Roman" w:hAnsiTheme="majorHAnsi" w:cstheme="majorHAnsi"/>
                <w:sz w:val="18"/>
                <w:szCs w:val="18"/>
                <w:lang w:eastAsia="en-AU"/>
                <w14:numForm w14:val="lining"/>
                <w14:numSpacing w14:val="proportional"/>
              </w:rPr>
              <w:t>20</w:t>
            </w:r>
          </w:p>
        </w:tc>
        <w:tc>
          <w:tcPr>
            <w:tcW w:w="0" w:type="auto"/>
            <w:shd w:val="clear" w:color="auto" w:fill="FFFFFF"/>
            <w:noWrap/>
            <w:tcMar>
              <w:top w:w="90" w:type="dxa"/>
              <w:left w:w="150" w:type="dxa"/>
              <w:bottom w:w="90" w:type="dxa"/>
              <w:right w:w="150" w:type="dxa"/>
            </w:tcMar>
            <w:vAlign w:val="center"/>
            <w:hideMark/>
          </w:tcPr>
          <w:p w14:paraId="5B4CB842" w14:textId="684FFD22"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02</w:t>
            </w:r>
            <w:r w:rsidR="00927ED5" w:rsidRPr="0046299E">
              <w:rPr>
                <w:rFonts w:asciiTheme="majorHAnsi" w:eastAsia="Times New Roman" w:hAnsiTheme="majorHAnsi" w:cstheme="majorHAnsi"/>
                <w:sz w:val="18"/>
                <w:szCs w:val="18"/>
                <w:lang w:eastAsia="en-AU"/>
                <w14:numForm w14:val="lining"/>
                <w14:numSpacing w14:val="proportional"/>
              </w:rPr>
              <w:t>1</w:t>
            </w:r>
          </w:p>
        </w:tc>
        <w:tc>
          <w:tcPr>
            <w:tcW w:w="0" w:type="auto"/>
            <w:shd w:val="clear" w:color="auto" w:fill="FFFFFF"/>
            <w:noWrap/>
            <w:tcMar>
              <w:top w:w="90" w:type="dxa"/>
              <w:left w:w="150" w:type="dxa"/>
              <w:bottom w:w="90" w:type="dxa"/>
              <w:right w:w="150" w:type="dxa"/>
            </w:tcMar>
            <w:vAlign w:val="center"/>
            <w:hideMark/>
          </w:tcPr>
          <w:p w14:paraId="294591EC" w14:textId="0B659D2E"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1,</w:t>
            </w:r>
            <w:r w:rsidRPr="0046299E">
              <w:rPr>
                <w:rFonts w:asciiTheme="majorHAnsi" w:eastAsia="Times New Roman" w:hAnsiTheme="majorHAnsi" w:cstheme="majorHAnsi"/>
                <w:sz w:val="18"/>
                <w:szCs w:val="18"/>
                <w:lang w:eastAsia="en-AU"/>
                <w14:numForm w14:val="lining"/>
                <w14:numSpacing w14:val="proportional"/>
              </w:rPr>
              <w:t>15</w:t>
            </w:r>
            <w:r w:rsidR="00927ED5" w:rsidRPr="0046299E">
              <w:rPr>
                <w:rFonts w:asciiTheme="majorHAnsi" w:eastAsia="Times New Roman" w:hAnsiTheme="majorHAnsi" w:cstheme="majorHAnsi"/>
                <w:sz w:val="18"/>
                <w:szCs w:val="18"/>
                <w:lang w:eastAsia="en-AU"/>
                <w14:numForm w14:val="lining"/>
                <w14:numSpacing w14:val="proportional"/>
              </w:rPr>
              <w:t>5</w:t>
            </w:r>
          </w:p>
        </w:tc>
        <w:tc>
          <w:tcPr>
            <w:tcW w:w="0" w:type="auto"/>
            <w:shd w:val="clear" w:color="auto" w:fill="FFFFFF"/>
            <w:noWrap/>
            <w:tcMar>
              <w:top w:w="90" w:type="dxa"/>
              <w:left w:w="150" w:type="dxa"/>
              <w:bottom w:w="90" w:type="dxa"/>
              <w:right w:w="150" w:type="dxa"/>
            </w:tcMar>
            <w:vAlign w:val="center"/>
            <w:hideMark/>
          </w:tcPr>
          <w:p w14:paraId="6CFBCB52" w14:textId="33737BF3"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4,</w:t>
            </w:r>
            <w:r w:rsidRPr="0046299E">
              <w:rPr>
                <w:rFonts w:asciiTheme="majorHAnsi" w:eastAsia="Times New Roman" w:hAnsiTheme="majorHAnsi" w:cstheme="majorHAnsi"/>
                <w:b/>
                <w:bCs/>
                <w:sz w:val="18"/>
                <w:szCs w:val="18"/>
                <w:lang w:eastAsia="en-AU"/>
                <w14:numForm w14:val="lining"/>
                <w14:numSpacing w14:val="proportional"/>
              </w:rPr>
              <w:t>64</w:t>
            </w:r>
            <w:r w:rsidR="007E5D57" w:rsidRPr="0046299E">
              <w:rPr>
                <w:rFonts w:asciiTheme="majorHAnsi" w:eastAsia="Times New Roman" w:hAnsiTheme="majorHAnsi" w:cstheme="majorHAnsi"/>
                <w:b/>
                <w:bCs/>
                <w:sz w:val="18"/>
                <w:szCs w:val="18"/>
                <w:lang w:eastAsia="en-AU"/>
                <w14:numForm w14:val="lining"/>
                <w14:numSpacing w14:val="proportional"/>
              </w:rPr>
              <w:t>6</w:t>
            </w:r>
          </w:p>
        </w:tc>
      </w:tr>
      <w:tr w:rsidR="009E09C1" w:rsidRPr="004467EF" w14:paraId="73F84EDB" w14:textId="77777777">
        <w:trPr>
          <w:trHeight w:val="20"/>
        </w:trPr>
        <w:tc>
          <w:tcPr>
            <w:tcW w:w="0" w:type="auto"/>
            <w:shd w:val="clear" w:color="auto" w:fill="F6C5DB" w:themeFill="accent4" w:themeFillTint="33"/>
            <w:tcMar>
              <w:top w:w="0" w:type="dxa"/>
              <w:left w:w="0" w:type="dxa"/>
              <w:bottom w:w="0" w:type="dxa"/>
              <w:right w:w="0" w:type="dxa"/>
            </w:tcMar>
            <w:vAlign w:val="center"/>
            <w:hideMark/>
          </w:tcPr>
          <w:p w14:paraId="1D572637" w14:textId="77777777" w:rsidR="009E09C1" w:rsidRPr="004467EF" w:rsidRDefault="009E09C1">
            <w:pPr>
              <w:spacing w:after="0" w:line="240" w:lineRule="auto"/>
              <w:ind w:left="57"/>
              <w:textAlignment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VU22125 - Design a grid-connected battery storage system to meet client requirements</w:t>
            </w:r>
          </w:p>
        </w:tc>
        <w:tc>
          <w:tcPr>
            <w:tcW w:w="0" w:type="auto"/>
            <w:shd w:val="clear" w:color="auto" w:fill="F6C5DB" w:themeFill="accent4" w:themeFillTint="33"/>
            <w:noWrap/>
            <w:tcMar>
              <w:top w:w="90" w:type="dxa"/>
              <w:left w:w="150" w:type="dxa"/>
              <w:bottom w:w="90" w:type="dxa"/>
              <w:right w:w="150" w:type="dxa"/>
            </w:tcMar>
            <w:vAlign w:val="center"/>
            <w:hideMark/>
          </w:tcPr>
          <w:p w14:paraId="3361D603" w14:textId="7777777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0</w:t>
            </w:r>
          </w:p>
        </w:tc>
        <w:tc>
          <w:tcPr>
            <w:tcW w:w="0" w:type="auto"/>
            <w:shd w:val="clear" w:color="auto" w:fill="F6C5DB" w:themeFill="accent4" w:themeFillTint="33"/>
            <w:noWrap/>
            <w:tcMar>
              <w:top w:w="90" w:type="dxa"/>
              <w:left w:w="150" w:type="dxa"/>
              <w:bottom w:w="90" w:type="dxa"/>
              <w:right w:w="150" w:type="dxa"/>
            </w:tcMar>
            <w:vAlign w:val="center"/>
            <w:hideMark/>
          </w:tcPr>
          <w:p w14:paraId="4B5BF640" w14:textId="7777777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467EF">
              <w:rPr>
                <w:rFonts w:asciiTheme="majorHAnsi" w:eastAsia="Times New Roman" w:hAnsiTheme="majorHAnsi" w:cstheme="majorHAnsi"/>
                <w:sz w:val="18"/>
                <w:szCs w:val="18"/>
                <w:lang w:eastAsia="en-AU"/>
                <w14:numForm w14:val="lining"/>
                <w14:numSpacing w14:val="proportional"/>
              </w:rPr>
              <w:t>0</w:t>
            </w:r>
          </w:p>
        </w:tc>
        <w:tc>
          <w:tcPr>
            <w:tcW w:w="0" w:type="auto"/>
            <w:shd w:val="clear" w:color="auto" w:fill="F6C5DB" w:themeFill="accent4" w:themeFillTint="33"/>
            <w:noWrap/>
            <w:tcMar>
              <w:top w:w="90" w:type="dxa"/>
              <w:left w:w="150" w:type="dxa"/>
              <w:bottom w:w="90" w:type="dxa"/>
              <w:right w:w="150" w:type="dxa"/>
            </w:tcMar>
            <w:vAlign w:val="center"/>
            <w:hideMark/>
          </w:tcPr>
          <w:p w14:paraId="2202C1D4" w14:textId="1E9B7CD3"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7</w:t>
            </w:r>
            <w:r w:rsidR="00927ED5" w:rsidRPr="0046299E">
              <w:rPr>
                <w:rFonts w:asciiTheme="majorHAnsi" w:eastAsia="Times New Roman" w:hAnsiTheme="majorHAnsi" w:cstheme="majorHAnsi"/>
                <w:sz w:val="18"/>
                <w:szCs w:val="18"/>
                <w:lang w:eastAsia="en-AU"/>
                <w14:numForm w14:val="lining"/>
                <w14:numSpacing w14:val="proportional"/>
              </w:rPr>
              <w:t>2</w:t>
            </w:r>
          </w:p>
        </w:tc>
        <w:tc>
          <w:tcPr>
            <w:tcW w:w="0" w:type="auto"/>
            <w:shd w:val="clear" w:color="auto" w:fill="F6C5DB" w:themeFill="accent4" w:themeFillTint="33"/>
            <w:noWrap/>
            <w:tcMar>
              <w:top w:w="90" w:type="dxa"/>
              <w:left w:w="150" w:type="dxa"/>
              <w:bottom w:w="90" w:type="dxa"/>
              <w:right w:w="150" w:type="dxa"/>
            </w:tcMar>
            <w:vAlign w:val="center"/>
            <w:hideMark/>
          </w:tcPr>
          <w:p w14:paraId="5ED2ADEB" w14:textId="683F43E5"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5</w:t>
            </w:r>
            <w:r w:rsidR="00927ED5" w:rsidRPr="0046299E">
              <w:rPr>
                <w:rFonts w:asciiTheme="majorHAnsi" w:eastAsia="Times New Roman" w:hAnsiTheme="majorHAnsi" w:cstheme="majorHAnsi"/>
                <w:sz w:val="18"/>
                <w:szCs w:val="18"/>
                <w:lang w:eastAsia="en-AU"/>
                <w14:numForm w14:val="lining"/>
                <w14:numSpacing w14:val="proportional"/>
              </w:rPr>
              <w:t>7</w:t>
            </w:r>
          </w:p>
        </w:tc>
        <w:tc>
          <w:tcPr>
            <w:tcW w:w="0" w:type="auto"/>
            <w:shd w:val="clear" w:color="auto" w:fill="F6C5DB" w:themeFill="accent4" w:themeFillTint="33"/>
            <w:noWrap/>
            <w:tcMar>
              <w:top w:w="90" w:type="dxa"/>
              <w:left w:w="150" w:type="dxa"/>
              <w:bottom w:w="90" w:type="dxa"/>
              <w:right w:w="150" w:type="dxa"/>
            </w:tcMar>
            <w:vAlign w:val="center"/>
            <w:hideMark/>
          </w:tcPr>
          <w:p w14:paraId="5366EA49" w14:textId="55887107"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1</w:t>
            </w:r>
            <w:r w:rsidR="00927ED5" w:rsidRPr="0046299E">
              <w:rPr>
                <w:rFonts w:asciiTheme="majorHAnsi" w:eastAsia="Times New Roman" w:hAnsiTheme="majorHAnsi" w:cstheme="majorHAnsi"/>
                <w:sz w:val="18"/>
                <w:szCs w:val="18"/>
                <w:lang w:eastAsia="en-AU"/>
                <w14:numForm w14:val="lining"/>
                <w14:numSpacing w14:val="proportional"/>
              </w:rPr>
              <w:t>1</w:t>
            </w:r>
          </w:p>
        </w:tc>
        <w:tc>
          <w:tcPr>
            <w:tcW w:w="0" w:type="auto"/>
            <w:shd w:val="clear" w:color="auto" w:fill="F6C5DB" w:themeFill="accent4" w:themeFillTint="33"/>
            <w:noWrap/>
            <w:tcMar>
              <w:top w:w="90" w:type="dxa"/>
              <w:left w:w="150" w:type="dxa"/>
              <w:bottom w:w="90" w:type="dxa"/>
              <w:right w:w="150" w:type="dxa"/>
            </w:tcMar>
            <w:vAlign w:val="center"/>
            <w:hideMark/>
          </w:tcPr>
          <w:p w14:paraId="2E36CB29" w14:textId="2C490160" w:rsidR="009E09C1" w:rsidRPr="004467EF" w:rsidRDefault="009E09C1">
            <w:pPr>
              <w:spacing w:after="0" w:line="240" w:lineRule="auto"/>
              <w:jc w:val="center"/>
              <w:rPr>
                <w:rFonts w:asciiTheme="majorHAnsi" w:eastAsia="Times New Roman" w:hAnsiTheme="majorHAnsi" w:cstheme="majorHAnsi"/>
                <w:sz w:val="18"/>
                <w:szCs w:val="18"/>
                <w:lang w:eastAsia="en-AU"/>
                <w14:numForm w14:val="lining"/>
                <w14:numSpacing w14:val="proportional"/>
              </w:rPr>
            </w:pPr>
            <w:r w:rsidRPr="0046299E">
              <w:rPr>
                <w:rFonts w:asciiTheme="majorHAnsi" w:eastAsia="Times New Roman" w:hAnsiTheme="majorHAnsi" w:cstheme="majorHAnsi"/>
                <w:sz w:val="18"/>
                <w:szCs w:val="18"/>
                <w:lang w:eastAsia="en-AU"/>
                <w14:numForm w14:val="lining"/>
                <w14:numSpacing w14:val="proportional"/>
              </w:rPr>
              <w:t>17</w:t>
            </w:r>
            <w:r w:rsidR="007E5D57" w:rsidRPr="0046299E">
              <w:rPr>
                <w:rFonts w:asciiTheme="majorHAnsi" w:eastAsia="Times New Roman" w:hAnsiTheme="majorHAnsi" w:cstheme="majorHAnsi"/>
                <w:sz w:val="18"/>
                <w:szCs w:val="18"/>
                <w:lang w:eastAsia="en-AU"/>
                <w14:numForm w14:val="lining"/>
                <w14:numSpacing w14:val="proportional"/>
              </w:rPr>
              <w:t>9</w:t>
            </w:r>
          </w:p>
        </w:tc>
        <w:tc>
          <w:tcPr>
            <w:tcW w:w="0" w:type="auto"/>
            <w:shd w:val="clear" w:color="auto" w:fill="F6C5DB" w:themeFill="accent4" w:themeFillTint="33"/>
            <w:noWrap/>
            <w:tcMar>
              <w:top w:w="90" w:type="dxa"/>
              <w:left w:w="150" w:type="dxa"/>
              <w:bottom w:w="90" w:type="dxa"/>
              <w:right w:w="150" w:type="dxa"/>
            </w:tcMar>
            <w:vAlign w:val="center"/>
            <w:hideMark/>
          </w:tcPr>
          <w:p w14:paraId="071CB92B" w14:textId="77747BBF"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6299E">
              <w:rPr>
                <w:rFonts w:asciiTheme="majorHAnsi" w:eastAsia="Times New Roman" w:hAnsiTheme="majorHAnsi" w:cstheme="majorHAnsi"/>
                <w:b/>
                <w:bCs/>
                <w:sz w:val="18"/>
                <w:szCs w:val="18"/>
                <w:lang w:eastAsia="en-AU"/>
                <w14:numForm w14:val="lining"/>
                <w14:numSpacing w14:val="proportional"/>
              </w:rPr>
              <w:t>31</w:t>
            </w:r>
            <w:r w:rsidR="007E5D57" w:rsidRPr="0046299E">
              <w:rPr>
                <w:rFonts w:asciiTheme="majorHAnsi" w:eastAsia="Times New Roman" w:hAnsiTheme="majorHAnsi" w:cstheme="majorHAnsi"/>
                <w:b/>
                <w:bCs/>
                <w:sz w:val="18"/>
                <w:szCs w:val="18"/>
                <w:lang w:eastAsia="en-AU"/>
                <w14:numForm w14:val="lining"/>
                <w14:numSpacing w14:val="proportional"/>
              </w:rPr>
              <w:t>7</w:t>
            </w:r>
          </w:p>
        </w:tc>
      </w:tr>
      <w:tr w:rsidR="009E09C1" w:rsidRPr="004467EF" w14:paraId="43EA5B92" w14:textId="77777777">
        <w:trPr>
          <w:trHeight w:val="20"/>
        </w:trPr>
        <w:tc>
          <w:tcPr>
            <w:tcW w:w="0" w:type="auto"/>
            <w:tcBorders>
              <w:bottom w:val="single" w:sz="4" w:space="0" w:color="auto"/>
            </w:tcBorders>
            <w:shd w:val="clear" w:color="auto" w:fill="FDFDFD"/>
            <w:tcMar>
              <w:top w:w="0" w:type="dxa"/>
              <w:left w:w="0" w:type="dxa"/>
              <w:bottom w:w="0" w:type="dxa"/>
              <w:right w:w="0" w:type="dxa"/>
            </w:tcMar>
            <w:vAlign w:val="center"/>
            <w:hideMark/>
          </w:tcPr>
          <w:p w14:paraId="17F61628" w14:textId="77777777" w:rsidR="009E09C1" w:rsidRPr="004467EF" w:rsidRDefault="009E09C1">
            <w:pPr>
              <w:spacing w:after="0" w:line="240" w:lineRule="auto"/>
              <w:textAlignment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Total</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56BCB3E7" w14:textId="4367A786"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48</w:t>
            </w:r>
            <w:r w:rsidR="00E8062E">
              <w:rPr>
                <w:rFonts w:asciiTheme="majorHAnsi" w:eastAsia="Times New Roman" w:hAnsiTheme="majorHAnsi" w:cstheme="majorHAnsi"/>
                <w:b/>
                <w:bCs/>
                <w:sz w:val="18"/>
                <w:szCs w:val="18"/>
                <w:lang w:eastAsia="en-AU"/>
                <w14:numForm w14:val="lining"/>
                <w14:numSpacing w14:val="proportional"/>
              </w:rPr>
              <w:t>1</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204E87AD" w14:textId="13AE5E19"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1,</w:t>
            </w:r>
            <w:r w:rsidRPr="0046299E">
              <w:rPr>
                <w:rFonts w:asciiTheme="majorHAnsi" w:eastAsia="Times New Roman" w:hAnsiTheme="majorHAnsi" w:cstheme="majorHAnsi"/>
                <w:b/>
                <w:bCs/>
                <w:sz w:val="18"/>
                <w:szCs w:val="18"/>
                <w:lang w:eastAsia="en-AU"/>
                <w14:numForm w14:val="lining"/>
                <w14:numSpacing w14:val="proportional"/>
              </w:rPr>
              <w:t>25</w:t>
            </w:r>
            <w:r w:rsidR="0046299E" w:rsidRPr="0046299E">
              <w:rPr>
                <w:rFonts w:asciiTheme="majorHAnsi" w:eastAsia="Times New Roman" w:hAnsiTheme="majorHAnsi" w:cstheme="majorHAnsi"/>
                <w:b/>
                <w:bCs/>
                <w:sz w:val="18"/>
                <w:szCs w:val="18"/>
                <w:lang w:eastAsia="en-AU"/>
                <w14:numForm w14:val="lining"/>
                <w14:numSpacing w14:val="proportional"/>
              </w:rPr>
              <w:t>2</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7FB7BAC1" w14:textId="35F02E1C"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1,</w:t>
            </w:r>
            <w:r w:rsidRPr="0046299E">
              <w:rPr>
                <w:rFonts w:asciiTheme="majorHAnsi" w:eastAsia="Times New Roman" w:hAnsiTheme="majorHAnsi" w:cstheme="majorHAnsi"/>
                <w:b/>
                <w:bCs/>
                <w:sz w:val="18"/>
                <w:szCs w:val="18"/>
                <w:lang w:eastAsia="en-AU"/>
                <w14:numForm w14:val="lining"/>
                <w14:numSpacing w14:val="proportional"/>
              </w:rPr>
              <w:t>90</w:t>
            </w:r>
            <w:r w:rsidR="0046299E" w:rsidRPr="0046299E">
              <w:rPr>
                <w:rFonts w:asciiTheme="majorHAnsi" w:eastAsia="Times New Roman" w:hAnsiTheme="majorHAnsi" w:cstheme="majorHAnsi"/>
                <w:b/>
                <w:bCs/>
                <w:sz w:val="18"/>
                <w:szCs w:val="18"/>
                <w:lang w:eastAsia="en-AU"/>
                <w14:numForm w14:val="lining"/>
                <w14:numSpacing w14:val="proportional"/>
              </w:rPr>
              <w:t>8</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4684862F" w14:textId="72B97F7A"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1,</w:t>
            </w:r>
            <w:r w:rsidRPr="0046299E">
              <w:rPr>
                <w:rFonts w:asciiTheme="majorHAnsi" w:eastAsia="Times New Roman" w:hAnsiTheme="majorHAnsi" w:cstheme="majorHAnsi"/>
                <w:b/>
                <w:bCs/>
                <w:sz w:val="18"/>
                <w:szCs w:val="18"/>
                <w:lang w:eastAsia="en-AU"/>
                <w14:numForm w14:val="lining"/>
                <w14:numSpacing w14:val="proportional"/>
              </w:rPr>
              <w:t>53</w:t>
            </w:r>
            <w:r w:rsidR="0046299E" w:rsidRPr="0046299E">
              <w:rPr>
                <w:rFonts w:asciiTheme="majorHAnsi" w:eastAsia="Times New Roman" w:hAnsiTheme="majorHAnsi" w:cstheme="majorHAnsi"/>
                <w:b/>
                <w:bCs/>
                <w:sz w:val="18"/>
                <w:szCs w:val="18"/>
                <w:lang w:eastAsia="en-AU"/>
                <w14:numForm w14:val="lining"/>
                <w14:numSpacing w14:val="proportional"/>
              </w:rPr>
              <w:t>0</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651C8D84" w14:textId="33245967"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2,</w:t>
            </w:r>
            <w:r w:rsidRPr="0046299E">
              <w:rPr>
                <w:rFonts w:asciiTheme="majorHAnsi" w:eastAsia="Times New Roman" w:hAnsiTheme="majorHAnsi" w:cstheme="majorHAnsi"/>
                <w:b/>
                <w:bCs/>
                <w:sz w:val="18"/>
                <w:szCs w:val="18"/>
                <w:lang w:eastAsia="en-AU"/>
                <w14:numForm w14:val="lining"/>
                <w14:numSpacing w14:val="proportional"/>
              </w:rPr>
              <w:t>06</w:t>
            </w:r>
            <w:r w:rsidR="00927ED5" w:rsidRPr="0046299E">
              <w:rPr>
                <w:rFonts w:asciiTheme="majorHAnsi" w:eastAsia="Times New Roman" w:hAnsiTheme="majorHAnsi" w:cstheme="majorHAnsi"/>
                <w:b/>
                <w:bCs/>
                <w:sz w:val="18"/>
                <w:szCs w:val="18"/>
                <w:lang w:eastAsia="en-AU"/>
                <w14:numForm w14:val="lining"/>
                <w14:numSpacing w14:val="proportional"/>
              </w:rPr>
              <w:t>7</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136DF5FF" w14:textId="68D5D538" w:rsidR="009E09C1" w:rsidRPr="004467EF" w:rsidRDefault="009E09C1">
            <w:pPr>
              <w:spacing w:after="0" w:line="240" w:lineRule="auto"/>
              <w:jc w:val="center"/>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2,</w:t>
            </w:r>
            <w:r w:rsidRPr="0046299E">
              <w:rPr>
                <w:rFonts w:asciiTheme="majorHAnsi" w:eastAsia="Times New Roman" w:hAnsiTheme="majorHAnsi" w:cstheme="majorHAnsi"/>
                <w:b/>
                <w:bCs/>
                <w:sz w:val="18"/>
                <w:szCs w:val="18"/>
                <w:lang w:eastAsia="en-AU"/>
                <w14:numForm w14:val="lining"/>
                <w14:numSpacing w14:val="proportional"/>
              </w:rPr>
              <w:t>62</w:t>
            </w:r>
            <w:r w:rsidR="007E5D57" w:rsidRPr="0046299E">
              <w:rPr>
                <w:rFonts w:asciiTheme="majorHAnsi" w:eastAsia="Times New Roman" w:hAnsiTheme="majorHAnsi" w:cstheme="majorHAnsi"/>
                <w:b/>
                <w:bCs/>
                <w:sz w:val="18"/>
                <w:szCs w:val="18"/>
                <w:lang w:eastAsia="en-AU"/>
                <w14:numForm w14:val="lining"/>
                <w14:numSpacing w14:val="proportional"/>
              </w:rPr>
              <w:t>7</w:t>
            </w:r>
          </w:p>
        </w:tc>
        <w:tc>
          <w:tcPr>
            <w:tcW w:w="0" w:type="auto"/>
            <w:tcBorders>
              <w:bottom w:val="single" w:sz="4" w:space="0" w:color="auto"/>
            </w:tcBorders>
            <w:shd w:val="clear" w:color="auto" w:fill="FFFFFF"/>
            <w:noWrap/>
            <w:tcMar>
              <w:top w:w="90" w:type="dxa"/>
              <w:left w:w="150" w:type="dxa"/>
              <w:bottom w:w="90" w:type="dxa"/>
              <w:right w:w="150" w:type="dxa"/>
            </w:tcMar>
            <w:vAlign w:val="center"/>
            <w:hideMark/>
          </w:tcPr>
          <w:p w14:paraId="7C82E078" w14:textId="20C4A674" w:rsidR="009E09C1" w:rsidRPr="004467EF" w:rsidRDefault="009E09C1">
            <w:pPr>
              <w:spacing w:after="0" w:line="240" w:lineRule="auto"/>
              <w:jc w:val="right"/>
              <w:rPr>
                <w:rFonts w:asciiTheme="majorHAnsi" w:eastAsia="Times New Roman" w:hAnsiTheme="majorHAnsi" w:cstheme="majorHAnsi"/>
                <w:b/>
                <w:bCs/>
                <w:sz w:val="18"/>
                <w:szCs w:val="18"/>
                <w:lang w:eastAsia="en-AU"/>
                <w14:numForm w14:val="lining"/>
                <w14:numSpacing w14:val="proportional"/>
              </w:rPr>
            </w:pPr>
            <w:r w:rsidRPr="004467EF">
              <w:rPr>
                <w:rFonts w:asciiTheme="majorHAnsi" w:eastAsia="Times New Roman" w:hAnsiTheme="majorHAnsi" w:cstheme="majorHAnsi"/>
                <w:b/>
                <w:bCs/>
                <w:sz w:val="18"/>
                <w:szCs w:val="18"/>
                <w:lang w:eastAsia="en-AU"/>
                <w14:numForm w14:val="lining"/>
                <w14:numSpacing w14:val="proportional"/>
              </w:rPr>
              <w:t>9,</w:t>
            </w:r>
            <w:r w:rsidRPr="0046299E">
              <w:rPr>
                <w:rFonts w:asciiTheme="majorHAnsi" w:eastAsia="Times New Roman" w:hAnsiTheme="majorHAnsi" w:cstheme="majorHAnsi"/>
                <w:b/>
                <w:bCs/>
                <w:sz w:val="18"/>
                <w:szCs w:val="18"/>
                <w:lang w:eastAsia="en-AU"/>
                <w14:numForm w14:val="lining"/>
                <w14:numSpacing w14:val="proportional"/>
              </w:rPr>
              <w:t>8</w:t>
            </w:r>
            <w:r w:rsidR="0046299E" w:rsidRPr="0046299E">
              <w:rPr>
                <w:rFonts w:asciiTheme="majorHAnsi" w:eastAsia="Times New Roman" w:hAnsiTheme="majorHAnsi" w:cstheme="majorHAnsi"/>
                <w:b/>
                <w:bCs/>
                <w:sz w:val="18"/>
                <w:szCs w:val="18"/>
                <w:lang w:eastAsia="en-AU"/>
                <w14:numForm w14:val="lining"/>
                <w14:numSpacing w14:val="proportional"/>
              </w:rPr>
              <w:t>70</w:t>
            </w:r>
          </w:p>
        </w:tc>
      </w:tr>
    </w:tbl>
    <w:p w14:paraId="10C7D32C" w14:textId="182081F1" w:rsidR="009E09C1" w:rsidRPr="00516CC5" w:rsidRDefault="009E09C1" w:rsidP="009E09C1">
      <w:pPr>
        <w:pStyle w:val="Default"/>
        <w:tabs>
          <w:tab w:val="left" w:pos="8070"/>
        </w:tabs>
        <w:spacing w:before="80" w:after="120" w:line="276" w:lineRule="auto"/>
        <w:rPr>
          <w:sz w:val="18"/>
          <w:szCs w:val="18"/>
          <w14:numForm w14:val="lining"/>
          <w14:numSpacing w14:val="proportional"/>
        </w:rPr>
      </w:pPr>
      <w:r w:rsidRPr="00516CC5">
        <w:rPr>
          <w:sz w:val="18"/>
          <w:szCs w:val="18"/>
          <w14:numForm w14:val="lining"/>
          <w14:numSpacing w14:val="proportional"/>
        </w:rPr>
        <w:t>Source: NCVER Total VET Activity Data, 2023</w:t>
      </w:r>
      <w:r>
        <w:rPr>
          <w:sz w:val="18"/>
          <w:szCs w:val="18"/>
          <w14:numForm w14:val="lining"/>
          <w14:numSpacing w14:val="proportional"/>
        </w:rPr>
        <w:tab/>
      </w:r>
    </w:p>
    <w:p w14:paraId="5CFCFE5F" w14:textId="719CBEBA" w:rsidR="009E09C1" w:rsidRPr="004467EF" w:rsidRDefault="009E09C1" w:rsidP="009E09C1">
      <w:pPr>
        <w:pStyle w:val="Default"/>
        <w:spacing w:before="240" w:line="276" w:lineRule="auto"/>
        <w:rPr>
          <w:sz w:val="22"/>
          <w:szCs w:val="22"/>
          <w14:numForm w14:val="lining"/>
          <w14:numSpacing w14:val="proportional"/>
        </w:rPr>
      </w:pPr>
      <w:r w:rsidRPr="004467EF">
        <w:rPr>
          <w:sz w:val="22"/>
          <w:szCs w:val="22"/>
          <w14:numForm w14:val="lining"/>
          <w14:numSpacing w14:val="proportional"/>
        </w:rPr>
        <w:t xml:space="preserve">There are around 6,400 people employed in electrical equipment manufacturing (including battery manufacturing). The top occupations are </w:t>
      </w:r>
      <w:r w:rsidR="00E27DE1" w:rsidRPr="4AB85293">
        <w:rPr>
          <w:sz w:val="22"/>
          <w:szCs w:val="22"/>
        </w:rPr>
        <w:t>E</w:t>
      </w:r>
      <w:r w:rsidRPr="004467EF">
        <w:rPr>
          <w:sz w:val="22"/>
          <w:szCs w:val="22"/>
          <w14:numForm w14:val="lining"/>
          <w14:numSpacing w14:val="proportional"/>
        </w:rPr>
        <w:t xml:space="preserve">lectricians, </w:t>
      </w:r>
      <w:r w:rsidR="00471929" w:rsidRPr="4AB85293">
        <w:rPr>
          <w:sz w:val="22"/>
          <w:szCs w:val="22"/>
        </w:rPr>
        <w:t>P</w:t>
      </w:r>
      <w:r w:rsidRPr="004467EF">
        <w:rPr>
          <w:sz w:val="22"/>
          <w:szCs w:val="22"/>
          <w14:numForm w14:val="lining"/>
          <w14:numSpacing w14:val="proportional"/>
        </w:rPr>
        <w:t xml:space="preserve">roduct </w:t>
      </w:r>
      <w:r w:rsidR="00471929" w:rsidRPr="4AB85293">
        <w:rPr>
          <w:sz w:val="22"/>
          <w:szCs w:val="22"/>
        </w:rPr>
        <w:t>A</w:t>
      </w:r>
      <w:r w:rsidRPr="004467EF">
        <w:rPr>
          <w:sz w:val="22"/>
          <w:szCs w:val="22"/>
          <w14:numForm w14:val="lining"/>
          <w14:numSpacing w14:val="proportional"/>
        </w:rPr>
        <w:t xml:space="preserve">ssemblers, </w:t>
      </w:r>
      <w:r w:rsidR="00471929" w:rsidRPr="4AB85293">
        <w:rPr>
          <w:sz w:val="22"/>
          <w:szCs w:val="22"/>
        </w:rPr>
        <w:t>E</w:t>
      </w:r>
      <w:r w:rsidRPr="004467EF">
        <w:rPr>
          <w:sz w:val="22"/>
          <w:szCs w:val="22"/>
          <w14:numForm w14:val="lining"/>
          <w14:numSpacing w14:val="proportional"/>
        </w:rPr>
        <w:t xml:space="preserve">lectrical </w:t>
      </w:r>
      <w:r w:rsidR="00471929" w:rsidRPr="4AB85293">
        <w:rPr>
          <w:sz w:val="22"/>
          <w:szCs w:val="22"/>
        </w:rPr>
        <w:t>E</w:t>
      </w:r>
      <w:r w:rsidRPr="004467EF">
        <w:rPr>
          <w:sz w:val="22"/>
          <w:szCs w:val="22"/>
          <w14:numForm w14:val="lining"/>
          <w14:numSpacing w14:val="proportional"/>
        </w:rPr>
        <w:t xml:space="preserve">ngineers, </w:t>
      </w:r>
      <w:r w:rsidR="00471929" w:rsidRPr="4AB85293">
        <w:rPr>
          <w:sz w:val="22"/>
          <w:szCs w:val="22"/>
        </w:rPr>
        <w:t>D</w:t>
      </w:r>
      <w:r w:rsidRPr="004467EF">
        <w:rPr>
          <w:sz w:val="22"/>
          <w:szCs w:val="22"/>
          <w14:numForm w14:val="lining"/>
          <w14:numSpacing w14:val="proportional"/>
        </w:rPr>
        <w:t xml:space="preserve">raftspersons and </w:t>
      </w:r>
      <w:r w:rsidR="00471929" w:rsidRPr="4AB85293">
        <w:rPr>
          <w:sz w:val="22"/>
          <w:szCs w:val="22"/>
        </w:rPr>
        <w:t>T</w:t>
      </w:r>
      <w:r w:rsidRPr="004467EF">
        <w:rPr>
          <w:sz w:val="22"/>
          <w:szCs w:val="22"/>
          <w14:numForm w14:val="lining"/>
          <w14:numSpacing w14:val="proportional"/>
        </w:rPr>
        <w:t>echnicians.</w:t>
      </w:r>
      <w:r w:rsidRPr="004467EF">
        <w:rPr>
          <w:rStyle w:val="EndnoteReference"/>
          <w:sz w:val="22"/>
          <w:szCs w:val="22"/>
          <w14:numForm w14:val="lining"/>
          <w14:numSpacing w14:val="proportional"/>
        </w:rPr>
        <w:endnoteReference w:id="104"/>
      </w:r>
      <w:r w:rsidRPr="004467EF">
        <w:rPr>
          <w:sz w:val="22"/>
          <w:szCs w:val="22"/>
          <w14:numForm w14:val="lining"/>
          <w14:numSpacing w14:val="proportional"/>
        </w:rPr>
        <w:t xml:space="preserve"> </w:t>
      </w:r>
    </w:p>
    <w:p w14:paraId="70B775F9" w14:textId="2B3B22A6" w:rsidR="00726D35" w:rsidRDefault="009E09C1" w:rsidP="004F4B0C">
      <w:pPr>
        <w:pStyle w:val="Default"/>
        <w:spacing w:before="120" w:after="120" w:line="276" w:lineRule="auto"/>
        <w:rPr>
          <w:sz w:val="22"/>
          <w:szCs w:val="22"/>
          <w14:numForm w14:val="lining"/>
          <w14:numSpacing w14:val="proportional"/>
        </w:rPr>
      </w:pPr>
      <w:r w:rsidRPr="004467EF">
        <w:rPr>
          <w:sz w:val="22"/>
          <w:szCs w:val="22"/>
          <w14:numForm w14:val="lining"/>
          <w14:numSpacing w14:val="proportional"/>
        </w:rPr>
        <w:t xml:space="preserve">Currently Australia employs around 3,400 people in </w:t>
      </w:r>
      <w:r w:rsidR="00471929" w:rsidRPr="4AB85293">
        <w:rPr>
          <w:sz w:val="22"/>
          <w:szCs w:val="22"/>
        </w:rPr>
        <w:t>N</w:t>
      </w:r>
      <w:r w:rsidRPr="004467EF">
        <w:rPr>
          <w:sz w:val="22"/>
          <w:szCs w:val="22"/>
          <w14:numForm w14:val="lining"/>
          <w14:numSpacing w14:val="proportional"/>
        </w:rPr>
        <w:t xml:space="preserve">on-metallic mineral mining (including lithium and graphite), with the largest occupations being </w:t>
      </w:r>
      <w:r w:rsidR="00471929" w:rsidRPr="4AB85293">
        <w:rPr>
          <w:sz w:val="22"/>
          <w:szCs w:val="22"/>
        </w:rPr>
        <w:t>M</w:t>
      </w:r>
      <w:r w:rsidRPr="004467EF">
        <w:rPr>
          <w:sz w:val="22"/>
          <w:szCs w:val="22"/>
          <w14:numForm w14:val="lining"/>
          <w14:numSpacing w14:val="proportional"/>
        </w:rPr>
        <w:t xml:space="preserve">iners, </w:t>
      </w:r>
      <w:r w:rsidR="00471929" w:rsidRPr="4AB85293">
        <w:rPr>
          <w:sz w:val="22"/>
          <w:szCs w:val="22"/>
        </w:rPr>
        <w:t>F</w:t>
      </w:r>
      <w:r w:rsidRPr="004467EF">
        <w:rPr>
          <w:sz w:val="22"/>
          <w:szCs w:val="22"/>
          <w14:numForm w14:val="lining"/>
          <w14:numSpacing w14:val="proportional"/>
        </w:rPr>
        <w:t xml:space="preserve">itters and </w:t>
      </w:r>
      <w:r w:rsidR="00471929" w:rsidRPr="4AB85293">
        <w:rPr>
          <w:sz w:val="22"/>
          <w:szCs w:val="22"/>
        </w:rPr>
        <w:t>E</w:t>
      </w:r>
      <w:r w:rsidRPr="004467EF">
        <w:rPr>
          <w:sz w:val="22"/>
          <w:szCs w:val="22"/>
          <w14:numForm w14:val="lining"/>
          <w14:numSpacing w14:val="proportional"/>
        </w:rPr>
        <w:t xml:space="preserve">ngineering </w:t>
      </w:r>
      <w:r w:rsidR="00471929" w:rsidRPr="4AB85293">
        <w:rPr>
          <w:sz w:val="22"/>
          <w:szCs w:val="22"/>
        </w:rPr>
        <w:t>T</w:t>
      </w:r>
      <w:r w:rsidRPr="004467EF">
        <w:rPr>
          <w:sz w:val="22"/>
          <w:szCs w:val="22"/>
          <w14:numForm w14:val="lining"/>
          <w14:numSpacing w14:val="proportional"/>
        </w:rPr>
        <w:t>echnicians.</w:t>
      </w:r>
      <w:r w:rsidRPr="004467EF">
        <w:rPr>
          <w:rStyle w:val="EndnoteReference"/>
          <w:sz w:val="22"/>
          <w:szCs w:val="22"/>
          <w14:numForm w14:val="lining"/>
          <w14:numSpacing w14:val="proportional"/>
        </w:rPr>
        <w:endnoteReference w:id="105"/>
      </w:r>
      <w:r w:rsidRPr="004467EF">
        <w:rPr>
          <w:sz w:val="22"/>
          <w:szCs w:val="22"/>
          <w14:numForm w14:val="lining"/>
          <w14:numSpacing w14:val="proportional"/>
        </w:rPr>
        <w:t xml:space="preserve"> Also important are materials like nickel, cobalt and aluminium. As the demand for batteries grows, it is likely that this type of mining employment will also grow. </w:t>
      </w:r>
      <w:r w:rsidR="004F4B0C">
        <w:rPr>
          <w:sz w:val="22"/>
          <w:szCs w:val="22"/>
          <w14:numForm w14:val="lining"/>
          <w14:numSpacing w14:val="proportional"/>
        </w:rPr>
        <w:t xml:space="preserve">Occupations </w:t>
      </w:r>
      <w:r w:rsidR="00726D35">
        <w:rPr>
          <w:sz w:val="22"/>
          <w:szCs w:val="22"/>
          <w14:numForm w14:val="lining"/>
          <w14:numSpacing w14:val="proportional"/>
        </w:rPr>
        <w:t xml:space="preserve">like </w:t>
      </w:r>
      <w:r w:rsidR="0076138B" w:rsidRPr="4AB85293">
        <w:rPr>
          <w:sz w:val="22"/>
          <w:szCs w:val="22"/>
        </w:rPr>
        <w:t>G</w:t>
      </w:r>
      <w:r w:rsidR="00726D35">
        <w:rPr>
          <w:sz w:val="22"/>
          <w:szCs w:val="22"/>
          <w14:numForm w14:val="lining"/>
          <w14:numSpacing w14:val="proportional"/>
        </w:rPr>
        <w:t>eo</w:t>
      </w:r>
      <w:r w:rsidR="004F4B0C">
        <w:rPr>
          <w:sz w:val="22"/>
          <w:szCs w:val="22"/>
          <w14:numForm w14:val="lining"/>
          <w14:numSpacing w14:val="proportional"/>
        </w:rPr>
        <w:t>scientists</w:t>
      </w:r>
      <w:r w:rsidR="00726D35">
        <w:rPr>
          <w:sz w:val="22"/>
          <w:szCs w:val="22"/>
          <w14:numForm w14:val="lining"/>
          <w14:numSpacing w14:val="proportional"/>
        </w:rPr>
        <w:t xml:space="preserve">, which are in severe shortage, and </w:t>
      </w:r>
      <w:r w:rsidR="0076138B" w:rsidRPr="4AB85293">
        <w:rPr>
          <w:sz w:val="22"/>
          <w:szCs w:val="22"/>
        </w:rPr>
        <w:t>M</w:t>
      </w:r>
      <w:r w:rsidR="00726D35">
        <w:rPr>
          <w:sz w:val="22"/>
          <w:szCs w:val="22"/>
          <w14:numForm w14:val="lining"/>
          <w14:numSpacing w14:val="proportional"/>
        </w:rPr>
        <w:t xml:space="preserve">ining </w:t>
      </w:r>
      <w:r w:rsidR="0076138B" w:rsidRPr="4AB85293">
        <w:rPr>
          <w:sz w:val="22"/>
          <w:szCs w:val="22"/>
        </w:rPr>
        <w:t>E</w:t>
      </w:r>
      <w:r w:rsidR="00726D35">
        <w:rPr>
          <w:sz w:val="22"/>
          <w:szCs w:val="22"/>
          <w14:numForm w14:val="lining"/>
          <w14:numSpacing w14:val="proportional"/>
        </w:rPr>
        <w:t xml:space="preserve">ngineers, </w:t>
      </w:r>
      <w:r w:rsidR="0076138B" w:rsidRPr="4AB85293">
        <w:rPr>
          <w:sz w:val="22"/>
          <w:szCs w:val="22"/>
        </w:rPr>
        <w:t>M</w:t>
      </w:r>
      <w:r w:rsidR="00726D35">
        <w:rPr>
          <w:sz w:val="22"/>
          <w:szCs w:val="22"/>
          <w14:numForm w14:val="lining"/>
          <w14:numSpacing w14:val="proportional"/>
        </w:rPr>
        <w:t xml:space="preserve">etallurgists, </w:t>
      </w:r>
      <w:r w:rsidR="0076138B" w:rsidRPr="4AB85293">
        <w:rPr>
          <w:sz w:val="22"/>
          <w:szCs w:val="22"/>
        </w:rPr>
        <w:t>S</w:t>
      </w:r>
      <w:r w:rsidR="00726D35">
        <w:rPr>
          <w:sz w:val="22"/>
          <w:szCs w:val="22"/>
          <w14:numForm w14:val="lining"/>
          <w14:numSpacing w14:val="proportional"/>
        </w:rPr>
        <w:t xml:space="preserve">urveyors and </w:t>
      </w:r>
      <w:r w:rsidR="0076138B" w:rsidRPr="4AB85293">
        <w:rPr>
          <w:sz w:val="22"/>
          <w:szCs w:val="22"/>
        </w:rPr>
        <w:t>G</w:t>
      </w:r>
      <w:r w:rsidR="00726D35">
        <w:rPr>
          <w:sz w:val="22"/>
          <w:szCs w:val="22"/>
          <w14:numForm w14:val="lining"/>
          <w14:numSpacing w14:val="proportional"/>
        </w:rPr>
        <w:t xml:space="preserve">eotechnical </w:t>
      </w:r>
      <w:r w:rsidR="0076138B" w:rsidRPr="4AB85293">
        <w:rPr>
          <w:sz w:val="22"/>
          <w:szCs w:val="22"/>
        </w:rPr>
        <w:t>E</w:t>
      </w:r>
      <w:r w:rsidR="00726D35">
        <w:rPr>
          <w:sz w:val="22"/>
          <w:szCs w:val="22"/>
          <w14:numForm w14:val="lining"/>
          <w14:numSpacing w14:val="proportional"/>
        </w:rPr>
        <w:t>ngineers will continue to be needed.</w:t>
      </w:r>
    </w:p>
    <w:p w14:paraId="5102B41A" w14:textId="77777777" w:rsidR="0012219C" w:rsidRDefault="0012219C" w:rsidP="0012219C">
      <w:pPr>
        <w:pStyle w:val="IntenseQuote"/>
        <w:pBdr>
          <w:top w:val="single" w:sz="4" w:space="10" w:color="E55493" w:themeColor="accent4" w:themeTint="99"/>
          <w:bottom w:val="single" w:sz="4" w:space="10" w:color="E55493" w:themeColor="accent4" w:themeTint="99"/>
        </w:pBdr>
        <w:spacing w:after="120"/>
      </w:pPr>
      <w:r>
        <w:t>“</w:t>
      </w:r>
      <w:r w:rsidRPr="0012219C">
        <w:rPr>
          <w:color w:val="000000" w:themeColor="text1"/>
        </w:rPr>
        <w:t>The dearth of geoscientists, which is replicated globally, threatens to crimp Australia’s ability to fin</w:t>
      </w:r>
      <w:r w:rsidRPr="009808D8">
        <w:rPr>
          <w:color w:val="000000" w:themeColor="text1"/>
        </w:rPr>
        <w:t>d, define and mine key minerals needed in a decarbonised future”.</w:t>
      </w:r>
    </w:p>
    <w:p w14:paraId="3B1AB392" w14:textId="629C77C5" w:rsidR="0012219C" w:rsidRPr="0012219C" w:rsidRDefault="0012219C" w:rsidP="1C5DA4BC">
      <w:pPr>
        <w:pStyle w:val="IntenseQuote"/>
        <w:pBdr>
          <w:top w:val="single" w:sz="4" w:space="10" w:color="E55493" w:themeColor="accent4" w:themeTint="99"/>
          <w:bottom w:val="single" w:sz="4" w:space="10" w:color="E55493" w:themeColor="accent4" w:themeTint="99"/>
        </w:pBdr>
        <w:spacing w:before="240" w:after="120"/>
        <w:rPr>
          <w:i w:val="0"/>
          <w:iCs w:val="0"/>
          <w:color w:val="E55493" w:themeColor="accent4" w:themeTint="99"/>
        </w:rPr>
      </w:pPr>
      <w:r w:rsidRPr="3E880473">
        <w:rPr>
          <w:i w:val="0"/>
          <w:iCs w:val="0"/>
          <w:color w:val="E55493" w:themeColor="accent4" w:themeTint="99"/>
        </w:rPr>
        <w:t>Australian Geoscience Council</w:t>
      </w:r>
      <w:r w:rsidR="06435B87" w:rsidRPr="289336B4">
        <w:rPr>
          <w:i w:val="0"/>
          <w:iCs w:val="0"/>
          <w:color w:val="E55493" w:themeColor="accent4" w:themeTint="99"/>
        </w:rPr>
        <w:t>.</w:t>
      </w:r>
      <w:r w:rsidRPr="3E880473">
        <w:rPr>
          <w:rStyle w:val="EndnoteReference"/>
          <w:i w:val="0"/>
          <w:iCs w:val="0"/>
          <w:color w:val="E55493" w:themeColor="accent4" w:themeTint="99"/>
        </w:rPr>
        <w:endnoteReference w:id="106"/>
      </w:r>
    </w:p>
    <w:p w14:paraId="4EE032FD" w14:textId="65111F17" w:rsidR="00726D35" w:rsidRDefault="0059685F" w:rsidP="009808D8">
      <w:pPr>
        <w:spacing w:before="480"/>
        <w:rPr>
          <w14:numForm w14:val="lining"/>
          <w14:numSpacing w14:val="proportional"/>
        </w:rPr>
      </w:pPr>
      <w:r>
        <w:rPr>
          <w14:numForm w14:val="lining"/>
          <w14:numSpacing w14:val="proportional"/>
        </w:rPr>
        <w:t>Workers in these mining industries are employed right across Australia, but particularly in regional Queensland and Western Australia (Figure 6.2)</w:t>
      </w:r>
      <w:r w:rsidR="00AF1B8A">
        <w:rPr>
          <w14:numForm w14:val="lining"/>
          <w14:numSpacing w14:val="proportional"/>
        </w:rPr>
        <w:t xml:space="preserve">. In some instances </w:t>
      </w:r>
      <w:r w:rsidR="001214BE">
        <w:rPr>
          <w14:numForm w14:val="lining"/>
          <w14:numSpacing w14:val="proportional"/>
        </w:rPr>
        <w:t>this work</w:t>
      </w:r>
      <w:r w:rsidR="001A0A83">
        <w:rPr>
          <w14:numForm w14:val="lining"/>
          <w14:numSpacing w14:val="proportional"/>
        </w:rPr>
        <w:t xml:space="preserve"> is done on a fly-in/fly-out basis (like in the Pilbara) </w:t>
      </w:r>
      <w:r w:rsidR="00692B13">
        <w:rPr>
          <w14:numForm w14:val="lining"/>
          <w14:numSpacing w14:val="proportional"/>
        </w:rPr>
        <w:t xml:space="preserve">or </w:t>
      </w:r>
      <w:r w:rsidR="00A66174">
        <w:rPr>
          <w14:numForm w14:val="lining"/>
          <w14:numSpacing w14:val="proportional"/>
        </w:rPr>
        <w:t>is based out of mining towns (like Kalgoorlie). There are also an number of jobs in our cities, particularly Perth, where large numbers of professionals work.</w:t>
      </w:r>
    </w:p>
    <w:p w14:paraId="5221D176" w14:textId="77777777" w:rsidR="0059685F" w:rsidRDefault="0059685F">
      <w:pPr>
        <w:rPr>
          <w14:numForm w14:val="lining"/>
          <w14:numSpacing w14:val="proportional"/>
        </w:rPr>
      </w:pPr>
      <w:r>
        <w:rPr>
          <w14:numForm w14:val="lining"/>
          <w14:numSpacing w14:val="proportional"/>
        </w:rPr>
        <w:br w:type="page"/>
      </w:r>
    </w:p>
    <w:p w14:paraId="4935CE23" w14:textId="1C3F66C5" w:rsidR="009E09C1" w:rsidRDefault="009E09C1" w:rsidP="60F6EFC8">
      <w:pPr>
        <w:pStyle w:val="Default"/>
        <w:pBdr>
          <w:top w:val="single" w:sz="6" w:space="5" w:color="A6A6A6" w:themeColor="background1" w:themeShade="A6"/>
        </w:pBdr>
        <w:spacing w:before="120"/>
        <w:rPr>
          <w:b/>
          <w:bCs/>
          <w:color w:val="000000" w:themeColor="text1"/>
          <w:sz w:val="22"/>
          <w:szCs w:val="22"/>
        </w:rPr>
      </w:pPr>
      <w:r w:rsidRPr="60F6EFC8">
        <w:rPr>
          <w:b/>
          <w:bCs/>
          <w:color w:val="000000" w:themeColor="text1"/>
          <w:sz w:val="22"/>
          <w:szCs w:val="22"/>
        </w:rPr>
        <w:t>Figure 6.2. Employment in battery-related mining industries, by region</w:t>
      </w:r>
    </w:p>
    <w:p w14:paraId="3031F825" w14:textId="5AA2DC4F" w:rsidR="009E09C1" w:rsidRDefault="0029112D" w:rsidP="009E09C1">
      <w:pPr>
        <w:pStyle w:val="Default"/>
        <w:pBdr>
          <w:top w:val="single" w:sz="6" w:space="5" w:color="A6A6A6" w:themeColor="background1" w:themeShade="A6"/>
        </w:pBdr>
        <w:spacing w:before="120"/>
        <w:jc w:val="center"/>
        <w:rPr>
          <w:b/>
          <w:color w:val="000000" w:themeColor="text1"/>
          <w:sz w:val="22"/>
          <w:szCs w:val="22"/>
        </w:rPr>
      </w:pPr>
      <w:r w:rsidRPr="00D55BA5">
        <w:rPr>
          <w:noProof/>
          <w:color w:val="000000" w:themeColor="text1"/>
          <w:sz w:val="18"/>
          <w:szCs w:val="18"/>
        </w:rPr>
        <w:drawing>
          <wp:anchor distT="0" distB="0" distL="114300" distR="114300" simplePos="0" relativeHeight="251658340" behindDoc="0" locked="0" layoutInCell="1" allowOverlap="1" wp14:anchorId="52F671DB" wp14:editId="49EBECF6">
            <wp:simplePos x="0" y="0"/>
            <wp:positionH relativeFrom="column">
              <wp:posOffset>573206</wp:posOffset>
            </wp:positionH>
            <wp:positionV relativeFrom="page">
              <wp:posOffset>4129879</wp:posOffset>
            </wp:positionV>
            <wp:extent cx="2753360" cy="789305"/>
            <wp:effectExtent l="0" t="0" r="8890" b="0"/>
            <wp:wrapNone/>
            <wp:docPr id="118214383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43835" name="Picture 1">
                      <a:extLst>
                        <a:ext uri="{C183D7F6-B498-43B3-948B-1728B52AA6E4}">
                          <adec:decorative xmlns:adec="http://schemas.microsoft.com/office/drawing/2017/decorative" val="1"/>
                        </a:ext>
                      </a:extLst>
                    </pic:cNvPr>
                    <pic:cNvPicPr/>
                  </pic:nvPicPr>
                  <pic:blipFill>
                    <a:blip r:embed="rId189" cstate="screen">
                      <a:extLst>
                        <a:ext uri="{28A0092B-C50C-407E-A947-70E740481C1C}">
                          <a14:useLocalDpi xmlns:a14="http://schemas.microsoft.com/office/drawing/2010/main"/>
                        </a:ext>
                      </a:extLst>
                    </a:blip>
                    <a:stretch>
                      <a:fillRect/>
                    </a:stretch>
                  </pic:blipFill>
                  <pic:spPr>
                    <a:xfrm>
                      <a:off x="0" y="0"/>
                      <a:ext cx="2753360" cy="789305"/>
                    </a:xfrm>
                    <a:prstGeom prst="rect">
                      <a:avLst/>
                    </a:prstGeom>
                  </pic:spPr>
                </pic:pic>
              </a:graphicData>
            </a:graphic>
            <wp14:sizeRelH relativeFrom="margin">
              <wp14:pctWidth>0</wp14:pctWidth>
            </wp14:sizeRelH>
            <wp14:sizeRelV relativeFrom="margin">
              <wp14:pctHeight>0</wp14:pctHeight>
            </wp14:sizeRelV>
          </wp:anchor>
        </w:drawing>
      </w:r>
      <w:r w:rsidR="00A77A13">
        <w:rPr>
          <w:b/>
          <w:noProof/>
          <w:color w:val="000000" w:themeColor="text1"/>
          <w:sz w:val="22"/>
          <w:szCs w:val="22"/>
        </w:rPr>
        <w:drawing>
          <wp:inline distT="0" distB="0" distL="0" distR="0" wp14:anchorId="3768133F" wp14:editId="2F64D27E">
            <wp:extent cx="4582160" cy="3692525"/>
            <wp:effectExtent l="0" t="0" r="8890" b="3175"/>
            <wp:docPr id="1087981664" name="Picture 1087981664" descr="This figure represents the number of employment in battery-related mining industries b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64" name="Picture 1087981664" descr="This figure represents the number of employment in battery-related mining industries by region. "/>
                    <pic:cNvPicPr>
                      <a:picLocks noChangeAspect="1"/>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4582160" cy="3692525"/>
                    </a:xfrm>
                    <a:prstGeom prst="rect">
                      <a:avLst/>
                    </a:prstGeom>
                    <a:noFill/>
                    <a:ln w="19050">
                      <a:noFill/>
                    </a:ln>
                    <a:extLst>
                      <a:ext uri="{53640926-AAD7-44D8-BBD7-CCE9431645EC}">
                        <a14:shadowObscured xmlns:a14="http://schemas.microsoft.com/office/drawing/2010/main"/>
                      </a:ext>
                    </a:extLst>
                  </pic:spPr>
                </pic:pic>
              </a:graphicData>
            </a:graphic>
          </wp:inline>
        </w:drawing>
      </w:r>
    </w:p>
    <w:p w14:paraId="08097EB5" w14:textId="313BB531" w:rsidR="009E09C1" w:rsidRPr="00E7256D" w:rsidRDefault="009E09C1" w:rsidP="009E09C1">
      <w:pPr>
        <w:pStyle w:val="Default"/>
        <w:pBdr>
          <w:top w:val="single" w:sz="6" w:space="5" w:color="A6A6A6" w:themeColor="background1" w:themeShade="A6"/>
        </w:pBdr>
        <w:spacing w:before="240"/>
        <w:rPr>
          <w:color w:val="000000" w:themeColor="text1"/>
          <w:sz w:val="18"/>
          <w:szCs w:val="18"/>
        </w:rPr>
      </w:pPr>
      <w:r>
        <w:rPr>
          <w:color w:val="000000" w:themeColor="text1"/>
          <w:sz w:val="18"/>
          <w:szCs w:val="18"/>
        </w:rPr>
        <w:t>Source: ABS Census 2021, Place of Work by ANZ</w:t>
      </w:r>
      <w:r w:rsidR="005F3912">
        <w:rPr>
          <w:color w:val="000000" w:themeColor="text1"/>
          <w:sz w:val="18"/>
          <w:szCs w:val="18"/>
        </w:rPr>
        <w:t>SI</w:t>
      </w:r>
      <w:r>
        <w:rPr>
          <w:color w:val="000000" w:themeColor="text1"/>
          <w:sz w:val="18"/>
          <w:szCs w:val="18"/>
        </w:rPr>
        <w:t xml:space="preserve">C industry and SA3. JSA analysis. Note: </w:t>
      </w:r>
      <w:r w:rsidR="00034ED0">
        <w:rPr>
          <w:color w:val="000000" w:themeColor="text1"/>
          <w:sz w:val="18"/>
          <w:szCs w:val="18"/>
        </w:rPr>
        <w:t>c</w:t>
      </w:r>
      <w:r>
        <w:rPr>
          <w:color w:val="000000" w:themeColor="text1"/>
          <w:sz w:val="18"/>
          <w:szCs w:val="18"/>
        </w:rPr>
        <w:t xml:space="preserve">ircle sizes reflect the proportion of </w:t>
      </w:r>
      <w:r w:rsidR="00034ED0">
        <w:rPr>
          <w:color w:val="000000" w:themeColor="text1"/>
          <w:sz w:val="18"/>
          <w:szCs w:val="18"/>
        </w:rPr>
        <w:t>that</w:t>
      </w:r>
      <w:r>
        <w:rPr>
          <w:color w:val="000000" w:themeColor="text1"/>
          <w:sz w:val="18"/>
          <w:szCs w:val="18"/>
        </w:rPr>
        <w:t xml:space="preserve"> industry’s total employment in that region, not just </w:t>
      </w:r>
      <w:r w:rsidR="001C1F0F">
        <w:rPr>
          <w:color w:val="000000" w:themeColor="text1"/>
          <w:sz w:val="18"/>
          <w:szCs w:val="18"/>
        </w:rPr>
        <w:t xml:space="preserve">the workers </w:t>
      </w:r>
      <w:r>
        <w:rPr>
          <w:color w:val="000000" w:themeColor="text1"/>
          <w:sz w:val="18"/>
          <w:szCs w:val="18"/>
        </w:rPr>
        <w:t>employed on mining sites. This explains why there is a large number of workers in capital cities.</w:t>
      </w:r>
      <w:r w:rsidR="0029112D" w:rsidRPr="0029112D">
        <w:rPr>
          <w:noProof/>
          <w:color w:val="000000" w:themeColor="text1"/>
          <w:sz w:val="18"/>
          <w:szCs w:val="18"/>
        </w:rPr>
        <w:t xml:space="preserve"> </w:t>
      </w:r>
      <w:r>
        <w:rPr>
          <w:color w:val="9F1853" w:themeColor="accent4"/>
        </w:rPr>
        <w:br w:type="page"/>
      </w:r>
    </w:p>
    <w:p w14:paraId="72F1AA7B" w14:textId="77777777" w:rsidR="006475C1" w:rsidRDefault="00357702" w:rsidP="004973BF">
      <w:pPr>
        <w:pStyle w:val="Bodycopy"/>
        <w:ind w:left="-1474"/>
      </w:pPr>
      <w:r>
        <w:rPr>
          <w:noProof/>
        </w:rPr>
        <mc:AlternateContent>
          <mc:Choice Requires="wpg">
            <w:drawing>
              <wp:inline distT="0" distB="0" distL="0" distR="0" wp14:anchorId="418480D5" wp14:editId="61951573">
                <wp:extent cx="7570501" cy="3815003"/>
                <wp:effectExtent l="0" t="0" r="0" b="0"/>
                <wp:docPr id="223121603" name="Group 2231216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0501" cy="3815003"/>
                          <a:chOff x="0" y="0"/>
                          <a:chExt cx="7570501" cy="3815003"/>
                        </a:xfrm>
                      </wpg:grpSpPr>
                      <pic:pic xmlns:pic="http://schemas.openxmlformats.org/drawingml/2006/picture">
                        <pic:nvPicPr>
                          <pic:cNvPr id="1087981665" name="Picture 1087981665" descr="17649"/>
                          <pic:cNvPicPr>
                            <a:picLocks noChangeAspect="1"/>
                          </pic:cNvPicPr>
                        </pic:nvPicPr>
                        <pic:blipFill rotWithShape="1">
                          <a:blip r:embed="rId191" cstate="screen">
                            <a:extLst>
                              <a:ext uri="{28A0092B-C50C-407E-A947-70E740481C1C}">
                                <a14:useLocalDpi xmlns:a14="http://schemas.microsoft.com/office/drawing/2010/main"/>
                              </a:ext>
                            </a:extLst>
                          </a:blip>
                          <a:srcRect r="-148"/>
                          <a:stretch/>
                        </pic:blipFill>
                        <pic:spPr bwMode="auto">
                          <a:xfrm>
                            <a:off x="11151" y="0"/>
                            <a:ext cx="3763010" cy="3811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87981666" name="Picture 1087981666" descr="58236"/>
                          <pic:cNvPicPr>
                            <a:picLocks noChangeAspect="1"/>
                          </pic:cNvPicPr>
                        </pic:nvPicPr>
                        <pic:blipFill rotWithShape="1">
                          <a:blip r:embed="rId192">
                            <a:extLst>
                              <a:ext uri="{28A0092B-C50C-407E-A947-70E740481C1C}">
                                <a14:useLocalDpi xmlns:a14="http://schemas.microsoft.com/office/drawing/2010/main" val="0"/>
                              </a:ext>
                            </a:extLst>
                          </a:blip>
                          <a:srcRect/>
                          <a:stretch/>
                        </pic:blipFill>
                        <pic:spPr bwMode="auto">
                          <a:xfrm>
                            <a:off x="3757961" y="0"/>
                            <a:ext cx="3812540" cy="3812540"/>
                          </a:xfrm>
                          <a:prstGeom prst="rect">
                            <a:avLst/>
                          </a:prstGeom>
                          <a:noFill/>
                          <a:ln>
                            <a:noFill/>
                          </a:ln>
                          <a:extLst>
                            <a:ext uri="{53640926-AAD7-44D8-BBD7-CCE9431645EC}">
                              <a14:shadowObscured xmlns:a14="http://schemas.microsoft.com/office/drawing/2010/main"/>
                            </a:ext>
                          </a:extLst>
                        </pic:spPr>
                      </pic:pic>
                      <wps:wsp>
                        <wps:cNvPr id="1087981651" name="Text Box 1087981651"/>
                        <wps:cNvSpPr txBox="1"/>
                        <wps:spPr>
                          <a:xfrm>
                            <a:off x="0" y="3635298"/>
                            <a:ext cx="3787775" cy="179705"/>
                          </a:xfrm>
                          <a:prstGeom prst="rect">
                            <a:avLst/>
                          </a:prstGeom>
                          <a:solidFill>
                            <a:srgbClr val="262626">
                              <a:alpha val="60000"/>
                            </a:srgbClr>
                          </a:solidFill>
                          <a:ln w="6350">
                            <a:noFill/>
                          </a:ln>
                        </wps:spPr>
                        <wps:txbx>
                          <w:txbxContent>
                            <w:p w14:paraId="5B899F22"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 Mountains Hydro Sceme.1961. National Archives of Australia, item 7425446</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s:wsp>
                        <wps:cNvPr id="1087981650" name="Text Box 1087981650"/>
                        <wps:cNvSpPr txBox="1"/>
                        <wps:spPr>
                          <a:xfrm>
                            <a:off x="3757961" y="3635298"/>
                            <a:ext cx="3806010" cy="179705"/>
                          </a:xfrm>
                          <a:prstGeom prst="rect">
                            <a:avLst/>
                          </a:prstGeom>
                          <a:solidFill>
                            <a:srgbClr val="262626">
                              <a:alpha val="60000"/>
                            </a:srgbClr>
                          </a:solidFill>
                          <a:ln w="6350">
                            <a:noFill/>
                          </a:ln>
                        </wps:spPr>
                        <wps:txbx>
                          <w:txbxContent>
                            <w:p w14:paraId="49AAB6EA"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Snowy Mountains Hydro Scheme 1968. National Archives of Australia, item 7648393</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418480D5" id="Group 223121603" o:spid="_x0000_s1124" alt="&quot;&quot;" style="width:596.1pt;height:300.4pt;mso-position-horizontal-relative:char;mso-position-vertical-relative:line" coordsize="75705,38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">
                <v:shape id="Picture 1087981665" o:spid="_x0000_s1125" type="#_x0000_t75" alt="17649" style="position:absolute;left:111;width:37630;height:38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">
                  <v:imagedata r:id="rId193" o:title="17649" cropright="-97f"/>
                </v:shape>
                <v:shape id="Picture 1087981666" o:spid="_x0000_s1126" type="#_x0000_t75" alt="58236" style="position:absolute;left:37579;width:38126;height:38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">
                  <v:imagedata r:id="rId194" o:title="58236"/>
                </v:shape>
                <v:shape id="Text Box 1087981651" o:spid="_x0000_s1127" type="#_x0000_t202" style="position:absolute;top:36352;width:37877;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" fillcolor="#262626" stroked="f" strokeweight=".5pt">
                  <v:fill opacity="39321f"/>
                  <v:textbox inset="2mm,1mm,1mm,1mm">
                    <w:txbxContent>
                      <w:p w14:paraId="5B899F22"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 Mountains Hydro Sceme.1961. National Archives of Australia, item 7425446</w:t>
                        </w:r>
                      </w:p>
                    </w:txbxContent>
                  </v:textbox>
                </v:shape>
                <v:shape id="Text Box 1087981650" o:spid="_x0000_s1128" type="#_x0000_t202" style="position:absolute;left:37579;top:36352;width:38060;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" fillcolor="#262626" stroked="f" strokeweight=".5pt">
                  <v:fill opacity="39321f"/>
                  <v:textbox inset="2mm,1mm,1mm,1mm">
                    <w:txbxContent>
                      <w:p w14:paraId="49AAB6EA" w14:textId="77777777" w:rsidR="00357702" w:rsidRPr="009845EF" w:rsidRDefault="00357702" w:rsidP="009808D8">
                        <w:pPr>
                          <w:spacing w:after="0" w:line="240" w:lineRule="auto"/>
                          <w:rPr>
                            <w:color w:val="FFFFFF" w:themeColor="background1"/>
                            <w:sz w:val="14"/>
                            <w:szCs w:val="14"/>
                          </w:rPr>
                        </w:pPr>
                        <w:r w:rsidRPr="009845EF">
                          <w:rPr>
                            <w:color w:val="FFFFFF" w:themeColor="background1"/>
                            <w:sz w:val="14"/>
                            <w:szCs w:val="14"/>
                          </w:rPr>
                          <w:t>Snowy Mountains Hydro Scheme 1968. National Archives of Australia, item 7648393</w:t>
                        </w:r>
                      </w:p>
                    </w:txbxContent>
                  </v:textbox>
                </v:shape>
                <w10:anchorlock/>
              </v:group>
            </w:pict>
          </mc:Fallback>
        </mc:AlternateContent>
      </w:r>
    </w:p>
    <w:p w14:paraId="6F4EA25E" w14:textId="2C452037" w:rsidR="009E09C1" w:rsidRDefault="009E09C1" w:rsidP="009E09C1">
      <w:pPr>
        <w:pStyle w:val="Heading3"/>
        <w:spacing w:before="720"/>
      </w:pPr>
      <w:r w:rsidRPr="009E09C1">
        <w:rPr>
          <w:color w:val="9F1853" w:themeColor="accent4"/>
        </w:rPr>
        <w:t>Pumped Hydro</w:t>
      </w:r>
    </w:p>
    <w:p w14:paraId="36B7EE54" w14:textId="248A9AE1" w:rsidR="009E09C1" w:rsidRPr="00C166F3" w:rsidRDefault="009E09C1" w:rsidP="009E09C1">
      <w:pPr>
        <w:spacing w:before="120" w:after="120" w:line="276" w:lineRule="auto"/>
      </w:pPr>
      <w:r w:rsidRPr="00C166F3">
        <w:rPr>
          <w14:numForm w14:val="lining"/>
          <w14:numSpacing w14:val="proportional"/>
        </w:rPr>
        <w:t>Pumped hydro energy storage (PHES) is expected to play a significant role in helping Australia transition to renewable energy. PHES operates by utilising surplus energy held in the existing energy grid or generated by wind, solar, or other renewable energy sources to pump water uphill into a reservoir, which is then released downhill immediately generating inertial energy</w:t>
      </w:r>
      <w:r w:rsidR="0A176B33" w:rsidRPr="00C166F3">
        <w:rPr>
          <w14:numForm w14:val="lining"/>
          <w14:numSpacing w14:val="proportional"/>
        </w:rPr>
        <w:t xml:space="preserve"> that is available</w:t>
      </w:r>
      <w:r w:rsidRPr="00C166F3">
        <w:rPr>
          <w14:numForm w14:val="lining"/>
          <w14:numSpacing w14:val="proportional"/>
        </w:rPr>
        <w:t xml:space="preserve"> as required during outages</w:t>
      </w:r>
      <w:r w:rsidR="75497762" w:rsidRPr="00C166F3">
        <w:rPr>
          <w14:numForm w14:val="lining"/>
          <w14:numSpacing w14:val="proportional"/>
        </w:rPr>
        <w:t>,</w:t>
      </w:r>
      <w:r w:rsidRPr="00C166F3">
        <w:rPr>
          <w14:numForm w14:val="lining"/>
          <w14:numSpacing w14:val="proportional"/>
        </w:rPr>
        <w:t xml:space="preserve"> periods of increased demand</w:t>
      </w:r>
      <w:r w:rsidR="53122BC5" w:rsidRPr="00C166F3">
        <w:rPr>
          <w14:numForm w14:val="lining"/>
          <w14:numSpacing w14:val="proportional"/>
        </w:rPr>
        <w:t>,</w:t>
      </w:r>
      <w:r w:rsidRPr="00C166F3">
        <w:rPr>
          <w14:numForm w14:val="lining"/>
          <w14:numSpacing w14:val="proportional"/>
        </w:rPr>
        <w:t xml:space="preserve"> and low or unreliable energy generation. In effect, PHES functions much like a large store, or battery.</w:t>
      </w:r>
    </w:p>
    <w:p w14:paraId="493EE1DC" w14:textId="580D66DB" w:rsidR="009E09C1" w:rsidRPr="00C166F3" w:rsidRDefault="009E09C1" w:rsidP="009E09C1">
      <w:pPr>
        <w:pStyle w:val="Default"/>
        <w:spacing w:before="120" w:after="120" w:line="276" w:lineRule="auto"/>
        <w:rPr>
          <w:sz w:val="22"/>
          <w:szCs w:val="22"/>
          <w14:numForm w14:val="lining"/>
          <w14:numSpacing w14:val="proportional"/>
        </w:rPr>
      </w:pPr>
      <w:r w:rsidRPr="00C166F3">
        <w:rPr>
          <w:sz w:val="22"/>
          <w:szCs w:val="22"/>
          <w14:numForm w14:val="lining"/>
          <w14:numSpacing w14:val="proportional"/>
        </w:rPr>
        <w:t>Pumped hydro projects require a range of both trades and professional occupations including</w:t>
      </w:r>
      <w:r w:rsidRPr="00C166F3">
        <w:rPr>
          <w:rFonts w:ascii="Helvetica" w:hAnsi="Helvetica" w:cs="Helvetica"/>
          <w:color w:val="414042"/>
          <w:sz w:val="27"/>
          <w:szCs w:val="27"/>
          <w:shd w:val="clear" w:color="auto" w:fill="FFFFFF"/>
          <w14:numForm w14:val="lining"/>
          <w14:numSpacing w14:val="proportional"/>
        </w:rPr>
        <w:t xml:space="preserve"> </w:t>
      </w:r>
      <w:r w:rsidR="00471929">
        <w:rPr>
          <w:sz w:val="22"/>
          <w:szCs w:val="22"/>
          <w14:numForm w14:val="lining"/>
          <w14:numSpacing w14:val="proportional"/>
        </w:rPr>
        <w:t>E</w:t>
      </w:r>
      <w:r w:rsidRPr="00C166F3">
        <w:rPr>
          <w:sz w:val="22"/>
          <w:szCs w:val="22"/>
          <w14:numForm w14:val="lining"/>
          <w14:numSpacing w14:val="proportional"/>
        </w:rPr>
        <w:t xml:space="preserve">lectricians, </w:t>
      </w:r>
      <w:r w:rsidR="00471929">
        <w:rPr>
          <w:sz w:val="22"/>
          <w:szCs w:val="22"/>
          <w14:numForm w14:val="lining"/>
          <w14:numSpacing w14:val="proportional"/>
        </w:rPr>
        <w:t>M</w:t>
      </w:r>
      <w:r w:rsidRPr="00C166F3">
        <w:rPr>
          <w:sz w:val="22"/>
          <w:szCs w:val="22"/>
          <w14:numForm w14:val="lining"/>
          <w14:numSpacing w14:val="proportional"/>
        </w:rPr>
        <w:t xml:space="preserve">etal </w:t>
      </w:r>
      <w:r w:rsidR="00471929">
        <w:rPr>
          <w:sz w:val="22"/>
          <w:szCs w:val="22"/>
          <w14:numForm w14:val="lining"/>
          <w14:numSpacing w14:val="proportional"/>
        </w:rPr>
        <w:t>W</w:t>
      </w:r>
      <w:r w:rsidRPr="00C166F3">
        <w:rPr>
          <w:sz w:val="22"/>
          <w:szCs w:val="22"/>
          <w14:numForm w14:val="lining"/>
          <w14:numSpacing w14:val="proportional"/>
        </w:rPr>
        <w:t xml:space="preserve">orkers, </w:t>
      </w:r>
      <w:r w:rsidR="00471929">
        <w:rPr>
          <w:sz w:val="22"/>
          <w:szCs w:val="22"/>
          <w14:numForm w14:val="lining"/>
          <w14:numSpacing w14:val="proportional"/>
        </w:rPr>
        <w:t>E</w:t>
      </w:r>
      <w:r w:rsidRPr="00C166F3">
        <w:rPr>
          <w:sz w:val="22"/>
          <w:szCs w:val="22"/>
          <w14:numForm w14:val="lining"/>
          <w14:numSpacing w14:val="proportional"/>
        </w:rPr>
        <w:t xml:space="preserve">arth </w:t>
      </w:r>
      <w:r w:rsidR="00471929">
        <w:rPr>
          <w:sz w:val="22"/>
          <w:szCs w:val="22"/>
          <w14:numForm w14:val="lining"/>
          <w14:numSpacing w14:val="proportional"/>
        </w:rPr>
        <w:t>M</w:t>
      </w:r>
      <w:r w:rsidRPr="00C166F3">
        <w:rPr>
          <w:sz w:val="22"/>
          <w:szCs w:val="22"/>
          <w14:numForm w14:val="lining"/>
          <w14:numSpacing w14:val="proportional"/>
        </w:rPr>
        <w:t xml:space="preserve">overs, </w:t>
      </w:r>
      <w:r w:rsidR="00471929">
        <w:rPr>
          <w:sz w:val="22"/>
          <w:szCs w:val="22"/>
          <w14:numForm w14:val="lining"/>
          <w14:numSpacing w14:val="proportional"/>
        </w:rPr>
        <w:t>C</w:t>
      </w:r>
      <w:r w:rsidRPr="00C166F3">
        <w:rPr>
          <w:sz w:val="22"/>
          <w:szCs w:val="22"/>
          <w14:numForm w14:val="lining"/>
          <w14:numSpacing w14:val="proportional"/>
        </w:rPr>
        <w:t xml:space="preserve">onstruction </w:t>
      </w:r>
      <w:r w:rsidR="00471929">
        <w:rPr>
          <w:sz w:val="22"/>
          <w:szCs w:val="22"/>
          <w14:numForm w14:val="lining"/>
          <w14:numSpacing w14:val="proportional"/>
        </w:rPr>
        <w:t>L</w:t>
      </w:r>
      <w:r w:rsidRPr="00C166F3">
        <w:rPr>
          <w:sz w:val="22"/>
          <w:szCs w:val="22"/>
          <w14:numForm w14:val="lining"/>
          <w14:numSpacing w14:val="proportional"/>
        </w:rPr>
        <w:t xml:space="preserve">abourers and </w:t>
      </w:r>
      <w:r w:rsidR="00EF1974">
        <w:rPr>
          <w:sz w:val="22"/>
          <w:szCs w:val="22"/>
          <w14:numForm w14:val="lining"/>
          <w14:numSpacing w14:val="proportional"/>
        </w:rPr>
        <w:t>M</w:t>
      </w:r>
      <w:r w:rsidRPr="00C166F3">
        <w:rPr>
          <w:sz w:val="22"/>
          <w:szCs w:val="22"/>
          <w14:numForm w14:val="lining"/>
          <w14:numSpacing w14:val="proportional"/>
        </w:rPr>
        <w:t xml:space="preserve">anagers, </w:t>
      </w:r>
      <w:r w:rsidR="00EF1974">
        <w:rPr>
          <w:sz w:val="22"/>
          <w:szCs w:val="22"/>
          <w14:numForm w14:val="lining"/>
          <w14:numSpacing w14:val="proportional"/>
        </w:rPr>
        <w:t>D</w:t>
      </w:r>
      <w:r w:rsidRPr="00C166F3">
        <w:rPr>
          <w:sz w:val="22"/>
          <w:szCs w:val="22"/>
          <w14:numForm w14:val="lining"/>
          <w14:numSpacing w14:val="proportional"/>
        </w:rPr>
        <w:t xml:space="preserve">rillers, </w:t>
      </w:r>
      <w:r w:rsidR="00EF1974">
        <w:rPr>
          <w:sz w:val="22"/>
          <w:szCs w:val="22"/>
          <w14:numForm w14:val="lining"/>
          <w14:numSpacing w14:val="proportional"/>
        </w:rPr>
        <w:t>D</w:t>
      </w:r>
      <w:r w:rsidRPr="00C166F3">
        <w:rPr>
          <w:sz w:val="22"/>
          <w:szCs w:val="22"/>
          <w14:numForm w14:val="lining"/>
          <w14:numSpacing w14:val="proportional"/>
        </w:rPr>
        <w:t xml:space="preserve">rivers, </w:t>
      </w:r>
      <w:r w:rsidR="00EF1974">
        <w:rPr>
          <w:sz w:val="22"/>
          <w:szCs w:val="22"/>
          <w14:numForm w14:val="lining"/>
          <w14:numSpacing w14:val="proportional"/>
        </w:rPr>
        <w:t>H</w:t>
      </w:r>
      <w:r w:rsidRPr="00C166F3">
        <w:rPr>
          <w:sz w:val="22"/>
          <w:szCs w:val="22"/>
          <w14:numForm w14:val="lining"/>
          <w14:numSpacing w14:val="proportional"/>
        </w:rPr>
        <w:t>ydrographers,</w:t>
      </w:r>
      <w:r w:rsidRPr="00C166F3">
        <w:rPr>
          <w14:numForm w14:val="lining"/>
          <w14:numSpacing w14:val="proportional"/>
        </w:rPr>
        <w:t xml:space="preserve"> </w:t>
      </w:r>
      <w:r w:rsidR="00EF1974">
        <w:rPr>
          <w:sz w:val="22"/>
          <w:szCs w:val="22"/>
          <w14:numForm w14:val="lining"/>
          <w14:numSpacing w14:val="proportional"/>
        </w:rPr>
        <w:t>S</w:t>
      </w:r>
      <w:r w:rsidRPr="00C166F3">
        <w:rPr>
          <w:sz w:val="22"/>
          <w:szCs w:val="22"/>
          <w14:numForm w14:val="lining"/>
          <w14:numSpacing w14:val="proportional"/>
        </w:rPr>
        <w:t xml:space="preserve">urveyors, </w:t>
      </w:r>
      <w:r w:rsidR="00EF1974">
        <w:rPr>
          <w:sz w:val="22"/>
          <w:szCs w:val="22"/>
          <w14:numForm w14:val="lining"/>
          <w14:numSpacing w14:val="proportional"/>
        </w:rPr>
        <w:t>S</w:t>
      </w:r>
      <w:r w:rsidRPr="00C166F3">
        <w:rPr>
          <w:sz w:val="22"/>
          <w:szCs w:val="22"/>
          <w14:numForm w14:val="lining"/>
          <w14:numSpacing w14:val="proportional"/>
        </w:rPr>
        <w:t xml:space="preserve">patial </w:t>
      </w:r>
      <w:r w:rsidR="00EF1974">
        <w:rPr>
          <w:sz w:val="22"/>
          <w:szCs w:val="22"/>
          <w14:numForm w14:val="lining"/>
          <w14:numSpacing w14:val="proportional"/>
        </w:rPr>
        <w:t>A</w:t>
      </w:r>
      <w:r w:rsidRPr="00C166F3">
        <w:rPr>
          <w:sz w:val="22"/>
          <w:szCs w:val="22"/>
          <w14:numForm w14:val="lining"/>
          <w14:numSpacing w14:val="proportional"/>
        </w:rPr>
        <w:t xml:space="preserve">nalysts, </w:t>
      </w:r>
      <w:r w:rsidR="00EF1974">
        <w:rPr>
          <w:sz w:val="22"/>
          <w:szCs w:val="22"/>
          <w14:numForm w14:val="lining"/>
          <w14:numSpacing w14:val="proportional"/>
        </w:rPr>
        <w:t>E</w:t>
      </w:r>
      <w:r w:rsidRPr="00C166F3">
        <w:rPr>
          <w:sz w:val="22"/>
          <w:szCs w:val="22"/>
          <w14:numForm w14:val="lining"/>
          <w14:numSpacing w14:val="proportional"/>
        </w:rPr>
        <w:t xml:space="preserve">nvironmental </w:t>
      </w:r>
      <w:r w:rsidR="00EF1974">
        <w:rPr>
          <w:sz w:val="22"/>
          <w:szCs w:val="22"/>
          <w14:numForm w14:val="lining"/>
          <w14:numSpacing w14:val="proportional"/>
        </w:rPr>
        <w:t>S</w:t>
      </w:r>
      <w:r w:rsidRPr="00C166F3">
        <w:rPr>
          <w:sz w:val="22"/>
          <w:szCs w:val="22"/>
          <w14:numForm w14:val="lining"/>
          <w14:numSpacing w14:val="proportional"/>
        </w:rPr>
        <w:t xml:space="preserve">cientists, </w:t>
      </w:r>
      <w:r w:rsidR="00EF1974">
        <w:rPr>
          <w:sz w:val="22"/>
          <w:szCs w:val="22"/>
          <w14:numForm w14:val="lining"/>
          <w14:numSpacing w14:val="proportional"/>
        </w:rPr>
        <w:t>H</w:t>
      </w:r>
      <w:r w:rsidRPr="00C166F3">
        <w:rPr>
          <w:sz w:val="22"/>
          <w:szCs w:val="22"/>
          <w14:numForm w14:val="lining"/>
          <w14:numSpacing w14:val="proportional"/>
        </w:rPr>
        <w:t xml:space="preserve">ydrologists, </w:t>
      </w:r>
      <w:r w:rsidR="00EF1974">
        <w:rPr>
          <w:sz w:val="22"/>
          <w:szCs w:val="22"/>
          <w14:numForm w14:val="lining"/>
          <w14:numSpacing w14:val="proportional"/>
        </w:rPr>
        <w:t>G</w:t>
      </w:r>
      <w:r w:rsidRPr="00C166F3">
        <w:rPr>
          <w:sz w:val="22"/>
          <w:szCs w:val="22"/>
          <w14:numForm w14:val="lining"/>
          <w14:numSpacing w14:val="proportional"/>
        </w:rPr>
        <w:t xml:space="preserve">eologists and a range of </w:t>
      </w:r>
      <w:r w:rsidR="00EF1974">
        <w:rPr>
          <w:sz w:val="22"/>
          <w:szCs w:val="22"/>
          <w14:numForm w14:val="lining"/>
          <w14:numSpacing w14:val="proportional"/>
        </w:rPr>
        <w:t>E</w:t>
      </w:r>
      <w:r w:rsidRPr="00C166F3">
        <w:rPr>
          <w:sz w:val="22"/>
          <w:szCs w:val="22"/>
          <w14:numForm w14:val="lining"/>
          <w14:numSpacing w14:val="proportional"/>
        </w:rPr>
        <w:t>ngineering professionals</w:t>
      </w:r>
      <w:r>
        <w:rPr>
          <w:sz w:val="22"/>
          <w:szCs w:val="22"/>
          <w14:numForm w14:val="lining"/>
          <w14:numSpacing w14:val="proportional"/>
        </w:rPr>
        <w:t xml:space="preserve">. </w:t>
      </w:r>
      <w:r w:rsidRPr="00C166F3">
        <w:rPr>
          <w:sz w:val="22"/>
          <w:szCs w:val="22"/>
          <w14:numForm w14:val="lining"/>
          <w14:numSpacing w14:val="proportional"/>
        </w:rPr>
        <w:t xml:space="preserve">Like most </w:t>
      </w:r>
      <w:r w:rsidRPr="162F8A98">
        <w:rPr>
          <w:sz w:val="22"/>
          <w:szCs w:val="22"/>
        </w:rPr>
        <w:t>large-scale</w:t>
      </w:r>
      <w:r w:rsidRPr="00C166F3">
        <w:rPr>
          <w:sz w:val="22"/>
          <w:szCs w:val="22"/>
          <w14:numForm w14:val="lining"/>
          <w14:numSpacing w14:val="proportional"/>
        </w:rPr>
        <w:t xml:space="preserve"> energy projects, </w:t>
      </w:r>
      <w:r>
        <w:rPr>
          <w:sz w:val="22"/>
          <w:szCs w:val="22"/>
          <w14:numForm w14:val="lining"/>
          <w14:numSpacing w14:val="proportional"/>
        </w:rPr>
        <w:t xml:space="preserve">workforce needs </w:t>
      </w:r>
      <w:r w:rsidRPr="00C166F3">
        <w:rPr>
          <w:sz w:val="22"/>
          <w:szCs w:val="22"/>
          <w14:numForm w14:val="lining"/>
          <w14:numSpacing w14:val="proportional"/>
        </w:rPr>
        <w:t>differ considerably between construction</w:t>
      </w:r>
      <w:r w:rsidR="00971D10">
        <w:rPr>
          <w:sz w:val="22"/>
          <w:szCs w:val="22"/>
          <w14:numForm w14:val="lining"/>
          <w14:numSpacing w14:val="proportional"/>
        </w:rPr>
        <w:t>,</w:t>
      </w:r>
      <w:r w:rsidRPr="00C166F3">
        <w:rPr>
          <w:sz w:val="22"/>
          <w:szCs w:val="22"/>
          <w14:numForm w14:val="lining"/>
          <w14:numSpacing w14:val="proportional"/>
        </w:rPr>
        <w:t xml:space="preserve"> </w:t>
      </w:r>
      <w:r w:rsidR="00971D10">
        <w:rPr>
          <w:sz w:val="22"/>
          <w:szCs w:val="22"/>
          <w14:numForm w14:val="lining"/>
          <w14:numSpacing w14:val="proportional"/>
        </w:rPr>
        <w:t>operational</w:t>
      </w:r>
      <w:r w:rsidRPr="00C166F3">
        <w:rPr>
          <w:sz w:val="22"/>
          <w:szCs w:val="22"/>
          <w14:numForm w14:val="lining"/>
          <w14:numSpacing w14:val="proportional"/>
        </w:rPr>
        <w:t xml:space="preserve"> and maintenance phases, with employment</w:t>
      </w:r>
      <w:r>
        <w:rPr>
          <w:sz w:val="22"/>
          <w:szCs w:val="22"/>
          <w14:numForm w14:val="lining"/>
          <w14:numSpacing w14:val="proportional"/>
        </w:rPr>
        <w:t xml:space="preserve"> typically frontloaded</w:t>
      </w:r>
      <w:r w:rsidRPr="00C166F3">
        <w:rPr>
          <w:sz w:val="22"/>
          <w:szCs w:val="22"/>
          <w14:numForm w14:val="lining"/>
          <w14:numSpacing w14:val="proportional"/>
        </w:rPr>
        <w:t xml:space="preserve">. </w:t>
      </w:r>
    </w:p>
    <w:p w14:paraId="0C6B8A7E" w14:textId="2A5CE910"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There are two main forms of PHES</w:t>
      </w:r>
      <w:r>
        <w:rPr>
          <w:sz w:val="22"/>
          <w:szCs w:val="22"/>
          <w14:numForm w14:val="lining"/>
          <w14:numSpacing w14:val="proportional"/>
        </w:rPr>
        <w:t>:</w:t>
      </w:r>
      <w:r w:rsidRPr="00C166F3">
        <w:rPr>
          <w:sz w:val="22"/>
          <w:szCs w:val="22"/>
          <w14:numForm w14:val="lining"/>
          <w14:numSpacing w14:val="proportional"/>
        </w:rPr>
        <w:t xml:space="preserve"> on-river and off-river. On-river pumped hydro draws on natural reservoirs by damming existing waterways. Historically, the majority of Australia’s hydroelectricity developments have capitalised on the natural waterways and alpine lakes of south-eastern Australia, including the well-known Snowy Mountains Hydro-Electric Scheme and </w:t>
      </w:r>
      <w:r w:rsidR="00FB32E9">
        <w:rPr>
          <w:sz w:val="22"/>
          <w:szCs w:val="22"/>
          <w14:numForm w14:val="lining"/>
          <w14:numSpacing w14:val="proportional"/>
        </w:rPr>
        <w:t xml:space="preserve">Hydro </w:t>
      </w:r>
      <w:r w:rsidRPr="00C166F3">
        <w:rPr>
          <w:sz w:val="22"/>
          <w:szCs w:val="22"/>
          <w14:numForm w14:val="lining"/>
          <w14:numSpacing w14:val="proportional"/>
        </w:rPr>
        <w:t xml:space="preserve">Tasmania’s Battery of the Nation. </w:t>
      </w:r>
    </w:p>
    <w:p w14:paraId="14ACC7E3" w14:textId="77777777" w:rsidR="009E09C1" w:rsidRDefault="009E09C1" w:rsidP="009E09C1">
      <w:pPr>
        <w:rPr>
          <w:rFonts w:cs="Arial"/>
          <w:b/>
          <w:bCs/>
          <w:color w:val="000000"/>
          <w:sz w:val="24"/>
          <w:szCs w:val="24"/>
          <w14:numForm w14:val="lining"/>
          <w14:numSpacing w14:val="proportional"/>
        </w:rPr>
      </w:pPr>
      <w:r>
        <w:rPr>
          <w:b/>
          <w:bCs/>
          <w14:numForm w14:val="lining"/>
          <w14:numSpacing w14:val="proportional"/>
        </w:rPr>
        <w:br w:type="page"/>
      </w:r>
    </w:p>
    <w:p w14:paraId="437D0736" w14:textId="77777777" w:rsidR="009E09C1" w:rsidRPr="00C166F3" w:rsidRDefault="009E09C1" w:rsidP="009E09C1">
      <w:pPr>
        <w:pStyle w:val="Default"/>
        <w:spacing w:before="160"/>
        <w:rPr>
          <w:b/>
          <w:bCs/>
          <w14:numForm w14:val="lining"/>
          <w14:numSpacing w14:val="proportional"/>
        </w:rPr>
      </w:pPr>
      <w:r w:rsidRPr="00C166F3">
        <w:rPr>
          <w:b/>
          <w:bCs/>
          <w14:numForm w14:val="lining"/>
          <w14:numSpacing w14:val="proportional"/>
        </w:rPr>
        <w:t xml:space="preserve">Battery of the Nation </w:t>
      </w:r>
    </w:p>
    <w:p w14:paraId="2E8A81DA" w14:textId="06FE6C5B"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Tasmania opened Australia’s first hydroelectricity power station at Waddamana in 1916 and hydro continues to provide much of the state’s electricity today.</w:t>
      </w:r>
    </w:p>
    <w:p w14:paraId="12A45CDE" w14:textId="77777777"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Battery of the Nation is a Hydro Tasmania initiative to expand Tasmania’s renewable electricity generation capacity to supply mainland Australia. The project includes hydropower system improvements and new pumped hydro opportunities. The Australian Government has provided $65 million to the upgrade of the Tarraleah hydropower scheme, a key Battery of the Nation asset, through the Bilateral Energy and Emissions Reduction Agreement. The initiative is expected to generate up to 250 jobs during peak construction.</w:t>
      </w:r>
    </w:p>
    <w:p w14:paraId="468B6DDD" w14:textId="77777777" w:rsidR="009E09C1" w:rsidRPr="00C166F3" w:rsidRDefault="009E09C1" w:rsidP="009E09C1">
      <w:pPr>
        <w:pStyle w:val="Default"/>
        <w:spacing w:before="240"/>
        <w:rPr>
          <w:b/>
          <w14:numForm w14:val="lining"/>
          <w14:numSpacing w14:val="proportional"/>
        </w:rPr>
      </w:pPr>
      <w:r w:rsidRPr="00C166F3">
        <w:rPr>
          <w:b/>
          <w14:numForm w14:val="lining"/>
          <w14:numSpacing w14:val="proportional"/>
        </w:rPr>
        <w:t>Snowy 2.0</w:t>
      </w:r>
    </w:p>
    <w:p w14:paraId="6E02A07B" w14:textId="698F8DA9" w:rsidR="009E09C1" w:rsidRPr="00C166F3" w:rsidRDefault="009E09C1" w:rsidP="009E09C1">
      <w:pPr>
        <w:pStyle w:val="Default"/>
        <w:spacing w:before="120" w:line="276" w:lineRule="auto"/>
        <w:rPr>
          <w:sz w:val="22"/>
          <w:szCs w:val="22"/>
          <w14:numForm w14:val="lining"/>
          <w14:numSpacing w14:val="proportional"/>
        </w:rPr>
      </w:pPr>
      <w:r w:rsidRPr="00C166F3">
        <w:rPr>
          <w:sz w:val="22"/>
          <w:szCs w:val="22"/>
          <w14:numForm w14:val="lining"/>
          <w14:numSpacing w14:val="proportional"/>
        </w:rPr>
        <w:t xml:space="preserve">The Snowy Mountains Hydro-Electric Scheme launched in 1949 and engaged over 100,000 workers </w:t>
      </w:r>
      <w:r w:rsidRPr="2481EC77">
        <w:rPr>
          <w:sz w:val="22"/>
          <w:szCs w:val="22"/>
        </w:rPr>
        <w:t>(</w:t>
      </w:r>
      <w:r w:rsidRPr="00C166F3">
        <w:rPr>
          <w:sz w:val="22"/>
          <w:szCs w:val="22"/>
          <w14:numForm w14:val="lining"/>
          <w14:numSpacing w14:val="proportional"/>
        </w:rPr>
        <w:t>of whom 65% were migrants</w:t>
      </w:r>
      <w:r w:rsidRPr="0190F4B1">
        <w:rPr>
          <w:sz w:val="22"/>
          <w:szCs w:val="22"/>
        </w:rPr>
        <w:t>,</w:t>
      </w:r>
      <w:r w:rsidRPr="00C166F3">
        <w:rPr>
          <w:sz w:val="22"/>
          <w:szCs w:val="22"/>
          <w14:numForm w14:val="lining"/>
          <w14:numSpacing w14:val="proportional"/>
        </w:rPr>
        <w:t xml:space="preserve"> many fleeing postwar Europe</w:t>
      </w:r>
      <w:r w:rsidRPr="2481EC77">
        <w:rPr>
          <w:sz w:val="22"/>
          <w:szCs w:val="22"/>
        </w:rPr>
        <w:t>)</w:t>
      </w:r>
      <w:r w:rsidRPr="00C166F3">
        <w:rPr>
          <w:sz w:val="22"/>
          <w:szCs w:val="22"/>
          <w14:numForm w14:val="lining"/>
          <w14:numSpacing w14:val="proportional"/>
        </w:rPr>
        <w:t xml:space="preserve"> </w:t>
      </w:r>
      <w:r w:rsidRPr="2481EC77">
        <w:rPr>
          <w:sz w:val="22"/>
          <w:szCs w:val="22"/>
        </w:rPr>
        <w:t>in</w:t>
      </w:r>
      <w:r w:rsidRPr="4362DE8C">
        <w:rPr>
          <w:sz w:val="22"/>
          <w:szCs w:val="22"/>
        </w:rPr>
        <w:t xml:space="preserve"> the</w:t>
      </w:r>
      <w:r w:rsidRPr="00C166F3">
        <w:rPr>
          <w:sz w:val="22"/>
          <w:szCs w:val="22"/>
          <w14:numForm w14:val="lining"/>
          <w14:numSpacing w14:val="proportional"/>
        </w:rPr>
        <w:t xml:space="preserve"> following decades until it became operational in 1972. Annual employment peaked at 7,300 in 1959. </w:t>
      </w:r>
      <w:r w:rsidRPr="00BD230C">
        <w:rPr>
          <w:sz w:val="22"/>
          <w:szCs w:val="22"/>
          <w14:numForm w14:val="lining"/>
          <w14:numSpacing w14:val="proportional"/>
        </w:rPr>
        <w:t>Heralded as a marvel of civil engineering, the scheme saw the construction of seven power stations, 16 dams, 80 kilometres of aqueducts, 145 kilometres of tunnels, and 1,600 kilometres of roads and railway</w:t>
      </w:r>
      <w:r w:rsidRPr="00C166F3">
        <w:rPr>
          <w:sz w:val="22"/>
          <w:szCs w:val="22"/>
          <w14:numForm w14:val="lining"/>
          <w14:numSpacing w14:val="proportional"/>
        </w:rPr>
        <w:t>.</w:t>
      </w:r>
    </w:p>
    <w:p w14:paraId="324709F2" w14:textId="5401656C" w:rsidR="003F1017" w:rsidRDefault="009E09C1" w:rsidP="009808D8">
      <w:pPr>
        <w:pStyle w:val="Default"/>
        <w:spacing w:before="120" w:line="276" w:lineRule="auto"/>
        <w:rPr>
          <w:rFonts w:eastAsiaTheme="majorEastAsia" w:cstheme="majorBidi"/>
          <w:b/>
          <w:color w:val="9F1853" w:themeColor="accent4"/>
          <w:sz w:val="32"/>
        </w:rPr>
      </w:pPr>
      <w:r>
        <w:rPr>
          <w:sz w:val="22"/>
          <w:szCs w:val="22"/>
          <w14:numForm w14:val="lining"/>
          <w14:numSpacing w14:val="proportional"/>
        </w:rPr>
        <w:t>In 2016</w:t>
      </w:r>
      <w:r w:rsidRPr="00C166F3">
        <w:rPr>
          <w:sz w:val="22"/>
          <w:szCs w:val="22"/>
          <w14:numForm w14:val="lining"/>
          <w14:numSpacing w14:val="proportional"/>
        </w:rPr>
        <w:t xml:space="preserve">, the Snowy Scheme </w:t>
      </w:r>
      <w:r>
        <w:rPr>
          <w:sz w:val="22"/>
          <w:szCs w:val="22"/>
          <w14:numForm w14:val="lining"/>
          <w14:numSpacing w14:val="proportional"/>
        </w:rPr>
        <w:t>generated</w:t>
      </w:r>
      <w:r w:rsidRPr="00C166F3">
        <w:rPr>
          <w:sz w:val="22"/>
          <w:szCs w:val="22"/>
          <w14:numForm w14:val="lining"/>
          <w14:numSpacing w14:val="proportional"/>
        </w:rPr>
        <w:t xml:space="preserve"> 32% of renewable </w:t>
      </w:r>
      <w:r>
        <w:rPr>
          <w:sz w:val="22"/>
          <w:szCs w:val="22"/>
          <w14:numForm w14:val="lining"/>
          <w14:numSpacing w14:val="proportional"/>
        </w:rPr>
        <w:t>capacity in the N</w:t>
      </w:r>
      <w:r w:rsidR="1DB6EAB1">
        <w:rPr>
          <w:sz w:val="22"/>
          <w:szCs w:val="22"/>
          <w14:numForm w14:val="lining"/>
          <w14:numSpacing w14:val="proportional"/>
        </w:rPr>
        <w:t>EM</w:t>
      </w:r>
      <w:r w:rsidRPr="00C166F3">
        <w:rPr>
          <w:sz w:val="22"/>
          <w:szCs w:val="22"/>
          <w14:numForm w14:val="lining"/>
          <w14:numSpacing w14:val="proportional"/>
        </w:rPr>
        <w:t>. Snowy 2.0 will expand the original Snowy Mountains Hydro Scheme with an additional 2</w:t>
      </w:r>
      <w:r>
        <w:rPr>
          <w:sz w:val="22"/>
          <w:szCs w:val="22"/>
          <w14:numForm w14:val="lining"/>
          <w14:numSpacing w14:val="proportional"/>
        </w:rPr>
        <w:t>,</w:t>
      </w:r>
      <w:r w:rsidRPr="00C166F3">
        <w:rPr>
          <w:sz w:val="22"/>
          <w:szCs w:val="22"/>
          <w14:numForm w14:val="lining"/>
          <w14:numSpacing w14:val="proportional"/>
        </w:rPr>
        <w:t xml:space="preserve">000 MW of electricity generation capacity and 350,000 MW hours of energy storage, enough power for 500,000 homes. Snowy 2.0 </w:t>
      </w:r>
      <w:r>
        <w:rPr>
          <w:sz w:val="22"/>
          <w:szCs w:val="22"/>
          <w14:numForm w14:val="lining"/>
          <w14:numSpacing w14:val="proportional"/>
        </w:rPr>
        <w:t>will be</w:t>
      </w:r>
      <w:r w:rsidRPr="00C166F3">
        <w:rPr>
          <w:sz w:val="22"/>
          <w:szCs w:val="22"/>
          <w14:numForm w14:val="lining"/>
          <w14:numSpacing w14:val="proportional"/>
        </w:rPr>
        <w:t xml:space="preserve"> critical to the future security and reliability of our </w:t>
      </w:r>
      <w:r w:rsidR="00EF1974">
        <w:rPr>
          <w:sz w:val="22"/>
          <w:szCs w:val="22"/>
          <w14:numForm w14:val="lining"/>
          <w14:numSpacing w14:val="proportional"/>
        </w:rPr>
        <w:t>electricity</w:t>
      </w:r>
      <w:r w:rsidRPr="00C166F3">
        <w:rPr>
          <w:sz w:val="22"/>
          <w:szCs w:val="22"/>
          <w14:numForm w14:val="lining"/>
          <w14:numSpacing w14:val="proportional"/>
        </w:rPr>
        <w:t xml:space="preserve"> </w:t>
      </w:r>
      <w:r>
        <w:rPr>
          <w:sz w:val="22"/>
          <w:szCs w:val="22"/>
          <w14:numForm w14:val="lining"/>
          <w14:numSpacing w14:val="proportional"/>
        </w:rPr>
        <w:t xml:space="preserve">grid by </w:t>
      </w:r>
      <w:r w:rsidRPr="00C166F3">
        <w:rPr>
          <w:sz w:val="22"/>
          <w:szCs w:val="22"/>
          <w14:numForm w14:val="lining"/>
          <w14:numSpacing w14:val="proportional"/>
        </w:rPr>
        <w:t>providing much needed dispatchable generation capacity and energy storage, reducing our reliance on</w:t>
      </w:r>
      <w:r>
        <w:rPr>
          <w:sz w:val="22"/>
          <w:szCs w:val="22"/>
          <w14:numForm w14:val="lining"/>
          <w14:numSpacing w14:val="proportional"/>
        </w:rPr>
        <w:t xml:space="preserve"> fossil fuel power at night</w:t>
      </w:r>
      <w:r w:rsidRPr="00C166F3">
        <w:rPr>
          <w:sz w:val="22"/>
          <w:szCs w:val="22"/>
          <w14:numForm w14:val="lining"/>
          <w14:numSpacing w14:val="proportional"/>
        </w:rPr>
        <w:t xml:space="preserve">. Snowy 2.0 represents the largest energy storage project in the southern hemisphere and the largest renewable energy project in Australia. First power is expected from Snowy 2.0 in </w:t>
      </w:r>
      <w:r w:rsidR="003C654A">
        <w:rPr>
          <w:sz w:val="22"/>
          <w:szCs w:val="22"/>
          <w14:numForm w14:val="lining"/>
          <w14:numSpacing w14:val="proportional"/>
        </w:rPr>
        <w:t>2028</w:t>
      </w:r>
      <w:r w:rsidRPr="00C166F3">
        <w:rPr>
          <w:sz w:val="22"/>
          <w:szCs w:val="22"/>
          <w14:numForm w14:val="lining"/>
          <w14:numSpacing w14:val="proportional"/>
        </w:rPr>
        <w:t>. In 2022 Snowy 2.0 employ</w:t>
      </w:r>
      <w:r>
        <w:rPr>
          <w:sz w:val="22"/>
          <w:szCs w:val="22"/>
          <w14:numForm w14:val="lining"/>
          <w14:numSpacing w14:val="proportional"/>
        </w:rPr>
        <w:t>s</w:t>
      </w:r>
      <w:r w:rsidRPr="00C166F3">
        <w:rPr>
          <w:sz w:val="22"/>
          <w:szCs w:val="22"/>
          <w14:numForm w14:val="lining"/>
          <w14:numSpacing w14:val="proportional"/>
        </w:rPr>
        <w:t xml:space="preserve"> more than 2,100 workers.</w:t>
      </w:r>
      <w:r w:rsidR="003F1017">
        <w:rPr>
          <w:color w:val="9F1853" w:themeColor="accent4"/>
        </w:rPr>
        <w:br w:type="page"/>
      </w:r>
    </w:p>
    <w:p w14:paraId="0975365F" w14:textId="77777777" w:rsidR="004973BF" w:rsidRDefault="006475C1" w:rsidP="004973BF">
      <w:pPr>
        <w:pStyle w:val="Bodycopy"/>
        <w:ind w:left="-1474"/>
      </w:pPr>
      <w:r>
        <w:rPr>
          <w:noProof/>
        </w:rPr>
        <mc:AlternateContent>
          <mc:Choice Requires="wpg">
            <w:drawing>
              <wp:inline distT="0" distB="0" distL="0" distR="0" wp14:anchorId="746947CB" wp14:editId="25C06951">
                <wp:extent cx="7571105" cy="3818255"/>
                <wp:effectExtent l="0" t="0" r="0" b="0"/>
                <wp:docPr id="610327633" name="Group 6103276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1105" cy="3818255"/>
                          <a:chOff x="0" y="0"/>
                          <a:chExt cx="7571105" cy="3818255"/>
                        </a:xfrm>
                      </wpg:grpSpPr>
                      <pic:pic xmlns:pic="http://schemas.openxmlformats.org/drawingml/2006/picture">
                        <pic:nvPicPr>
                          <pic:cNvPr id="1087981667" name="Picture 1087981667">
                            <a:extLst>
                              <a:ext uri="{C183D7F6-B498-43B3-948B-1728B52AA6E4}">
                                <adec:decorative xmlns:adec="http://schemas.microsoft.com/office/drawing/2017/decorative" val="1"/>
                              </a:ext>
                            </a:extLst>
                          </pic:cNvPr>
                          <pic:cNvPicPr>
                            <a:picLocks noChangeAspect="1"/>
                          </pic:cNvPicPr>
                        </pic:nvPicPr>
                        <pic:blipFill rotWithShape="1">
                          <a:blip r:embed="rId195" cstate="screen">
                            <a:extLst>
                              <a:ext uri="{28A0092B-C50C-407E-A947-70E740481C1C}">
                                <a14:useLocalDpi xmlns:a14="http://schemas.microsoft.com/office/drawing/2010/main"/>
                              </a:ext>
                            </a:extLst>
                          </a:blip>
                          <a:srcRect/>
                          <a:stretch/>
                        </pic:blipFill>
                        <pic:spPr bwMode="auto">
                          <a:xfrm>
                            <a:off x="0" y="0"/>
                            <a:ext cx="7571105" cy="3818255"/>
                          </a:xfrm>
                          <a:prstGeom prst="rect">
                            <a:avLst/>
                          </a:prstGeom>
                          <a:noFill/>
                          <a:ln>
                            <a:noFill/>
                          </a:ln>
                          <a:extLst>
                            <a:ext uri="{53640926-AAD7-44D8-BBD7-CCE9431645EC}">
                              <a14:shadowObscured xmlns:a14="http://schemas.microsoft.com/office/drawing/2010/main"/>
                            </a:ext>
                          </a:extLst>
                        </pic:spPr>
                      </pic:pic>
                      <wps:wsp>
                        <wps:cNvPr id="7" name="Text Box 7"/>
                        <wps:cNvSpPr txBox="1"/>
                        <wps:spPr>
                          <a:xfrm>
                            <a:off x="0" y="3584027"/>
                            <a:ext cx="7552690" cy="226695"/>
                          </a:xfrm>
                          <a:prstGeom prst="rect">
                            <a:avLst/>
                          </a:prstGeom>
                          <a:solidFill>
                            <a:srgbClr val="262626">
                              <a:alpha val="60000"/>
                            </a:srgbClr>
                          </a:solidFill>
                          <a:ln w="6350">
                            <a:noFill/>
                          </a:ln>
                        </wps:spPr>
                        <wps:txbx>
                          <w:txbxContent>
                            <w:p w14:paraId="362BC4BA" w14:textId="77777777" w:rsidR="00AE5196" w:rsidRPr="00B36298" w:rsidRDefault="00AE5196" w:rsidP="004973BF">
                              <w:pPr>
                                <w:spacing w:after="0" w:line="240" w:lineRule="auto"/>
                                <w:ind w:left="-57" w:right="357"/>
                                <w:jc w:val="right"/>
                                <w:rPr>
                                  <w:color w:val="FFFFFF" w:themeColor="background1"/>
                                  <w:sz w:val="18"/>
                                  <w:szCs w:val="18"/>
                                </w:rPr>
                              </w:pPr>
                              <w:r>
                                <w:rPr>
                                  <w:color w:val="F2F2F2" w:themeColor="background1" w:themeShade="F2"/>
                                  <w:sz w:val="18"/>
                                  <w:szCs w:val="18"/>
                                </w:rPr>
                                <w:t>Offshore drilling rig</w:t>
                              </w:r>
                              <w:r w:rsidRPr="00716E3A">
                                <w:rPr>
                                  <w:color w:val="F2F2F2" w:themeColor="background1" w:themeShade="F2"/>
                                  <w:sz w:val="18"/>
                                  <w:szCs w:val="18"/>
                                </w:rPr>
                                <w:t xml:space="preserve">, </w:t>
                              </w:r>
                              <w:r>
                                <w:rPr>
                                  <w:color w:val="F2F2F2" w:themeColor="background1" w:themeShade="F2"/>
                                  <w:sz w:val="18"/>
                                  <w:szCs w:val="18"/>
                                </w:rPr>
                                <w:t>Bass Strait</w:t>
                              </w:r>
                              <w:r w:rsidRPr="00716E3A">
                                <w:rPr>
                                  <w:color w:val="F2F2F2" w:themeColor="background1" w:themeShade="F2"/>
                                  <w:sz w:val="18"/>
                                  <w:szCs w:val="18"/>
                                </w:rPr>
                                <w:t xml:space="preserve"> 19</w:t>
                              </w:r>
                              <w:r>
                                <w:rPr>
                                  <w:color w:val="F2F2F2" w:themeColor="background1" w:themeShade="F2"/>
                                  <w:sz w:val="18"/>
                                  <w:szCs w:val="18"/>
                                </w:rPr>
                                <w:t>7</w:t>
                              </w:r>
                              <w:r w:rsidRPr="00716E3A">
                                <w:rPr>
                                  <w:color w:val="F2F2F2" w:themeColor="background1" w:themeShade="F2"/>
                                  <w:sz w:val="18"/>
                                  <w:szCs w:val="18"/>
                                </w:rPr>
                                <w:t xml:space="preserve">9. National Archives of Australia, </w:t>
                              </w:r>
                              <w:r>
                                <w:rPr>
                                  <w:color w:val="F2F2F2" w:themeColor="background1" w:themeShade="F2"/>
                                  <w:sz w:val="18"/>
                                  <w:szCs w:val="18"/>
                                </w:rPr>
                                <w:t>11853302</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wpg:wgp>
                  </a:graphicData>
                </a:graphic>
              </wp:inline>
            </w:drawing>
          </mc:Choice>
          <mc:Fallback>
            <w:pict>
              <v:group w14:anchorId="746947CB" id="Group 610327633" o:spid="_x0000_s1129" alt="&quot;&quot;" style="width:596.15pt;height:300.65pt;mso-position-horizontal-relative:char;mso-position-vertical-relative:line" coordsize="75711,38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">
                <v:shape id="Picture 1087981667" o:spid="_x0000_s1130" type="#_x0000_t75" alt="&quot;&quot;" style="position:absolute;width:75711;height:3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">
                  <v:imagedata r:id="rId196" o:title=""/>
                </v:shape>
                <v:shape id="Text Box 7" o:spid="_x0000_s1131" type="#_x0000_t202" style="position:absolute;top:35840;width:7552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" fillcolor="#262626" stroked="f" strokeweight=".5pt">
                  <v:fill opacity="39321f"/>
                  <v:textbox inset="2mm,1mm,1mm,1mm">
                    <w:txbxContent>
                      <w:p w14:paraId="362BC4BA" w14:textId="77777777" w:rsidR="00AE5196" w:rsidRPr="00B36298" w:rsidRDefault="00AE5196" w:rsidP="004973BF">
                        <w:pPr>
                          <w:spacing w:after="0" w:line="240" w:lineRule="auto"/>
                          <w:ind w:left="-57" w:right="357"/>
                          <w:jc w:val="right"/>
                          <w:rPr>
                            <w:color w:val="FFFFFF" w:themeColor="background1"/>
                            <w:sz w:val="18"/>
                            <w:szCs w:val="18"/>
                          </w:rPr>
                        </w:pPr>
                        <w:r>
                          <w:rPr>
                            <w:color w:val="F2F2F2" w:themeColor="background1" w:themeShade="F2"/>
                            <w:sz w:val="18"/>
                            <w:szCs w:val="18"/>
                          </w:rPr>
                          <w:t>Offshore drilling rig</w:t>
                        </w:r>
                        <w:r w:rsidRPr="00716E3A">
                          <w:rPr>
                            <w:color w:val="F2F2F2" w:themeColor="background1" w:themeShade="F2"/>
                            <w:sz w:val="18"/>
                            <w:szCs w:val="18"/>
                          </w:rPr>
                          <w:t xml:space="preserve">, </w:t>
                        </w:r>
                        <w:r>
                          <w:rPr>
                            <w:color w:val="F2F2F2" w:themeColor="background1" w:themeShade="F2"/>
                            <w:sz w:val="18"/>
                            <w:szCs w:val="18"/>
                          </w:rPr>
                          <w:t>Bass Strait</w:t>
                        </w:r>
                        <w:r w:rsidRPr="00716E3A">
                          <w:rPr>
                            <w:color w:val="F2F2F2" w:themeColor="background1" w:themeShade="F2"/>
                            <w:sz w:val="18"/>
                            <w:szCs w:val="18"/>
                          </w:rPr>
                          <w:t xml:space="preserve"> 19</w:t>
                        </w:r>
                        <w:r>
                          <w:rPr>
                            <w:color w:val="F2F2F2" w:themeColor="background1" w:themeShade="F2"/>
                            <w:sz w:val="18"/>
                            <w:szCs w:val="18"/>
                          </w:rPr>
                          <w:t>7</w:t>
                        </w:r>
                        <w:r w:rsidRPr="00716E3A">
                          <w:rPr>
                            <w:color w:val="F2F2F2" w:themeColor="background1" w:themeShade="F2"/>
                            <w:sz w:val="18"/>
                            <w:szCs w:val="18"/>
                          </w:rPr>
                          <w:t xml:space="preserve">9. National Archives of Australia, </w:t>
                        </w:r>
                        <w:r>
                          <w:rPr>
                            <w:color w:val="F2F2F2" w:themeColor="background1" w:themeShade="F2"/>
                            <w:sz w:val="18"/>
                            <w:szCs w:val="18"/>
                          </w:rPr>
                          <w:t>11853302</w:t>
                        </w:r>
                        <w:r>
                          <w:rPr>
                            <w:color w:val="FFFFFF" w:themeColor="background1"/>
                            <w:sz w:val="18"/>
                            <w:szCs w:val="18"/>
                          </w:rPr>
                          <w:t>.</w:t>
                        </w:r>
                      </w:p>
                    </w:txbxContent>
                  </v:textbox>
                </v:shape>
                <w10:anchorlock/>
              </v:group>
            </w:pict>
          </mc:Fallback>
        </mc:AlternateContent>
      </w:r>
    </w:p>
    <w:p w14:paraId="3F1A2ABD" w14:textId="30BACDC8" w:rsidR="009E09C1" w:rsidRPr="009E09C1" w:rsidRDefault="009E09C1" w:rsidP="003D6597">
      <w:pPr>
        <w:pStyle w:val="Heading3"/>
        <w:spacing w:before="600"/>
        <w:rPr>
          <w:color w:val="9F1853" w:themeColor="accent4"/>
        </w:rPr>
      </w:pPr>
      <w:r w:rsidRPr="009E09C1">
        <w:rPr>
          <w:color w:val="9F1853" w:themeColor="accent4"/>
        </w:rPr>
        <w:t>Offshore wind</w:t>
      </w:r>
    </w:p>
    <w:p w14:paraId="69E66A3A" w14:textId="77777777" w:rsidR="009E09C1" w:rsidRPr="006B43C5" w:rsidRDefault="009E09C1" w:rsidP="009E09C1">
      <w:pPr>
        <w:spacing w:after="120" w:line="276" w:lineRule="auto"/>
        <w:rPr>
          <w14:numForm w14:val="lining"/>
          <w14:numSpacing w14:val="proportional"/>
        </w:rPr>
      </w:pPr>
      <w:r w:rsidRPr="006B43C5">
        <w:rPr>
          <w14:numForm w14:val="lining"/>
          <w14:numSpacing w14:val="proportional"/>
        </w:rPr>
        <w:t xml:space="preserve">Offshore wind energy is expected to be a vital component of Australia’s clean energy mix over the coming decades, but as yet there are no operational offshore wind developments in Australian waters. </w:t>
      </w:r>
      <w:r w:rsidRPr="3E880473">
        <w:rPr>
          <w:rFonts w:asciiTheme="minorHAnsi" w:hAnsiTheme="minorHAnsi"/>
          <w:color w:val="auto"/>
          <w14:numForm w14:val="lining"/>
          <w14:numSpacing w14:val="proportional"/>
        </w:rPr>
        <w:t>Star of the South</w:t>
      </w:r>
      <w:r w:rsidRPr="006B43C5">
        <w:rPr>
          <w14:numForm w14:val="lining"/>
          <w14:numSpacing w14:val="proportional"/>
        </w:rPr>
        <w:t xml:space="preserve"> (SOTS), </w:t>
      </w:r>
      <w:r w:rsidRPr="3E880473">
        <w:rPr>
          <w:rFonts w:asciiTheme="minorHAnsi" w:hAnsiTheme="minorHAnsi"/>
          <w:color w:val="auto"/>
          <w14:numForm w14:val="lining"/>
          <w14:numSpacing w14:val="proportional"/>
        </w:rPr>
        <w:t xml:space="preserve">located off the south-east </w:t>
      </w:r>
      <w:r w:rsidRPr="006B43C5">
        <w:rPr>
          <w14:numForm w14:val="lining"/>
          <w14:numSpacing w14:val="proportional"/>
        </w:rPr>
        <w:t>Victoria</w:t>
      </w:r>
      <w:r w:rsidRPr="3E880473">
        <w:rPr>
          <w:rFonts w:asciiTheme="minorHAnsi" w:hAnsiTheme="minorHAnsi"/>
          <w:color w:val="auto"/>
          <w14:numForm w14:val="lining"/>
          <w14:numSpacing w14:val="proportional"/>
        </w:rPr>
        <w:t xml:space="preserve"> coast, is </w:t>
      </w:r>
      <w:r w:rsidRPr="006B43C5">
        <w:rPr>
          <w14:numForm w14:val="lining"/>
          <w14:numSpacing w14:val="proportional"/>
        </w:rPr>
        <w:t xml:space="preserve">Australia’s first proposed offshore wind project, and is </w:t>
      </w:r>
      <w:r w:rsidRPr="3E880473">
        <w:rPr>
          <w:rFonts w:asciiTheme="minorHAnsi" w:hAnsiTheme="minorHAnsi"/>
          <w:color w:val="auto"/>
          <w14:numForm w14:val="lining"/>
          <w14:numSpacing w14:val="proportional"/>
        </w:rPr>
        <w:t>expected to generate up to</w:t>
      </w:r>
      <w:r w:rsidRPr="006B43C5">
        <w:rPr>
          <w14:numForm w14:val="lining"/>
          <w14:numSpacing w14:val="proportional"/>
        </w:rPr>
        <w:t xml:space="preserve"> </w:t>
      </w:r>
      <w:r w:rsidRPr="3E880473">
        <w:rPr>
          <w:rFonts w:asciiTheme="minorHAnsi" w:hAnsiTheme="minorHAnsi"/>
          <w:color w:val="auto"/>
          <w14:numForm w14:val="lining"/>
          <w14:numSpacing w14:val="proportional"/>
        </w:rPr>
        <w:t xml:space="preserve">20% of Victoria’s energy needs </w:t>
      </w:r>
      <w:r w:rsidRPr="006B43C5">
        <w:rPr>
          <w14:numForm w14:val="lining"/>
          <w14:numSpacing w14:val="proportional"/>
        </w:rPr>
        <w:t xml:space="preserve">and create </w:t>
      </w:r>
      <w:r w:rsidRPr="3E880473">
        <w:rPr>
          <w:rFonts w:asciiTheme="minorHAnsi" w:hAnsiTheme="minorHAnsi"/>
          <w:color w:val="auto"/>
          <w14:numForm w14:val="lining"/>
          <w14:numSpacing w14:val="proportional"/>
        </w:rPr>
        <w:t xml:space="preserve">2,000 jobs </w:t>
      </w:r>
      <w:r w:rsidRPr="006B43C5">
        <w:rPr>
          <w14:numForm w14:val="lining"/>
          <w14:numSpacing w14:val="proportional"/>
        </w:rPr>
        <w:t>over</w:t>
      </w:r>
      <w:r w:rsidRPr="3E880473">
        <w:rPr>
          <w:rFonts w:asciiTheme="minorHAnsi" w:hAnsiTheme="minorHAnsi"/>
          <w:color w:val="auto"/>
          <w14:numForm w14:val="lining"/>
          <w14:numSpacing w14:val="proportional"/>
        </w:rPr>
        <w:t xml:space="preserve"> its 30-year life</w:t>
      </w:r>
      <w:r w:rsidRPr="006B43C5">
        <w:rPr>
          <w14:numForm w14:val="lining"/>
          <w14:numSpacing w14:val="proportional"/>
        </w:rPr>
        <w:t>, 200 of which are expected to be ongoing local opportunities.</w:t>
      </w:r>
      <w:r w:rsidRPr="006B43C5">
        <w:rPr>
          <w:rStyle w:val="EndnoteReference"/>
          <w14:numForm w14:val="lining"/>
          <w14:numSpacing w14:val="proportional"/>
        </w:rPr>
        <w:endnoteReference w:id="107"/>
      </w:r>
      <w:r w:rsidRPr="006B43C5">
        <w:rPr>
          <w14:numForm w14:val="lining"/>
          <w14:numSpacing w14:val="proportional"/>
        </w:rPr>
        <w:t xml:space="preserve"> </w:t>
      </w:r>
    </w:p>
    <w:p w14:paraId="47861D8B" w14:textId="783210EF" w:rsidR="009E09C1" w:rsidRPr="006B43C5" w:rsidRDefault="009E09C1" w:rsidP="009E09C1">
      <w:pPr>
        <w:spacing w:after="120" w:line="276" w:lineRule="auto"/>
      </w:pPr>
      <w:r w:rsidRPr="006B43C5">
        <w:rPr>
          <w14:numForm w14:val="lining"/>
          <w14:numSpacing w14:val="proportional"/>
        </w:rPr>
        <w:t>In 2022</w:t>
      </w:r>
      <w:r>
        <w:rPr>
          <w14:numForm w14:val="lining"/>
          <w14:numSpacing w14:val="proportional"/>
        </w:rPr>
        <w:t xml:space="preserve"> the</w:t>
      </w:r>
      <w:r w:rsidRPr="006B43C5">
        <w:rPr>
          <w14:numForm w14:val="lining"/>
          <w14:numSpacing w14:val="proportional"/>
        </w:rPr>
        <w:t xml:space="preserve"> Australia</w:t>
      </w:r>
      <w:r>
        <w:rPr>
          <w14:numForm w14:val="lining"/>
          <w14:numSpacing w14:val="proportional"/>
        </w:rPr>
        <w:t>n Government announced its</w:t>
      </w:r>
      <w:r w:rsidRPr="006B43C5">
        <w:rPr>
          <w14:numForm w14:val="lining"/>
          <w14:numSpacing w14:val="proportional"/>
        </w:rPr>
        <w:t xml:space="preserve"> participation in the Global Offshore Wind Alliance, intended to draw on the knowledge, expertise and support of other nations in establishing Australia’s offshore wind industry.</w:t>
      </w:r>
      <w:r w:rsidRPr="006B43C5">
        <w:rPr>
          <w:rStyle w:val="EndnoteReference"/>
          <w14:numForm w14:val="lining"/>
          <w14:numSpacing w14:val="proportional"/>
        </w:rPr>
        <w:endnoteReference w:id="108"/>
      </w:r>
      <w:r w:rsidRPr="006B43C5">
        <w:rPr>
          <w14:numForm w14:val="lining"/>
          <w14:numSpacing w14:val="proportional"/>
        </w:rPr>
        <w:t xml:space="preserve"> A further six regions have been tapped for potential offshore wind development, </w:t>
      </w:r>
      <w:r w:rsidR="1095A463" w:rsidRPr="006B43C5">
        <w:rPr>
          <w14:numForm w14:val="lining"/>
          <w14:numSpacing w14:val="proportional"/>
        </w:rPr>
        <w:t>with</w:t>
      </w:r>
      <w:r w:rsidRPr="006B43C5">
        <w:rPr>
          <w14:numForm w14:val="lining"/>
          <w14:numSpacing w14:val="proportional"/>
        </w:rPr>
        <w:t xml:space="preserve"> $0.5 million </w:t>
      </w:r>
      <w:r w:rsidR="185FEC7E" w:rsidRPr="006B43C5">
        <w:rPr>
          <w14:numForm w14:val="lining"/>
          <w14:numSpacing w14:val="proportional"/>
        </w:rPr>
        <w:t xml:space="preserve">included </w:t>
      </w:r>
      <w:r w:rsidRPr="006B43C5">
        <w:rPr>
          <w14:numForm w14:val="lining"/>
          <w14:numSpacing w14:val="proportional"/>
        </w:rPr>
        <w:t>in the 2022–23 Budget to support the establishment of offshore wind and other offshore renewables. DCCEEW estimates job opportunities will range from 3,000 to 8,000 jobs annually.</w:t>
      </w:r>
      <w:r w:rsidRPr="006B43C5">
        <w:rPr>
          <w:rStyle w:val="EndnoteReference"/>
          <w14:numForm w14:val="lining"/>
          <w14:numSpacing w14:val="proportional"/>
        </w:rPr>
        <w:endnoteReference w:id="109"/>
      </w:r>
    </w:p>
    <w:p w14:paraId="7F283B9A" w14:textId="2959707C" w:rsidR="009E09C1" w:rsidRPr="006B43C5" w:rsidRDefault="009E09C1" w:rsidP="009E09C1">
      <w:pPr>
        <w:spacing w:after="120" w:line="276" w:lineRule="auto"/>
      </w:pPr>
      <w:r w:rsidRPr="006B43C5">
        <w:rPr>
          <w14:numForm w14:val="lining"/>
          <w14:numSpacing w14:val="proportional"/>
        </w:rPr>
        <w:t xml:space="preserve">As part of the development of SOTS, Copenhagen Infrastructure Partners released an Offshore Wind Jobs Guide in consultation with education, industry and union organisations and with the support of the Victorian Government through the Energy Innovation Fund. This comprehensive guide provides an overview of more than 50 occupations critical to offshore wind projects, including the qualifications and skills required to support project development safely and effectively. It steps out opportunities for workers transitioning from other sectors including </w:t>
      </w:r>
      <w:r w:rsidR="5693616E" w:rsidRPr="006B43C5">
        <w:rPr>
          <w14:numForm w14:val="lining"/>
          <w14:numSpacing w14:val="proportional"/>
        </w:rPr>
        <w:t>M</w:t>
      </w:r>
      <w:r w:rsidRPr="006B43C5">
        <w:rPr>
          <w14:numForm w14:val="lining"/>
          <w14:numSpacing w14:val="proportional"/>
        </w:rPr>
        <w:t xml:space="preserve">ariners, Offshore Oil and Gas Workers, and </w:t>
      </w:r>
      <w:r>
        <w:rPr>
          <w14:numForm w14:val="lining"/>
          <w14:numSpacing w14:val="proportional"/>
        </w:rPr>
        <w:t xml:space="preserve">Coal Power and Mining Workers. </w:t>
      </w:r>
      <w:r w:rsidRPr="006B43C5">
        <w:rPr>
          <w14:numForm w14:val="lining"/>
          <w14:numSpacing w14:val="proportional"/>
        </w:rPr>
        <w:t>Whilst not all transitioning workers will have a 100% skills match with offshore wind opportunities, tailored skills matching both capitalises on existing skills and reduces the re-training burden on workers.</w:t>
      </w:r>
      <w:r w:rsidRPr="006B43C5">
        <w:rPr>
          <w:rStyle w:val="EndnoteReference"/>
          <w14:numForm w14:val="lining"/>
          <w14:numSpacing w14:val="proportional"/>
        </w:rPr>
        <w:endnoteReference w:id="110"/>
      </w:r>
      <w:r w:rsidRPr="006B43C5">
        <w:rPr>
          <w14:numForm w14:val="lining"/>
          <w14:numSpacing w14:val="proportional"/>
        </w:rPr>
        <w:t xml:space="preserve"> </w:t>
      </w:r>
    </w:p>
    <w:p w14:paraId="45ACBA23" w14:textId="71CD0FC2" w:rsidR="00517329" w:rsidRDefault="00750802" w:rsidP="00750802">
      <w:pPr>
        <w:pStyle w:val="Bodycopy"/>
        <w:spacing w:after="120"/>
        <w:ind w:left="-1417"/>
        <w:rPr>
          <w14:numForm w14:val="lining"/>
          <w14:numSpacing w14:val="proportional"/>
        </w:rPr>
      </w:pPr>
      <w:r>
        <w:rPr>
          <w:noProof/>
        </w:rPr>
        <mc:AlternateContent>
          <mc:Choice Requires="wps">
            <w:drawing>
              <wp:anchor distT="0" distB="0" distL="114300" distR="114300" simplePos="0" relativeHeight="251667556" behindDoc="0" locked="0" layoutInCell="1" allowOverlap="1" wp14:anchorId="6EDAC6B9" wp14:editId="34A55444">
                <wp:simplePos x="0" y="0"/>
                <wp:positionH relativeFrom="column">
                  <wp:posOffset>-902970</wp:posOffset>
                </wp:positionH>
                <wp:positionV relativeFrom="paragraph">
                  <wp:posOffset>3379280</wp:posOffset>
                </wp:positionV>
                <wp:extent cx="7545070" cy="227330"/>
                <wp:effectExtent l="0" t="0" r="0" b="1270"/>
                <wp:wrapNone/>
                <wp:docPr id="1087981652" name="Text Box 14"/>
                <wp:cNvGraphicFramePr/>
                <a:graphic xmlns:a="http://schemas.openxmlformats.org/drawingml/2006/main">
                  <a:graphicData uri="http://schemas.microsoft.com/office/word/2010/wordprocessingShape">
                    <wps:wsp>
                      <wps:cNvSpPr txBox="1"/>
                      <wps:spPr>
                        <a:xfrm>
                          <a:off x="0" y="0"/>
                          <a:ext cx="7545070" cy="227330"/>
                        </a:xfrm>
                        <a:prstGeom prst="rect">
                          <a:avLst/>
                        </a:prstGeom>
                        <a:solidFill>
                          <a:srgbClr val="262626">
                            <a:alpha val="60000"/>
                          </a:srgbClr>
                        </a:solidFill>
                        <a:ln w="6350">
                          <a:noFill/>
                        </a:ln>
                      </wps:spPr>
                      <wps:txbx>
                        <w:txbxContent>
                          <w:p w14:paraId="4A117009" w14:textId="77777777" w:rsidR="00DA41F6" w:rsidRPr="00B36298" w:rsidRDefault="00DA41F6" w:rsidP="00E27334">
                            <w:pPr>
                              <w:spacing w:after="0" w:line="240" w:lineRule="auto"/>
                              <w:ind w:left="964" w:right="227"/>
                              <w:jc w:val="right"/>
                              <w:rPr>
                                <w:color w:val="FFFFFF" w:themeColor="background1"/>
                                <w:sz w:val="18"/>
                                <w:szCs w:val="18"/>
                              </w:rPr>
                            </w:pPr>
                            <w:r>
                              <w:rPr>
                                <w:color w:val="FFFFFF" w:themeColor="background1"/>
                                <w:sz w:val="18"/>
                                <w:szCs w:val="18"/>
                              </w:rPr>
                              <w:t>New tram</w:t>
                            </w:r>
                            <w:r w:rsidRPr="00B36298">
                              <w:rPr>
                                <w:color w:val="FFFFFF" w:themeColor="background1"/>
                                <w:sz w:val="18"/>
                                <w:szCs w:val="18"/>
                              </w:rPr>
                              <w:t xml:space="preserve">, </w:t>
                            </w:r>
                            <w:r>
                              <w:rPr>
                                <w:color w:val="FFFFFF" w:themeColor="background1"/>
                                <w:sz w:val="18"/>
                                <w:szCs w:val="18"/>
                              </w:rPr>
                              <w:t xml:space="preserve">Melbourne </w:t>
                            </w:r>
                            <w:r w:rsidRPr="00B36298">
                              <w:rPr>
                                <w:color w:val="FFFFFF" w:themeColor="background1"/>
                                <w:sz w:val="18"/>
                                <w:szCs w:val="18"/>
                              </w:rPr>
                              <w:t>19</w:t>
                            </w:r>
                            <w:r>
                              <w:rPr>
                                <w:color w:val="FFFFFF" w:themeColor="background1"/>
                                <w:sz w:val="18"/>
                                <w:szCs w:val="18"/>
                              </w:rPr>
                              <w:t xml:space="preserve">74.  National Archives of Australia – </w:t>
                            </w:r>
                            <w:r w:rsidRPr="00A21582">
                              <w:rPr>
                                <w:color w:val="FFFFFF" w:themeColor="background1"/>
                                <w:sz w:val="18"/>
                                <w:szCs w:val="18"/>
                              </w:rPr>
                              <w:t>11963155</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a:graphicData>
                </a:graphic>
              </wp:anchor>
            </w:drawing>
          </mc:Choice>
          <mc:Fallback>
            <w:pict>
              <v:shape w14:anchorId="6EDAC6B9" id="Text Box 14" o:spid="_x0000_s1132" type="#_x0000_t202" style="position:absolute;left:0;text-align:left;margin-left:-71.1pt;margin-top:266.1pt;width:594.1pt;height:17.9pt;z-index:2516675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" fillcolor="#262626" stroked="f" strokeweight=".5pt">
                <v:fill opacity="39321f"/>
                <v:textbox inset="2mm,1mm,1mm,1mm">
                  <w:txbxContent>
                    <w:p w14:paraId="4A117009" w14:textId="77777777" w:rsidR="00DA41F6" w:rsidRPr="00B36298" w:rsidRDefault="00DA41F6" w:rsidP="00E27334">
                      <w:pPr>
                        <w:spacing w:after="0" w:line="240" w:lineRule="auto"/>
                        <w:ind w:left="964" w:right="227"/>
                        <w:jc w:val="right"/>
                        <w:rPr>
                          <w:color w:val="FFFFFF" w:themeColor="background1"/>
                          <w:sz w:val="18"/>
                          <w:szCs w:val="18"/>
                        </w:rPr>
                      </w:pPr>
                      <w:r>
                        <w:rPr>
                          <w:color w:val="FFFFFF" w:themeColor="background1"/>
                          <w:sz w:val="18"/>
                          <w:szCs w:val="18"/>
                        </w:rPr>
                        <w:t>New tram</w:t>
                      </w:r>
                      <w:r w:rsidRPr="00B36298">
                        <w:rPr>
                          <w:color w:val="FFFFFF" w:themeColor="background1"/>
                          <w:sz w:val="18"/>
                          <w:szCs w:val="18"/>
                        </w:rPr>
                        <w:t xml:space="preserve">, </w:t>
                      </w:r>
                      <w:r>
                        <w:rPr>
                          <w:color w:val="FFFFFF" w:themeColor="background1"/>
                          <w:sz w:val="18"/>
                          <w:szCs w:val="18"/>
                        </w:rPr>
                        <w:t xml:space="preserve">Melbourne </w:t>
                      </w:r>
                      <w:r w:rsidRPr="00B36298">
                        <w:rPr>
                          <w:color w:val="FFFFFF" w:themeColor="background1"/>
                          <w:sz w:val="18"/>
                          <w:szCs w:val="18"/>
                        </w:rPr>
                        <w:t>19</w:t>
                      </w:r>
                      <w:r>
                        <w:rPr>
                          <w:color w:val="FFFFFF" w:themeColor="background1"/>
                          <w:sz w:val="18"/>
                          <w:szCs w:val="18"/>
                        </w:rPr>
                        <w:t xml:space="preserve">74.  National Archives of Australia – </w:t>
                      </w:r>
                      <w:r w:rsidRPr="00A21582">
                        <w:rPr>
                          <w:color w:val="FFFFFF" w:themeColor="background1"/>
                          <w:sz w:val="18"/>
                          <w:szCs w:val="18"/>
                        </w:rPr>
                        <w:t>11963155</w:t>
                      </w:r>
                      <w:r>
                        <w:rPr>
                          <w:color w:val="FFFFFF" w:themeColor="background1"/>
                          <w:sz w:val="18"/>
                          <w:szCs w:val="18"/>
                        </w:rPr>
                        <w:t>.</w:t>
                      </w:r>
                    </w:p>
                  </w:txbxContent>
                </v:textbox>
              </v:shape>
            </w:pict>
          </mc:Fallback>
        </mc:AlternateContent>
      </w:r>
      <w:r>
        <w:rPr>
          <w:noProof/>
          <w14:numForm w14:val="lining"/>
          <w14:numSpacing w14:val="proportional"/>
        </w:rPr>
        <w:drawing>
          <wp:inline distT="0" distB="0" distL="0" distR="0" wp14:anchorId="1B58D0B4" wp14:editId="64C647E1">
            <wp:extent cx="7547610" cy="3615055"/>
            <wp:effectExtent l="0" t="0" r="0" b="4445"/>
            <wp:docPr id="1479286160"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86160" name="Picture 15">
                      <a:extLst>
                        <a:ext uri="{C183D7F6-B498-43B3-948B-1728B52AA6E4}">
                          <adec:decorative xmlns:adec="http://schemas.microsoft.com/office/drawing/2017/decorative" val="1"/>
                        </a:ext>
                      </a:extLst>
                    </pic:cNvPr>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7547610" cy="3615055"/>
                    </a:xfrm>
                    <a:prstGeom prst="rect">
                      <a:avLst/>
                    </a:prstGeom>
                    <a:noFill/>
                  </pic:spPr>
                </pic:pic>
              </a:graphicData>
            </a:graphic>
          </wp:inline>
        </w:drawing>
      </w:r>
    </w:p>
    <w:p w14:paraId="4583888B" w14:textId="559EBC5A" w:rsidR="009E09C1" w:rsidRDefault="009E09C1" w:rsidP="00E27334">
      <w:pPr>
        <w:pStyle w:val="Heading2"/>
        <w:spacing w:before="360" w:after="120"/>
        <w:rPr>
          <w14:numForm w14:val="lining"/>
          <w14:numSpacing w14:val="proportional"/>
        </w:rPr>
      </w:pPr>
      <w:bookmarkStart w:id="69" w:name="_Toc146892688"/>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b.</w:t>
      </w:r>
      <w:r>
        <w:rPr>
          <w:smallCaps/>
          <w14:numForm w14:val="lining"/>
          <w14:numSpacing w14:val="proportional"/>
        </w:rPr>
        <w:t xml:space="preserve"> </w:t>
      </w:r>
      <w:r w:rsidRPr="00CD2E87">
        <w:rPr>
          <w:b w:val="0"/>
          <w14:numForm w14:val="lining"/>
          <w14:numSpacing w14:val="proportional"/>
        </w:rPr>
        <w:t>Transport</w:t>
      </w:r>
      <w:bookmarkEnd w:id="69"/>
    </w:p>
    <w:p w14:paraId="621A113D" w14:textId="16CEEF4E" w:rsidR="009E09C1" w:rsidRDefault="009E09C1" w:rsidP="00365335">
      <w:pPr>
        <w:spacing w:before="240" w:after="200"/>
        <w:rPr>
          <w14:numForm w14:val="lining"/>
          <w14:numSpacing w14:val="proportional"/>
        </w:rPr>
      </w:pPr>
      <w:r w:rsidRPr="5F241DB9">
        <w:rPr>
          <w14:numForm w14:val="lining"/>
          <w14:numSpacing w14:val="proportional"/>
        </w:rPr>
        <w:t>Transport</w:t>
      </w:r>
      <w:r w:rsidRPr="5F241DB9">
        <w:rPr>
          <w:b/>
          <w:bCs/>
          <w14:numForm w14:val="lining"/>
          <w14:numSpacing w14:val="proportional"/>
        </w:rPr>
        <w:t xml:space="preserve"> </w:t>
      </w:r>
      <w:r w:rsidRPr="002314CD">
        <w:rPr>
          <w14:numForm w14:val="lining"/>
          <w14:numSpacing w14:val="proportional"/>
        </w:rPr>
        <w:t xml:space="preserve">makes up around </w:t>
      </w:r>
      <w:r w:rsidR="007A430C">
        <w:rPr>
          <w14:numForm w14:val="lining"/>
          <w14:numSpacing w14:val="proportional"/>
        </w:rPr>
        <w:t xml:space="preserve">one-fifth </w:t>
      </w:r>
      <w:r w:rsidRPr="002314CD">
        <w:rPr>
          <w14:numForm w14:val="lining"/>
          <w14:numSpacing w14:val="proportional"/>
        </w:rPr>
        <w:t>of Australia’s total emissions</w:t>
      </w:r>
      <w:r>
        <w:rPr>
          <w14:numForm w14:val="lining"/>
          <w14:numSpacing w14:val="proportional"/>
        </w:rPr>
        <w:t>, with most of that coming from road transport (Figure 6.3). Reaching net zero by 2050 will require substantial change across all transport sectors which may impact manufacturing, maintenance, operation and fuelling workforces. It also presents an opportunity to reduce our reliance on imports and develop more technology onshore.</w:t>
      </w:r>
    </w:p>
    <w:p w14:paraId="2C4373D5" w14:textId="44DCCC61" w:rsidR="009E09C1" w:rsidRPr="00FD2D1C" w:rsidRDefault="009E09C1" w:rsidP="00FD2D1C">
      <w:pPr>
        <w:pBdr>
          <w:top w:val="single" w:sz="4" w:space="5" w:color="BFBFBF" w:themeColor="background1" w:themeShade="BF"/>
        </w:pBdr>
        <w:spacing w:after="120"/>
        <w:rPr>
          <w:b/>
          <w:bCs/>
          <w14:numForm w14:val="lining"/>
          <w14:numSpacing w14:val="proportional"/>
        </w:rPr>
      </w:pPr>
      <w:r w:rsidRPr="00AF79F7">
        <w:rPr>
          <w:b/>
          <w:bCs/>
          <w14:numForm w14:val="lining"/>
          <w14:numSpacing w14:val="proportional"/>
        </w:rPr>
        <w:t>Figure 6</w:t>
      </w:r>
      <w:r>
        <w:rPr>
          <w:b/>
          <w:bCs/>
          <w14:numForm w14:val="lining"/>
          <w14:numSpacing w14:val="proportional"/>
        </w:rPr>
        <w:t>.3</w:t>
      </w:r>
      <w:r w:rsidRPr="00E16E49">
        <w:rPr>
          <w:b/>
          <w:bCs/>
          <w14:numForm w14:val="lining"/>
          <w14:numSpacing w14:val="proportional"/>
        </w:rPr>
        <w:t>. Australian transport emissions, 2020</w:t>
      </w:r>
    </w:p>
    <w:p w14:paraId="58A20A82" w14:textId="77777777" w:rsidR="00FD2D1C" w:rsidRDefault="00FD2D1C" w:rsidP="00FD2D1C">
      <w:pPr>
        <w:spacing w:after="0"/>
        <w:jc w:val="center"/>
        <w:rPr>
          <w:sz w:val="18"/>
          <w:szCs w:val="18"/>
          <w14:numForm w14:val="lining"/>
          <w14:numSpacing w14:val="proportional"/>
        </w:rPr>
      </w:pPr>
      <w:r>
        <w:rPr>
          <w:noProof/>
        </w:rPr>
        <w:drawing>
          <wp:inline distT="0" distB="0" distL="0" distR="0" wp14:anchorId="788D5043" wp14:editId="775C174F">
            <wp:extent cx="3458817" cy="2741188"/>
            <wp:effectExtent l="0" t="0" r="8890" b="2540"/>
            <wp:docPr id="1087981669" name="Graphic 1087981669" descr="This pie chart represents the emissions by different transport groups. The chart highlights that 47% of Australia's transport emissions stem from cars, with the remaining emissions distributed across all other types of trans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69" name="Graphic 1087981669" descr="This pie chart represents the emissions by different transport groups. The chart highlights that 47% of Australia's transport emissions stem from cars, with the remaining emissions distributed across all other types of transport.&#10;"/>
                    <pic:cNvPicPr/>
                  </pic:nvPicPr>
                  <pic:blipFill rotWithShape="1">
                    <a:blip r:embed="rId198" cstate="screen">
                      <a:extLst>
                        <a:ext uri="{28A0092B-C50C-407E-A947-70E740481C1C}">
                          <a14:useLocalDpi xmlns:a14="http://schemas.microsoft.com/office/drawing/2010/main"/>
                        </a:ext>
                        <a:ext uri="{96DAC541-7B7A-43D3-8B79-37D633B846F1}">
                          <asvg:svgBlip xmlns:asvg="http://schemas.microsoft.com/office/drawing/2016/SVG/main" r:embed="rId199"/>
                        </a:ext>
                      </a:extLst>
                    </a:blip>
                    <a:srcRect t="4898"/>
                    <a:stretch/>
                  </pic:blipFill>
                  <pic:spPr bwMode="auto">
                    <a:xfrm>
                      <a:off x="0" y="0"/>
                      <a:ext cx="3492235" cy="2767672"/>
                    </a:xfrm>
                    <a:prstGeom prst="rect">
                      <a:avLst/>
                    </a:prstGeom>
                    <a:ln>
                      <a:noFill/>
                    </a:ln>
                    <a:extLst>
                      <a:ext uri="{53640926-AAD7-44D8-BBD7-CCE9431645EC}">
                        <a14:shadowObscured xmlns:a14="http://schemas.microsoft.com/office/drawing/2010/main"/>
                      </a:ext>
                    </a:extLst>
                  </pic:spPr>
                </pic:pic>
              </a:graphicData>
            </a:graphic>
          </wp:inline>
        </w:drawing>
      </w:r>
    </w:p>
    <w:p w14:paraId="32BF8D7E" w14:textId="77777777" w:rsidR="009E09C1" w:rsidRPr="00F30EA5" w:rsidRDefault="009E09C1" w:rsidP="00304D92">
      <w:pPr>
        <w:spacing w:before="120" w:after="0"/>
        <w:rPr>
          <w:sz w:val="18"/>
          <w:szCs w:val="18"/>
          <w14:numForm w14:val="lining"/>
          <w14:numSpacing w14:val="proportional"/>
        </w:rPr>
      </w:pPr>
      <w:r>
        <w:rPr>
          <w:sz w:val="18"/>
          <w:szCs w:val="18"/>
          <w14:numForm w14:val="lining"/>
          <w14:numSpacing w14:val="proportional"/>
        </w:rPr>
        <w:t>Source: Climate Change Authority, Fact Sheet 6, Transport, 2021. Aviation emissions may be understated due to the impacts of COVID-19.</w:t>
      </w:r>
    </w:p>
    <w:p w14:paraId="79A3EFD0" w14:textId="77777777" w:rsidR="009E09C1" w:rsidRPr="009E09C1" w:rsidRDefault="009E09C1" w:rsidP="009E09C1">
      <w:pPr>
        <w:pStyle w:val="Heading3"/>
        <w:rPr>
          <w:color w:val="9F1853" w:themeColor="accent4"/>
        </w:rPr>
      </w:pPr>
      <w:r w:rsidRPr="009E09C1">
        <w:rPr>
          <w:color w:val="9F1853" w:themeColor="accent4"/>
        </w:rPr>
        <w:t>Electric vehicles</w:t>
      </w:r>
    </w:p>
    <w:p w14:paraId="213404FC" w14:textId="378E0D09" w:rsidR="009E09C1" w:rsidRDefault="009E09C1" w:rsidP="009E09C1">
      <w:pPr>
        <w:spacing w:before="120" w:after="120" w:line="276" w:lineRule="auto"/>
        <w:rPr>
          <w14:numForm w14:val="lining"/>
          <w14:numSpacing w14:val="proportional"/>
        </w:rPr>
      </w:pPr>
      <w:r w:rsidRPr="00D3731D">
        <w:rPr>
          <w14:numForm w14:val="lining"/>
          <w14:numSpacing w14:val="proportional"/>
        </w:rPr>
        <w:t>Recently, Australia has experienced a rapid growth in EV sales (3.8% in 2022, an 86% increase from 2021), however it is still lower than the global EV uptake (14% of all new car sales in the world in 2022).</w:t>
      </w:r>
      <w:r w:rsidRPr="00D3731D">
        <w:rPr>
          <w:rStyle w:val="EndnoteReference"/>
          <w14:numForm w14:val="lining"/>
          <w14:numSpacing w14:val="proportional"/>
        </w:rPr>
        <w:endnoteReference w:id="111"/>
      </w:r>
      <w:r w:rsidRPr="00D3731D">
        <w:rPr>
          <w14:numForm w14:val="lining"/>
          <w14:numSpacing w14:val="proportional"/>
        </w:rPr>
        <w:t xml:space="preserve"> It is estimated that Australia will have 3 million EVs by 2030, requiring 2.8 million charging points,</w:t>
      </w:r>
      <w:r w:rsidRPr="00D3731D">
        <w:rPr>
          <w:rStyle w:val="EndnoteReference"/>
          <w14:numForm w14:val="lining"/>
          <w14:numSpacing w14:val="proportional"/>
        </w:rPr>
        <w:endnoteReference w:id="112"/>
      </w:r>
      <w:r w:rsidRPr="00D3731D">
        <w:rPr>
          <w14:numForm w14:val="lining"/>
          <w14:numSpacing w14:val="proportional"/>
        </w:rPr>
        <w:t xml:space="preserve"> while 83,000 EVs are currently on our roads</w:t>
      </w:r>
      <w:r>
        <w:rPr>
          <w14:numForm w14:val="lining"/>
          <w14:numSpacing w14:val="proportional"/>
        </w:rPr>
        <w:t>.</w:t>
      </w:r>
    </w:p>
    <w:p w14:paraId="63B00C4A" w14:textId="7CFDEB39" w:rsidR="009E09C1" w:rsidRPr="00D3731D" w:rsidRDefault="009E09C1" w:rsidP="002A71AC">
      <w:pPr>
        <w:spacing w:before="120" w:after="120" w:line="276" w:lineRule="auto"/>
        <w:rPr>
          <w14:numForm w14:val="lining"/>
          <w14:numSpacing w14:val="proportional"/>
        </w:rPr>
      </w:pPr>
      <w:r>
        <w:rPr>
          <w14:numForm w14:val="lining"/>
          <w14:numSpacing w14:val="proportional"/>
        </w:rPr>
        <w:t>There are at least 275,000 Australians employed in road transport related industries (excluding freight), ranging from manufacturing, driving and maintenance (Figure 6.4). The largest industry, Automotive Repair and Maintenance, is likely to undergo the greatest skills change to cater for EVs.</w:t>
      </w:r>
      <w:r w:rsidR="00703820">
        <w:rPr>
          <w14:numForm w14:val="lining"/>
          <w14:numSpacing w14:val="proportional"/>
        </w:rPr>
        <w:t xml:space="preserve"> This includes Motor Mechanics and Automotive Electricians.</w:t>
      </w:r>
      <w:r w:rsidR="002A71AC">
        <w:rPr>
          <w14:numForm w14:val="lining"/>
          <w14:numSpacing w14:val="proportional"/>
        </w:rPr>
        <w:t xml:space="preserve"> </w:t>
      </w:r>
      <w:r w:rsidR="00703820">
        <w:rPr>
          <w14:numForm w14:val="lining"/>
          <w14:numSpacing w14:val="proportional"/>
        </w:rPr>
        <w:t>A</w:t>
      </w:r>
      <w:r w:rsidRPr="00D3731D">
        <w:rPr>
          <w14:numForm w14:val="lining"/>
          <w14:numSpacing w14:val="proportional"/>
        </w:rPr>
        <w:t xml:space="preserve">s EV maintenance is less labour intense compared to fossil fuelled vehicles, </w:t>
      </w:r>
      <w:r>
        <w:rPr>
          <w14:numForm w14:val="lining"/>
          <w14:numSpacing w14:val="proportional"/>
        </w:rPr>
        <w:t>total demand for mechanics may be comparatively lower</w:t>
      </w:r>
      <w:r w:rsidR="00703820">
        <w:rPr>
          <w14:numForm w14:val="lining"/>
          <w14:numSpacing w14:val="proportional"/>
        </w:rPr>
        <w:t xml:space="preserve"> than it otherwise would have been</w:t>
      </w:r>
      <w:r>
        <w:rPr>
          <w14:numForm w14:val="lining"/>
          <w14:numSpacing w14:val="proportional"/>
        </w:rPr>
        <w:t xml:space="preserve">. </w:t>
      </w:r>
      <w:r w:rsidR="000C02AE">
        <w:rPr>
          <w14:numForm w14:val="lining"/>
          <w14:numSpacing w14:val="proportional"/>
        </w:rPr>
        <w:t xml:space="preserve">In our </w:t>
      </w:r>
      <w:r w:rsidR="00600947">
        <w:rPr>
          <w14:numForm w14:val="lining"/>
          <w14:numSpacing w14:val="proportional"/>
        </w:rPr>
        <w:t>c</w:t>
      </w:r>
      <w:r w:rsidR="000C02AE">
        <w:rPr>
          <w14:numForm w14:val="lining"/>
          <w14:numSpacing w14:val="proportional"/>
        </w:rPr>
        <w:t xml:space="preserve">entral </w:t>
      </w:r>
      <w:r w:rsidR="00600947">
        <w:rPr>
          <w14:numForm w14:val="lining"/>
          <w14:numSpacing w14:val="proportional"/>
        </w:rPr>
        <w:t>s</w:t>
      </w:r>
      <w:r w:rsidR="000C02AE">
        <w:rPr>
          <w14:numForm w14:val="lining"/>
          <w14:numSpacing w14:val="proportional"/>
        </w:rPr>
        <w:t>cenario</w:t>
      </w:r>
      <w:r w:rsidR="00632DC6">
        <w:rPr>
          <w14:numForm w14:val="lining"/>
          <w14:numSpacing w14:val="proportional"/>
        </w:rPr>
        <w:t xml:space="preserve"> (see </w:t>
      </w:r>
      <w:r w:rsidR="00632DC6" w:rsidRPr="00313427">
        <w:rPr>
          <w:b/>
          <w:bCs/>
          <w14:numForm w14:val="lining"/>
          <w14:numSpacing w14:val="proportional"/>
        </w:rPr>
        <w:t>chapter 5</w:t>
      </w:r>
      <w:r w:rsidR="00632DC6">
        <w:rPr>
          <w14:numForm w14:val="lining"/>
          <w14:numSpacing w14:val="proportional"/>
        </w:rPr>
        <w:t>)</w:t>
      </w:r>
      <w:r w:rsidR="000C02AE">
        <w:rPr>
          <w14:numForm w14:val="lining"/>
          <w14:numSpacing w14:val="proportional"/>
        </w:rPr>
        <w:t xml:space="preserve">, </w:t>
      </w:r>
      <w:r w:rsidR="00703820">
        <w:rPr>
          <w14:numForm w14:val="lining"/>
          <w14:numSpacing w14:val="proportional"/>
        </w:rPr>
        <w:t>demand for Motor Mechanics grows from 116,</w:t>
      </w:r>
      <w:r w:rsidR="00600947">
        <w:rPr>
          <w14:numForm w14:val="lining"/>
          <w14:numSpacing w14:val="proportional"/>
        </w:rPr>
        <w:t>0</w:t>
      </w:r>
      <w:r w:rsidR="00703820">
        <w:rPr>
          <w14:numForm w14:val="lining"/>
          <w14:numSpacing w14:val="proportional"/>
        </w:rPr>
        <w:t xml:space="preserve">00 in 2023 to </w:t>
      </w:r>
      <w:r w:rsidR="002177C5">
        <w:rPr>
          <w14:numForm w14:val="lining"/>
          <w14:numSpacing w14:val="proportional"/>
        </w:rPr>
        <w:t xml:space="preserve">around </w:t>
      </w:r>
      <w:r w:rsidR="00703820">
        <w:rPr>
          <w14:numForm w14:val="lining"/>
          <w14:numSpacing w14:val="proportional"/>
        </w:rPr>
        <w:t>1</w:t>
      </w:r>
      <w:r w:rsidR="002177C5">
        <w:rPr>
          <w14:numForm w14:val="lining"/>
          <w14:numSpacing w14:val="proportional"/>
        </w:rPr>
        <w:t>34</w:t>
      </w:r>
      <w:r w:rsidR="00703820">
        <w:rPr>
          <w14:numForm w14:val="lining"/>
          <w14:numSpacing w14:val="proportional"/>
        </w:rPr>
        <w:t>,</w:t>
      </w:r>
      <w:r w:rsidR="002177C5">
        <w:rPr>
          <w14:numForm w14:val="lining"/>
          <w14:numSpacing w14:val="proportional"/>
        </w:rPr>
        <w:t>0</w:t>
      </w:r>
      <w:r w:rsidR="00703820">
        <w:rPr>
          <w14:numForm w14:val="lining"/>
          <w14:numSpacing w14:val="proportional"/>
        </w:rPr>
        <w:t xml:space="preserve">00 in 2050. </w:t>
      </w:r>
      <w:r w:rsidR="00600947">
        <w:rPr>
          <w14:numForm w14:val="lining"/>
          <w14:numSpacing w14:val="proportional"/>
        </w:rPr>
        <w:t xml:space="preserve">Similarly, demand for automotive electricians grows from 8,800 to 11,500. </w:t>
      </w:r>
      <w:r>
        <w:rPr>
          <w14:numForm w14:val="lining"/>
          <w14:numSpacing w14:val="proportional"/>
        </w:rPr>
        <w:t>Ensuring that our existing automotive workforce can upskill to work safely with EVs will be a major challenge, particularly as internal combustion engine vehicles will likely remain in circulation for many years to come.</w:t>
      </w:r>
    </w:p>
    <w:p w14:paraId="73D45D6E" w14:textId="2DDCFBDA" w:rsidR="009E09C1" w:rsidRDefault="009E09C1" w:rsidP="009E09C1">
      <w:pPr>
        <w:pBdr>
          <w:top w:val="single" w:sz="4" w:space="5" w:color="BFBFBF" w:themeColor="background1" w:themeShade="BF"/>
        </w:pBdr>
        <w:spacing w:before="120" w:after="40"/>
        <w:rPr>
          <w:b/>
          <w:bCs/>
        </w:rPr>
      </w:pPr>
      <w:r w:rsidRPr="006D7EFB">
        <w:rPr>
          <w:b/>
          <w:bCs/>
        </w:rPr>
        <w:t>Figure 6</w:t>
      </w:r>
      <w:r>
        <w:rPr>
          <w:b/>
          <w:bCs/>
        </w:rPr>
        <w:t>.4. Employment in road transport industries (excluding freight)</w:t>
      </w:r>
    </w:p>
    <w:p w14:paraId="4D818936" w14:textId="722D010E" w:rsidR="007B6D21" w:rsidRPr="00B62E08" w:rsidRDefault="007B6D21" w:rsidP="009E09C1">
      <w:pPr>
        <w:pBdr>
          <w:top w:val="single" w:sz="4" w:space="5" w:color="BFBFBF" w:themeColor="background1" w:themeShade="BF"/>
        </w:pBdr>
        <w:spacing w:before="120" w:after="40"/>
        <w:rPr>
          <w:b/>
          <w:bCs/>
        </w:rPr>
      </w:pPr>
      <w:r>
        <w:rPr>
          <w:noProof/>
        </w:rPr>
        <w:drawing>
          <wp:inline distT="0" distB="0" distL="0" distR="0" wp14:anchorId="3F5F8EF0" wp14:editId="7DD108C1">
            <wp:extent cx="5486400" cy="2519545"/>
            <wp:effectExtent l="0" t="0" r="0" b="0"/>
            <wp:docPr id="1" name="Graphic 1" descr="This bar chart captures employment in road transport industries (excluding freight). It highlights that the Other Automotive Repair and Maintenance industry has the highest levels ofemployment, followed by Urban Bus Transport (Including Tramway), Automotive Body, Paint and Interior Repair. The Automotive Electrical Component Manufacturing Industry has the lowest levels of employment in road transport industries (excluding fre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his bar chart captures employment in road transport industries (excluding freight). It highlights that the Other Automotive Repair and Maintenance industry has the highest levels ofemployment, followed by Urban Bus Transport (Including Tramway), Automotive Body, Paint and Interior Repair. The Automotive Electrical Component Manufacturing Industry has the lowest levels of employment in road transport industries (excluding freight)&#10;"/>
                    <pic:cNvPicPr/>
                  </pic:nvPicPr>
                  <pic:blipFill rotWithShape="1">
                    <a:blip r:embed="rId200" cstate="screen">
                      <a:extLst>
                        <a:ext uri="{28A0092B-C50C-407E-A947-70E740481C1C}">
                          <a14:useLocalDpi xmlns:a14="http://schemas.microsoft.com/office/drawing/2010/main"/>
                        </a:ext>
                        <a:ext uri="{96DAC541-7B7A-43D3-8B79-37D633B846F1}">
                          <asvg:svgBlip xmlns:asvg="http://schemas.microsoft.com/office/drawing/2016/SVG/main" r:embed="rId201"/>
                        </a:ext>
                      </a:extLst>
                    </a:blip>
                    <a:srcRect t="4167"/>
                    <a:stretch/>
                  </pic:blipFill>
                  <pic:spPr bwMode="auto">
                    <a:xfrm>
                      <a:off x="0" y="0"/>
                      <a:ext cx="5494027" cy="2523048"/>
                    </a:xfrm>
                    <a:prstGeom prst="rect">
                      <a:avLst/>
                    </a:prstGeom>
                    <a:ln>
                      <a:noFill/>
                    </a:ln>
                    <a:extLst>
                      <a:ext uri="{53640926-AAD7-44D8-BBD7-CCE9431645EC}">
                        <a14:shadowObscured xmlns:a14="http://schemas.microsoft.com/office/drawing/2010/main"/>
                      </a:ext>
                    </a:extLst>
                  </pic:spPr>
                </pic:pic>
              </a:graphicData>
            </a:graphic>
          </wp:inline>
        </w:drawing>
      </w:r>
    </w:p>
    <w:p w14:paraId="6E869CD1" w14:textId="77777777" w:rsidR="009E09C1" w:rsidRPr="00C97E29" w:rsidRDefault="009E09C1" w:rsidP="009E09C1">
      <w:pPr>
        <w:rPr>
          <w:sz w:val="18"/>
          <w:szCs w:val="18"/>
        </w:rPr>
      </w:pPr>
      <w:r w:rsidRPr="00C97E29">
        <w:rPr>
          <w:sz w:val="18"/>
          <w:szCs w:val="18"/>
        </w:rPr>
        <w:t>Source: ABS Census of Population and Housing 2021.</w:t>
      </w:r>
    </w:p>
    <w:p w14:paraId="3D3B004D" w14:textId="3B7696EA" w:rsidR="009E09C1" w:rsidRDefault="009E09C1" w:rsidP="009E09C1">
      <w:pPr>
        <w:spacing w:before="120" w:after="0" w:line="276" w:lineRule="auto"/>
        <w:rPr>
          <w:noProof/>
        </w:rPr>
      </w:pPr>
      <w:r w:rsidRPr="00BF1731">
        <w:rPr>
          <w14:numForm w14:val="lining"/>
          <w14:numSpacing w14:val="proportional"/>
        </w:rPr>
        <w:t xml:space="preserve">As discussed in </w:t>
      </w:r>
      <w:r w:rsidRPr="00313427">
        <w:rPr>
          <w:b/>
          <w:bCs/>
          <w14:numForm w14:val="lining"/>
          <w14:numSpacing w14:val="proportional"/>
        </w:rPr>
        <w:t>Chapter 4</w:t>
      </w:r>
      <w:r w:rsidRPr="00BF1731">
        <w:rPr>
          <w14:numForm w14:val="lining"/>
          <w14:numSpacing w14:val="proportional"/>
        </w:rPr>
        <w:t>, new EV elective units in traditional automotive apprenticeships have been recently developed</w:t>
      </w:r>
      <w:r>
        <w:rPr>
          <w14:numForm w14:val="lining"/>
          <w14:numSpacing w14:val="proportional"/>
        </w:rPr>
        <w:t>,</w:t>
      </w:r>
      <w:r w:rsidRPr="00BF1731">
        <w:rPr>
          <w14:numForm w14:val="lining"/>
          <w14:numSpacing w14:val="proportional"/>
        </w:rPr>
        <w:t xml:space="preserve"> with </w:t>
      </w:r>
      <w:r>
        <w:rPr>
          <w14:numForm w14:val="lining"/>
          <w14:numSpacing w14:val="proportional"/>
        </w:rPr>
        <w:t>around 4</w:t>
      </w:r>
      <w:r w:rsidRPr="00BF1731">
        <w:rPr>
          <w14:numForm w14:val="lining"/>
          <w14:numSpacing w14:val="proportional"/>
        </w:rPr>
        <w:t xml:space="preserve">,000 enrolments in 2022. A new Certificate III in Automotive Elective Vehicle Technology (AUR32721) was </w:t>
      </w:r>
      <w:r>
        <w:rPr>
          <w14:numForm w14:val="lining"/>
          <w14:numSpacing w14:val="proportional"/>
        </w:rPr>
        <w:t xml:space="preserve">also </w:t>
      </w:r>
      <w:r w:rsidRPr="00BF1731">
        <w:rPr>
          <w14:numForm w14:val="lining"/>
          <w14:numSpacing w14:val="proportional"/>
        </w:rPr>
        <w:t>released in June 2022.</w:t>
      </w:r>
      <w:r w:rsidRPr="00BF1731">
        <w:rPr>
          <w:rStyle w:val="EndnoteReference"/>
          <w14:numForm w14:val="lining"/>
          <w14:numSpacing w14:val="proportional"/>
        </w:rPr>
        <w:endnoteReference w:id="113"/>
      </w:r>
      <w:r w:rsidRPr="00BF1731">
        <w:rPr>
          <w14:numForm w14:val="lining"/>
          <w14:numSpacing w14:val="proportional"/>
        </w:rPr>
        <w:t xml:space="preserve"> </w:t>
      </w:r>
      <w:r w:rsidRPr="00763D2F">
        <w:rPr>
          <w14:numForm w14:val="lining"/>
          <w14:numSpacing w14:val="proportional"/>
        </w:rPr>
        <w:t xml:space="preserve">As explored in </w:t>
      </w:r>
      <w:r w:rsidRPr="00313427">
        <w:rPr>
          <w:b/>
          <w:bCs/>
          <w14:numForm w14:val="lining"/>
          <w14:numSpacing w14:val="proportional"/>
        </w:rPr>
        <w:t>Chapter 7</w:t>
      </w:r>
      <w:r w:rsidRPr="00763D2F">
        <w:rPr>
          <w14:numForm w14:val="lining"/>
          <w14:numSpacing w14:val="proportional"/>
        </w:rPr>
        <w:t xml:space="preserve">, proprietary technologies and practices may hinder the VET sector's ability to develop </w:t>
      </w:r>
      <w:r>
        <w:rPr>
          <w14:numForm w14:val="lining"/>
          <w14:numSpacing w14:val="proportional"/>
        </w:rPr>
        <w:t xml:space="preserve">and deliver consistent training </w:t>
      </w:r>
      <w:r w:rsidRPr="00763D2F">
        <w:rPr>
          <w14:numForm w14:val="lining"/>
          <w14:numSpacing w14:val="proportional"/>
        </w:rPr>
        <w:t xml:space="preserve">for </w:t>
      </w:r>
      <w:r w:rsidR="006F328E">
        <w:rPr>
          <w:rFonts w:cs="Arial"/>
          <w14:numForm w14:val="lining"/>
          <w14:numSpacing w14:val="proportional"/>
        </w:rPr>
        <w:t>EV</w:t>
      </w:r>
      <w:r w:rsidRPr="00763D2F">
        <w:rPr>
          <w14:numForm w14:val="lining"/>
          <w14:numSpacing w14:val="proportional"/>
        </w:rPr>
        <w:t xml:space="preserve">s. </w:t>
      </w:r>
      <w:r w:rsidR="002A71AC">
        <w:rPr>
          <w14:numForm w14:val="lining"/>
          <w14:numSpacing w14:val="proportional"/>
        </w:rPr>
        <w:t>P</w:t>
      </w:r>
      <w:r w:rsidRPr="00763D2F">
        <w:rPr>
          <w14:numForm w14:val="lining"/>
          <w14:numSpacing w14:val="proportional"/>
        </w:rPr>
        <w:t>otential overlap and blurring between automotive and electrical work may also act as a source of contention until standard approaches are adopted.</w:t>
      </w:r>
      <w:r>
        <w:rPr>
          <w14:numForm w14:val="lining"/>
          <w14:numSpacing w14:val="proportional"/>
        </w:rPr>
        <w:t xml:space="preserve"> </w:t>
      </w:r>
      <w:r w:rsidRPr="00D3731D">
        <w:rPr>
          <w14:numForm w14:val="lining"/>
          <w14:numSpacing w14:val="proportional"/>
        </w:rPr>
        <w:t xml:space="preserve">EV charging infrastructure </w:t>
      </w:r>
      <w:r>
        <w:rPr>
          <w14:numForm w14:val="lining"/>
          <w14:numSpacing w14:val="proportional"/>
        </w:rPr>
        <w:t xml:space="preserve">installation is typically </w:t>
      </w:r>
      <w:r w:rsidRPr="00D3731D">
        <w:rPr>
          <w14:numForm w14:val="lining"/>
          <w14:numSpacing w14:val="proportional"/>
        </w:rPr>
        <w:t xml:space="preserve">carried out by </w:t>
      </w:r>
      <w:r w:rsidR="65306100" w:rsidRPr="00D3731D">
        <w:rPr>
          <w14:numForm w14:val="lining"/>
          <w14:numSpacing w14:val="proportional"/>
        </w:rPr>
        <w:t>E</w:t>
      </w:r>
      <w:r w:rsidRPr="00D3731D">
        <w:rPr>
          <w14:numForm w14:val="lining"/>
          <w14:numSpacing w14:val="proportional"/>
        </w:rPr>
        <w:t xml:space="preserve">lectricians who </w:t>
      </w:r>
      <w:r>
        <w:rPr>
          <w14:numForm w14:val="lining"/>
          <w14:numSpacing w14:val="proportional"/>
        </w:rPr>
        <w:t xml:space="preserve">have </w:t>
      </w:r>
      <w:r w:rsidRPr="00D3731D">
        <w:rPr>
          <w14:numForm w14:val="lining"/>
          <w14:numSpacing w14:val="proportional"/>
        </w:rPr>
        <w:t>completed manufacturers’ training</w:t>
      </w:r>
      <w:r>
        <w:rPr>
          <w14:numForm w14:val="lining"/>
          <w14:numSpacing w14:val="proportional"/>
        </w:rPr>
        <w:t>, while</w:t>
      </w:r>
      <w:r w:rsidRPr="00D3731D">
        <w:rPr>
          <w14:numForm w14:val="lining"/>
          <w14:numSpacing w14:val="proportional"/>
        </w:rPr>
        <w:t xml:space="preserve"> </w:t>
      </w:r>
      <w:r>
        <w:rPr>
          <w14:numForm w14:val="lining"/>
          <w14:numSpacing w14:val="proportional"/>
        </w:rPr>
        <w:t xml:space="preserve">skills to manufacture </w:t>
      </w:r>
      <w:r w:rsidRPr="00D3731D">
        <w:rPr>
          <w14:numForm w14:val="lining"/>
          <w14:numSpacing w14:val="proportional"/>
        </w:rPr>
        <w:t>charging equipment can be obtained through Certificate II in Engineering Production Technology.</w:t>
      </w:r>
      <w:r w:rsidRPr="00D3731D">
        <w:rPr>
          <w:rStyle w:val="EndnoteReference"/>
          <w14:numForm w14:val="lining"/>
          <w14:numSpacing w14:val="proportional"/>
        </w:rPr>
        <w:endnoteReference w:id="114"/>
      </w:r>
      <w:r w:rsidRPr="008C57DD">
        <w:rPr>
          <w:noProof/>
        </w:rPr>
        <w:t xml:space="preserve"> </w:t>
      </w:r>
    </w:p>
    <w:p w14:paraId="03256AB7" w14:textId="77777777" w:rsidR="00E27334" w:rsidRDefault="00E27334">
      <w:pPr>
        <w:rPr>
          <w:b/>
          <w:bCs/>
          <w14:numForm w14:val="lining"/>
          <w14:numSpacing w14:val="proportional"/>
        </w:rPr>
      </w:pPr>
      <w:r>
        <w:rPr>
          <w:b/>
          <w:bCs/>
          <w14:numForm w14:val="lining"/>
          <w14:numSpacing w14:val="proportional"/>
        </w:rPr>
        <w:br w:type="page"/>
      </w:r>
    </w:p>
    <w:p w14:paraId="51624121" w14:textId="091A0BAA" w:rsidR="00E27334" w:rsidRPr="006E07A7" w:rsidRDefault="00E27334" w:rsidP="00E27334">
      <w:pPr>
        <w:spacing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2" behindDoc="1" locked="0" layoutInCell="1" allowOverlap="1" wp14:anchorId="534F5025" wp14:editId="64901FD3">
                <wp:simplePos x="0" y="0"/>
                <wp:positionH relativeFrom="column">
                  <wp:posOffset>0</wp:posOffset>
                </wp:positionH>
                <wp:positionV relativeFrom="page">
                  <wp:posOffset>886691</wp:posOffset>
                </wp:positionV>
                <wp:extent cx="5889627" cy="1039091"/>
                <wp:effectExtent l="0" t="0" r="15875" b="27940"/>
                <wp:wrapNone/>
                <wp:docPr id="1087981653" name="Group 1087981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89627" cy="1039091"/>
                          <a:chOff x="-1" y="0"/>
                          <a:chExt cx="5661482" cy="1066505"/>
                        </a:xfrm>
                      </wpg:grpSpPr>
                      <wps:wsp>
                        <wps:cNvPr id="1087981654" name="Rectangle: Top Corners Rounded 1087981654"/>
                        <wps:cNvSpPr/>
                        <wps:spPr>
                          <a:xfrm>
                            <a:off x="-1" y="0"/>
                            <a:ext cx="1811148" cy="232791"/>
                          </a:xfrm>
                          <a:prstGeom prst="round2SameRect">
                            <a:avLst/>
                          </a:prstGeom>
                          <a:solidFill>
                            <a:schemeClr val="accent4">
                              <a:lumMod val="20000"/>
                              <a:lumOff val="80000"/>
                            </a:schemeClr>
                          </a:solidFill>
                          <a:ln>
                            <a:solidFill>
                              <a:schemeClr val="accent4">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9F9EBB" w14:textId="4770E732" w:rsidR="0065702B" w:rsidRPr="006E07A7" w:rsidRDefault="0065702B" w:rsidP="0065702B">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87981655" name="Rectangle 1087981655"/>
                        <wps:cNvSpPr/>
                        <wps:spPr>
                          <a:xfrm>
                            <a:off x="1" y="230383"/>
                            <a:ext cx="5661480" cy="836122"/>
                          </a:xfrm>
                          <a:prstGeom prst="rect">
                            <a:avLst/>
                          </a:prstGeom>
                          <a:solidFill>
                            <a:srgbClr val="F2F2F2"/>
                          </a:solidFill>
                          <a:ln>
                            <a:solidFill>
                              <a:schemeClr val="accent4">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9427A" w14:textId="0B5A9F8F" w:rsidR="0065702B" w:rsidRPr="00A90F3C" w:rsidRDefault="0065702B" w:rsidP="0065702B">
                              <w:pPr>
                                <w:spacing w:after="0" w:line="276" w:lineRule="auto"/>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4F5025" id="Group 1087981653" o:spid="_x0000_s1133" alt="&quot;&quot;" style="position:absolute;left:0;text-align:left;margin-left:0;margin-top:69.8pt;width:463.75pt;height:81.8pt;z-index:-251658178;mso-position-horizontal-relative:text;mso-position-vertical-relative:page;mso-width-relative:margin;mso-height-relative:margin" coordorigin="" coordsize="56614,1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">
                <v:shape id="Rectangle: Top Corners Rounded 1087981654" o:spid="_x0000_s1134" style="position:absolute;width:18111;height:2327;visibility:visible;mso-wrap-style:square;v-text-anchor:middle" coordsize="1811148,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" adj="-11796480,,5400" path="m38799,l1772349,v21428,,38799,17371,38799,38799l1811148,232791r,l,232791r,l,38799c,17371,17371,,38799,xe" fillcolor="#f6c5db [663]" strokecolor="#f6c5db [663]" strokeweight="1pt">
                  <v:stroke joinstyle="miter"/>
                  <v:formulas/>
                  <v:path arrowok="t" o:connecttype="custom" o:connectlocs="38799,0;1772349,0;1811148,38799;1811148,232791;1811148,232791;0,232791;0,232791;0,38799;38799,0" o:connectangles="0,0,0,0,0,0,0,0,0" textboxrect="0,0,1811148,232791"/>
                  <v:textbox inset=",0,,0">
                    <w:txbxContent>
                      <w:p w14:paraId="569F9EBB" w14:textId="4770E732" w:rsidR="0065702B" w:rsidRPr="006E07A7" w:rsidRDefault="0065702B" w:rsidP="0065702B">
                        <w:pPr>
                          <w:spacing w:after="0" w:line="240" w:lineRule="auto"/>
                          <w:rPr>
                            <w:b/>
                            <w:bCs/>
                            <w14:numForm w14:val="lining"/>
                            <w14:numSpacing w14:val="proportional"/>
                          </w:rPr>
                        </w:pPr>
                      </w:p>
                    </w:txbxContent>
                  </v:textbox>
                </v:shape>
                <v:rect id="Rectangle 1087981655" o:spid="_x0000_s1135" style="position:absolute;top:2303;width:56614;height:8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" fillcolor="#f2f2f2" strokecolor="#f6c5db [663]" strokeweight="1pt">
                  <v:textbox inset="2mm,1mm,2mm,1mm">
                    <w:txbxContent>
                      <w:p w14:paraId="4499427A" w14:textId="0B5A9F8F" w:rsidR="0065702B" w:rsidRPr="00A90F3C" w:rsidRDefault="0065702B" w:rsidP="0065702B">
                        <w:pPr>
                          <w:spacing w:after="0" w:line="276" w:lineRule="auto"/>
                          <w:rPr>
                            <w:lang w:val="en-US"/>
                          </w:rPr>
                        </w:pPr>
                      </w:p>
                    </w:txbxContent>
                  </v:textbox>
                </v:rect>
                <w10:wrap anchory="page"/>
              </v:group>
            </w:pict>
          </mc:Fallback>
        </mc:AlternateContent>
      </w:r>
      <w:r w:rsidRPr="00AE119E">
        <w:rPr>
          <w:b/>
          <w:bCs/>
          <w14:numForm w14:val="lining"/>
          <w14:numSpacing w14:val="proportional"/>
        </w:rPr>
        <w:t>Recommendation</w:t>
      </w:r>
      <w:r w:rsidRPr="00AE119E">
        <w:rPr>
          <w:rFonts w:ascii="Arial Bold" w:hAnsi="Arial Bold"/>
          <w:b/>
          <w:bCs/>
          <w:spacing w:val="6"/>
          <w14:numForm w14:val="lining"/>
          <w14:numSpacing w14:val="proportional"/>
        </w:rPr>
        <w:t xml:space="preserve"> </w:t>
      </w:r>
      <w:r w:rsidRPr="00AE119E">
        <w:rPr>
          <w:b/>
          <w:bCs/>
          <w14:numForm w14:val="lining"/>
          <w14:numSpacing w14:val="proportional"/>
        </w:rPr>
        <w:t>6.1</w:t>
      </w:r>
    </w:p>
    <w:p w14:paraId="2EA7F848" w14:textId="77777777" w:rsidR="00E27334" w:rsidRPr="00A90F3C" w:rsidRDefault="00E27334" w:rsidP="00E27334">
      <w:pPr>
        <w:spacing w:before="200" w:after="0" w:line="240" w:lineRule="auto"/>
        <w:ind w:left="170" w:right="113"/>
        <w:rPr>
          <w:lang w:val="en-US"/>
        </w:rPr>
      </w:pPr>
      <w:r w:rsidRPr="00A74AEF">
        <w:rPr>
          <w:lang w:val="en-US"/>
        </w:rPr>
        <w:t xml:space="preserve">Jobs and Skills Councils </w:t>
      </w:r>
      <w:r>
        <w:rPr>
          <w:lang w:val="en-US"/>
        </w:rPr>
        <w:t>should</w:t>
      </w:r>
      <w:r w:rsidRPr="00A74AEF">
        <w:rPr>
          <w:lang w:val="en-US"/>
        </w:rPr>
        <w:t xml:space="preserve"> work closely with </w:t>
      </w:r>
      <w:r>
        <w:rPr>
          <w:lang w:val="en-US"/>
        </w:rPr>
        <w:t>stakeholders</w:t>
      </w:r>
      <w:r w:rsidRPr="00A74AEF">
        <w:rPr>
          <w:lang w:val="en-US"/>
        </w:rPr>
        <w:t xml:space="preserve"> to develop a consistent and constructive approach to qualification design for electric vehicles. Accessible, low-barrier pathways will also be needed for qualified mechanics to transition to electric vehicles.</w:t>
      </w:r>
    </w:p>
    <w:p w14:paraId="7A4F7DF2" w14:textId="42470A32" w:rsidR="0065702B" w:rsidRDefault="00E27334" w:rsidP="009E09C1">
      <w:pPr>
        <w:spacing w:before="120" w:after="0" w:line="276" w:lineRule="auto"/>
        <w:rPr>
          <w:noProof/>
        </w:rPr>
      </w:pPr>
      <w:r w:rsidRPr="00304D92">
        <w:rPr>
          <w:noProof/>
          <w:color w:val="2B579A"/>
          <w:sz w:val="20"/>
          <w:szCs w:val="20"/>
          <w:shd w:val="clear" w:color="auto" w:fill="E6E6E6"/>
          <w14:ligatures w14:val="standard"/>
          <w14:numForm w14:val="lining"/>
          <w14:numSpacing w14:val="proportional"/>
        </w:rPr>
        <mc:AlternateContent>
          <mc:Choice Requires="wpg">
            <w:drawing>
              <wp:anchor distT="0" distB="0" distL="114300" distR="114300" simplePos="0" relativeHeight="251658303" behindDoc="1" locked="0" layoutInCell="1" allowOverlap="1" wp14:anchorId="2209F766" wp14:editId="6F364BF1">
                <wp:simplePos x="0" y="0"/>
                <wp:positionH relativeFrom="column">
                  <wp:posOffset>-226503</wp:posOffset>
                </wp:positionH>
                <wp:positionV relativeFrom="page">
                  <wp:posOffset>2105636</wp:posOffset>
                </wp:positionV>
                <wp:extent cx="6118225" cy="7784727"/>
                <wp:effectExtent l="0" t="0" r="0" b="6985"/>
                <wp:wrapNone/>
                <wp:docPr id="1087981656" name="Group 1087981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8225" cy="7784727"/>
                          <a:chOff x="-1" y="-58788"/>
                          <a:chExt cx="5783903" cy="3650776"/>
                        </a:xfrm>
                      </wpg:grpSpPr>
                      <wps:wsp>
                        <wps:cNvPr id="1087981657" name="Rectangle 1087981657"/>
                        <wps:cNvSpPr/>
                        <wps:spPr>
                          <a:xfrm>
                            <a:off x="-1" y="-58788"/>
                            <a:ext cx="5783903" cy="3650776"/>
                          </a:xfrm>
                          <a:prstGeom prst="rect">
                            <a:avLst/>
                          </a:prstGeom>
                          <a:solidFill>
                            <a:schemeClr val="bg1">
                              <a:lumMod val="95000"/>
                            </a:schemeClr>
                          </a:solidFill>
                          <a:ln>
                            <a:noFill/>
                          </a:ln>
                          <a:effectLst/>
                        </wps:spPr>
                        <wps:style>
                          <a:lnRef idx="2">
                            <a:schemeClr val="accent1">
                              <a:shade val="50000"/>
                            </a:schemeClr>
                          </a:lnRef>
                          <a:fillRef idx="1">
                            <a:schemeClr val="accent1"/>
                          </a:fillRef>
                          <a:effectRef idx="0">
                            <a:scrgbClr r="0" g="0" b="0"/>
                          </a:effectRef>
                          <a:fontRef idx="minor">
                            <a:schemeClr val="lt1"/>
                          </a:fontRef>
                        </wps:style>
                        <wps:txbx>
                          <w:txbxContent>
                            <w:p w14:paraId="1B63DFFD" w14:textId="77777777" w:rsidR="00870E13" w:rsidRDefault="00870E13" w:rsidP="00870E13">
                              <w:pPr>
                                <w:pStyle w:val="Bodycopy"/>
                                <w:spacing w:after="120" w:line="276" w:lineRule="auto"/>
                                <w:rPr>
                                  <w:rFonts w:eastAsia="Arial" w:cs="Arial"/>
                                  <w14:numForm w14:val="lining"/>
                                  <w14:numSpacing w14:val="proportional"/>
                                </w:rPr>
                              </w:pPr>
                            </w:p>
                          </w:txbxContent>
                        </wps:txbx>
                        <wps:bodyPr spcFirstLastPara="0" wrap="square" lIns="288000" tIns="108000" rIns="144000" bIns="108000" anchor="t">
                          <a:noAutofit/>
                        </wps:bodyPr>
                      </wps:wsp>
                      <wps:wsp>
                        <wps:cNvPr id="1087981658" name="Rectangle 1087981658"/>
                        <wps:cNvSpPr/>
                        <wps:spPr>
                          <a:xfrm>
                            <a:off x="0" y="-58788"/>
                            <a:ext cx="133350" cy="3650774"/>
                          </a:xfrm>
                          <a:prstGeom prst="rect">
                            <a:avLst/>
                          </a:prstGeom>
                          <a:solidFill>
                            <a:srgbClr val="F6C6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209F766" id="Group 1087981656" o:spid="_x0000_s1136" alt="&quot;&quot;" style="position:absolute;margin-left:-17.85pt;margin-top:165.8pt;width:481.75pt;height:612.95pt;z-index:-251658177;mso-position-horizontal-relative:text;mso-position-vertical-relative:page" coordorigin=",-587" coordsize="57839,36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">
                <v:rect id="Rectangle 1087981657" o:spid="_x0000_s1137" style="position:absolute;top:-587;width:57839;height:36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" fillcolor="#f2f2f2 [3052]" stroked="f" strokeweight="1pt">
                  <v:textbox inset="8mm,3mm,4mm,3mm">
                    <w:txbxContent>
                      <w:p w14:paraId="1B63DFFD" w14:textId="77777777" w:rsidR="00870E13" w:rsidRDefault="00870E13" w:rsidP="00870E13">
                        <w:pPr>
                          <w:pStyle w:val="Bodycopy"/>
                          <w:spacing w:after="120" w:line="276" w:lineRule="auto"/>
                          <w:rPr>
                            <w:rFonts w:eastAsia="Arial" w:cs="Arial"/>
                            <w14:numForm w14:val="lining"/>
                            <w14:numSpacing w14:val="proportional"/>
                          </w:rPr>
                        </w:pPr>
                      </w:p>
                    </w:txbxContent>
                  </v:textbox>
                </v:rect>
                <v:rect id="Rectangle 1087981658" o:spid="_x0000_s1138" style="position:absolute;top:-587;width:1333;height:36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" fillcolor="#f6c6db" stroked="f" strokeweight="1pt"/>
                <w10:wrap anchory="page"/>
              </v:group>
            </w:pict>
          </mc:Fallback>
        </mc:AlternateContent>
      </w:r>
    </w:p>
    <w:p w14:paraId="345D709D" w14:textId="59DB0476" w:rsidR="009E09C1" w:rsidRPr="00C4082A" w:rsidRDefault="001078C1" w:rsidP="00E27334">
      <w:pPr>
        <w:spacing w:before="120" w:after="120" w:line="240" w:lineRule="auto"/>
        <w:ind w:left="113"/>
        <w:rPr>
          <w:rFonts w:eastAsia="Arial" w:cs="Arial"/>
          <w:b/>
          <w:sz w:val="32"/>
          <w:szCs w:val="32"/>
        </w:rPr>
      </w:pPr>
      <w:r w:rsidRPr="00304D92">
        <w:rPr>
          <w:rFonts w:eastAsia="Arial" w:cs="Arial"/>
          <w:b/>
          <w:sz w:val="28"/>
          <w:szCs w:val="28"/>
        </w:rPr>
        <w:t>So long to the servo?</w:t>
      </w:r>
    </w:p>
    <w:p w14:paraId="40AF2A9F" w14:textId="7552CE6E" w:rsidR="001078C1" w:rsidRPr="002A0C31" w:rsidRDefault="001078C1" w:rsidP="001078C1">
      <w:pPr>
        <w:spacing w:after="120" w:line="276" w:lineRule="auto"/>
        <w:ind w:left="113"/>
        <w:rPr>
          <w:rFonts w:cs="Arial"/>
          <w14:numForm w14:val="lining"/>
          <w14:numSpacing w14:val="proportional"/>
        </w:rPr>
      </w:pPr>
      <w:r w:rsidRPr="002A0C31">
        <w:rPr>
          <w:rFonts w:cs="Arial"/>
          <w14:numForm w14:val="lining"/>
          <w14:numSpacing w14:val="proportional"/>
        </w:rPr>
        <w:t>By employment size, fuel retailing is one of the largest segments in the transitioning group of industries</w:t>
      </w:r>
      <w:r>
        <w:rPr>
          <w:rFonts w:cs="Arial"/>
          <w14:numForm w14:val="lining"/>
          <w14:numSpacing w14:val="proportional"/>
        </w:rPr>
        <w:t xml:space="preserve"> </w:t>
      </w:r>
      <w:r w:rsidRPr="002A0C31">
        <w:rPr>
          <w:rFonts w:cs="Arial"/>
          <w14:numForm w14:val="lining"/>
          <w14:numSpacing w14:val="proportional"/>
        </w:rPr>
        <w:t>– at the last census it employed approximately 35,000 all across Australia.</w:t>
      </w:r>
    </w:p>
    <w:p w14:paraId="1B02F406" w14:textId="5714274E" w:rsidR="001078C1" w:rsidRPr="002A0C31" w:rsidRDefault="001078C1" w:rsidP="001078C1">
      <w:pPr>
        <w:spacing w:after="120" w:line="276" w:lineRule="auto"/>
        <w:ind w:left="113"/>
        <w:rPr>
          <w:rFonts w:cs="Arial"/>
          <w14:numForm w14:val="lining"/>
          <w14:numSpacing w14:val="proportional"/>
        </w:rPr>
      </w:pPr>
      <w:r w:rsidRPr="002A0C31">
        <w:rPr>
          <w:rFonts w:cs="Arial"/>
          <w14:numForm w14:val="lining"/>
          <w14:numSpacing w14:val="proportional"/>
        </w:rPr>
        <w:t>This workforce segment looks very different to the other clean energy and transitioning segments. The occupational mix is predominantly sales workers – service station attendants and checkout operators and office cashiers</w:t>
      </w:r>
      <w:r>
        <w:rPr>
          <w:rFonts w:cs="Arial"/>
          <w14:numForm w14:val="lining"/>
          <w14:numSpacing w14:val="proportional"/>
        </w:rPr>
        <w:t>.</w:t>
      </w:r>
      <w:r w:rsidRPr="002A0C31">
        <w:rPr>
          <w:rFonts w:cs="Arial"/>
          <w14:numForm w14:val="lining"/>
          <w14:numSpacing w14:val="proportional"/>
        </w:rPr>
        <w:t xml:space="preserve"> It is somewhat more gender balanced (46</w:t>
      </w:r>
      <w:r>
        <w:rPr>
          <w:rFonts w:cs="Arial"/>
          <w14:numForm w14:val="lining"/>
          <w14:numSpacing w14:val="proportional"/>
        </w:rPr>
        <w:t>%</w:t>
      </w:r>
      <w:r w:rsidRPr="002A0C31">
        <w:rPr>
          <w:rFonts w:cs="Arial"/>
          <w14:numForm w14:val="lining"/>
          <w14:numSpacing w14:val="proportional"/>
        </w:rPr>
        <w:t xml:space="preserve"> female), most (55</w:t>
      </w:r>
      <w:r>
        <w:rPr>
          <w:rFonts w:cs="Arial"/>
          <w14:numForm w14:val="lining"/>
          <w14:numSpacing w14:val="proportional"/>
        </w:rPr>
        <w:t>%</w:t>
      </w:r>
      <w:r w:rsidRPr="002A0C31">
        <w:rPr>
          <w:rFonts w:cs="Arial"/>
          <w14:numForm w14:val="lining"/>
          <w14:numSpacing w14:val="proportional"/>
        </w:rPr>
        <w:t>) work part-time hours, and more than a third (35</w:t>
      </w:r>
      <w:r>
        <w:rPr>
          <w:rFonts w:cs="Arial"/>
          <w14:numForm w14:val="lining"/>
          <w14:numSpacing w14:val="proportional"/>
        </w:rPr>
        <w:t>%</w:t>
      </w:r>
      <w:r w:rsidRPr="002A0C31">
        <w:rPr>
          <w:rFonts w:cs="Arial"/>
          <w14:numForm w14:val="lining"/>
          <w14:numSpacing w14:val="proportional"/>
        </w:rPr>
        <w:t>) are aged under 30. A very large proportion of the workforce (42</w:t>
      </w:r>
      <w:r>
        <w:rPr>
          <w:rFonts w:cs="Arial"/>
          <w14:numForm w14:val="lining"/>
          <w14:numSpacing w14:val="proportional"/>
        </w:rPr>
        <w:t xml:space="preserve">%) </w:t>
      </w:r>
      <w:r w:rsidRPr="002A0C31">
        <w:rPr>
          <w:rFonts w:cs="Arial"/>
          <w14:numForm w14:val="lining"/>
          <w14:numSpacing w14:val="proportional"/>
        </w:rPr>
        <w:t>is born overseas. The segment has had issues with underpayment of wages, especially to migrant workers.</w:t>
      </w:r>
    </w:p>
    <w:p w14:paraId="5B5850FC" w14:textId="767CA2E0" w:rsidR="001078C1" w:rsidRPr="002A0C31" w:rsidRDefault="001078C1" w:rsidP="001078C1">
      <w:pPr>
        <w:spacing w:after="120" w:line="276" w:lineRule="auto"/>
        <w:ind w:left="113"/>
        <w:rPr>
          <w:rFonts w:cs="Arial"/>
          <w14:numForm w14:val="lining"/>
          <w14:numSpacing w14:val="proportional"/>
        </w:rPr>
      </w:pPr>
      <w:r>
        <w:rPr>
          <w:rFonts w:cs="Arial"/>
          <w14:numForm w14:val="lining"/>
          <w14:numSpacing w14:val="proportional"/>
        </w:rPr>
        <w:t>EV</w:t>
      </w:r>
      <w:r w:rsidRPr="002A0C31">
        <w:rPr>
          <w:rFonts w:cs="Arial"/>
          <w14:numForm w14:val="lining"/>
          <w14:numSpacing w14:val="proportional"/>
        </w:rPr>
        <w:t>s will reduce the demand for service stations – drivers will be able to recharge their EVs at home, and standalone charging stations will continue to appear in shopping centre carparks and other public places.</w:t>
      </w:r>
      <w:r w:rsidR="00BE1CEC">
        <w:rPr>
          <w:rStyle w:val="EndnoteReference"/>
          <w:rFonts w:cs="Arial"/>
          <w14:numForm w14:val="lining"/>
          <w14:numSpacing w14:val="proportional"/>
        </w:rPr>
        <w:endnoteReference w:id="115"/>
      </w:r>
      <w:r w:rsidRPr="002A0C31">
        <w:rPr>
          <w:rFonts w:cs="Arial"/>
          <w14:numForm w14:val="lining"/>
          <w14:numSpacing w14:val="proportional"/>
        </w:rPr>
        <w:t xml:space="preserve"> Some demand will remain – for long-range driving and for vehicles (particularly freight) using hydrogen and biofuels.</w:t>
      </w:r>
    </w:p>
    <w:p w14:paraId="6627C656" w14:textId="3873C090" w:rsidR="001078C1" w:rsidRPr="002A0C31" w:rsidRDefault="001078C1" w:rsidP="001078C1">
      <w:pPr>
        <w:spacing w:after="120" w:line="276" w:lineRule="auto"/>
        <w:ind w:left="113"/>
        <w:rPr>
          <w:rFonts w:cs="Arial"/>
          <w14:numForm w14:val="lining"/>
          <w14:numSpacing w14:val="proportional"/>
        </w:rPr>
      </w:pPr>
      <w:r w:rsidRPr="002A0C31">
        <w:rPr>
          <w:rFonts w:cs="Arial"/>
          <w14:numForm w14:val="lining"/>
          <w14:numSpacing w14:val="proportional"/>
        </w:rPr>
        <w:t>Fuel supplier Viva Energy, which operates Liberty and Shell service stations in Australia, is looking to diversify its sales base. In April 2023, it acquired the “On the Run” convenience brand, which has achieved 70</w:t>
      </w:r>
      <w:r>
        <w:rPr>
          <w:rFonts w:cs="Arial"/>
          <w14:numForm w14:val="lining"/>
          <w14:numSpacing w14:val="proportional"/>
        </w:rPr>
        <w:t xml:space="preserve">% </w:t>
      </w:r>
      <w:r w:rsidRPr="002A0C31">
        <w:rPr>
          <w:rFonts w:cs="Arial"/>
          <w14:numForm w14:val="lining"/>
          <w14:numSpacing w14:val="proportional"/>
        </w:rPr>
        <w:t xml:space="preserve">of profits from non-fuel sales. It is </w:t>
      </w:r>
      <w:r>
        <w:rPr>
          <w:rFonts w:cs="Arial"/>
          <w14:numForm w14:val="lining"/>
          <w14:numSpacing w14:val="proportional"/>
        </w:rPr>
        <w:t>anticipating</w:t>
      </w:r>
      <w:r w:rsidRPr="002A0C31">
        <w:rPr>
          <w:rFonts w:cs="Arial"/>
          <w14:numForm w14:val="lining"/>
          <w14:numSpacing w14:val="proportional"/>
        </w:rPr>
        <w:t xml:space="preserve"> that EV drivers will be happy to spend their money onsite while they wait to recharge.</w:t>
      </w:r>
      <w:r w:rsidR="00BE1CEC">
        <w:rPr>
          <w:rStyle w:val="EndnoteReference"/>
          <w:rFonts w:cs="Arial"/>
          <w14:numForm w14:val="lining"/>
          <w14:numSpacing w14:val="proportional"/>
        </w:rPr>
        <w:endnoteReference w:id="116"/>
      </w:r>
      <w:r w:rsidRPr="002A0C31">
        <w:rPr>
          <w:rFonts w:cs="Arial"/>
          <w14:numForm w14:val="lining"/>
          <w14:numSpacing w14:val="proportional"/>
        </w:rPr>
        <w:t xml:space="preserve"> That could mean more baristas, fast food cooks and food attendants working in service stations. </w:t>
      </w:r>
    </w:p>
    <w:p w14:paraId="1EF0B593" w14:textId="5E45E8B4" w:rsidR="001078C1" w:rsidRDefault="001078C1" w:rsidP="00E27334">
      <w:pPr>
        <w:spacing w:after="240" w:line="276" w:lineRule="auto"/>
        <w:ind w:left="113"/>
        <w:rPr>
          <w:rFonts w:cs="Arial"/>
          <w14:numForm w14:val="lining"/>
          <w14:numSpacing w14:val="proportional"/>
        </w:rPr>
      </w:pPr>
      <w:r w:rsidRPr="002A0C31">
        <w:rPr>
          <w:rFonts w:cs="Arial"/>
          <w14:numForm w14:val="lining"/>
          <w14:numSpacing w14:val="proportional"/>
        </w:rPr>
        <w:t xml:space="preserve">Change is nothing new for the service station workforce – attendants once commonly filled the petrol tank for motorists and onsite mechanics were common. So while service stations are unlikely to disappear completely, their numbers will reduce as </w:t>
      </w:r>
      <w:r>
        <w:rPr>
          <w:rFonts w:cs="Arial"/>
          <w14:numForm w14:val="lining"/>
          <w14:numSpacing w14:val="proportional"/>
        </w:rPr>
        <w:t>EV</w:t>
      </w:r>
      <w:r w:rsidRPr="002A0C31">
        <w:rPr>
          <w:rFonts w:cs="Arial"/>
          <w14:numForm w14:val="lining"/>
          <w14:numSpacing w14:val="proportional"/>
        </w:rPr>
        <w:t xml:space="preserve"> coverage increases and their business model, along with their jobs profile, will evolve.</w:t>
      </w:r>
    </w:p>
    <w:p w14:paraId="049819F2" w14:textId="77777777" w:rsidR="00304D92" w:rsidRDefault="005A10C6" w:rsidP="00304D92">
      <w:pPr>
        <w:spacing w:after="0" w:line="276" w:lineRule="auto"/>
        <w:ind w:left="113"/>
        <w:jc w:val="center"/>
        <w:rPr>
          <w:rFonts w:cs="Arial"/>
          <w:sz w:val="18"/>
          <w:szCs w:val="18"/>
          <w14:numForm w14:val="lining"/>
          <w14:numSpacing w14:val="proportional"/>
        </w:rPr>
      </w:pPr>
      <w:r w:rsidRPr="0004446B">
        <w:rPr>
          <w:rFonts w:eastAsia="Arial" w:cs="Arial"/>
          <w:noProof/>
          <w14:numForm w14:val="lining"/>
          <w14:numSpacing w14:val="proportional"/>
        </w:rPr>
        <w:drawing>
          <wp:inline distT="0" distB="0" distL="0" distR="0" wp14:anchorId="25D18498" wp14:editId="69F48604">
            <wp:extent cx="5285702" cy="2726848"/>
            <wp:effectExtent l="0" t="0" r="0" b="0"/>
            <wp:docPr id="1421656555" name="Picture 1421656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56555" name="Picture 1421656555">
                      <a:extLst>
                        <a:ext uri="{C183D7F6-B498-43B3-948B-1728B52AA6E4}">
                          <adec:decorative xmlns:adec="http://schemas.microsoft.com/office/drawing/2017/decorative" val="1"/>
                        </a:ext>
                      </a:extLst>
                    </pic:cNvPr>
                    <pic:cNvPicPr>
                      <a:picLocks noChangeAspect="1" noChangeArrowheads="1"/>
                    </pic:cNvPicPr>
                  </pic:nvPicPr>
                  <pic:blipFill rotWithShape="1">
                    <a:blip r:embed="rId202" cstate="screen">
                      <a:lum contrast="20000"/>
                      <a:extLst>
                        <a:ext uri="{28A0092B-C50C-407E-A947-70E740481C1C}">
                          <a14:useLocalDpi xmlns:a14="http://schemas.microsoft.com/office/drawing/2010/main"/>
                        </a:ext>
                      </a:extLst>
                    </a:blip>
                    <a:srcRect/>
                    <a:stretch/>
                  </pic:blipFill>
                  <pic:spPr bwMode="auto">
                    <a:xfrm>
                      <a:off x="0" y="0"/>
                      <a:ext cx="5286374" cy="2727195"/>
                    </a:xfrm>
                    <a:prstGeom prst="rect">
                      <a:avLst/>
                    </a:prstGeom>
                    <a:noFill/>
                    <a:ln>
                      <a:noFill/>
                    </a:ln>
                    <a:extLst>
                      <a:ext uri="{53640926-AAD7-44D8-BBD7-CCE9431645EC}">
                        <a14:shadowObscured xmlns:a14="http://schemas.microsoft.com/office/drawing/2010/main"/>
                      </a:ext>
                    </a:extLst>
                  </pic:spPr>
                </pic:pic>
              </a:graphicData>
            </a:graphic>
          </wp:inline>
        </w:drawing>
      </w:r>
    </w:p>
    <w:p w14:paraId="4293D766" w14:textId="6AEC4175" w:rsidR="00870E13" w:rsidRPr="00870E13" w:rsidRDefault="001078C1" w:rsidP="00304D92">
      <w:pPr>
        <w:spacing w:after="0" w:line="240" w:lineRule="auto"/>
        <w:ind w:left="397"/>
        <w:rPr>
          <w:rFonts w:cs="Arial"/>
          <w14:numForm w14:val="lining"/>
          <w14:numSpacing w14:val="proportional"/>
        </w:rPr>
      </w:pPr>
      <w:r w:rsidRPr="00BB2888">
        <w:rPr>
          <w:rFonts w:cs="Arial"/>
          <w:sz w:val="18"/>
          <w:szCs w:val="18"/>
          <w14:numForm w14:val="lining"/>
          <w14:numSpacing w14:val="proportional"/>
        </w:rPr>
        <w:t xml:space="preserve">Source: National Archives of Australia, item </w:t>
      </w:r>
      <w:r w:rsidRPr="00BB2888">
        <w:rPr>
          <w:rFonts w:cs="Arial"/>
          <w:sz w:val="18"/>
          <w:szCs w:val="18"/>
        </w:rPr>
        <w:t>31507036</w:t>
      </w:r>
    </w:p>
    <w:p w14:paraId="7FB6101F" w14:textId="77777777" w:rsidR="009E09C1" w:rsidRPr="009E09C1" w:rsidRDefault="009E09C1" w:rsidP="009E09C1">
      <w:pPr>
        <w:pStyle w:val="Heading3"/>
        <w:rPr>
          <w:color w:val="9F1853" w:themeColor="accent4"/>
        </w:rPr>
      </w:pPr>
      <w:r w:rsidRPr="009E09C1">
        <w:rPr>
          <w:color w:val="9F1853" w:themeColor="accent4"/>
        </w:rPr>
        <w:t>Aviation</w:t>
      </w:r>
    </w:p>
    <w:p w14:paraId="2E9D09D8" w14:textId="2665FA4B" w:rsidR="009E09C1" w:rsidRPr="0040719B" w:rsidRDefault="009E09C1" w:rsidP="009E09C1">
      <w:pPr>
        <w:shd w:val="clear" w:color="auto" w:fill="FFFFFF" w:themeFill="background1"/>
        <w:spacing w:after="120" w:line="276" w:lineRule="auto"/>
        <w:rPr>
          <w:rFonts w:asciiTheme="majorHAnsi" w:eastAsia="Times New Roman" w:hAnsiTheme="majorHAnsi" w:cstheme="majorHAnsi"/>
          <w:color w:val="222222"/>
          <w:lang w:eastAsia="en-AU"/>
          <w14:numForm w14:val="lining"/>
          <w14:numSpacing w14:val="proportional"/>
        </w:rPr>
      </w:pPr>
      <w:r w:rsidRPr="0040719B">
        <w:rPr>
          <w:rFonts w:asciiTheme="majorHAnsi" w:eastAsia="Times New Roman" w:hAnsiTheme="majorHAnsi" w:cstheme="majorHAnsi"/>
          <w:color w:val="222222"/>
          <w:lang w:eastAsia="en-AU"/>
          <w14:numForm w14:val="lining"/>
          <w14:numSpacing w14:val="proportional"/>
        </w:rPr>
        <w:t>S</w:t>
      </w:r>
      <w:r w:rsidR="00707637">
        <w:rPr>
          <w:rFonts w:asciiTheme="majorHAnsi" w:eastAsia="Times New Roman" w:hAnsiTheme="majorHAnsi" w:cstheme="majorHAnsi"/>
          <w:color w:val="222222"/>
          <w:lang w:eastAsia="en-AU"/>
          <w14:numForm w14:val="lining"/>
          <w14:numSpacing w14:val="proportional"/>
        </w:rPr>
        <w:t xml:space="preserve">ustainable </w:t>
      </w:r>
      <w:r w:rsidRPr="0040719B">
        <w:rPr>
          <w:rFonts w:asciiTheme="majorHAnsi" w:eastAsia="Times New Roman" w:hAnsiTheme="majorHAnsi" w:cstheme="majorHAnsi"/>
          <w:color w:val="222222"/>
          <w:lang w:eastAsia="en-AU"/>
          <w14:numForm w14:val="lining"/>
          <w14:numSpacing w14:val="proportional"/>
        </w:rPr>
        <w:t>A</w:t>
      </w:r>
      <w:r w:rsidR="00707637">
        <w:rPr>
          <w:rFonts w:asciiTheme="majorHAnsi" w:eastAsia="Times New Roman" w:hAnsiTheme="majorHAnsi" w:cstheme="majorHAnsi"/>
          <w:color w:val="222222"/>
          <w:lang w:eastAsia="en-AU"/>
          <w14:numForm w14:val="lining"/>
          <w14:numSpacing w14:val="proportional"/>
        </w:rPr>
        <w:t xml:space="preserve">ir </w:t>
      </w:r>
      <w:r w:rsidRPr="0040719B">
        <w:rPr>
          <w:rFonts w:asciiTheme="majorHAnsi" w:eastAsia="Times New Roman" w:hAnsiTheme="majorHAnsi" w:cstheme="majorHAnsi"/>
          <w:color w:val="222222"/>
          <w:lang w:eastAsia="en-AU"/>
          <w14:numForm w14:val="lining"/>
          <w14:numSpacing w14:val="proportional"/>
        </w:rPr>
        <w:t>F</w:t>
      </w:r>
      <w:r w:rsidR="00707637">
        <w:rPr>
          <w:rFonts w:asciiTheme="majorHAnsi" w:eastAsia="Times New Roman" w:hAnsiTheme="majorHAnsi" w:cstheme="majorHAnsi"/>
          <w:color w:val="222222"/>
          <w:lang w:eastAsia="en-AU"/>
          <w14:numForm w14:val="lining"/>
          <w14:numSpacing w14:val="proportional"/>
        </w:rPr>
        <w:t>uel (SAF)</w:t>
      </w:r>
      <w:r w:rsidRPr="0040719B">
        <w:rPr>
          <w:rFonts w:asciiTheme="majorHAnsi" w:eastAsia="Times New Roman" w:hAnsiTheme="majorHAnsi" w:cstheme="majorHAnsi"/>
          <w:color w:val="222222"/>
          <w:lang w:eastAsia="en-AU"/>
          <w14:numForm w14:val="lining"/>
          <w14:numSpacing w14:val="proportional"/>
        </w:rPr>
        <w:t xml:space="preserve"> refers to aviation fuels developed from sources other than fossil fuels. This </w:t>
      </w:r>
      <w:r>
        <w:rPr>
          <w:rFonts w:asciiTheme="majorHAnsi" w:eastAsia="Times New Roman" w:hAnsiTheme="majorHAnsi" w:cstheme="majorHAnsi"/>
          <w:color w:val="222222"/>
          <w:lang w:eastAsia="en-AU"/>
          <w14:numForm w14:val="lining"/>
          <w14:numSpacing w14:val="proportional"/>
        </w:rPr>
        <w:t>can</w:t>
      </w:r>
      <w:r w:rsidRPr="0040719B">
        <w:rPr>
          <w:rFonts w:asciiTheme="majorHAnsi" w:eastAsia="Times New Roman" w:hAnsiTheme="majorHAnsi" w:cstheme="majorHAnsi"/>
          <w:color w:val="222222"/>
          <w:lang w:eastAsia="en-AU"/>
          <w14:numForm w14:val="lining"/>
          <w14:numSpacing w14:val="proportional"/>
        </w:rPr>
        <w:t xml:space="preserve"> </w:t>
      </w:r>
      <w:r w:rsidR="006D3148">
        <w:rPr>
          <w:rFonts w:asciiTheme="majorHAnsi" w:eastAsia="Times New Roman" w:hAnsiTheme="majorHAnsi" w:cstheme="majorHAnsi"/>
          <w:color w:val="222222"/>
          <w:lang w:eastAsia="en-AU"/>
          <w14:numForm w14:val="lining"/>
          <w14:numSpacing w14:val="proportional"/>
        </w:rPr>
        <w:t xml:space="preserve">include </w:t>
      </w:r>
      <w:r w:rsidRPr="0040719B">
        <w:rPr>
          <w:rFonts w:asciiTheme="majorHAnsi" w:eastAsia="Times New Roman" w:hAnsiTheme="majorHAnsi" w:cstheme="majorHAnsi"/>
          <w:color w:val="222222"/>
          <w:lang w:eastAsia="en-AU"/>
          <w14:numForm w14:val="lining"/>
          <w14:numSpacing w14:val="proportional"/>
        </w:rPr>
        <w:t xml:space="preserve">cooking oils, plant oils, municipal waste, waste gases, agricultural residue and non-biological alternative </w:t>
      </w:r>
      <w:r w:rsidR="003C654A">
        <w:rPr>
          <w:rFonts w:asciiTheme="majorHAnsi" w:eastAsia="Times New Roman" w:hAnsiTheme="majorHAnsi" w:cstheme="majorHAnsi"/>
          <w:color w:val="222222"/>
          <w:lang w:eastAsia="en-AU"/>
          <w14:numForm w14:val="lining"/>
          <w14:numSpacing w14:val="proportional"/>
        </w:rPr>
        <w:t xml:space="preserve">low or zero carbon </w:t>
      </w:r>
      <w:r w:rsidRPr="0040719B">
        <w:rPr>
          <w:rFonts w:asciiTheme="majorHAnsi" w:eastAsia="Times New Roman" w:hAnsiTheme="majorHAnsi" w:cstheme="majorHAnsi"/>
          <w:color w:val="222222"/>
          <w:lang w:eastAsia="en-AU"/>
          <w14:numForm w14:val="lining"/>
          <w14:numSpacing w14:val="proportional"/>
        </w:rPr>
        <w:t xml:space="preserve">fuels. To support the global emergence of SAF industries, various government bodies around the world have implemented policies to foster the uptake of SAF. </w:t>
      </w:r>
      <w:r>
        <w:rPr>
          <w:rFonts w:asciiTheme="majorHAnsi" w:eastAsia="Times New Roman" w:hAnsiTheme="majorHAnsi" w:cstheme="majorHAnsi"/>
          <w:color w:val="222222"/>
          <w:lang w:eastAsia="en-AU"/>
          <w14:numForm w14:val="lining"/>
          <w14:numSpacing w14:val="proportional"/>
        </w:rPr>
        <w:t>There is also a great deal of research and development on electric aircraft, however this is unlikely to be deployed on a large scale in the short term.</w:t>
      </w:r>
    </w:p>
    <w:p w14:paraId="21496C55" w14:textId="77777777" w:rsidR="00F26634" w:rsidRPr="0040719B" w:rsidRDefault="00F26634" w:rsidP="00F26634">
      <w:pPr>
        <w:spacing w:after="120" w:line="276" w:lineRule="auto"/>
        <w:rPr>
          <w:rFonts w:asciiTheme="majorHAnsi" w:hAnsiTheme="majorHAnsi" w:cstheme="majorBidi"/>
          <w14:numForm w14:val="lining"/>
          <w14:numSpacing w14:val="proportional"/>
        </w:rPr>
      </w:pPr>
      <w:r w:rsidRPr="3E880473">
        <w:rPr>
          <w:rFonts w:asciiTheme="majorHAnsi" w:hAnsiTheme="majorHAnsi" w:cstheme="majorBidi"/>
          <w14:numForm w14:val="lining"/>
          <w14:numSpacing w14:val="proportional"/>
        </w:rPr>
        <w:t>Various industry initiatives have been established to explore the use of SAFs. For example, according to Bioenergy Australia, 95% of Qantas Airways’ greenhouse gas emissions come from jet fuel. To commercialise biofueled alternatives, the airline has teamed with Australian farmers and with bioenergy and agricultural technology companies in North America.</w:t>
      </w:r>
      <w:r w:rsidRPr="3E880473">
        <w:rPr>
          <w:rStyle w:val="EndnoteReference"/>
          <w:rFonts w:asciiTheme="majorHAnsi" w:hAnsiTheme="majorHAnsi" w:cstheme="majorBidi"/>
          <w14:numForm w14:val="lining"/>
          <w14:numSpacing w14:val="proportional"/>
        </w:rPr>
        <w:endnoteReference w:id="117"/>
      </w:r>
    </w:p>
    <w:p w14:paraId="598F6DF2" w14:textId="77777777" w:rsidR="009E09C1" w:rsidRDefault="009E09C1" w:rsidP="009E09C1">
      <w:pPr>
        <w:shd w:val="clear" w:color="auto" w:fill="FFFFFF"/>
        <w:spacing w:after="120" w:line="276" w:lineRule="auto"/>
        <w:rPr>
          <w:rFonts w:asciiTheme="majorHAnsi" w:eastAsia="Times New Roman" w:hAnsiTheme="majorHAnsi" w:cstheme="majorHAnsi"/>
          <w:color w:val="222222"/>
          <w:lang w:eastAsia="en-AU"/>
          <w14:numForm w14:val="lining"/>
          <w14:numSpacing w14:val="proportional"/>
        </w:rPr>
      </w:pPr>
      <w:r>
        <w:rPr>
          <w:rFonts w:asciiTheme="majorHAnsi" w:eastAsia="Times New Roman" w:hAnsiTheme="majorHAnsi" w:cstheme="majorHAnsi"/>
          <w:color w:val="222222"/>
          <w:lang w:eastAsia="en-AU"/>
          <w14:numForm w14:val="lining"/>
          <w14:numSpacing w14:val="proportional"/>
        </w:rPr>
        <w:t>I</w:t>
      </w:r>
      <w:r w:rsidRPr="0040719B">
        <w:rPr>
          <w:rFonts w:asciiTheme="majorHAnsi" w:eastAsia="Times New Roman" w:hAnsiTheme="majorHAnsi" w:cstheme="majorHAnsi"/>
          <w:color w:val="222222"/>
          <w:lang w:eastAsia="en-AU"/>
          <w14:numForm w14:val="lining"/>
          <w14:numSpacing w14:val="proportional"/>
        </w:rPr>
        <w:t xml:space="preserve">n 2021 there were </w:t>
      </w:r>
      <w:r>
        <w:rPr>
          <w:rFonts w:asciiTheme="majorHAnsi" w:eastAsia="Times New Roman" w:hAnsiTheme="majorHAnsi" w:cstheme="majorHAnsi"/>
          <w:color w:val="222222"/>
          <w:lang w:eastAsia="en-AU"/>
          <w14:numForm w14:val="lining"/>
          <w14:numSpacing w14:val="proportional"/>
        </w:rPr>
        <w:t>around 37,500</w:t>
      </w:r>
      <w:r w:rsidRPr="0040719B">
        <w:rPr>
          <w:rFonts w:asciiTheme="majorHAnsi" w:eastAsia="Times New Roman" w:hAnsiTheme="majorHAnsi" w:cstheme="majorHAnsi"/>
          <w:color w:val="222222"/>
          <w:lang w:eastAsia="en-AU"/>
          <w14:numForm w14:val="lining"/>
          <w14:numSpacing w14:val="proportional"/>
        </w:rPr>
        <w:t xml:space="preserve"> people </w:t>
      </w:r>
      <w:r>
        <w:rPr>
          <w:rFonts w:asciiTheme="majorHAnsi" w:eastAsia="Times New Roman" w:hAnsiTheme="majorHAnsi" w:cstheme="majorHAnsi"/>
          <w:color w:val="222222"/>
          <w:lang w:eastAsia="en-AU"/>
          <w14:numForm w14:val="lining"/>
          <w14:numSpacing w14:val="proportional"/>
        </w:rPr>
        <w:t xml:space="preserve">employed </w:t>
      </w:r>
      <w:r w:rsidRPr="0040719B">
        <w:rPr>
          <w:rFonts w:asciiTheme="majorHAnsi" w:eastAsia="Times New Roman" w:hAnsiTheme="majorHAnsi" w:cstheme="majorHAnsi"/>
          <w:color w:val="222222"/>
          <w:lang w:eastAsia="en-AU"/>
          <w14:numForm w14:val="lining"/>
          <w14:numSpacing w14:val="proportional"/>
        </w:rPr>
        <w:t xml:space="preserve">in Air and Space Transport, </w:t>
      </w:r>
      <w:r>
        <w:rPr>
          <w:rFonts w:asciiTheme="majorHAnsi" w:eastAsia="Times New Roman" w:hAnsiTheme="majorHAnsi" w:cstheme="majorHAnsi"/>
          <w:color w:val="222222"/>
          <w:lang w:eastAsia="en-AU"/>
          <w14:numForm w14:val="lining"/>
          <w14:numSpacing w14:val="proportional"/>
        </w:rPr>
        <w:t>11,500 in</w:t>
      </w:r>
      <w:r w:rsidRPr="0040719B">
        <w:rPr>
          <w:rFonts w:asciiTheme="majorHAnsi" w:eastAsia="Times New Roman" w:hAnsiTheme="majorHAnsi" w:cstheme="majorHAnsi"/>
          <w:color w:val="222222"/>
          <w:lang w:eastAsia="en-AU"/>
          <w14:numForm w14:val="lining"/>
          <w14:numSpacing w14:val="proportional"/>
        </w:rPr>
        <w:t xml:space="preserve"> </w:t>
      </w:r>
      <w:r>
        <w:rPr>
          <w:rFonts w:asciiTheme="majorHAnsi" w:eastAsia="Times New Roman" w:hAnsiTheme="majorHAnsi" w:cstheme="majorHAnsi"/>
          <w:color w:val="222222"/>
          <w:lang w:eastAsia="en-AU"/>
          <w14:numForm w14:val="lining"/>
          <w14:numSpacing w14:val="proportional"/>
        </w:rPr>
        <w:t>Airport</w:t>
      </w:r>
      <w:r w:rsidRPr="0040719B">
        <w:rPr>
          <w:rFonts w:asciiTheme="majorHAnsi" w:eastAsia="Times New Roman" w:hAnsiTheme="majorHAnsi" w:cstheme="majorHAnsi"/>
          <w:color w:val="222222"/>
          <w:lang w:eastAsia="en-AU"/>
          <w14:numForm w14:val="lining"/>
          <w14:numSpacing w14:val="proportional"/>
        </w:rPr>
        <w:t xml:space="preserve"> Operations and Other Air Transport Support Services</w:t>
      </w:r>
      <w:r>
        <w:rPr>
          <w:rFonts w:asciiTheme="majorHAnsi" w:eastAsia="Times New Roman" w:hAnsiTheme="majorHAnsi" w:cstheme="majorHAnsi"/>
          <w:color w:val="222222"/>
          <w:lang w:eastAsia="en-AU"/>
          <w14:numForm w14:val="lining"/>
          <w14:numSpacing w14:val="proportional"/>
        </w:rPr>
        <w:t>, and 7,300 in Aircraft Manufacturing and Repair Services</w:t>
      </w:r>
      <w:r w:rsidRPr="0040719B">
        <w:rPr>
          <w:rFonts w:asciiTheme="majorHAnsi" w:eastAsia="Times New Roman" w:hAnsiTheme="majorHAnsi" w:cstheme="majorHAnsi"/>
          <w:color w:val="222222"/>
          <w:lang w:eastAsia="en-AU"/>
          <w14:numForm w14:val="lining"/>
          <w14:numSpacing w14:val="proportional"/>
        </w:rPr>
        <w:t>.</w:t>
      </w:r>
      <w:r>
        <w:rPr>
          <w:rFonts w:asciiTheme="majorHAnsi" w:eastAsia="Times New Roman" w:hAnsiTheme="majorHAnsi" w:cstheme="majorHAnsi"/>
          <w:color w:val="222222"/>
          <w:lang w:eastAsia="en-AU"/>
          <w14:numForm w14:val="lining"/>
          <w14:numSpacing w14:val="proportional"/>
        </w:rPr>
        <w:t xml:space="preserve"> While these jobs are unlikely to experience major change as a result of decarbonisation, they will require new training to work with SAF. Demand for these fuels would also increase demand for a local workforce.</w:t>
      </w:r>
    </w:p>
    <w:p w14:paraId="6E79CBE1" w14:textId="77777777" w:rsidR="009E09C1" w:rsidRDefault="009E09C1" w:rsidP="009E09C1">
      <w:pPr>
        <w:pStyle w:val="IntenseQuote"/>
        <w:pBdr>
          <w:top w:val="single" w:sz="4" w:space="10" w:color="9F1853" w:themeColor="accent4"/>
          <w:bottom w:val="single" w:sz="4" w:space="10" w:color="9F1853" w:themeColor="accent4"/>
        </w:pBdr>
        <w:spacing w:before="240" w:after="120"/>
        <w:ind w:left="624" w:right="624"/>
        <w:rPr>
          <w:color w:val="000000" w:themeColor="text1"/>
        </w:rPr>
      </w:pPr>
      <w:r w:rsidRPr="00ED3AB4">
        <w:rPr>
          <w:color w:val="000000" w:themeColor="text1"/>
        </w:rPr>
        <w:t xml:space="preserve">“The introduction of new fuels and technologies will require new operational skills from the aviation workforce, including at regional airports. Regionally based operators, with smaller workforces and less training capacity compared to larger operators may face difficulties in training and attracting a workforce that is prepared for the adoption of these technologies and fuels. </w:t>
      </w:r>
    </w:p>
    <w:p w14:paraId="518F7751" w14:textId="1231F306" w:rsidR="009E09C1" w:rsidRDefault="009E09C1" w:rsidP="009E09C1">
      <w:pPr>
        <w:pStyle w:val="IntenseQuote"/>
        <w:pBdr>
          <w:top w:val="single" w:sz="4" w:space="10" w:color="9F1853" w:themeColor="accent4"/>
          <w:bottom w:val="single" w:sz="4" w:space="10" w:color="9F1853" w:themeColor="accent4"/>
        </w:pBdr>
        <w:spacing w:before="120" w:after="240"/>
        <w:ind w:left="624" w:right="624"/>
        <w:rPr>
          <w:rStyle w:val="EndnoteReference"/>
          <w:i w:val="0"/>
          <w:color w:val="000000" w:themeColor="text1"/>
        </w:rPr>
      </w:pPr>
      <w:r w:rsidRPr="00ED3AB4">
        <w:rPr>
          <w:color w:val="000000" w:themeColor="text1"/>
        </w:rPr>
        <w:t>For operators, there are uncertainties about the costs associated with electric aircraft. The scenario planning work undertaken for the Department indicates airlines procuring new electric aircraft will likely incur substantial capital costs, whi</w:t>
      </w:r>
      <w:r w:rsidR="00707637">
        <w:rPr>
          <w:color w:val="000000" w:themeColor="text1"/>
        </w:rPr>
        <w:t>ch</w:t>
      </w:r>
      <w:r w:rsidR="00304D92">
        <w:rPr>
          <w:color w:val="000000" w:themeColor="text1"/>
        </w:rPr>
        <w:t xml:space="preserve"> </w:t>
      </w:r>
      <w:r w:rsidRPr="00ED3AB4">
        <w:rPr>
          <w:color w:val="000000" w:themeColor="text1"/>
        </w:rPr>
        <w:t>would typically be offset through high aircraft utilisation. This higher utilisation requirement may diminish their suitability for regional routes”</w:t>
      </w:r>
      <w:r>
        <w:rPr>
          <w:color w:val="000000" w:themeColor="text1"/>
        </w:rPr>
        <w:t>.</w:t>
      </w:r>
    </w:p>
    <w:p w14:paraId="07E12C94" w14:textId="4480728F" w:rsidR="009E09C1" w:rsidRPr="00066811" w:rsidRDefault="009E09C1" w:rsidP="009E09C1">
      <w:pPr>
        <w:pStyle w:val="IntenseQuote"/>
        <w:pBdr>
          <w:top w:val="single" w:sz="4" w:space="10" w:color="9F1853" w:themeColor="accent4"/>
          <w:bottom w:val="single" w:sz="4" w:space="10" w:color="9F1853" w:themeColor="accent4"/>
        </w:pBdr>
        <w:spacing w:before="240" w:after="240"/>
        <w:ind w:left="624" w:right="624"/>
        <w:rPr>
          <w:rStyle w:val="FootnoteReference"/>
          <w:i w:val="0"/>
          <w:color w:val="9F1853" w:themeColor="accent4"/>
          <w:lang w:eastAsia="en-AU"/>
          <w14:numForm w14:val="lining"/>
          <w14:numSpacing w14:val="proportional"/>
        </w:rPr>
      </w:pPr>
      <w:r w:rsidRPr="00066811">
        <w:rPr>
          <w:i w:val="0"/>
          <w:iCs w:val="0"/>
          <w:color w:val="9F1853" w:themeColor="accent4"/>
        </w:rPr>
        <w:t>– Aviation Green Paper</w:t>
      </w:r>
      <w:r w:rsidR="4E3B6CAA" w:rsidRPr="706A1C94">
        <w:rPr>
          <w:i w:val="0"/>
          <w:iCs w:val="0"/>
          <w:color w:val="9F1853" w:themeColor="accent4"/>
        </w:rPr>
        <w:t>.</w:t>
      </w:r>
      <w:r w:rsidRPr="68E9CD35">
        <w:rPr>
          <w:rStyle w:val="EndnoteReference"/>
          <w:i w:val="0"/>
          <w:iCs w:val="0"/>
          <w:color w:val="9F1853" w:themeColor="accent4"/>
        </w:rPr>
        <w:endnoteReference w:id="118"/>
      </w:r>
    </w:p>
    <w:p w14:paraId="6477EE8C" w14:textId="77777777" w:rsidR="009E09C1" w:rsidRPr="009E09C1" w:rsidRDefault="009E09C1" w:rsidP="009E09C1">
      <w:pPr>
        <w:pStyle w:val="Heading3"/>
        <w:spacing w:before="600"/>
        <w:rPr>
          <w:color w:val="9F1853" w:themeColor="accent4"/>
        </w:rPr>
      </w:pPr>
      <w:r w:rsidRPr="009E09C1">
        <w:rPr>
          <w:color w:val="9F1853" w:themeColor="accent4"/>
        </w:rPr>
        <w:t>Road freight</w:t>
      </w:r>
    </w:p>
    <w:p w14:paraId="68076752" w14:textId="554A3077" w:rsidR="009E09C1" w:rsidRDefault="009E09C1" w:rsidP="00E917E1">
      <w:pPr>
        <w:pStyle w:val="Bodycopy"/>
        <w:spacing w:line="276" w:lineRule="auto"/>
      </w:pPr>
      <w:r>
        <w:t xml:space="preserve">Like passenger vehicles, road freight will gradually shift from fossil-fuels to renewables. Due to the high energy requirements of heavy road freight, hydrogen powered vehicles may be a common alternative alongside battery power. While the core skills of a </w:t>
      </w:r>
      <w:r w:rsidR="7A75B35C">
        <w:t>T</w:t>
      </w:r>
      <w:r>
        <w:t xml:space="preserve">ruck </w:t>
      </w:r>
      <w:r w:rsidR="5D4073D5">
        <w:t>D</w:t>
      </w:r>
      <w:r>
        <w:t xml:space="preserve">river won’t change, there will be a need for drivers to become familiar with new technologies and learn how to operate them safely, as will </w:t>
      </w:r>
      <w:r w:rsidR="79026E0B">
        <w:t>M</w:t>
      </w:r>
      <w:r>
        <w:t>echanics. The Australian Government is currently consulting on national safety standards for electric and hydrogen-fuelled vehicles. As road freight is a major user of fuel, decarbonising this sector will drive demand for new infrastructure like charging stations and hydrogen service stations as explored above.</w:t>
      </w:r>
    </w:p>
    <w:p w14:paraId="7F13954B" w14:textId="77777777" w:rsidR="009E09C1" w:rsidRDefault="009E09C1" w:rsidP="009E09C1">
      <w:pPr>
        <w:rPr>
          <w:rFonts w:eastAsiaTheme="majorEastAsia" w:cstheme="majorBidi"/>
          <w:b/>
          <w:color w:val="9F1853" w:themeColor="accent4"/>
          <w:sz w:val="32"/>
          <w:szCs w:val="26"/>
        </w:rPr>
      </w:pPr>
      <w:r>
        <w:rPr>
          <w:color w:val="9F1853" w:themeColor="accent4"/>
        </w:rPr>
        <w:br w:type="page"/>
      </w:r>
    </w:p>
    <w:p w14:paraId="2D535CA7" w14:textId="77777777" w:rsidR="009E09C1" w:rsidRPr="00855524" w:rsidRDefault="009E09C1" w:rsidP="009E09C1">
      <w:pPr>
        <w:pStyle w:val="Heading3"/>
        <w:spacing w:before="600"/>
        <w:rPr>
          <w:color w:val="9F1853" w:themeColor="accent4"/>
        </w:rPr>
      </w:pPr>
      <w:r w:rsidRPr="00855524">
        <w:rPr>
          <w:color w:val="9F1853" w:themeColor="accent4"/>
        </w:rPr>
        <w:t>Maritime</w:t>
      </w:r>
    </w:p>
    <w:p w14:paraId="721636A0" w14:textId="77777777" w:rsidR="009E09C1" w:rsidRPr="005E05CE" w:rsidRDefault="009E09C1" w:rsidP="00E917E1">
      <w:pPr>
        <w:spacing w:after="120" w:line="276" w:lineRule="auto"/>
        <w:rPr>
          <w:rFonts w:asciiTheme="majorHAnsi" w:hAnsiTheme="majorHAnsi" w:cstheme="majorBidi"/>
        </w:rPr>
      </w:pPr>
      <w:r w:rsidRPr="3E880473">
        <w:rPr>
          <w:rFonts w:asciiTheme="majorHAnsi" w:hAnsiTheme="majorHAnsi" w:cstheme="majorBidi"/>
        </w:rPr>
        <w:t xml:space="preserve">The International Transport Forum, an intergovernmental organisation with 59 member countries including Australia, is a think-tank for transport policy and organises the Annual Summit of Transport Ministers. Its 2018 report, </w:t>
      </w:r>
      <w:r w:rsidRPr="3E880473">
        <w:rPr>
          <w:rFonts w:asciiTheme="majorHAnsi" w:hAnsiTheme="majorHAnsi" w:cstheme="majorBidi"/>
          <w:i/>
          <w:iCs/>
        </w:rPr>
        <w:t>Decarbonising Maritime Transport: Pathways to zero-carbon shipping by 2035</w:t>
      </w:r>
      <w:r w:rsidRPr="3E880473">
        <w:rPr>
          <w:rFonts w:asciiTheme="majorHAnsi" w:hAnsiTheme="majorHAnsi" w:cstheme="majorBidi"/>
        </w:rPr>
        <w:t>, found that the maximum deployment of currently known technologies may make it possible to reach near complete decarbonisation of maritime shipping by 2035.</w:t>
      </w:r>
      <w:r w:rsidRPr="3E880473">
        <w:rPr>
          <w:rStyle w:val="EndnoteReference"/>
          <w:rFonts w:asciiTheme="majorHAnsi" w:hAnsiTheme="majorHAnsi" w:cstheme="majorBidi"/>
        </w:rPr>
        <w:endnoteReference w:id="119"/>
      </w:r>
    </w:p>
    <w:p w14:paraId="593A8EA9" w14:textId="48CBBFE6" w:rsidR="009E09C1" w:rsidRPr="005E05CE" w:rsidRDefault="009E09C1" w:rsidP="00E917E1">
      <w:pPr>
        <w:spacing w:after="120" w:line="276" w:lineRule="auto"/>
        <w:rPr>
          <w:rFonts w:asciiTheme="majorHAnsi" w:hAnsiTheme="majorHAnsi" w:cstheme="majorHAnsi"/>
        </w:rPr>
      </w:pPr>
      <w:r w:rsidRPr="005E05CE">
        <w:rPr>
          <w:rFonts w:asciiTheme="majorHAnsi" w:hAnsiTheme="majorHAnsi" w:cstheme="majorHAnsi"/>
        </w:rPr>
        <w:t xml:space="preserve">The report cited that the use of alternative </w:t>
      </w:r>
      <w:r w:rsidR="003C654A">
        <w:rPr>
          <w:rFonts w:asciiTheme="majorHAnsi" w:hAnsiTheme="majorHAnsi" w:cstheme="majorHAnsi"/>
        </w:rPr>
        <w:t xml:space="preserve">low or zero carbon </w:t>
      </w:r>
      <w:r w:rsidRPr="005E05CE">
        <w:rPr>
          <w:rFonts w:asciiTheme="majorHAnsi" w:hAnsiTheme="majorHAnsi" w:cstheme="majorHAnsi"/>
        </w:rPr>
        <w:t xml:space="preserve">fuels and renewable energy could facilitate much of these reductions. Biofuels are already available for use and could in time be complemented by other natural or synthetic </w:t>
      </w:r>
      <w:r w:rsidR="003C654A">
        <w:rPr>
          <w:rFonts w:asciiTheme="majorHAnsi" w:hAnsiTheme="majorHAnsi" w:cstheme="majorHAnsi"/>
        </w:rPr>
        <w:t xml:space="preserve">low or zero carbon </w:t>
      </w:r>
      <w:r w:rsidRPr="005E05CE">
        <w:rPr>
          <w:rFonts w:asciiTheme="majorHAnsi" w:hAnsiTheme="majorHAnsi" w:cstheme="majorHAnsi"/>
        </w:rPr>
        <w:t xml:space="preserve">fuels such as methanol, ammonia and hydrogen. Wind assistance could also reap additional reductions, and the first electric ships are already in operation albeit currently only over shorter distances. Production improvements including hull design improvements, air lubrication and bulbous bows were also cited as influencing factors. </w:t>
      </w:r>
    </w:p>
    <w:p w14:paraId="2BFB916A" w14:textId="26AC1360" w:rsidR="009E09C1" w:rsidRDefault="009E09C1" w:rsidP="00E917E1">
      <w:pPr>
        <w:spacing w:after="120" w:line="276" w:lineRule="auto"/>
        <w:rPr>
          <w:rFonts w:asciiTheme="majorHAnsi" w:hAnsiTheme="majorHAnsi" w:cstheme="majorBidi"/>
        </w:rPr>
      </w:pPr>
      <w:r w:rsidRPr="3E880473">
        <w:rPr>
          <w:rFonts w:asciiTheme="majorHAnsi" w:hAnsiTheme="majorHAnsi" w:cstheme="majorBidi"/>
          <w:color w:val="auto"/>
        </w:rPr>
        <w:t>To achieve these targets, developments and collaboration will be required between the likes of energy companies, </w:t>
      </w:r>
      <w:hyperlink r:id="rId203" w:history="1">
        <w:r w:rsidRPr="3E880473">
          <w:rPr>
            <w:rFonts w:asciiTheme="majorHAnsi" w:hAnsiTheme="majorHAnsi" w:cstheme="majorBidi"/>
            <w:color w:val="auto"/>
          </w:rPr>
          <w:t>ports</w:t>
        </w:r>
      </w:hyperlink>
      <w:r w:rsidRPr="3E880473">
        <w:rPr>
          <w:rFonts w:asciiTheme="majorHAnsi" w:hAnsiTheme="majorHAnsi" w:cstheme="majorBidi"/>
          <w:color w:val="auto"/>
        </w:rPr>
        <w:t>, shipping companies and cargo owners, and increased demand for transferable and new skills will likely rise. Ports, for example, will need to help support maritime decarbonisation via skills in storing and bunkering new fuels and onshore power supplies. They are also likely to require skills in</w:t>
      </w:r>
      <w:r w:rsidRPr="3E880473">
        <w:rPr>
          <w:rFonts w:asciiTheme="majorHAnsi" w:hAnsiTheme="majorHAnsi" w:cstheme="majorBidi"/>
        </w:rPr>
        <w:t xml:space="preserve"> retrofitting ships running on alternative </w:t>
      </w:r>
      <w:r w:rsidR="003C654A" w:rsidRPr="3E880473">
        <w:rPr>
          <w:rFonts w:asciiTheme="majorHAnsi" w:hAnsiTheme="majorHAnsi" w:cstheme="majorBidi"/>
        </w:rPr>
        <w:t xml:space="preserve">low or zero carbon </w:t>
      </w:r>
      <w:r w:rsidRPr="3E880473">
        <w:rPr>
          <w:rFonts w:asciiTheme="majorHAnsi" w:hAnsiTheme="majorHAnsi" w:cstheme="majorBidi"/>
        </w:rPr>
        <w:t>fuels.</w:t>
      </w:r>
      <w:r w:rsidRPr="3E880473">
        <w:rPr>
          <w:rStyle w:val="EndnoteReference"/>
          <w:rFonts w:asciiTheme="majorHAnsi" w:hAnsiTheme="majorHAnsi" w:cstheme="majorBidi"/>
        </w:rPr>
        <w:endnoteReference w:id="120"/>
      </w:r>
    </w:p>
    <w:p w14:paraId="5204EA40" w14:textId="481D2E81" w:rsidR="009E09C1" w:rsidRDefault="009E09C1" w:rsidP="00E917E1">
      <w:pPr>
        <w:spacing w:after="0" w:line="276" w:lineRule="auto"/>
        <w:rPr>
          <w:rFonts w:asciiTheme="majorHAnsi" w:hAnsiTheme="majorHAnsi" w:cstheme="majorBidi"/>
          <w:color w:val="auto"/>
        </w:rPr>
      </w:pPr>
      <w:r w:rsidRPr="3E880473">
        <w:rPr>
          <w:rFonts w:asciiTheme="majorHAnsi" w:hAnsiTheme="majorHAnsi" w:cstheme="majorBidi"/>
          <w:color w:val="auto"/>
        </w:rPr>
        <w:t>According to the United Nations Conference on Trade and Development (UNCTAD), shipbuilders and engine manufacturers skilled in building crafts with engines capable of operating efficiently on the likes of methanol, and fuel oil will likely be required in greater numbers.</w:t>
      </w:r>
      <w:r w:rsidRPr="3E880473">
        <w:rPr>
          <w:rStyle w:val="EndnoteReference"/>
          <w:rFonts w:asciiTheme="majorHAnsi" w:hAnsiTheme="majorHAnsi" w:cstheme="majorBidi"/>
          <w:color w:val="auto"/>
        </w:rPr>
        <w:endnoteReference w:id="121"/>
      </w:r>
      <w:r w:rsidRPr="3E880473">
        <w:rPr>
          <w:rFonts w:asciiTheme="majorHAnsi" w:hAnsiTheme="majorHAnsi" w:cstheme="majorBidi"/>
        </w:rPr>
        <w:t xml:space="preserve"> Increased demand for skills in</w:t>
      </w:r>
      <w:r w:rsidRPr="3E880473">
        <w:rPr>
          <w:rFonts w:asciiTheme="majorHAnsi" w:hAnsiTheme="majorHAnsi" w:cstheme="majorBidi"/>
          <w:color w:val="auto"/>
        </w:rPr>
        <w:t xml:space="preserve"> ship design and manufacturing in the likes of hydrodynamic hull design and wind support, assembly, maintenance, refitting, and end-of-life recycling is anticipated. The ability to supply and refuel vessels with these new fuels will of course be imperative, and likewise cited is a likely increased demand for the production of related equipment and the skills to use them.</w:t>
      </w:r>
    </w:p>
    <w:p w14:paraId="0BA83EDE" w14:textId="141057CC" w:rsidR="009E09C1" w:rsidRPr="005E05CE" w:rsidRDefault="009E09C1" w:rsidP="00E917E1">
      <w:pPr>
        <w:spacing w:before="120" w:after="0" w:line="276" w:lineRule="auto"/>
        <w:rPr>
          <w:rFonts w:asciiTheme="majorHAnsi" w:hAnsiTheme="majorHAnsi" w:cstheme="majorBidi"/>
        </w:rPr>
      </w:pPr>
      <w:r w:rsidRPr="3E880473">
        <w:rPr>
          <w:rFonts w:asciiTheme="majorHAnsi" w:hAnsiTheme="majorHAnsi" w:cstheme="majorBidi"/>
          <w:color w:val="auto"/>
        </w:rPr>
        <w:t>Australia employs almost 8,000 people in Port and Water Transport Terminal Operations, 2,300 in Water Passenger Transport, and 2,250 in Water Freight Transport. The main occupations are Waterside Workers, Ship’s Masters and Deck Hands.</w:t>
      </w:r>
      <w:r w:rsidRPr="3E880473">
        <w:rPr>
          <w:rStyle w:val="EndnoteReference"/>
          <w:rFonts w:asciiTheme="majorHAnsi" w:hAnsiTheme="majorHAnsi" w:cstheme="majorBidi"/>
          <w:color w:val="auto"/>
        </w:rPr>
        <w:endnoteReference w:id="122"/>
      </w:r>
    </w:p>
    <w:p w14:paraId="50809115" w14:textId="77777777" w:rsidR="009E09C1" w:rsidRDefault="009E09C1" w:rsidP="009E09C1">
      <w:pPr>
        <w:rPr>
          <w:rFonts w:eastAsiaTheme="majorEastAsia" w:cstheme="majorBidi"/>
          <w:b/>
          <w:sz w:val="32"/>
          <w:szCs w:val="26"/>
        </w:rPr>
      </w:pPr>
      <w:r>
        <w:br w:type="page"/>
      </w:r>
    </w:p>
    <w:p w14:paraId="42C93600" w14:textId="67670986" w:rsidR="004A3427" w:rsidRDefault="00750802" w:rsidP="003C65B0">
      <w:pPr>
        <w:pStyle w:val="Bodycopy"/>
        <w:spacing w:after="0"/>
        <w:ind w:left="-1446"/>
        <w:rPr>
          <w14:numForm w14:val="lining"/>
          <w14:numSpacing w14:val="proportional"/>
        </w:rPr>
      </w:pPr>
      <w:r>
        <w:rPr>
          <w:noProof/>
        </w:rPr>
        <mc:AlternateContent>
          <mc:Choice Requires="wps">
            <w:drawing>
              <wp:anchor distT="0" distB="0" distL="114300" distR="114300" simplePos="0" relativeHeight="251668580" behindDoc="0" locked="0" layoutInCell="1" allowOverlap="1" wp14:anchorId="4AA2F974" wp14:editId="4C8E365B">
                <wp:simplePos x="0" y="0"/>
                <wp:positionH relativeFrom="column">
                  <wp:posOffset>-914400</wp:posOffset>
                </wp:positionH>
                <wp:positionV relativeFrom="paragraph">
                  <wp:posOffset>3771075</wp:posOffset>
                </wp:positionV>
                <wp:extent cx="7552690" cy="226695"/>
                <wp:effectExtent l="0" t="0" r="0" b="1905"/>
                <wp:wrapNone/>
                <wp:docPr id="1087981659" name="Text Box 16"/>
                <wp:cNvGraphicFramePr/>
                <a:graphic xmlns:a="http://schemas.openxmlformats.org/drawingml/2006/main">
                  <a:graphicData uri="http://schemas.microsoft.com/office/word/2010/wordprocessingShape">
                    <wps:wsp>
                      <wps:cNvSpPr txBox="1"/>
                      <wps:spPr>
                        <a:xfrm>
                          <a:off x="0" y="0"/>
                          <a:ext cx="7552690" cy="226695"/>
                        </a:xfrm>
                        <a:prstGeom prst="rect">
                          <a:avLst/>
                        </a:prstGeom>
                        <a:solidFill>
                          <a:srgbClr val="262626">
                            <a:alpha val="60000"/>
                          </a:srgbClr>
                        </a:solidFill>
                        <a:ln w="6350">
                          <a:noFill/>
                        </a:ln>
                      </wps:spPr>
                      <wps:txbx>
                        <w:txbxContent>
                          <w:p w14:paraId="5EC1B4B0" w14:textId="77777777" w:rsidR="009E09C1" w:rsidRPr="00B36298" w:rsidRDefault="009E09C1" w:rsidP="009E09C1">
                            <w:pPr>
                              <w:spacing w:after="0" w:line="240" w:lineRule="auto"/>
                              <w:ind w:right="357"/>
                              <w:jc w:val="right"/>
                              <w:rPr>
                                <w:color w:val="FFFFFF" w:themeColor="background1"/>
                                <w:sz w:val="18"/>
                                <w:szCs w:val="18"/>
                              </w:rPr>
                            </w:pPr>
                            <w:r>
                              <w:rPr>
                                <w:color w:val="F2F2F2" w:themeColor="background1" w:themeShade="F2"/>
                                <w:sz w:val="18"/>
                                <w:szCs w:val="18"/>
                              </w:rPr>
                              <w:t>Electrical appliance store, Melbourne</w:t>
                            </w:r>
                            <w:r w:rsidRPr="00716E3A">
                              <w:rPr>
                                <w:color w:val="F2F2F2" w:themeColor="background1" w:themeShade="F2"/>
                                <w:sz w:val="18"/>
                                <w:szCs w:val="18"/>
                              </w:rPr>
                              <w:t xml:space="preserve">. National Archives of Australia, </w:t>
                            </w:r>
                            <w:r w:rsidRPr="007E48D8">
                              <w:rPr>
                                <w:color w:val="F2F2F2" w:themeColor="background1" w:themeShade="F2"/>
                                <w:sz w:val="18"/>
                                <w:szCs w:val="18"/>
                              </w:rPr>
                              <w:t>31488579</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t" anchorCtr="0" forceAA="0" compatLnSpc="1">
                        <a:prstTxWarp prst="textNoShape">
                          <a:avLst/>
                        </a:prstTxWarp>
                        <a:noAutofit/>
                      </wps:bodyPr>
                    </wps:wsp>
                  </a:graphicData>
                </a:graphic>
              </wp:anchor>
            </w:drawing>
          </mc:Choice>
          <mc:Fallback>
            <w:pict>
              <v:shape w14:anchorId="4AA2F974" id="Text Box 16" o:spid="_x0000_s1139" type="#_x0000_t202" style="position:absolute;left:0;text-align:left;margin-left:-1in;margin-top:296.95pt;width:594.7pt;height:17.85pt;z-index:2516685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" fillcolor="#262626" stroked="f" strokeweight=".5pt">
                <v:fill opacity="39321f"/>
                <v:textbox inset="2mm,1mm,1mm,1mm">
                  <w:txbxContent>
                    <w:p w14:paraId="5EC1B4B0" w14:textId="77777777" w:rsidR="009E09C1" w:rsidRPr="00B36298" w:rsidRDefault="009E09C1" w:rsidP="009E09C1">
                      <w:pPr>
                        <w:spacing w:after="0" w:line="240" w:lineRule="auto"/>
                        <w:ind w:right="357"/>
                        <w:jc w:val="right"/>
                        <w:rPr>
                          <w:color w:val="FFFFFF" w:themeColor="background1"/>
                          <w:sz w:val="18"/>
                          <w:szCs w:val="18"/>
                        </w:rPr>
                      </w:pPr>
                      <w:r>
                        <w:rPr>
                          <w:color w:val="F2F2F2" w:themeColor="background1" w:themeShade="F2"/>
                          <w:sz w:val="18"/>
                          <w:szCs w:val="18"/>
                        </w:rPr>
                        <w:t>Electrical appliance store, Melbourne</w:t>
                      </w:r>
                      <w:r w:rsidRPr="00716E3A">
                        <w:rPr>
                          <w:color w:val="F2F2F2" w:themeColor="background1" w:themeShade="F2"/>
                          <w:sz w:val="18"/>
                          <w:szCs w:val="18"/>
                        </w:rPr>
                        <w:t xml:space="preserve">. National Archives of Australia, </w:t>
                      </w:r>
                      <w:r w:rsidRPr="007E48D8">
                        <w:rPr>
                          <w:color w:val="F2F2F2" w:themeColor="background1" w:themeShade="F2"/>
                          <w:sz w:val="18"/>
                          <w:szCs w:val="18"/>
                        </w:rPr>
                        <w:t>31488579</w:t>
                      </w:r>
                      <w:r>
                        <w:rPr>
                          <w:color w:val="FFFFFF" w:themeColor="background1"/>
                          <w:sz w:val="18"/>
                          <w:szCs w:val="18"/>
                        </w:rPr>
                        <w:t>.</w:t>
                      </w:r>
                    </w:p>
                  </w:txbxContent>
                </v:textbox>
              </v:shape>
            </w:pict>
          </mc:Fallback>
        </mc:AlternateContent>
      </w:r>
      <w:r>
        <w:rPr>
          <w:noProof/>
          <w14:numForm w14:val="lining"/>
          <w14:numSpacing w14:val="proportional"/>
        </w:rPr>
        <w:drawing>
          <wp:inline distT="0" distB="0" distL="0" distR="0" wp14:anchorId="23F129B0" wp14:editId="2422E694">
            <wp:extent cx="7559675" cy="3999230"/>
            <wp:effectExtent l="0" t="0" r="3175" b="1270"/>
            <wp:docPr id="55089043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90430" name="Picture 17">
                      <a:extLst>
                        <a:ext uri="{C183D7F6-B498-43B3-948B-1728B52AA6E4}">
                          <adec:decorative xmlns:adec="http://schemas.microsoft.com/office/drawing/2017/decorative" val="1"/>
                        </a:ext>
                      </a:extLst>
                    </pic:cNvPr>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7559675" cy="3999230"/>
                    </a:xfrm>
                    <a:prstGeom prst="rect">
                      <a:avLst/>
                    </a:prstGeom>
                    <a:noFill/>
                  </pic:spPr>
                </pic:pic>
              </a:graphicData>
            </a:graphic>
          </wp:inline>
        </w:drawing>
      </w:r>
    </w:p>
    <w:p w14:paraId="6F4AA293" w14:textId="33EA68F4" w:rsidR="009E09C1" w:rsidRDefault="009E09C1" w:rsidP="00CD2E87">
      <w:pPr>
        <w:pStyle w:val="Heading2"/>
        <w:spacing w:before="720" w:after="0"/>
        <w:rPr>
          <w:b w:val="0"/>
          <w14:numForm w14:val="lining"/>
          <w14:numSpacing w14:val="proportional"/>
        </w:rPr>
      </w:pPr>
      <w:bookmarkStart w:id="71" w:name="_Toc146892689"/>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c</w:t>
      </w:r>
      <w:r w:rsidRPr="00BF465F">
        <w:rPr>
          <w:rFonts w:asciiTheme="minorHAnsi" w:hAnsiTheme="minorHAnsi" w:cstheme="minorHAnsi"/>
          <w14:numForm w14:val="lining"/>
          <w14:numSpacing w14:val="proportional"/>
        </w:rPr>
        <w:t>.</w:t>
      </w:r>
      <w:r>
        <w:rPr>
          <w14:numForm w14:val="lining"/>
          <w14:numSpacing w14:val="proportional"/>
        </w:rPr>
        <w:t xml:space="preserve"> </w:t>
      </w:r>
      <w:r w:rsidRPr="00CD2E87">
        <w:rPr>
          <w:b w:val="0"/>
          <w14:numForm w14:val="lining"/>
          <w14:numSpacing w14:val="proportional"/>
        </w:rPr>
        <w:t>Energy performance</w:t>
      </w:r>
      <w:bookmarkEnd w:id="71"/>
    </w:p>
    <w:p w14:paraId="1D4BDA57" w14:textId="2AFAAF8D" w:rsidR="009E09C1" w:rsidRDefault="009E09C1" w:rsidP="00254098">
      <w:pPr>
        <w:pStyle w:val="Default"/>
        <w:spacing w:before="360" w:line="276" w:lineRule="auto"/>
        <w:rPr>
          <w:sz w:val="18"/>
          <w:szCs w:val="18"/>
          <w14:numForm w14:val="lining"/>
          <w14:numSpacing w14:val="proportional"/>
        </w:rPr>
      </w:pPr>
      <w:r w:rsidRPr="002314CD">
        <w:rPr>
          <w:sz w:val="22"/>
          <w:szCs w:val="22"/>
          <w14:numForm w14:val="lining"/>
          <w14:numSpacing w14:val="proportional"/>
        </w:rPr>
        <w:t xml:space="preserve">Energy performance will help Australia reduce its demand for energy and decarbonise faster through electrification and </w:t>
      </w:r>
      <w:r>
        <w:rPr>
          <w:sz w:val="22"/>
          <w:szCs w:val="22"/>
          <w14:numForm w14:val="lining"/>
          <w14:numSpacing w14:val="proportional"/>
        </w:rPr>
        <w:t xml:space="preserve">energy </w:t>
      </w:r>
      <w:r w:rsidRPr="002314CD">
        <w:rPr>
          <w:sz w:val="22"/>
          <w:szCs w:val="22"/>
          <w14:numForm w14:val="lining"/>
          <w14:numSpacing w14:val="proportional"/>
        </w:rPr>
        <w:t xml:space="preserve">efficiency. </w:t>
      </w:r>
      <w:r>
        <w:rPr>
          <w:sz w:val="22"/>
          <w:szCs w:val="22"/>
          <w14:numForm w14:val="lining"/>
          <w14:numSpacing w14:val="proportional"/>
        </w:rPr>
        <w:t>The IRENA estimates that electrification will contribute about 20% of emissions reduction, with energy efficiency contributing 25%.</w:t>
      </w:r>
      <w:r>
        <w:rPr>
          <w:rStyle w:val="EndnoteReference"/>
          <w:sz w:val="18"/>
          <w:szCs w:val="18"/>
          <w14:numForm w14:val="lining"/>
          <w14:numSpacing w14:val="proportional"/>
        </w:rPr>
        <w:endnoteReference w:id="123"/>
      </w:r>
      <w:r>
        <w:rPr>
          <w:sz w:val="18"/>
          <w:szCs w:val="18"/>
          <w14:numForm w14:val="lining"/>
          <w14:numSpacing w14:val="proportional"/>
        </w:rPr>
        <w:t xml:space="preserve"> </w:t>
      </w:r>
    </w:p>
    <w:p w14:paraId="0203F5AE" w14:textId="77777777" w:rsidR="009E09C1" w:rsidRDefault="009E09C1" w:rsidP="009E09C1">
      <w:pPr>
        <w:pStyle w:val="Default"/>
        <w:spacing w:before="120" w:line="276" w:lineRule="auto"/>
        <w:rPr>
          <w:sz w:val="22"/>
          <w:szCs w:val="22"/>
          <w14:numForm w14:val="lining"/>
          <w14:numSpacing w14:val="proportional"/>
        </w:rPr>
      </w:pPr>
      <w:r w:rsidRPr="002314CD">
        <w:rPr>
          <w:sz w:val="22"/>
          <w:szCs w:val="22"/>
          <w14:numForm w14:val="lining"/>
          <w14:numSpacing w14:val="proportional"/>
        </w:rPr>
        <w:t xml:space="preserve">The Australian Government is developing a National Energy Performance Strategy to </w:t>
      </w:r>
      <w:r>
        <w:rPr>
          <w:sz w:val="22"/>
          <w:szCs w:val="22"/>
          <w14:numForm w14:val="lining"/>
          <w14:numSpacing w14:val="proportional"/>
        </w:rPr>
        <w:t>uplift demand</w:t>
      </w:r>
      <w:r w:rsidRPr="002314CD">
        <w:rPr>
          <w:sz w:val="22"/>
          <w:szCs w:val="22"/>
          <w14:numForm w14:val="lining"/>
          <w14:numSpacing w14:val="proportional"/>
        </w:rPr>
        <w:t xml:space="preserve"> across residential, commercial, and industrial settings</w:t>
      </w:r>
      <w:r>
        <w:rPr>
          <w:sz w:val="22"/>
          <w:szCs w:val="22"/>
          <w14:numForm w14:val="lining"/>
          <w14:numSpacing w14:val="proportional"/>
        </w:rPr>
        <w:t>, alongside a range of initiatives implemented by the state and territory governments.</w:t>
      </w:r>
      <w:r w:rsidRPr="002314CD">
        <w:rPr>
          <w:sz w:val="22"/>
          <w:szCs w:val="22"/>
          <w14:numForm w14:val="lining"/>
          <w14:numSpacing w14:val="proportional"/>
        </w:rPr>
        <w:t xml:space="preserve"> The </w:t>
      </w:r>
      <w:r>
        <w:rPr>
          <w:sz w:val="22"/>
          <w:szCs w:val="22"/>
          <w14:numForm w14:val="lining"/>
          <w14:numSpacing w14:val="proportional"/>
        </w:rPr>
        <w:t>Strategy will build on a number of energy efficiency and electrification policies, including:</w:t>
      </w:r>
    </w:p>
    <w:p w14:paraId="6CF4BEEB" w14:textId="77777777"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Nationwide House Energy Rating Scheme (NatHERS)</w:t>
      </w:r>
    </w:p>
    <w:p w14:paraId="044D2BBF" w14:textId="77777777"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National Construction Code energy efficiency requirements</w:t>
      </w:r>
    </w:p>
    <w:p w14:paraId="1F93F7DC" w14:textId="77777777"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National Australian Built Environment Rating System (NABERS)</w:t>
      </w:r>
    </w:p>
    <w:p w14:paraId="0A98729D" w14:textId="61C33E41"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 xml:space="preserve">Equipment Energy Efficiency (E3) Program </w:t>
      </w:r>
    </w:p>
    <w:p w14:paraId="1571B3A6" w14:textId="3F8542A1" w:rsidR="009E09C1" w:rsidRDefault="009E09C1" w:rsidP="00F25595">
      <w:pPr>
        <w:pStyle w:val="Default"/>
        <w:numPr>
          <w:ilvl w:val="0"/>
          <w:numId w:val="68"/>
        </w:numPr>
        <w:spacing w:before="120" w:after="120" w:line="276" w:lineRule="auto"/>
        <w:ind w:left="714" w:hanging="357"/>
        <w:rPr>
          <w:sz w:val="22"/>
          <w:szCs w:val="22"/>
          <w14:numForm w14:val="lining"/>
          <w14:numSpacing w14:val="proportional"/>
        </w:rPr>
      </w:pPr>
      <w:r>
        <w:rPr>
          <w:sz w:val="22"/>
          <w:szCs w:val="22"/>
          <w14:numForm w14:val="lining"/>
          <w14:numSpacing w14:val="proportional"/>
        </w:rPr>
        <w:t>YourHome online guide to sustainable homes</w:t>
      </w:r>
      <w:r w:rsidR="007A430C">
        <w:rPr>
          <w:sz w:val="22"/>
          <w:szCs w:val="22"/>
          <w14:numForm w14:val="lining"/>
          <w14:numSpacing w14:val="proportional"/>
        </w:rPr>
        <w:t>, and</w:t>
      </w:r>
    </w:p>
    <w:p w14:paraId="76214A9E" w14:textId="4FA36899" w:rsidR="007A430C" w:rsidRPr="002E572C" w:rsidRDefault="007A430C" w:rsidP="00F25595">
      <w:pPr>
        <w:pStyle w:val="Default"/>
        <w:numPr>
          <w:ilvl w:val="0"/>
          <w:numId w:val="68"/>
        </w:numPr>
        <w:spacing w:before="120" w:after="120" w:line="276" w:lineRule="auto"/>
        <w:ind w:left="714" w:hanging="357"/>
        <w:rPr>
          <w:sz w:val="22"/>
          <w:szCs w:val="22"/>
          <w14:numForm w14:val="lining"/>
          <w14:numSpacing w14:val="proportional"/>
        </w:rPr>
      </w:pPr>
      <w:r w:rsidRPr="007A430C">
        <w:rPr>
          <w:sz w:val="22"/>
          <w:szCs w:val="22"/>
          <w14:numForm w14:val="lining"/>
          <w14:numSpacing w14:val="proportional"/>
        </w:rPr>
        <w:t>Trajectory for Low Energy Buildings</w:t>
      </w:r>
      <w:r w:rsidR="0E9BB7FF" w:rsidRPr="007A430C">
        <w:rPr>
          <w:sz w:val="22"/>
          <w:szCs w:val="22"/>
          <w14:numForm w14:val="lining"/>
          <w14:numSpacing w14:val="proportional"/>
        </w:rPr>
        <w:t>.</w:t>
      </w:r>
    </w:p>
    <w:p w14:paraId="4605AD23" w14:textId="77777777" w:rsidR="009E09C1" w:rsidRDefault="009E09C1" w:rsidP="009E09C1">
      <w:pPr>
        <w:rPr>
          <w:rFonts w:cs="Arial"/>
          <w:color w:val="000000"/>
          <w14:numForm w14:val="lining"/>
          <w14:numSpacing w14:val="proportional"/>
        </w:rPr>
      </w:pPr>
      <w:r>
        <w:rPr>
          <w14:numForm w14:val="lining"/>
          <w14:numSpacing w14:val="proportional"/>
        </w:rPr>
        <w:br w:type="page"/>
      </w:r>
    </w:p>
    <w:p w14:paraId="62CFFCA4" w14:textId="77777777" w:rsidR="009E09C1" w:rsidRPr="00450FAB" w:rsidRDefault="009E09C1" w:rsidP="009E09C1">
      <w:pPr>
        <w:pStyle w:val="Default"/>
        <w:spacing w:before="120" w:line="276" w:lineRule="auto"/>
        <w:rPr>
          <w:sz w:val="22"/>
          <w:szCs w:val="22"/>
          <w14:numForm w14:val="lining"/>
          <w14:numSpacing w14:val="proportional"/>
        </w:rPr>
      </w:pPr>
      <w:r w:rsidRPr="00450FAB">
        <w:rPr>
          <w:sz w:val="22"/>
          <w:szCs w:val="22"/>
          <w14:numForm w14:val="lining"/>
          <w14:numSpacing w14:val="proportional"/>
        </w:rPr>
        <w:t>Additionally, the 2023-24 budget announced several initiatives for households and businesses to boost their energy performance. Key measures include:</w:t>
      </w:r>
    </w:p>
    <w:p w14:paraId="601C131E" w14:textId="77777777" w:rsidR="009E09C1" w:rsidRDefault="009E09C1" w:rsidP="00F25595">
      <w:pPr>
        <w:pStyle w:val="Default"/>
        <w:numPr>
          <w:ilvl w:val="0"/>
          <w:numId w:val="69"/>
        </w:numPr>
        <w:spacing w:before="120" w:line="276" w:lineRule="auto"/>
        <w:rPr>
          <w:sz w:val="22"/>
          <w:szCs w:val="22"/>
          <w14:numForm w14:val="lining"/>
          <w14:numSpacing w14:val="proportional"/>
        </w:rPr>
      </w:pPr>
      <w:r>
        <w:rPr>
          <w:sz w:val="22"/>
          <w:szCs w:val="22"/>
          <w14:numForm w14:val="lining"/>
          <w14:numSpacing w14:val="proportional"/>
        </w:rPr>
        <w:t>$1.3 billion Household Energy Upgrades Fund:</w:t>
      </w:r>
    </w:p>
    <w:p w14:paraId="3016432F" w14:textId="707D52CB" w:rsidR="009E09C1" w:rsidRDefault="009E09C1" w:rsidP="00F25595">
      <w:pPr>
        <w:pStyle w:val="Default"/>
        <w:numPr>
          <w:ilvl w:val="1"/>
          <w:numId w:val="69"/>
        </w:numPr>
        <w:spacing w:before="120" w:line="276" w:lineRule="auto"/>
        <w:rPr>
          <w:sz w:val="22"/>
          <w:szCs w:val="22"/>
          <w14:numForm w14:val="lining"/>
          <w14:numSpacing w14:val="proportional"/>
        </w:rPr>
      </w:pPr>
      <w:r>
        <w:rPr>
          <w:sz w:val="22"/>
          <w:szCs w:val="22"/>
          <w14:numForm w14:val="lining"/>
          <w14:numSpacing w14:val="proportional"/>
        </w:rPr>
        <w:t xml:space="preserve">$1 billion provided to </w:t>
      </w:r>
      <w:r w:rsidR="006D3148">
        <w:rPr>
          <w:sz w:val="22"/>
          <w:szCs w:val="22"/>
          <w14:numForm w14:val="lining"/>
          <w14:numSpacing w14:val="proportional"/>
        </w:rPr>
        <w:t xml:space="preserve">the </w:t>
      </w:r>
      <w:r>
        <w:rPr>
          <w:sz w:val="22"/>
          <w:szCs w:val="22"/>
          <w14:numForm w14:val="lining"/>
          <w14:numSpacing w14:val="proportional"/>
        </w:rPr>
        <w:t>Clean Energy Corporation to deliver over 110,000 low-interest loans</w:t>
      </w:r>
    </w:p>
    <w:p w14:paraId="611C4162" w14:textId="77777777" w:rsidR="009E09C1" w:rsidRDefault="009E09C1" w:rsidP="00F25595">
      <w:pPr>
        <w:pStyle w:val="Default"/>
        <w:numPr>
          <w:ilvl w:val="1"/>
          <w:numId w:val="69"/>
        </w:numPr>
        <w:spacing w:before="120" w:line="276" w:lineRule="auto"/>
        <w:rPr>
          <w:sz w:val="22"/>
          <w:szCs w:val="22"/>
          <w14:numForm w14:val="lining"/>
          <w14:numSpacing w14:val="proportional"/>
        </w:rPr>
      </w:pPr>
      <w:r>
        <w:rPr>
          <w:sz w:val="22"/>
          <w:szCs w:val="22"/>
          <w14:numForm w14:val="lining"/>
          <w14:numSpacing w14:val="proportional"/>
        </w:rPr>
        <w:t>Partnering with states and territories to provide $300 million for upgraded social housing energy performance.</w:t>
      </w:r>
    </w:p>
    <w:p w14:paraId="1405283E" w14:textId="77777777" w:rsidR="009E09C1" w:rsidRDefault="009E09C1" w:rsidP="00F25595">
      <w:pPr>
        <w:pStyle w:val="Default"/>
        <w:numPr>
          <w:ilvl w:val="0"/>
          <w:numId w:val="69"/>
        </w:numPr>
        <w:spacing w:before="120" w:line="276" w:lineRule="auto"/>
        <w:rPr>
          <w:sz w:val="22"/>
          <w:szCs w:val="22"/>
          <w14:numForm w14:val="lining"/>
          <w14:numSpacing w14:val="proportional"/>
        </w:rPr>
      </w:pPr>
      <w:r>
        <w:rPr>
          <w:sz w:val="22"/>
          <w:szCs w:val="22"/>
          <w14:numForm w14:val="lining"/>
          <w14:numSpacing w14:val="proportional"/>
        </w:rPr>
        <w:t xml:space="preserve">Small Business Energy Incentives ($310 million in tax relief) building on the </w:t>
      </w:r>
      <w:r>
        <w:rPr>
          <w:sz w:val="22"/>
          <w:szCs w:val="22"/>
          <w14:numForm w14:val="lining"/>
          <w14:numSpacing w14:val="proportional"/>
        </w:rPr>
        <w:br/>
        <w:t>$62.6 million Energy Efficiency Grants for Small and Medium Enterprises</w:t>
      </w:r>
    </w:p>
    <w:p w14:paraId="24E58B9F" w14:textId="63B81AE9" w:rsidR="009E09C1" w:rsidRDefault="009E09C1" w:rsidP="00F25595">
      <w:pPr>
        <w:pStyle w:val="Default"/>
        <w:numPr>
          <w:ilvl w:val="0"/>
          <w:numId w:val="69"/>
        </w:numPr>
        <w:spacing w:before="120" w:line="276" w:lineRule="auto"/>
        <w:rPr>
          <w:sz w:val="22"/>
          <w:szCs w:val="22"/>
          <w14:numForm w14:val="lining"/>
          <w14:numSpacing w14:val="proportional"/>
        </w:rPr>
      </w:pPr>
      <w:r>
        <w:rPr>
          <w:sz w:val="22"/>
          <w:szCs w:val="22"/>
          <w14:numForm w14:val="lining"/>
          <w14:numSpacing w14:val="proportional"/>
        </w:rPr>
        <w:t>$36.7 million towards expanding the NatHERS and Greenhouse and Energy Minimum Standards program</w:t>
      </w:r>
      <w:r w:rsidR="00790962">
        <w:rPr>
          <w:sz w:val="22"/>
          <w:szCs w:val="22"/>
          <w14:numForm w14:val="lining"/>
          <w14:numSpacing w14:val="proportional"/>
        </w:rPr>
        <w:t>.</w:t>
      </w:r>
    </w:p>
    <w:p w14:paraId="48B458CF" w14:textId="77777777" w:rsidR="009E09C1" w:rsidRDefault="009E09C1" w:rsidP="00434E81">
      <w:pPr>
        <w:pStyle w:val="Bodycopy"/>
        <w:spacing w:before="240" w:after="120" w:line="276" w:lineRule="auto"/>
      </w:pPr>
      <w:r w:rsidRPr="482446FB">
        <w:rPr>
          <w:rStyle w:val="Heading3Char"/>
          <w:rFonts w:eastAsiaTheme="minorEastAsia" w:cstheme="minorBidi"/>
          <w:b w:val="0"/>
          <w:spacing w:val="2"/>
          <w:sz w:val="22"/>
          <w:szCs w:val="22"/>
          <w14:ligatures w14:val="standard"/>
          <w14:numForm w14:val="lining"/>
          <w14:numSpacing w14:val="proportional"/>
        </w:rPr>
        <w:t>The combination of these new policies and measures will ultimately grow the demand for workers across a variety of roles in both residential, commercial and industrial settings.</w:t>
      </w:r>
      <w:r>
        <w:rPr>
          <w14:numForm w14:val="lining"/>
          <w14:numSpacing w14:val="proportional"/>
        </w:rPr>
        <w:t xml:space="preserve">  </w:t>
      </w:r>
      <w:bookmarkStart w:id="72" w:name="_Toc135773184"/>
    </w:p>
    <w:p w14:paraId="49BFCD5F" w14:textId="56AE0BE7" w:rsidR="009E09C1" w:rsidRDefault="009E09C1" w:rsidP="009E09C1">
      <w:pPr>
        <w:pStyle w:val="Bodycopy"/>
        <w:spacing w:after="120" w:line="276" w:lineRule="auto"/>
        <w:rPr>
          <w:rStyle w:val="Heading3Char"/>
          <w:rFonts w:eastAsiaTheme="minorEastAsia" w:cstheme="minorBidi"/>
          <w:b w:val="0"/>
          <w:spacing w:val="2"/>
          <w:sz w:val="22"/>
          <w:szCs w:val="22"/>
          <w14:ligatures w14:val="standard"/>
          <w14:numForm w14:val="lining"/>
          <w14:numSpacing w14:val="proportional"/>
        </w:rPr>
      </w:pPr>
      <w:r w:rsidRPr="48834AD3">
        <w:rPr>
          <w:rStyle w:val="Heading3Char"/>
          <w:rFonts w:eastAsiaTheme="minorEastAsia" w:cstheme="minorBidi"/>
          <w:b w:val="0"/>
          <w:spacing w:val="2"/>
          <w:sz w:val="22"/>
          <w:szCs w:val="22"/>
          <w14:ligatures w14:val="standard"/>
          <w14:numForm w14:val="lining"/>
          <w14:numSpacing w14:val="proportional"/>
        </w:rPr>
        <w:t xml:space="preserve">Our analysis suggests that Energy Auditors and Assessors will play an increasingly important role in the clean energy workforce. There were around 1,000 online job advertisements for </w:t>
      </w:r>
      <w:r w:rsidR="32CA7B0F" w:rsidRPr="48834AD3">
        <w:rPr>
          <w:rStyle w:val="Heading3Char"/>
          <w:rFonts w:eastAsiaTheme="minorEastAsia" w:cstheme="minorBidi"/>
          <w:b w:val="0"/>
          <w:spacing w:val="2"/>
          <w:sz w:val="22"/>
          <w:szCs w:val="22"/>
          <w14:ligatures w14:val="standard"/>
          <w14:numForm w14:val="lining"/>
          <w14:numSpacing w14:val="proportional"/>
        </w:rPr>
        <w:t>E</w:t>
      </w:r>
      <w:r w:rsidRPr="48834AD3">
        <w:rPr>
          <w:rStyle w:val="Heading3Char"/>
          <w:rFonts w:eastAsiaTheme="minorEastAsia" w:cstheme="minorBidi"/>
          <w:b w:val="0"/>
          <w:spacing w:val="2"/>
          <w:sz w:val="22"/>
          <w:szCs w:val="22"/>
          <w14:ligatures w14:val="standard"/>
          <w14:numForm w14:val="lining"/>
          <w14:numSpacing w14:val="proportional"/>
        </w:rPr>
        <w:t xml:space="preserve">nergy </w:t>
      </w:r>
      <w:r w:rsidR="1271E35E" w:rsidRPr="48834AD3">
        <w:rPr>
          <w:rStyle w:val="Heading3Char"/>
          <w:rFonts w:eastAsiaTheme="minorEastAsia" w:cstheme="minorBidi"/>
          <w:b w:val="0"/>
          <w:spacing w:val="2"/>
          <w:sz w:val="22"/>
          <w:szCs w:val="22"/>
          <w14:ligatures w14:val="standard"/>
          <w14:numForm w14:val="lining"/>
          <w14:numSpacing w14:val="proportional"/>
        </w:rPr>
        <w:t>A</w:t>
      </w:r>
      <w:r w:rsidRPr="48834AD3">
        <w:rPr>
          <w:rStyle w:val="Heading3Char"/>
          <w:rFonts w:eastAsiaTheme="minorEastAsia" w:cstheme="minorBidi"/>
          <w:b w:val="0"/>
          <w:spacing w:val="2"/>
          <w:sz w:val="22"/>
          <w:szCs w:val="22"/>
          <w14:ligatures w14:val="standard"/>
          <w14:numForm w14:val="lining"/>
          <w14:numSpacing w14:val="proportional"/>
        </w:rPr>
        <w:t>uditors in 2021, up from 400 in 2020. The relevant qualification for these roles is the Certificate IV in Home Energy Efficiency and Sustainability</w:t>
      </w:r>
      <w:r w:rsidRPr="48834AD3">
        <w:rPr>
          <w:rStyle w:val="Heading3Char"/>
          <w:rFonts w:eastAsiaTheme="minorEastAsia" w:cstheme="minorBidi"/>
          <w:b w:val="0"/>
          <w:i/>
          <w:spacing w:val="2"/>
          <w:sz w:val="22"/>
          <w:szCs w:val="22"/>
          <w14:ligatures w14:val="standard"/>
          <w14:numForm w14:val="lining"/>
          <w14:numSpacing w14:val="proportional"/>
        </w:rPr>
        <w:t>,</w:t>
      </w:r>
      <w:r w:rsidRPr="48834AD3">
        <w:rPr>
          <w:rStyle w:val="Heading3Char"/>
          <w:rFonts w:eastAsiaTheme="minorEastAsia" w:cstheme="minorBidi"/>
          <w:b w:val="0"/>
          <w:spacing w:val="2"/>
          <w:sz w:val="22"/>
          <w:szCs w:val="22"/>
          <w14:ligatures w14:val="standard"/>
          <w14:numForm w14:val="lining"/>
          <w14:numSpacing w14:val="proportional"/>
        </w:rPr>
        <w:t xml:space="preserve"> which had 244 program enrolments in 2022, up from 61 in 2019.</w:t>
      </w:r>
      <w:bookmarkEnd w:id="72"/>
      <w:r w:rsidRPr="48834AD3">
        <w:rPr>
          <w:rStyle w:val="Heading3Char"/>
          <w:rFonts w:eastAsiaTheme="minorEastAsia" w:cstheme="minorBidi"/>
          <w:b w:val="0"/>
          <w:i/>
          <w:spacing w:val="2"/>
          <w:sz w:val="22"/>
          <w:szCs w:val="22"/>
          <w14:ligatures w14:val="standard"/>
          <w14:numForm w14:val="lining"/>
          <w14:numSpacing w14:val="proportional"/>
        </w:rPr>
        <w:t xml:space="preserve"> </w:t>
      </w:r>
      <w:r w:rsidRPr="48834AD3">
        <w:rPr>
          <w:rStyle w:val="Heading3Char"/>
          <w:rFonts w:eastAsiaTheme="minorEastAsia" w:cstheme="minorBidi"/>
          <w:b w:val="0"/>
          <w:spacing w:val="2"/>
          <w:sz w:val="22"/>
          <w:szCs w:val="22"/>
          <w14:ligatures w14:val="standard"/>
          <w14:numForm w14:val="lining"/>
          <w14:numSpacing w14:val="proportional"/>
        </w:rPr>
        <w:t xml:space="preserve">The </w:t>
      </w:r>
      <w:r w:rsidR="007C7AC9" w:rsidRPr="007C7AC9">
        <w:rPr>
          <w14:numForm w14:val="lining"/>
          <w14:numSpacing w14:val="proportional"/>
        </w:rPr>
        <w:t>NatHERS</w:t>
      </w:r>
      <w:r w:rsidRPr="48834AD3">
        <w:rPr>
          <w:rStyle w:val="Heading3Char"/>
          <w:rFonts w:eastAsiaTheme="minorEastAsia" w:cstheme="minorBidi"/>
          <w:b w:val="0"/>
          <w:spacing w:val="2"/>
          <w:sz w:val="22"/>
          <w:szCs w:val="22"/>
          <w14:ligatures w14:val="standard"/>
          <w14:numForm w14:val="lining"/>
          <w14:numSpacing w14:val="proportional"/>
        </w:rPr>
        <w:t xml:space="preserve"> provides guidance on training requirements and pathways for energy assessors on its website.</w:t>
      </w:r>
    </w:p>
    <w:p w14:paraId="5E369CFC" w14:textId="540E1C29" w:rsidR="009E09C1" w:rsidRDefault="009E09C1" w:rsidP="009E09C1">
      <w:pPr>
        <w:spacing w:after="120" w:line="276" w:lineRule="auto"/>
        <w:rPr>
          <w:rFonts w:eastAsia="Arial" w:cs="Arial"/>
          <w:color w:val="0E101A"/>
        </w:rPr>
      </w:pPr>
      <w:r w:rsidRPr="3E880473">
        <w:rPr>
          <w:rStyle w:val="Heading3Char"/>
          <w:rFonts w:eastAsiaTheme="minorEastAsia" w:cstheme="minorBidi"/>
          <w:b w:val="0"/>
          <w:spacing w:val="2"/>
          <w:sz w:val="22"/>
          <w:szCs w:val="22"/>
          <w14:ligatures w14:val="standard"/>
          <w14:numForm w14:val="lining"/>
          <w14:numSpacing w14:val="proportional"/>
        </w:rPr>
        <w:t xml:space="preserve">There are </w:t>
      </w:r>
      <w:r w:rsidR="00745CC0" w:rsidRPr="3E880473">
        <w:rPr>
          <w:rStyle w:val="Heading3Char"/>
          <w:rFonts w:eastAsiaTheme="minorEastAsia" w:cstheme="minorBidi"/>
          <w:b w:val="0"/>
          <w:spacing w:val="2"/>
          <w:sz w:val="22"/>
          <w:szCs w:val="22"/>
          <w14:ligatures w14:val="standard"/>
          <w14:numForm w14:val="lining"/>
          <w14:numSpacing w14:val="proportional"/>
        </w:rPr>
        <w:t xml:space="preserve">currently </w:t>
      </w:r>
      <w:r w:rsidRPr="3E880473">
        <w:rPr>
          <w:rStyle w:val="Heading3Char"/>
          <w:rFonts w:eastAsiaTheme="minorEastAsia" w:cstheme="minorBidi"/>
          <w:b w:val="0"/>
          <w:spacing w:val="2"/>
          <w:sz w:val="22"/>
          <w:szCs w:val="22"/>
          <w14:ligatures w14:val="standard"/>
          <w14:numForm w14:val="lining"/>
          <w14:numSpacing w14:val="proportional"/>
        </w:rPr>
        <w:t>around 4,400 Building Insulation Installers in Australia</w:t>
      </w:r>
      <w:r>
        <w:rPr>
          <w:rFonts w:eastAsia="Arial" w:cs="Arial"/>
          <w:color w:val="0E101A"/>
        </w:rPr>
        <w:t>.</w:t>
      </w:r>
      <w:r>
        <w:rPr>
          <w:rStyle w:val="EndnoteReference"/>
          <w:rFonts w:eastAsia="Arial" w:cs="Arial"/>
          <w:color w:val="0E101A"/>
        </w:rPr>
        <w:endnoteReference w:id="124"/>
      </w:r>
      <w:r>
        <w:rPr>
          <w:rFonts w:eastAsia="Arial" w:cs="Arial"/>
          <w:color w:val="0E101A"/>
        </w:rPr>
        <w:t xml:space="preserve"> There are a number of insulation units of competency in the Construction, Plumbing and Services Training Package, which average around 1,500 enrolments each year. The installation of energy efficient appliances is typically carried out by trades persons including Electricians, Air Conditioning and Mechanical Service Plumbers, Air Conditioning and Refrigeration Mechanics, and Plumbers.</w:t>
      </w:r>
    </w:p>
    <w:p w14:paraId="703169D4" w14:textId="044807F3" w:rsidR="009E09C1" w:rsidRPr="00A11675" w:rsidRDefault="009E09C1" w:rsidP="009E09C1">
      <w:pPr>
        <w:spacing w:after="120" w:line="276" w:lineRule="auto"/>
        <w:rPr>
          <w:rStyle w:val="Heading3Char"/>
          <w:rFonts w:eastAsiaTheme="minorEastAsia" w:cstheme="minorBidi"/>
          <w:b w:val="0"/>
          <w:spacing w:val="2"/>
          <w:sz w:val="22"/>
          <w:szCs w:val="22"/>
          <w14:ligatures w14:val="standard"/>
          <w14:numForm w14:val="lining"/>
          <w14:numSpacing w14:val="proportional"/>
        </w:rPr>
      </w:pPr>
      <w:r w:rsidRPr="45F9C35F">
        <w:rPr>
          <w:rStyle w:val="Heading3Char"/>
          <w:rFonts w:eastAsiaTheme="minorEastAsia" w:cstheme="minorBidi"/>
          <w:b w:val="0"/>
          <w:spacing w:val="2"/>
          <w:sz w:val="22"/>
          <w:szCs w:val="22"/>
          <w14:ligatures w14:val="standard"/>
          <w14:numForm w14:val="lining"/>
          <w14:numSpacing w14:val="proportional"/>
        </w:rPr>
        <w:t xml:space="preserve">The </w:t>
      </w:r>
      <w:r w:rsidR="00754B20">
        <w:rPr>
          <w:rStyle w:val="Heading3Char"/>
          <w:rFonts w:eastAsiaTheme="minorEastAsia" w:cstheme="minorBidi"/>
          <w:b w:val="0"/>
          <w:spacing w:val="2"/>
          <w:sz w:val="22"/>
          <w:szCs w:val="22"/>
          <w14:ligatures w14:val="standard"/>
          <w14:numForm w14:val="lining"/>
          <w14:numSpacing w14:val="proportional"/>
        </w:rPr>
        <w:t xml:space="preserve">EEC </w:t>
      </w:r>
      <w:r w:rsidRPr="45F9C35F">
        <w:rPr>
          <w:rStyle w:val="Heading3Char"/>
          <w:rFonts w:eastAsiaTheme="minorEastAsia" w:cstheme="minorBidi"/>
          <w:b w:val="0"/>
          <w:spacing w:val="2"/>
          <w:sz w:val="22"/>
          <w:szCs w:val="22"/>
          <w14:ligatures w14:val="standard"/>
          <w14:numForm w14:val="lining"/>
          <w14:numSpacing w14:val="proportional"/>
        </w:rPr>
        <w:t xml:space="preserve">stated that many energy performance occupations, such as </w:t>
      </w:r>
      <w:r w:rsidRPr="48834AD3">
        <w:rPr>
          <w:rStyle w:val="Heading3Char"/>
          <w:rFonts w:eastAsiaTheme="minorEastAsia" w:cstheme="minorBidi"/>
          <w:b w:val="0"/>
          <w:spacing w:val="2"/>
          <w:sz w:val="22"/>
          <w:szCs w:val="22"/>
          <w14:ligatures w14:val="standard"/>
          <w14:numForm w14:val="lining"/>
          <w14:numSpacing w14:val="proportional"/>
        </w:rPr>
        <w:t>Performance Measurement and Verification Analyst</w:t>
      </w:r>
      <w:r w:rsidRPr="45F9C35F">
        <w:rPr>
          <w:rStyle w:val="Heading3Char"/>
          <w:rFonts w:eastAsiaTheme="minorEastAsia" w:cstheme="minorBidi"/>
          <w:b w:val="0"/>
          <w:spacing w:val="2"/>
          <w:sz w:val="22"/>
          <w:szCs w:val="22"/>
          <w14:ligatures w14:val="standard"/>
          <w14:numForm w14:val="lining"/>
          <w14:numSpacing w14:val="proportional"/>
        </w:rPr>
        <w:t xml:space="preserve"> and </w:t>
      </w:r>
      <w:r w:rsidRPr="48834AD3">
        <w:rPr>
          <w:rStyle w:val="Heading3Char"/>
          <w:rFonts w:eastAsiaTheme="minorEastAsia" w:cstheme="minorBidi"/>
          <w:b w:val="0"/>
          <w:spacing w:val="2"/>
          <w:sz w:val="22"/>
          <w:szCs w:val="22"/>
          <w14:ligatures w14:val="standard"/>
          <w14:numForm w14:val="lining"/>
          <w14:numSpacing w14:val="proportional"/>
        </w:rPr>
        <w:t>Energy Management System Advisors</w:t>
      </w:r>
      <w:r w:rsidRPr="45F9C35F">
        <w:rPr>
          <w:rStyle w:val="Heading3Char"/>
          <w:rFonts w:eastAsiaTheme="minorEastAsia" w:cstheme="minorBidi"/>
          <w:b w:val="0"/>
          <w:spacing w:val="2"/>
          <w:sz w:val="22"/>
          <w:szCs w:val="22"/>
          <w14:ligatures w14:val="standard"/>
          <w14:numForm w14:val="lining"/>
          <w14:numSpacing w14:val="proportional"/>
        </w:rPr>
        <w:t>, are not recognised by ANZSCO and do not have dedicated national training courses</w:t>
      </w:r>
      <w:r>
        <w:rPr>
          <w:rStyle w:val="Heading3Char"/>
          <w:rFonts w:eastAsiaTheme="minorEastAsia" w:cstheme="minorBidi"/>
          <w:b w:val="0"/>
          <w:spacing w:val="2"/>
          <w:sz w:val="22"/>
          <w:szCs w:val="22"/>
          <w14:ligatures w14:val="standard"/>
          <w14:numForm w14:val="lining"/>
          <w14:numSpacing w14:val="proportional"/>
        </w:rPr>
        <w:t>. Consequently, t</w:t>
      </w:r>
      <w:r w:rsidRPr="45F9C35F">
        <w:rPr>
          <w:rStyle w:val="Heading3Char"/>
          <w:rFonts w:eastAsiaTheme="minorEastAsia" w:cstheme="minorBidi"/>
          <w:b w:val="0"/>
          <w:spacing w:val="2"/>
          <w:sz w:val="22"/>
          <w:szCs w:val="22"/>
          <w14:ligatures w14:val="standard"/>
          <w14:numForm w14:val="lining"/>
          <w14:numSpacing w14:val="proportional"/>
        </w:rPr>
        <w:t xml:space="preserve">he </w:t>
      </w:r>
      <w:r w:rsidRPr="45F9C35F">
        <w:rPr>
          <w:rStyle w:val="Heading3Char"/>
          <w:rFonts w:eastAsiaTheme="minorEastAsia" w:cstheme="minorBidi"/>
          <w:b w:val="0"/>
          <w:sz w:val="22"/>
          <w:szCs w:val="22"/>
        </w:rPr>
        <w:t xml:space="preserve">EEC </w:t>
      </w:r>
      <w:r w:rsidRPr="45F9C35F">
        <w:rPr>
          <w:rStyle w:val="Heading3Char"/>
          <w:rFonts w:eastAsiaTheme="minorEastAsia" w:cstheme="minorBidi"/>
          <w:b w:val="0"/>
          <w:spacing w:val="2"/>
          <w:sz w:val="22"/>
          <w:szCs w:val="22"/>
          <w14:ligatures w14:val="standard"/>
          <w14:numForm w14:val="lining"/>
          <w14:numSpacing w14:val="proportional"/>
        </w:rPr>
        <w:t xml:space="preserve">provides a broad range of training and certification programs, including the Certified Insulation Installer program, and is working with industry and government to establish an ongoing insulation installer certification program. </w:t>
      </w:r>
      <w:r>
        <w:rPr>
          <w:rStyle w:val="Heading3Char"/>
          <w:rFonts w:eastAsiaTheme="minorEastAsia" w:cstheme="minorBidi"/>
          <w:b w:val="0"/>
          <w:spacing w:val="2"/>
          <w:sz w:val="22"/>
          <w:szCs w:val="22"/>
          <w14:ligatures w14:val="standard"/>
          <w14:numForm w14:val="lining"/>
          <w14:numSpacing w14:val="proportional"/>
        </w:rPr>
        <w:t>The former</w:t>
      </w:r>
      <w:r w:rsidRPr="00E62F0E">
        <w:rPr>
          <w:rStyle w:val="Heading3Char"/>
          <w:rFonts w:eastAsiaTheme="minorEastAsia" w:cstheme="minorBidi"/>
          <w:b w:val="0"/>
          <w:spacing w:val="2"/>
          <w:sz w:val="22"/>
          <w:szCs w:val="22"/>
          <w14:ligatures w14:val="standard"/>
          <w14:numForm w14:val="lining"/>
          <w14:numSpacing w14:val="proportional"/>
        </w:rPr>
        <w:t xml:space="preserve"> </w:t>
      </w:r>
      <w:r w:rsidR="00392FAB">
        <w:rPr>
          <w:rStyle w:val="Heading3Char"/>
          <w:rFonts w:eastAsiaTheme="minorEastAsia" w:cstheme="minorBidi"/>
          <w:b w:val="0"/>
          <w:spacing w:val="2"/>
          <w:sz w:val="22"/>
          <w:szCs w:val="22"/>
          <w14:ligatures w14:val="standard"/>
          <w14:numForm w14:val="lining"/>
          <w14:numSpacing w14:val="proportional"/>
        </w:rPr>
        <w:t>NSC</w:t>
      </w:r>
      <w:r w:rsidRPr="00E62F0E">
        <w:rPr>
          <w:rStyle w:val="Heading3Char"/>
          <w:rFonts w:eastAsiaTheme="minorEastAsia" w:cstheme="minorBidi"/>
          <w:b w:val="0"/>
          <w:spacing w:val="2"/>
          <w:sz w:val="22"/>
          <w:szCs w:val="22"/>
          <w14:ligatures w14:val="standard"/>
          <w14:numForm w14:val="lining"/>
          <w14:numSpacing w14:val="proportional"/>
        </w:rPr>
        <w:t xml:space="preserve"> also identified Energy Efficiency Engineers as an emerging occupation, which </w:t>
      </w:r>
      <w:r>
        <w:rPr>
          <w:rStyle w:val="Heading3Char"/>
          <w:rFonts w:eastAsiaTheme="minorEastAsia" w:cstheme="minorBidi"/>
          <w:b w:val="0"/>
          <w:spacing w:val="2"/>
          <w:sz w:val="22"/>
          <w:szCs w:val="22"/>
          <w14:ligatures w14:val="standard"/>
          <w14:numForm w14:val="lining"/>
          <w14:numSpacing w14:val="proportional"/>
        </w:rPr>
        <w:t xml:space="preserve">we mapped to around </w:t>
      </w:r>
      <w:r w:rsidRPr="00E62F0E">
        <w:rPr>
          <w:rStyle w:val="Heading3Char"/>
          <w:rFonts w:eastAsiaTheme="minorEastAsia" w:cstheme="minorBidi"/>
          <w:b w:val="0"/>
          <w:spacing w:val="2"/>
          <w:sz w:val="22"/>
          <w:szCs w:val="22"/>
          <w14:ligatures w14:val="standard"/>
          <w14:numForm w14:val="lining"/>
          <w14:numSpacing w14:val="proportional"/>
        </w:rPr>
        <w:t>300 online job advertisements in 2022.</w:t>
      </w:r>
    </w:p>
    <w:p w14:paraId="32B5D4A4" w14:textId="77777777" w:rsidR="009E09C1" w:rsidRDefault="009E09C1" w:rsidP="009E09C1">
      <w:pPr>
        <w:rPr>
          <w:rFonts w:eastAsiaTheme="majorEastAsia" w:cstheme="majorBidi"/>
          <w:b/>
          <w:sz w:val="32"/>
          <w:szCs w:val="26"/>
        </w:rPr>
      </w:pPr>
      <w:r>
        <w:br w:type="page"/>
      </w:r>
    </w:p>
    <w:p w14:paraId="3818933A" w14:textId="77777777" w:rsidR="003C65B0" w:rsidRDefault="003C65B0" w:rsidP="003C65B0">
      <w:pPr>
        <w:pStyle w:val="Bodycopy"/>
        <w:ind w:left="-1446"/>
        <w:rPr>
          <w14:numForm w14:val="lining"/>
          <w14:numSpacing w14:val="proportional"/>
        </w:rPr>
      </w:pPr>
      <w:r>
        <w:rPr>
          <w:noProof/>
        </w:rPr>
        <mc:AlternateContent>
          <mc:Choice Requires="wpg">
            <w:drawing>
              <wp:inline distT="0" distB="0" distL="0" distR="0" wp14:anchorId="7923ED45" wp14:editId="77D43C86">
                <wp:extent cx="7561848" cy="3876541"/>
                <wp:effectExtent l="0" t="0" r="1270" b="0"/>
                <wp:docPr id="1941704643" name="Group 1941704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1848" cy="3876541"/>
                          <a:chOff x="0" y="0"/>
                          <a:chExt cx="7561848" cy="3876541"/>
                        </a:xfrm>
                      </wpg:grpSpPr>
                      <pic:pic xmlns:pic="http://schemas.openxmlformats.org/drawingml/2006/picture">
                        <pic:nvPicPr>
                          <pic:cNvPr id="1087981671" name="Picture 1087981671">
                            <a:extLst>
                              <a:ext uri="{C183D7F6-B498-43B3-948B-1728B52AA6E4}">
                                <adec:decorative xmlns:adec="http://schemas.microsoft.com/office/drawing/2017/decorative" val="1"/>
                              </a:ext>
                            </a:extLst>
                          </pic:cNvPr>
                          <pic:cNvPicPr>
                            <a:picLocks noChangeAspect="1"/>
                          </pic:cNvPicPr>
                        </pic:nvPicPr>
                        <pic:blipFill rotWithShape="1">
                          <a:blip r:embed="rId205" cstate="screen">
                            <a:extLst>
                              <a:ext uri="{28A0092B-C50C-407E-A947-70E740481C1C}">
                                <a14:useLocalDpi xmlns:a14="http://schemas.microsoft.com/office/drawing/2010/main"/>
                              </a:ext>
                            </a:extLst>
                          </a:blip>
                          <a:srcRect/>
                          <a:stretch/>
                        </pic:blipFill>
                        <pic:spPr bwMode="auto">
                          <a:xfrm>
                            <a:off x="0" y="0"/>
                            <a:ext cx="7561580" cy="3867150"/>
                          </a:xfrm>
                          <a:prstGeom prst="rect">
                            <a:avLst/>
                          </a:prstGeom>
                          <a:noFill/>
                          <a:ln>
                            <a:noFill/>
                          </a:ln>
                          <a:extLst>
                            <a:ext uri="{53640926-AAD7-44D8-BBD7-CCE9431645EC}">
                              <a14:shadowObscured xmlns:a14="http://schemas.microsoft.com/office/drawing/2010/main"/>
                            </a:ext>
                          </a:extLst>
                        </pic:spPr>
                      </pic:pic>
                      <wps:wsp>
                        <wps:cNvPr id="1087981660" name="Text Box 1087981660"/>
                        <wps:cNvSpPr txBox="1"/>
                        <wps:spPr>
                          <a:xfrm>
                            <a:off x="16778" y="3649211"/>
                            <a:ext cx="7545070" cy="227330"/>
                          </a:xfrm>
                          <a:prstGeom prst="rect">
                            <a:avLst/>
                          </a:prstGeom>
                          <a:solidFill>
                            <a:srgbClr val="262626">
                              <a:alpha val="60000"/>
                            </a:srgbClr>
                          </a:solidFill>
                          <a:ln w="6350">
                            <a:noFill/>
                          </a:ln>
                        </wps:spPr>
                        <wps:txbx>
                          <w:txbxContent>
                            <w:p w14:paraId="00A69847" w14:textId="77777777" w:rsidR="009E09C1" w:rsidRPr="00B36298" w:rsidRDefault="009E09C1" w:rsidP="009E09C1">
                              <w:pPr>
                                <w:spacing w:after="0" w:line="240" w:lineRule="auto"/>
                                <w:ind w:left="737" w:right="227"/>
                                <w:rPr>
                                  <w:color w:val="FFFFFF" w:themeColor="background1"/>
                                  <w:sz w:val="18"/>
                                  <w:szCs w:val="18"/>
                                </w:rPr>
                              </w:pPr>
                              <w:r>
                                <w:rPr>
                                  <w:color w:val="FFFFFF" w:themeColor="background1"/>
                                  <w:sz w:val="18"/>
                                  <w:szCs w:val="18"/>
                                </w:rPr>
                                <w:t>BHP steel furnace</w:t>
                              </w:r>
                              <w:r w:rsidRPr="00B36298">
                                <w:rPr>
                                  <w:color w:val="FFFFFF" w:themeColor="background1"/>
                                  <w:sz w:val="18"/>
                                  <w:szCs w:val="18"/>
                                </w:rPr>
                                <w:t xml:space="preserve"> 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916A53">
                                <w:rPr>
                                  <w:color w:val="FFFFFF" w:themeColor="background1"/>
                                  <w:sz w:val="18"/>
                                  <w:szCs w:val="18"/>
                                </w:rPr>
                                <w:t>31505561</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wpg:wgp>
                  </a:graphicData>
                </a:graphic>
              </wp:inline>
            </w:drawing>
          </mc:Choice>
          <mc:Fallback>
            <w:pict>
              <v:group w14:anchorId="7923ED45" id="Group 1941704643" o:spid="_x0000_s1140" alt="&quot;&quot;" style="width:595.4pt;height:305.25pt;mso-position-horizontal-relative:char;mso-position-vertical-relative:line" coordsize="75618,3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">
                <v:shape id="Picture 1087981671" o:spid="_x0000_s1141" type="#_x0000_t75" alt="&quot;&quot;" style="position:absolute;width:75615;height:3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">
                  <v:imagedata r:id="rId206" o:title=""/>
                </v:shape>
                <v:shape id="Text Box 1087981660" o:spid="_x0000_s1142" type="#_x0000_t202" style="position:absolute;left:167;top:36492;width:75451;height:2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" fillcolor="#262626" stroked="f" strokeweight=".5pt">
                  <v:fill opacity="39321f"/>
                  <v:textbox inset="2mm,1mm,1mm,1mm">
                    <w:txbxContent>
                      <w:p w14:paraId="00A69847" w14:textId="77777777" w:rsidR="009E09C1" w:rsidRPr="00B36298" w:rsidRDefault="009E09C1" w:rsidP="009E09C1">
                        <w:pPr>
                          <w:spacing w:after="0" w:line="240" w:lineRule="auto"/>
                          <w:ind w:left="737" w:right="227"/>
                          <w:rPr>
                            <w:color w:val="FFFFFF" w:themeColor="background1"/>
                            <w:sz w:val="18"/>
                            <w:szCs w:val="18"/>
                          </w:rPr>
                        </w:pPr>
                        <w:r>
                          <w:rPr>
                            <w:color w:val="FFFFFF" w:themeColor="background1"/>
                            <w:sz w:val="18"/>
                            <w:szCs w:val="18"/>
                          </w:rPr>
                          <w:t>BHP steel furnace</w:t>
                        </w:r>
                        <w:r w:rsidRPr="00B36298">
                          <w:rPr>
                            <w:color w:val="FFFFFF" w:themeColor="background1"/>
                            <w:sz w:val="18"/>
                            <w:szCs w:val="18"/>
                          </w:rPr>
                          <w:t xml:space="preserve"> 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916A53">
                          <w:rPr>
                            <w:color w:val="FFFFFF" w:themeColor="background1"/>
                            <w:sz w:val="18"/>
                            <w:szCs w:val="18"/>
                          </w:rPr>
                          <w:t>31505561</w:t>
                        </w:r>
                        <w:r>
                          <w:rPr>
                            <w:color w:val="FFFFFF" w:themeColor="background1"/>
                            <w:sz w:val="18"/>
                            <w:szCs w:val="18"/>
                          </w:rPr>
                          <w:t>.</w:t>
                        </w:r>
                      </w:p>
                    </w:txbxContent>
                  </v:textbox>
                </v:shape>
                <w10:anchorlock/>
              </v:group>
            </w:pict>
          </mc:Fallback>
        </mc:AlternateContent>
      </w:r>
    </w:p>
    <w:p w14:paraId="04AB5D57" w14:textId="104B696F" w:rsidR="009E09C1" w:rsidRPr="00CD2E87" w:rsidRDefault="009E09C1" w:rsidP="00CD2E87">
      <w:pPr>
        <w:pStyle w:val="Heading2"/>
        <w:spacing w:before="720" w:after="0"/>
        <w:rPr>
          <w:b w:val="0"/>
          <w14:numForm w14:val="lining"/>
          <w14:numSpacing w14:val="proportional"/>
        </w:rPr>
      </w:pPr>
      <w:bookmarkStart w:id="73" w:name="_Toc146892690"/>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d</w:t>
      </w:r>
      <w:r w:rsidRPr="00BF465F">
        <w:rPr>
          <w:rFonts w:asciiTheme="minorHAnsi" w:hAnsiTheme="minorHAnsi" w:cstheme="minorHAnsi"/>
          <w14:numForm w14:val="lining"/>
          <w14:numSpacing w14:val="proportional"/>
        </w:rPr>
        <w:t>.</w:t>
      </w:r>
      <w:r w:rsidRPr="00CD2E87">
        <w:rPr>
          <w14:numForm w14:val="lining"/>
          <w14:numSpacing w14:val="proportional"/>
        </w:rPr>
        <w:t xml:space="preserve"> </w:t>
      </w:r>
      <w:r w:rsidRPr="00CD2E87">
        <w:rPr>
          <w:b w:val="0"/>
          <w14:numForm w14:val="lining"/>
          <w14:numSpacing w14:val="proportional"/>
        </w:rPr>
        <w:t>Manufacturing and processing</w:t>
      </w:r>
      <w:bookmarkEnd w:id="73"/>
    </w:p>
    <w:p w14:paraId="3D288A34" w14:textId="77777777" w:rsidR="009E09C1" w:rsidRDefault="009E09C1" w:rsidP="00254098">
      <w:pPr>
        <w:pStyle w:val="Bodycopy"/>
        <w:spacing w:before="360" w:after="120" w:line="276" w:lineRule="auto"/>
      </w:pPr>
      <w:r>
        <w:t>Clean energy brings new opportunities for Australia’s manufacturing industries. Beyond just decarbonisation, it has the potential to give us a comparative and competitive edge. By harnessing our abundant solar and wind reserves, Australia could manufacture low carbon metals and other products using renewables instead of coal and gas. If this potential was met with substantial capital investment, research and the right policy settings, Australia’s dwindling manufacturing workforces and communities could experience renewal.</w:t>
      </w:r>
    </w:p>
    <w:p w14:paraId="574ABE30" w14:textId="77777777" w:rsidR="009E09C1" w:rsidRPr="009E09C1" w:rsidRDefault="009E09C1" w:rsidP="009E09C1">
      <w:pPr>
        <w:pStyle w:val="Heading3"/>
        <w:spacing w:before="480"/>
        <w:rPr>
          <w:color w:val="9F1853" w:themeColor="accent4"/>
        </w:rPr>
      </w:pPr>
      <w:r w:rsidRPr="009E09C1">
        <w:rPr>
          <w:color w:val="9F1853" w:themeColor="accent4"/>
        </w:rPr>
        <w:t>Cement production</w:t>
      </w:r>
    </w:p>
    <w:p w14:paraId="696F1459" w14:textId="30875715" w:rsidR="009E09C1" w:rsidRDefault="009E09C1" w:rsidP="009E09C1">
      <w:pPr>
        <w:spacing w:after="120"/>
      </w:pPr>
      <w:r w:rsidRPr="003713E3">
        <w:t>Cement is a material manufactured from limestone and clay and is a key ingredient in concrete.</w:t>
      </w:r>
      <w:r>
        <w:t xml:space="preserve"> Cement and lime production produced around 4 million tons of CO2 in 2020-21, accounting for just under 1% of all emissions in Australia.</w:t>
      </w:r>
      <w:r>
        <w:rPr>
          <w:rStyle w:val="EndnoteReference"/>
        </w:rPr>
        <w:endnoteReference w:id="125"/>
      </w:r>
      <w:r>
        <w:t xml:space="preserve"> Over half of the emissions from cement production are ‘process emissions’ </w:t>
      </w:r>
      <w:r w:rsidR="00782D66">
        <w:t>that</w:t>
      </w:r>
      <w:r>
        <w:t xml:space="preserve"> come from a chemical process. The remainder of emissions come from </w:t>
      </w:r>
      <w:r w:rsidR="00D27B76">
        <w:t xml:space="preserve">generating </w:t>
      </w:r>
      <w:r>
        <w:t xml:space="preserve">heating, </w:t>
      </w:r>
      <w:r w:rsidR="00D27B76">
        <w:t xml:space="preserve">using </w:t>
      </w:r>
      <w:r>
        <w:t xml:space="preserve">electricity and </w:t>
      </w:r>
      <w:r w:rsidR="00254098">
        <w:t>transport.</w:t>
      </w:r>
      <w:r>
        <w:rPr>
          <w:rStyle w:val="EndnoteReference"/>
        </w:rPr>
        <w:endnoteReference w:id="126"/>
      </w:r>
    </w:p>
    <w:p w14:paraId="656C7D29" w14:textId="0CE2FC38" w:rsidR="009E09C1" w:rsidRDefault="009E09C1" w:rsidP="009E09C1">
      <w:r>
        <w:t>Australia produced 9.6 million tons of cement in 2020-21 and employed around 3,000 workers in the industry.</w:t>
      </w:r>
      <w:r>
        <w:rPr>
          <w:rStyle w:val="EndnoteReference"/>
        </w:rPr>
        <w:endnoteReference w:id="127"/>
      </w:r>
      <w:r>
        <w:t xml:space="preserve"> The most common occupations are </w:t>
      </w:r>
      <w:r w:rsidRPr="48834AD3">
        <w:t>Truck Drivers</w:t>
      </w:r>
      <w:r>
        <w:t xml:space="preserve">, </w:t>
      </w:r>
      <w:r w:rsidRPr="48834AD3">
        <w:t>Cement Production Plant Operator</w:t>
      </w:r>
      <w:r>
        <w:t xml:space="preserve">, and </w:t>
      </w:r>
      <w:r w:rsidRPr="48834AD3">
        <w:t>Forklift Drivers</w:t>
      </w:r>
      <w:r>
        <w:t xml:space="preserve">. </w:t>
      </w:r>
      <w:r w:rsidRPr="48834AD3">
        <w:t xml:space="preserve">The Certificate III in Manufactured Mineral Products </w:t>
      </w:r>
      <w:r>
        <w:t xml:space="preserve">is an available pathway for </w:t>
      </w:r>
      <w:r w:rsidR="00416E07">
        <w:t>C</w:t>
      </w:r>
      <w:r>
        <w:t xml:space="preserve">ement </w:t>
      </w:r>
      <w:r w:rsidR="00416E07">
        <w:t>P</w:t>
      </w:r>
      <w:r>
        <w:t xml:space="preserve">roduction </w:t>
      </w:r>
      <w:r w:rsidR="00416E07">
        <w:t>W</w:t>
      </w:r>
      <w:r>
        <w:t>orkers</w:t>
      </w:r>
      <w:r w:rsidRPr="3E880473">
        <w:rPr>
          <w:i/>
          <w:iCs/>
        </w:rPr>
        <w:t xml:space="preserve">, </w:t>
      </w:r>
      <w:r>
        <w:t>although there are only around 35 enrolments each year.</w:t>
      </w:r>
      <w:r>
        <w:rPr>
          <w:rStyle w:val="EndnoteReference"/>
        </w:rPr>
        <w:endnoteReference w:id="128"/>
      </w:r>
    </w:p>
    <w:p w14:paraId="0E0A7E24" w14:textId="77777777" w:rsidR="009E09C1" w:rsidRDefault="009E09C1" w:rsidP="009E09C1">
      <w:r>
        <w:br w:type="page"/>
      </w:r>
    </w:p>
    <w:p w14:paraId="4395E24D" w14:textId="30163983" w:rsidR="009E09C1" w:rsidRDefault="009E09C1" w:rsidP="009E09C1">
      <w:pPr>
        <w:spacing w:after="120"/>
      </w:pPr>
      <w:r w:rsidRPr="00774B0A">
        <w:t xml:space="preserve">SmartCrete </w:t>
      </w:r>
      <w:r>
        <w:t xml:space="preserve">is a Cooperative Research Centre </w:t>
      </w:r>
      <w:r w:rsidR="00455C18">
        <w:t xml:space="preserve">(CRC) </w:t>
      </w:r>
      <w:r>
        <w:t xml:space="preserve">with members across industry and academia.  Their goal </w:t>
      </w:r>
      <w:r w:rsidRPr="00B61D1F">
        <w:t>is to guarantee the long-term viability of vital concrete infrastructure in Australia while leveraging concrete sector efforts to meet global sustainability targets.</w:t>
      </w:r>
      <w:r>
        <w:t xml:space="preserve"> It has five research programs:</w:t>
      </w:r>
    </w:p>
    <w:p w14:paraId="681778CA" w14:textId="77777777" w:rsidR="009E09C1" w:rsidRDefault="009E09C1" w:rsidP="00F25595">
      <w:pPr>
        <w:pStyle w:val="ListParagraph"/>
        <w:numPr>
          <w:ilvl w:val="0"/>
          <w:numId w:val="71"/>
        </w:numPr>
        <w:spacing w:after="120"/>
        <w:ind w:left="431" w:hanging="221"/>
        <w:contextualSpacing w:val="0"/>
      </w:pPr>
      <w:r w:rsidRPr="00A0503D">
        <w:rPr>
          <w:b/>
          <w:bCs/>
        </w:rPr>
        <w:t>Engineered Solutions program</w:t>
      </w:r>
      <w:r>
        <w:t>: Focused on improving the way we engineer concrete structures and includes development of smart cladding, reduced noise pavements, 3-d printed concrete structures, lightweight concretes and safety in design.</w:t>
      </w:r>
    </w:p>
    <w:p w14:paraId="6781CEE6" w14:textId="1FC51C80" w:rsidR="009E09C1" w:rsidRDefault="009E09C1" w:rsidP="00F25595">
      <w:pPr>
        <w:pStyle w:val="ListParagraph"/>
        <w:numPr>
          <w:ilvl w:val="0"/>
          <w:numId w:val="71"/>
        </w:numPr>
        <w:spacing w:after="120"/>
        <w:ind w:left="431" w:hanging="221"/>
        <w:contextualSpacing w:val="0"/>
      </w:pPr>
      <w:r w:rsidRPr="00A0503D">
        <w:rPr>
          <w:b/>
          <w:bCs/>
        </w:rPr>
        <w:t>Asset Management program</w:t>
      </w:r>
      <w:r>
        <w:t>: Concerned with the way we manage our concrete assets</w:t>
      </w:r>
      <w:r w:rsidR="00AA360A">
        <w:t>,</w:t>
      </w:r>
      <w:r>
        <w:t xml:space="preserve"> </w:t>
      </w:r>
      <w:r w:rsidR="00AA360A">
        <w:t xml:space="preserve">which </w:t>
      </w:r>
      <w:r>
        <w:t>includes development of sensing systems to monitor structural health and usage and inform lifetime models.</w:t>
      </w:r>
    </w:p>
    <w:p w14:paraId="79EB2E82" w14:textId="62EA9C15" w:rsidR="009E09C1" w:rsidRDefault="009E09C1" w:rsidP="00F25595">
      <w:pPr>
        <w:pStyle w:val="ListParagraph"/>
        <w:numPr>
          <w:ilvl w:val="0"/>
          <w:numId w:val="71"/>
        </w:numPr>
        <w:spacing w:after="120"/>
        <w:ind w:left="431" w:hanging="221"/>
        <w:contextualSpacing w:val="0"/>
      </w:pPr>
      <w:r w:rsidRPr="00A0503D">
        <w:rPr>
          <w:b/>
          <w:bCs/>
        </w:rPr>
        <w:t>Environmental program</w:t>
      </w:r>
      <w:r>
        <w:t>: Includes bio-concrete, use of artificial aggregate, CO2 absorbing concrete, luminescent concrete, energy producing concrete, waste disposal in concrete and cemen</w:t>
      </w:r>
      <w:r w:rsidR="000458C1">
        <w:t>t</w:t>
      </w:r>
      <w:r>
        <w:t>less concrete.</w:t>
      </w:r>
    </w:p>
    <w:p w14:paraId="4E643314" w14:textId="7EF81892" w:rsidR="009E09C1" w:rsidRDefault="009E09C1" w:rsidP="00F25595">
      <w:pPr>
        <w:pStyle w:val="ListParagraph"/>
        <w:numPr>
          <w:ilvl w:val="0"/>
          <w:numId w:val="71"/>
        </w:numPr>
        <w:spacing w:after="120"/>
        <w:ind w:left="431" w:hanging="221"/>
        <w:contextualSpacing w:val="0"/>
      </w:pPr>
      <w:r w:rsidRPr="00A0503D">
        <w:rPr>
          <w:b/>
          <w:bCs/>
        </w:rPr>
        <w:t>Sustainability program</w:t>
      </w:r>
      <w:r>
        <w:t>: Concerned with the development of self-healing, fire resistan</w:t>
      </w:r>
      <w:r w:rsidR="00C44517">
        <w:t>t</w:t>
      </w:r>
      <w:r>
        <w:t xml:space="preserve"> stronger and more durable concrete.</w:t>
      </w:r>
    </w:p>
    <w:p w14:paraId="750857DC" w14:textId="77777777" w:rsidR="009E09C1" w:rsidRDefault="009E09C1" w:rsidP="00F25595">
      <w:pPr>
        <w:pStyle w:val="ListParagraph"/>
        <w:numPr>
          <w:ilvl w:val="0"/>
          <w:numId w:val="71"/>
        </w:numPr>
        <w:spacing w:after="120"/>
        <w:ind w:left="431" w:hanging="221"/>
        <w:contextualSpacing w:val="0"/>
      </w:pPr>
      <w:r w:rsidRPr="00A0503D">
        <w:rPr>
          <w:b/>
          <w:bCs/>
        </w:rPr>
        <w:t>Disposal program</w:t>
      </w:r>
      <w:r>
        <w:t>: This program includes recycling and reuse.</w:t>
      </w:r>
      <w:r>
        <w:rPr>
          <w:rStyle w:val="EndnoteReference"/>
        </w:rPr>
        <w:endnoteReference w:id="129"/>
      </w:r>
    </w:p>
    <w:p w14:paraId="5C1F8BB4" w14:textId="7BAC95FD" w:rsidR="009E09C1" w:rsidRDefault="009E09C1" w:rsidP="009E09C1">
      <w:pPr>
        <w:pStyle w:val="Heading3"/>
        <w:spacing w:before="480"/>
        <w:rPr>
          <w:color w:val="9F1853" w:themeColor="accent4"/>
        </w:rPr>
      </w:pPr>
      <w:r>
        <w:rPr>
          <w:color w:val="9F1853" w:themeColor="accent4"/>
        </w:rPr>
        <w:t>Metals</w:t>
      </w:r>
    </w:p>
    <w:p w14:paraId="413F711A" w14:textId="53ACBA07" w:rsidR="009E09C1" w:rsidRDefault="009E09C1" w:rsidP="00BF7E72">
      <w:pPr>
        <w:spacing w:after="120" w:line="276" w:lineRule="auto"/>
      </w:pPr>
      <w:r>
        <w:t>Australia is one of the world’s largest producers of raw minerals, including iron ore, bauxite and nickel. However</w:t>
      </w:r>
      <w:r w:rsidR="5CF8924E">
        <w:t>,</w:t>
      </w:r>
      <w:r>
        <w:t xml:space="preserve"> for the most part, these raw minerals are exported as is, with little local processing, smelting or manufacturing. By investing in local manufacturing and renewable generation, Australia could reinvigorate its metals industries and the communities that depend on them. Global demand for metals will likely grow to support the manufacturing of renewable technologies.</w:t>
      </w:r>
    </w:p>
    <w:p w14:paraId="39E2BDD3" w14:textId="3FAF1BE7" w:rsidR="009E09C1" w:rsidRDefault="009E09C1" w:rsidP="00BF7E72">
      <w:pPr>
        <w:spacing w:after="120" w:line="276" w:lineRule="auto"/>
      </w:pPr>
      <w:r>
        <w:t>Liberty Steel in Whyalla South Australia has recently invested $485 million in a low carbon electric arc furnace.</w:t>
      </w:r>
      <w:r>
        <w:rPr>
          <w:rStyle w:val="EndnoteReference"/>
        </w:rPr>
        <w:endnoteReference w:id="130"/>
      </w:r>
      <w:r>
        <w:t xml:space="preserve"> Not only will this furnace increase the steel mill’s capacity by 50%, but </w:t>
      </w:r>
      <w:r w:rsidR="00424A0D">
        <w:t>will help reduce emissions overtime as energy inputs are decarbonised.</w:t>
      </w:r>
      <w:r>
        <w:t xml:space="preserve"> A recent report by Geoscience Australia and Monash University found that re</w:t>
      </w:r>
      <w:r w:rsidR="00233DE8">
        <w:t>p</w:t>
      </w:r>
      <w:r w:rsidRPr="00C14F5E">
        <w:t xml:space="preserve">lacing </w:t>
      </w:r>
      <w:r>
        <w:t>1%</w:t>
      </w:r>
      <w:r w:rsidRPr="00C14F5E">
        <w:t xml:space="preserve"> of global steel production would require 35 GW of well-optimised wind and solar photovoltaics</w:t>
      </w:r>
      <w:r w:rsidR="00D90FCC">
        <w:t xml:space="preserve"> (PV)</w:t>
      </w:r>
      <w:r w:rsidRPr="00C14F5E">
        <w:t>, 11 GW of hydrogen electrolysers, and 1,000 square kilometres of land.</w:t>
      </w:r>
      <w:r>
        <w:rPr>
          <w:rStyle w:val="EndnoteReference"/>
        </w:rPr>
        <w:endnoteReference w:id="131"/>
      </w:r>
      <w:r>
        <w:t xml:space="preserve"> For comparison, Australia only installed 5.3 GW of new renewable capacity in 2022, meaning a much larger pipeline of renewables would be required.</w:t>
      </w:r>
      <w:r>
        <w:rPr>
          <w:rStyle w:val="EndnoteReference"/>
        </w:rPr>
        <w:endnoteReference w:id="132"/>
      </w:r>
    </w:p>
    <w:p w14:paraId="4A991727" w14:textId="77777777" w:rsidR="009E09C1" w:rsidRDefault="009E09C1" w:rsidP="00BF7E72">
      <w:pPr>
        <w:spacing w:after="120" w:line="276" w:lineRule="auto"/>
        <w:rPr>
          <w:rFonts w:cs="Arial"/>
          <w:color w:val="000000"/>
        </w:rPr>
      </w:pPr>
      <w:r>
        <w:t xml:space="preserve">Over the past decade, employment has dropped across all metal refining and smelting industries (Figure 6.5). Iron Smelting and Steel Manufacturing is the largest employing industry by far, followed by Alumina Production and Aluminium Smelting. </w:t>
      </w:r>
      <w:r w:rsidRPr="00D84063">
        <w:rPr>
          <w:rFonts w:cs="Arial"/>
          <w:color w:val="000000"/>
        </w:rPr>
        <w:t>Engineering Production Workers</w:t>
      </w:r>
      <w:r>
        <w:rPr>
          <w:rFonts w:cs="Arial"/>
          <w:color w:val="000000"/>
        </w:rPr>
        <w:t xml:space="preserve"> are common across each of these industries, as are Metal Fabricators and Fitters (Table 6.2). Relevant VET pathways include Certificate IIIs in Resource Processing (1,600 enrolments in 2022), Process Plant Operations (693) and Engineering – Fabrication Trade (17,024).</w:t>
      </w:r>
      <w:r>
        <w:rPr>
          <w:rStyle w:val="EndnoteReference"/>
          <w:rFonts w:cs="Arial"/>
          <w:color w:val="000000"/>
        </w:rPr>
        <w:endnoteReference w:id="133"/>
      </w:r>
    </w:p>
    <w:p w14:paraId="76D6C9E4" w14:textId="7B5D09C7" w:rsidR="009E09C1" w:rsidRPr="00BF7E72" w:rsidRDefault="009E09C1" w:rsidP="00BF7E72">
      <w:pPr>
        <w:spacing w:after="360" w:line="276" w:lineRule="auto"/>
        <w:rPr>
          <w14:numForm w14:val="lining"/>
          <w14:numSpacing w14:val="proportional"/>
        </w:rPr>
      </w:pPr>
      <w:r w:rsidRPr="003B3D47">
        <w:rPr>
          <w14:numForm w14:val="lining"/>
          <w14:numSpacing w14:val="proportional"/>
        </w:rPr>
        <w:t>Employment in metals manufacturing is located across most states and territories, with the largest regions being Port Kembla (NSW, 3,217), Gladstone (QLD, 2,779), Bunbury (WA, 1,909), Mandurah (WA, 1,280) and the Eyre Peninsula (SA, 1,167)</w:t>
      </w:r>
      <w:r>
        <w:rPr>
          <w14:numForm w14:val="lining"/>
          <w14:numSpacing w14:val="proportional"/>
        </w:rPr>
        <w:t xml:space="preserve"> (Table 6.3).</w:t>
      </w:r>
    </w:p>
    <w:p w14:paraId="290C1728" w14:textId="77777777" w:rsidR="009E09C1" w:rsidRPr="009C178C" w:rsidRDefault="009E09C1" w:rsidP="009E09C1">
      <w:pPr>
        <w:pBdr>
          <w:top w:val="single" w:sz="4" w:space="5" w:color="BFBFBF" w:themeColor="background1" w:themeShade="BF"/>
        </w:pBdr>
        <w:spacing w:before="120" w:after="40"/>
        <w:rPr>
          <w:b/>
          <w:bCs/>
        </w:rPr>
      </w:pPr>
      <w:r w:rsidRPr="006D7EFB">
        <w:rPr>
          <w:b/>
          <w:bCs/>
        </w:rPr>
        <w:t>Figure 6</w:t>
      </w:r>
      <w:r>
        <w:rPr>
          <w:b/>
          <w:bCs/>
        </w:rPr>
        <w:t>.5. Employment in metals manufacturing</w:t>
      </w:r>
    </w:p>
    <w:p w14:paraId="4FE11F97" w14:textId="77777777" w:rsidR="009E09C1" w:rsidRDefault="009E09C1" w:rsidP="009E09C1">
      <w:pPr>
        <w:spacing w:after="0"/>
        <w:jc w:val="center"/>
      </w:pPr>
      <w:r>
        <w:rPr>
          <w:noProof/>
        </w:rPr>
        <w:drawing>
          <wp:inline distT="0" distB="0" distL="0" distR="0" wp14:anchorId="20800457" wp14:editId="432FBE1B">
            <wp:extent cx="5351228" cy="2539254"/>
            <wp:effectExtent l="0" t="0" r="1905" b="0"/>
            <wp:docPr id="1087981672" name="Graphic 1087981672" descr="This figure captues the employment levels in metals manufacturing between 2011 and 2021. It highlights that across all industries within manufacturing, employment levels have steadily declined, with the largest decline observed in Iron Smelting and Steel Manufactur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72" name="Graphic 1087981672" descr="This figure captues the employment levels in metals manufacturing between 2011 and 2021. It highlights that across all industries within manufacturing, employment levels have steadily declined, with the largest decline observed in Iron Smelting and Steel Manufacturing &#10;"/>
                    <pic:cNvPicPr/>
                  </pic:nvPicPr>
                  <pic:blipFill>
                    <a:blip r:embed="rId207">
                      <a:extLst>
                        <a:ext uri="{96DAC541-7B7A-43D3-8B79-37D633B846F1}">
                          <asvg:svgBlip xmlns:asvg="http://schemas.microsoft.com/office/drawing/2016/SVG/main" r:embed="rId208"/>
                        </a:ext>
                      </a:extLst>
                    </a:blip>
                    <a:stretch>
                      <a:fillRect/>
                    </a:stretch>
                  </pic:blipFill>
                  <pic:spPr>
                    <a:xfrm>
                      <a:off x="0" y="0"/>
                      <a:ext cx="5375940" cy="2550980"/>
                    </a:xfrm>
                    <a:prstGeom prst="rect">
                      <a:avLst/>
                    </a:prstGeom>
                  </pic:spPr>
                </pic:pic>
              </a:graphicData>
            </a:graphic>
          </wp:inline>
        </w:drawing>
      </w:r>
    </w:p>
    <w:p w14:paraId="0A85B754" w14:textId="0B59E593" w:rsidR="009E09C1" w:rsidRDefault="009E09C1" w:rsidP="009E09C1">
      <w:pPr>
        <w:spacing w:after="360"/>
        <w:rPr>
          <w:sz w:val="18"/>
          <w:szCs w:val="18"/>
        </w:rPr>
      </w:pPr>
      <w:r>
        <w:rPr>
          <w:sz w:val="18"/>
          <w:szCs w:val="18"/>
        </w:rPr>
        <w:t>Source: ABS Census of Population and Housing 2021</w:t>
      </w:r>
    </w:p>
    <w:p w14:paraId="46D6D254" w14:textId="77777777" w:rsidR="009E09C1" w:rsidRPr="00E825FD" w:rsidRDefault="009E09C1" w:rsidP="009E09C1">
      <w:pPr>
        <w:pBdr>
          <w:top w:val="single" w:sz="4" w:space="5" w:color="BFBFBF" w:themeColor="background1" w:themeShade="BF"/>
        </w:pBdr>
        <w:spacing w:before="120" w:after="40"/>
        <w:rPr>
          <w:b/>
          <w:bCs/>
        </w:rPr>
      </w:pPr>
      <w:r w:rsidRPr="00E825FD">
        <w:rPr>
          <w:b/>
          <w:bCs/>
        </w:rPr>
        <w:t>Table 6.2. Top occupations in metal</w:t>
      </w:r>
      <w:r>
        <w:rPr>
          <w:b/>
          <w:bCs/>
        </w:rPr>
        <w:t>s manufacturing</w:t>
      </w:r>
    </w:p>
    <w:tbl>
      <w:tblPr>
        <w:tblW w:w="9164" w:type="dxa"/>
        <w:tblInd w:w="-38" w:type="dxa"/>
        <w:tblLayout w:type="fixed"/>
        <w:tblLook w:val="0000" w:firstRow="0" w:lastRow="0" w:firstColumn="0" w:lastColumn="0" w:noHBand="0" w:noVBand="0"/>
      </w:tblPr>
      <w:tblGrid>
        <w:gridCol w:w="1833"/>
        <w:gridCol w:w="1833"/>
        <w:gridCol w:w="1832"/>
        <w:gridCol w:w="1833"/>
        <w:gridCol w:w="1833"/>
      </w:tblGrid>
      <w:tr w:rsidR="007E482B" w14:paraId="6B3E408B" w14:textId="77777777">
        <w:trPr>
          <w:trHeight w:val="580"/>
        </w:trPr>
        <w:tc>
          <w:tcPr>
            <w:tcW w:w="1833" w:type="dxa"/>
            <w:tcBorders>
              <w:top w:val="single" w:sz="4" w:space="0" w:color="auto"/>
              <w:bottom w:val="single" w:sz="4" w:space="0" w:color="auto"/>
            </w:tcBorders>
            <w:shd w:val="clear" w:color="auto" w:fill="9F1853" w:themeFill="accent4"/>
          </w:tcPr>
          <w:p w14:paraId="3A4FBEED"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8"/>
                <w:szCs w:val="18"/>
              </w:rPr>
            </w:pPr>
            <w:r w:rsidRPr="0087095D">
              <w:rPr>
                <w:rFonts w:cs="Arial"/>
                <w:b/>
                <w:bCs/>
                <w:color w:val="FFFFFF" w:themeColor="background1"/>
                <w:sz w:val="18"/>
                <w:szCs w:val="18"/>
              </w:rPr>
              <w:t>Iron Smelting and Steel Manufacturing</w:t>
            </w:r>
          </w:p>
        </w:tc>
        <w:tc>
          <w:tcPr>
            <w:tcW w:w="1833" w:type="dxa"/>
            <w:tcBorders>
              <w:top w:val="single" w:sz="4" w:space="0" w:color="auto"/>
              <w:bottom w:val="single" w:sz="4" w:space="0" w:color="auto"/>
            </w:tcBorders>
            <w:shd w:val="clear" w:color="auto" w:fill="9F1853" w:themeFill="accent4"/>
          </w:tcPr>
          <w:p w14:paraId="205C5ED8"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8"/>
                <w:szCs w:val="18"/>
              </w:rPr>
            </w:pPr>
            <w:r w:rsidRPr="0087095D">
              <w:rPr>
                <w:rFonts w:cs="Arial"/>
                <w:b/>
                <w:bCs/>
                <w:color w:val="FFFFFF" w:themeColor="background1"/>
                <w:sz w:val="18"/>
                <w:szCs w:val="18"/>
              </w:rPr>
              <w:t>Alumina Production</w:t>
            </w:r>
          </w:p>
        </w:tc>
        <w:tc>
          <w:tcPr>
            <w:tcW w:w="1832" w:type="dxa"/>
            <w:tcBorders>
              <w:top w:val="single" w:sz="4" w:space="0" w:color="auto"/>
              <w:bottom w:val="single" w:sz="4" w:space="0" w:color="auto"/>
            </w:tcBorders>
            <w:shd w:val="clear" w:color="auto" w:fill="9F1853" w:themeFill="accent4"/>
          </w:tcPr>
          <w:p w14:paraId="12AF48A8"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8"/>
                <w:szCs w:val="18"/>
              </w:rPr>
            </w:pPr>
            <w:r w:rsidRPr="0087095D">
              <w:rPr>
                <w:rFonts w:cs="Arial"/>
                <w:b/>
                <w:bCs/>
                <w:color w:val="FFFFFF" w:themeColor="background1"/>
                <w:sz w:val="18"/>
                <w:szCs w:val="18"/>
              </w:rPr>
              <w:t>Aluminium Smelting</w:t>
            </w:r>
          </w:p>
        </w:tc>
        <w:tc>
          <w:tcPr>
            <w:tcW w:w="1833" w:type="dxa"/>
            <w:tcBorders>
              <w:top w:val="single" w:sz="4" w:space="0" w:color="auto"/>
              <w:bottom w:val="single" w:sz="4" w:space="0" w:color="auto"/>
            </w:tcBorders>
            <w:shd w:val="clear" w:color="auto" w:fill="9F1853" w:themeFill="accent4"/>
          </w:tcPr>
          <w:p w14:paraId="698313BE" w14:textId="77777777" w:rsidR="009E09C1" w:rsidRPr="0087095D" w:rsidRDefault="009E09C1">
            <w:pPr>
              <w:autoSpaceDE w:val="0"/>
              <w:autoSpaceDN w:val="0"/>
              <w:adjustRightInd w:val="0"/>
              <w:spacing w:before="60" w:after="60" w:line="240" w:lineRule="auto"/>
              <w:jc w:val="center"/>
              <w:rPr>
                <w:rFonts w:cs="Arial"/>
                <w:b/>
                <w:bCs/>
                <w:color w:val="FFFFFF" w:themeColor="background1"/>
                <w:sz w:val="16"/>
                <w:szCs w:val="16"/>
              </w:rPr>
            </w:pPr>
            <w:r w:rsidRPr="0087095D">
              <w:rPr>
                <w:rFonts w:cs="Arial"/>
                <w:b/>
                <w:bCs/>
                <w:color w:val="FFFFFF" w:themeColor="background1"/>
                <w:sz w:val="16"/>
                <w:szCs w:val="16"/>
              </w:rPr>
              <w:t>Copper, Silver, Lead &amp; Zinc Smelting &amp; Refining</w:t>
            </w:r>
          </w:p>
        </w:tc>
        <w:tc>
          <w:tcPr>
            <w:tcW w:w="1833" w:type="dxa"/>
            <w:tcBorders>
              <w:top w:val="single" w:sz="4" w:space="0" w:color="auto"/>
              <w:bottom w:val="single" w:sz="4" w:space="0" w:color="auto"/>
            </w:tcBorders>
            <w:shd w:val="clear" w:color="auto" w:fill="9F1853" w:themeFill="accent4"/>
          </w:tcPr>
          <w:p w14:paraId="6499617F" w14:textId="77777777" w:rsidR="009E09C1" w:rsidRPr="00CF7C05" w:rsidRDefault="009E09C1">
            <w:pPr>
              <w:autoSpaceDE w:val="0"/>
              <w:autoSpaceDN w:val="0"/>
              <w:adjustRightInd w:val="0"/>
              <w:spacing w:before="60" w:after="60" w:line="240" w:lineRule="auto"/>
              <w:jc w:val="center"/>
              <w:rPr>
                <w:rFonts w:cs="Arial"/>
                <w:b/>
                <w:bCs/>
                <w:color w:val="FFFFFF" w:themeColor="background1"/>
                <w:sz w:val="18"/>
                <w:szCs w:val="18"/>
              </w:rPr>
            </w:pPr>
            <w:r w:rsidRPr="00CF7C05">
              <w:rPr>
                <w:rFonts w:cs="Arial"/>
                <w:b/>
                <w:bCs/>
                <w:color w:val="FFFFFF" w:themeColor="background1"/>
                <w:sz w:val="16"/>
                <w:szCs w:val="16"/>
              </w:rPr>
              <w:t>Other Basic Non-Ferrous Metal Manufacturing</w:t>
            </w:r>
          </w:p>
        </w:tc>
      </w:tr>
      <w:tr w:rsidR="004F2A73" w14:paraId="5F86028A" w14:textId="77777777">
        <w:trPr>
          <w:trHeight w:val="311"/>
        </w:trPr>
        <w:tc>
          <w:tcPr>
            <w:tcW w:w="1833" w:type="dxa"/>
            <w:tcBorders>
              <w:top w:val="single" w:sz="4" w:space="0" w:color="auto"/>
              <w:left w:val="nil"/>
              <w:bottom w:val="nil"/>
              <w:right w:val="nil"/>
            </w:tcBorders>
            <w:vAlign w:val="center"/>
          </w:tcPr>
          <w:p w14:paraId="4E3EF48E"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Fabricator</w:t>
            </w:r>
          </w:p>
        </w:tc>
        <w:tc>
          <w:tcPr>
            <w:tcW w:w="1833" w:type="dxa"/>
            <w:tcBorders>
              <w:top w:val="single" w:sz="4" w:space="0" w:color="auto"/>
              <w:left w:val="nil"/>
              <w:bottom w:val="nil"/>
              <w:right w:val="nil"/>
            </w:tcBorders>
            <w:vAlign w:val="center"/>
          </w:tcPr>
          <w:p w14:paraId="6038C054"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2" w:type="dxa"/>
            <w:tcBorders>
              <w:top w:val="single" w:sz="4" w:space="0" w:color="auto"/>
              <w:left w:val="nil"/>
              <w:bottom w:val="nil"/>
              <w:right w:val="nil"/>
            </w:tcBorders>
            <w:vAlign w:val="center"/>
          </w:tcPr>
          <w:p w14:paraId="7C37410F"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3" w:type="dxa"/>
            <w:tcBorders>
              <w:top w:val="single" w:sz="4" w:space="0" w:color="auto"/>
              <w:left w:val="nil"/>
              <w:bottom w:val="nil"/>
              <w:right w:val="nil"/>
            </w:tcBorders>
            <w:vAlign w:val="center"/>
          </w:tcPr>
          <w:p w14:paraId="6EC7E7E3"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3" w:type="dxa"/>
            <w:tcBorders>
              <w:top w:val="single" w:sz="4" w:space="0" w:color="auto"/>
              <w:left w:val="nil"/>
              <w:bottom w:val="nil"/>
              <w:right w:val="nil"/>
            </w:tcBorders>
            <w:vAlign w:val="center"/>
          </w:tcPr>
          <w:p w14:paraId="0617F105"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Miner</w:t>
            </w:r>
          </w:p>
        </w:tc>
      </w:tr>
      <w:tr w:rsidR="007E482B" w14:paraId="378B8434" w14:textId="77777777">
        <w:trPr>
          <w:trHeight w:val="311"/>
        </w:trPr>
        <w:tc>
          <w:tcPr>
            <w:tcW w:w="1833" w:type="dxa"/>
            <w:tcBorders>
              <w:top w:val="nil"/>
              <w:left w:val="nil"/>
              <w:bottom w:val="nil"/>
              <w:right w:val="nil"/>
            </w:tcBorders>
            <w:shd w:val="clear" w:color="auto" w:fill="F6C5DB" w:themeFill="accent4" w:themeFillTint="33"/>
            <w:vAlign w:val="center"/>
          </w:tcPr>
          <w:p w14:paraId="331C4B0A"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c>
          <w:tcPr>
            <w:tcW w:w="1833" w:type="dxa"/>
            <w:tcBorders>
              <w:top w:val="nil"/>
              <w:left w:val="nil"/>
              <w:bottom w:val="nil"/>
              <w:right w:val="nil"/>
            </w:tcBorders>
            <w:shd w:val="clear" w:color="auto" w:fill="F6C5DB" w:themeFill="accent4" w:themeFillTint="33"/>
            <w:vAlign w:val="center"/>
          </w:tcPr>
          <w:p w14:paraId="5F778F7B"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c>
          <w:tcPr>
            <w:tcW w:w="1832" w:type="dxa"/>
            <w:tcBorders>
              <w:top w:val="nil"/>
              <w:left w:val="nil"/>
              <w:bottom w:val="nil"/>
              <w:right w:val="nil"/>
            </w:tcBorders>
            <w:shd w:val="clear" w:color="auto" w:fill="F6C5DB" w:themeFill="accent4" w:themeFillTint="33"/>
            <w:vAlign w:val="center"/>
          </w:tcPr>
          <w:p w14:paraId="08C83B27"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c>
          <w:tcPr>
            <w:tcW w:w="1833" w:type="dxa"/>
            <w:tcBorders>
              <w:top w:val="nil"/>
              <w:left w:val="nil"/>
              <w:bottom w:val="nil"/>
              <w:right w:val="nil"/>
            </w:tcBorders>
            <w:shd w:val="clear" w:color="auto" w:fill="F6C5DB" w:themeFill="accent4" w:themeFillTint="33"/>
            <w:vAlign w:val="center"/>
          </w:tcPr>
          <w:p w14:paraId="0491F601"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c>
          <w:tcPr>
            <w:tcW w:w="1833" w:type="dxa"/>
            <w:tcBorders>
              <w:top w:val="nil"/>
              <w:left w:val="nil"/>
              <w:bottom w:val="nil"/>
              <w:right w:val="nil"/>
            </w:tcBorders>
            <w:shd w:val="clear" w:color="auto" w:fill="F6C5DB" w:themeFill="accent4" w:themeFillTint="33"/>
            <w:vAlign w:val="center"/>
          </w:tcPr>
          <w:p w14:paraId="6E9725A1"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r>
      <w:tr w:rsidR="002F0E6C" w14:paraId="003699C9" w14:textId="77777777">
        <w:trPr>
          <w:trHeight w:val="254"/>
        </w:trPr>
        <w:tc>
          <w:tcPr>
            <w:tcW w:w="1833" w:type="dxa"/>
            <w:tcBorders>
              <w:top w:val="nil"/>
              <w:left w:val="nil"/>
              <w:bottom w:val="nil"/>
              <w:right w:val="nil"/>
            </w:tcBorders>
            <w:vAlign w:val="center"/>
          </w:tcPr>
          <w:p w14:paraId="7E5B9C53"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Engineering Process Worker</w:t>
            </w:r>
          </w:p>
        </w:tc>
        <w:tc>
          <w:tcPr>
            <w:tcW w:w="1833" w:type="dxa"/>
            <w:tcBorders>
              <w:top w:val="nil"/>
              <w:left w:val="nil"/>
              <w:bottom w:val="nil"/>
              <w:right w:val="nil"/>
            </w:tcBorders>
            <w:vAlign w:val="center"/>
          </w:tcPr>
          <w:p w14:paraId="1B890966"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Miner</w:t>
            </w:r>
          </w:p>
        </w:tc>
        <w:tc>
          <w:tcPr>
            <w:tcW w:w="1832" w:type="dxa"/>
            <w:tcBorders>
              <w:top w:val="nil"/>
              <w:left w:val="nil"/>
              <w:bottom w:val="nil"/>
              <w:right w:val="nil"/>
            </w:tcBorders>
            <w:vAlign w:val="center"/>
          </w:tcPr>
          <w:p w14:paraId="733A6199"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c>
          <w:tcPr>
            <w:tcW w:w="1833" w:type="dxa"/>
            <w:tcBorders>
              <w:top w:val="nil"/>
              <w:left w:val="nil"/>
              <w:bottom w:val="nil"/>
              <w:right w:val="nil"/>
            </w:tcBorders>
            <w:vAlign w:val="center"/>
          </w:tcPr>
          <w:p w14:paraId="21BF18BB"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Miner</w:t>
            </w:r>
          </w:p>
        </w:tc>
        <w:tc>
          <w:tcPr>
            <w:tcW w:w="1833" w:type="dxa"/>
            <w:tcBorders>
              <w:top w:val="nil"/>
              <w:left w:val="nil"/>
              <w:bottom w:val="nil"/>
              <w:right w:val="nil"/>
            </w:tcBorders>
            <w:vAlign w:val="center"/>
          </w:tcPr>
          <w:p w14:paraId="3B247202"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Engineering Production Worker</w:t>
            </w:r>
          </w:p>
        </w:tc>
      </w:tr>
      <w:tr w:rsidR="007E482B" w14:paraId="386CE5B1" w14:textId="77777777">
        <w:trPr>
          <w:trHeight w:val="311"/>
        </w:trPr>
        <w:tc>
          <w:tcPr>
            <w:tcW w:w="1833" w:type="dxa"/>
            <w:tcBorders>
              <w:top w:val="nil"/>
              <w:left w:val="nil"/>
              <w:right w:val="nil"/>
            </w:tcBorders>
            <w:shd w:val="clear" w:color="auto" w:fill="F6C5DB" w:themeFill="accent4" w:themeFillTint="33"/>
            <w:vAlign w:val="center"/>
          </w:tcPr>
          <w:p w14:paraId="49B66C71"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Welder (First Class)</w:t>
            </w:r>
          </w:p>
        </w:tc>
        <w:tc>
          <w:tcPr>
            <w:tcW w:w="1833" w:type="dxa"/>
            <w:tcBorders>
              <w:top w:val="nil"/>
              <w:left w:val="nil"/>
              <w:right w:val="nil"/>
            </w:tcBorders>
            <w:shd w:val="clear" w:color="auto" w:fill="F6C5DB" w:themeFill="accent4" w:themeFillTint="33"/>
            <w:vAlign w:val="center"/>
          </w:tcPr>
          <w:p w14:paraId="766AFC46"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c>
          <w:tcPr>
            <w:tcW w:w="1832" w:type="dxa"/>
            <w:tcBorders>
              <w:top w:val="nil"/>
              <w:left w:val="nil"/>
              <w:right w:val="nil"/>
            </w:tcBorders>
            <w:shd w:val="clear" w:color="auto" w:fill="F6C5DB" w:themeFill="accent4" w:themeFillTint="33"/>
            <w:vAlign w:val="center"/>
          </w:tcPr>
          <w:p w14:paraId="015CEDC3"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Fabricator</w:t>
            </w:r>
          </w:p>
        </w:tc>
        <w:tc>
          <w:tcPr>
            <w:tcW w:w="1833" w:type="dxa"/>
            <w:tcBorders>
              <w:top w:val="nil"/>
              <w:left w:val="nil"/>
              <w:right w:val="nil"/>
            </w:tcBorders>
            <w:shd w:val="clear" w:color="auto" w:fill="F6C5DB" w:themeFill="accent4" w:themeFillTint="33"/>
            <w:vAlign w:val="center"/>
          </w:tcPr>
          <w:p w14:paraId="651A0DB5"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Metal Fabricator</w:t>
            </w:r>
          </w:p>
        </w:tc>
        <w:tc>
          <w:tcPr>
            <w:tcW w:w="1833" w:type="dxa"/>
            <w:tcBorders>
              <w:top w:val="nil"/>
              <w:left w:val="nil"/>
              <w:right w:val="nil"/>
            </w:tcBorders>
            <w:shd w:val="clear" w:color="auto" w:fill="F6C5DB" w:themeFill="accent4" w:themeFillTint="33"/>
            <w:vAlign w:val="center"/>
          </w:tcPr>
          <w:p w14:paraId="338CB79E"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Stationary Plant Operators nec</w:t>
            </w:r>
          </w:p>
        </w:tc>
      </w:tr>
      <w:tr w:rsidR="004F2A73" w14:paraId="5818D55A" w14:textId="77777777">
        <w:trPr>
          <w:trHeight w:val="254"/>
        </w:trPr>
        <w:tc>
          <w:tcPr>
            <w:tcW w:w="1833" w:type="dxa"/>
            <w:tcBorders>
              <w:top w:val="nil"/>
              <w:left w:val="nil"/>
              <w:bottom w:val="single" w:sz="4" w:space="0" w:color="auto"/>
              <w:right w:val="nil"/>
            </w:tcBorders>
            <w:vAlign w:val="center"/>
          </w:tcPr>
          <w:p w14:paraId="44B4811B"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Production Manager (Manufacturing)</w:t>
            </w:r>
          </w:p>
        </w:tc>
        <w:tc>
          <w:tcPr>
            <w:tcW w:w="1833" w:type="dxa"/>
            <w:tcBorders>
              <w:top w:val="nil"/>
              <w:left w:val="nil"/>
              <w:bottom w:val="single" w:sz="4" w:space="0" w:color="auto"/>
              <w:right w:val="nil"/>
            </w:tcBorders>
            <w:vAlign w:val="center"/>
          </w:tcPr>
          <w:p w14:paraId="5BC9BF6D"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Maintenance Planner</w:t>
            </w:r>
          </w:p>
        </w:tc>
        <w:tc>
          <w:tcPr>
            <w:tcW w:w="1832" w:type="dxa"/>
            <w:tcBorders>
              <w:top w:val="nil"/>
              <w:left w:val="nil"/>
              <w:bottom w:val="single" w:sz="4" w:space="0" w:color="auto"/>
              <w:right w:val="nil"/>
            </w:tcBorders>
            <w:vAlign w:val="center"/>
          </w:tcPr>
          <w:p w14:paraId="65C19189"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Production Manager (Manufacturing)</w:t>
            </w:r>
          </w:p>
        </w:tc>
        <w:tc>
          <w:tcPr>
            <w:tcW w:w="1833" w:type="dxa"/>
            <w:tcBorders>
              <w:top w:val="nil"/>
              <w:left w:val="nil"/>
              <w:bottom w:val="single" w:sz="4" w:space="0" w:color="auto"/>
              <w:right w:val="nil"/>
            </w:tcBorders>
            <w:vAlign w:val="center"/>
          </w:tcPr>
          <w:p w14:paraId="4DF925E9"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Fitter (General)</w:t>
            </w:r>
          </w:p>
        </w:tc>
        <w:tc>
          <w:tcPr>
            <w:tcW w:w="1833" w:type="dxa"/>
            <w:tcBorders>
              <w:top w:val="nil"/>
              <w:left w:val="nil"/>
              <w:bottom w:val="single" w:sz="4" w:space="0" w:color="auto"/>
              <w:right w:val="nil"/>
            </w:tcBorders>
            <w:vAlign w:val="center"/>
          </w:tcPr>
          <w:p w14:paraId="6A30401F" w14:textId="77777777" w:rsidR="009E09C1" w:rsidRPr="0087095D" w:rsidRDefault="009E09C1">
            <w:pPr>
              <w:autoSpaceDE w:val="0"/>
              <w:autoSpaceDN w:val="0"/>
              <w:adjustRightInd w:val="0"/>
              <w:spacing w:before="60" w:after="60" w:line="240" w:lineRule="auto"/>
              <w:jc w:val="center"/>
              <w:rPr>
                <w:rFonts w:cs="Arial"/>
                <w:color w:val="000000"/>
                <w:sz w:val="18"/>
                <w:szCs w:val="18"/>
              </w:rPr>
            </w:pPr>
            <w:r w:rsidRPr="0087095D">
              <w:rPr>
                <w:rFonts w:cs="Arial"/>
                <w:color w:val="000000"/>
                <w:sz w:val="18"/>
                <w:szCs w:val="18"/>
              </w:rPr>
              <w:t>Electrician (General)</w:t>
            </w:r>
          </w:p>
        </w:tc>
      </w:tr>
    </w:tbl>
    <w:p w14:paraId="4BBDD3B5" w14:textId="1F7F334A" w:rsidR="009E09C1" w:rsidRDefault="009E09C1" w:rsidP="009E09C1">
      <w:pPr>
        <w:spacing w:after="360"/>
        <w:rPr>
          <w:sz w:val="18"/>
          <w:szCs w:val="18"/>
        </w:rPr>
      </w:pPr>
      <w:r>
        <w:rPr>
          <w:sz w:val="18"/>
          <w:szCs w:val="18"/>
        </w:rPr>
        <w:t>Source: ABS Census of Population and Housing 2021</w:t>
      </w:r>
    </w:p>
    <w:p w14:paraId="4C6FA3D0" w14:textId="77777777" w:rsidR="009E09C1" w:rsidRPr="006336DC" w:rsidRDefault="009E09C1" w:rsidP="009E09C1">
      <w:pPr>
        <w:pBdr>
          <w:top w:val="single" w:sz="4" w:space="5" w:color="BFBFBF" w:themeColor="background1" w:themeShade="BF"/>
        </w:pBdr>
        <w:spacing w:before="120" w:after="40"/>
        <w:rPr>
          <w:b/>
          <w:bCs/>
        </w:rPr>
      </w:pPr>
      <w:r w:rsidRPr="00E825FD">
        <w:rPr>
          <w:b/>
          <w:bCs/>
        </w:rPr>
        <w:t>Table 6.</w:t>
      </w:r>
      <w:r>
        <w:rPr>
          <w:b/>
          <w:bCs/>
        </w:rPr>
        <w:t>3</w:t>
      </w:r>
      <w:r w:rsidRPr="00E825FD">
        <w:rPr>
          <w:b/>
          <w:bCs/>
        </w:rPr>
        <w:t xml:space="preserve">. Top </w:t>
      </w:r>
      <w:r>
        <w:rPr>
          <w:b/>
          <w:bCs/>
        </w:rPr>
        <w:t xml:space="preserve">regions for employment in </w:t>
      </w:r>
      <w:r w:rsidRPr="00E825FD">
        <w:rPr>
          <w:b/>
          <w:bCs/>
        </w:rPr>
        <w:t>metal</w:t>
      </w:r>
      <w:r>
        <w:rPr>
          <w:b/>
          <w:bCs/>
        </w:rPr>
        <w:t>s manufacturing industries</w:t>
      </w:r>
    </w:p>
    <w:tbl>
      <w:tblPr>
        <w:tblW w:w="9125" w:type="dxa"/>
        <w:tblLook w:val="04A0" w:firstRow="1" w:lastRow="0" w:firstColumn="1" w:lastColumn="0" w:noHBand="0" w:noVBand="1"/>
      </w:tblPr>
      <w:tblGrid>
        <w:gridCol w:w="1825"/>
        <w:gridCol w:w="1825"/>
        <w:gridCol w:w="1825"/>
        <w:gridCol w:w="1825"/>
        <w:gridCol w:w="1825"/>
      </w:tblGrid>
      <w:tr w:rsidR="009E09C1" w:rsidRPr="007B491D" w14:paraId="10A97DBC" w14:textId="77777777">
        <w:trPr>
          <w:trHeight w:val="303"/>
        </w:trPr>
        <w:tc>
          <w:tcPr>
            <w:tcW w:w="1825" w:type="dxa"/>
            <w:tcBorders>
              <w:top w:val="single" w:sz="4" w:space="0" w:color="auto"/>
              <w:bottom w:val="single" w:sz="4" w:space="0" w:color="auto"/>
            </w:tcBorders>
            <w:shd w:val="clear" w:color="auto" w:fill="9F1853" w:themeFill="accent4"/>
            <w:vAlign w:val="center"/>
            <w:hideMark/>
          </w:tcPr>
          <w:p w14:paraId="71EC5354"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8"/>
                <w:szCs w:val="18"/>
              </w:rPr>
            </w:pPr>
            <w:r w:rsidRPr="007B491D">
              <w:rPr>
                <w:rFonts w:cs="Arial"/>
                <w:b/>
                <w:bCs/>
                <w:color w:val="FFFFFF" w:themeColor="background1"/>
                <w:sz w:val="18"/>
                <w:szCs w:val="18"/>
              </w:rPr>
              <w:t>Iron Smelting and Steel Manufacturing</w:t>
            </w:r>
          </w:p>
        </w:tc>
        <w:tc>
          <w:tcPr>
            <w:tcW w:w="1825" w:type="dxa"/>
            <w:tcBorders>
              <w:top w:val="single" w:sz="4" w:space="0" w:color="auto"/>
              <w:bottom w:val="single" w:sz="4" w:space="0" w:color="auto"/>
            </w:tcBorders>
            <w:shd w:val="clear" w:color="auto" w:fill="9F1853" w:themeFill="accent4"/>
            <w:vAlign w:val="center"/>
            <w:hideMark/>
          </w:tcPr>
          <w:p w14:paraId="1245A585"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8"/>
                <w:szCs w:val="18"/>
              </w:rPr>
            </w:pPr>
            <w:r w:rsidRPr="007B491D">
              <w:rPr>
                <w:rFonts w:cs="Arial"/>
                <w:b/>
                <w:bCs/>
                <w:color w:val="FFFFFF" w:themeColor="background1"/>
                <w:sz w:val="18"/>
                <w:szCs w:val="18"/>
              </w:rPr>
              <w:t>Alumina Production</w:t>
            </w:r>
          </w:p>
        </w:tc>
        <w:tc>
          <w:tcPr>
            <w:tcW w:w="1825" w:type="dxa"/>
            <w:tcBorders>
              <w:top w:val="single" w:sz="4" w:space="0" w:color="auto"/>
              <w:bottom w:val="single" w:sz="4" w:space="0" w:color="auto"/>
            </w:tcBorders>
            <w:shd w:val="clear" w:color="auto" w:fill="9F1853" w:themeFill="accent4"/>
            <w:vAlign w:val="center"/>
            <w:hideMark/>
          </w:tcPr>
          <w:p w14:paraId="14EB974A"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8"/>
                <w:szCs w:val="18"/>
              </w:rPr>
            </w:pPr>
            <w:r w:rsidRPr="007B491D">
              <w:rPr>
                <w:rFonts w:cs="Arial"/>
                <w:b/>
                <w:bCs/>
                <w:color w:val="FFFFFF" w:themeColor="background1"/>
                <w:sz w:val="18"/>
                <w:szCs w:val="18"/>
              </w:rPr>
              <w:t>Aluminium Smelting</w:t>
            </w:r>
          </w:p>
        </w:tc>
        <w:tc>
          <w:tcPr>
            <w:tcW w:w="1825" w:type="dxa"/>
            <w:tcBorders>
              <w:top w:val="single" w:sz="4" w:space="0" w:color="auto"/>
              <w:bottom w:val="single" w:sz="4" w:space="0" w:color="auto"/>
            </w:tcBorders>
            <w:shd w:val="clear" w:color="auto" w:fill="9F1853" w:themeFill="accent4"/>
            <w:vAlign w:val="center"/>
            <w:hideMark/>
          </w:tcPr>
          <w:p w14:paraId="2D17BFA9"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6"/>
                <w:szCs w:val="16"/>
              </w:rPr>
            </w:pPr>
            <w:r w:rsidRPr="007B491D">
              <w:rPr>
                <w:rFonts w:cs="Arial"/>
                <w:b/>
                <w:bCs/>
                <w:color w:val="FFFFFF" w:themeColor="background1"/>
                <w:sz w:val="16"/>
                <w:szCs w:val="16"/>
              </w:rPr>
              <w:t>Copper, Silver, Lead and Zinc Smelting and Refining</w:t>
            </w:r>
          </w:p>
        </w:tc>
        <w:tc>
          <w:tcPr>
            <w:tcW w:w="1825" w:type="dxa"/>
            <w:tcBorders>
              <w:top w:val="single" w:sz="4" w:space="0" w:color="auto"/>
              <w:bottom w:val="single" w:sz="4" w:space="0" w:color="auto"/>
            </w:tcBorders>
            <w:shd w:val="clear" w:color="auto" w:fill="9F1853" w:themeFill="accent4"/>
            <w:vAlign w:val="center"/>
            <w:hideMark/>
          </w:tcPr>
          <w:p w14:paraId="03207EB4" w14:textId="77777777" w:rsidR="009E09C1" w:rsidRPr="007B491D" w:rsidRDefault="009E09C1">
            <w:pPr>
              <w:autoSpaceDE w:val="0"/>
              <w:autoSpaceDN w:val="0"/>
              <w:adjustRightInd w:val="0"/>
              <w:spacing w:before="60" w:after="60" w:line="240" w:lineRule="auto"/>
              <w:jc w:val="center"/>
              <w:rPr>
                <w:rFonts w:cs="Arial"/>
                <w:b/>
                <w:bCs/>
                <w:color w:val="FFFFFF" w:themeColor="background1"/>
                <w:sz w:val="16"/>
                <w:szCs w:val="16"/>
              </w:rPr>
            </w:pPr>
            <w:r w:rsidRPr="007B491D">
              <w:rPr>
                <w:rFonts w:cs="Arial"/>
                <w:b/>
                <w:bCs/>
                <w:color w:val="FFFFFF" w:themeColor="background1"/>
                <w:sz w:val="16"/>
                <w:szCs w:val="16"/>
              </w:rPr>
              <w:t>Other Basic Non-Ferrous Metal Manufacturing</w:t>
            </w:r>
          </w:p>
        </w:tc>
      </w:tr>
      <w:tr w:rsidR="009E09C1" w:rsidRPr="007B491D" w14:paraId="38ACD39A" w14:textId="77777777">
        <w:trPr>
          <w:trHeight w:val="303"/>
        </w:trPr>
        <w:tc>
          <w:tcPr>
            <w:tcW w:w="1825" w:type="dxa"/>
            <w:tcBorders>
              <w:top w:val="single" w:sz="4" w:space="0" w:color="auto"/>
            </w:tcBorders>
            <w:shd w:val="clear" w:color="000000" w:fill="FFFFFF"/>
            <w:vAlign w:val="center"/>
            <w:hideMark/>
          </w:tcPr>
          <w:p w14:paraId="51494D92" w14:textId="7AF2A7CA"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Dapto </w:t>
            </w:r>
            <w:r w:rsidR="00B63BBD">
              <w:rPr>
                <w:rFonts w:cs="Arial"/>
                <w:color w:val="000000"/>
                <w:sz w:val="18"/>
                <w:szCs w:val="18"/>
              </w:rPr>
              <w:t>–</w:t>
            </w:r>
            <w:r w:rsidRPr="007B491D">
              <w:rPr>
                <w:rFonts w:cs="Arial"/>
                <w:color w:val="000000"/>
                <w:sz w:val="18"/>
                <w:szCs w:val="18"/>
              </w:rPr>
              <w:t xml:space="preserve"> Port Kembla</w:t>
            </w:r>
            <w:r>
              <w:rPr>
                <w:rFonts w:cs="Arial"/>
                <w:color w:val="000000"/>
                <w:sz w:val="18"/>
                <w:szCs w:val="18"/>
              </w:rPr>
              <w:t xml:space="preserve"> (NSW)</w:t>
            </w:r>
          </w:p>
        </w:tc>
        <w:tc>
          <w:tcPr>
            <w:tcW w:w="1825" w:type="dxa"/>
            <w:tcBorders>
              <w:top w:val="single" w:sz="4" w:space="0" w:color="auto"/>
            </w:tcBorders>
            <w:shd w:val="clear" w:color="000000" w:fill="FFFFFF"/>
            <w:vAlign w:val="center"/>
            <w:hideMark/>
          </w:tcPr>
          <w:p w14:paraId="0431B455"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Bunbury</w:t>
            </w:r>
            <w:r>
              <w:rPr>
                <w:rFonts w:cs="Arial"/>
                <w:color w:val="000000"/>
                <w:sz w:val="18"/>
                <w:szCs w:val="18"/>
              </w:rPr>
              <w:t xml:space="preserve"> (WA)</w:t>
            </w:r>
          </w:p>
        </w:tc>
        <w:tc>
          <w:tcPr>
            <w:tcW w:w="1825" w:type="dxa"/>
            <w:tcBorders>
              <w:top w:val="single" w:sz="4" w:space="0" w:color="auto"/>
            </w:tcBorders>
            <w:shd w:val="clear" w:color="000000" w:fill="FFFFFF"/>
            <w:vAlign w:val="center"/>
            <w:hideMark/>
          </w:tcPr>
          <w:p w14:paraId="01DFCFA3"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Gladstone</w:t>
            </w:r>
            <w:r>
              <w:rPr>
                <w:rFonts w:cs="Arial"/>
                <w:color w:val="000000"/>
                <w:sz w:val="18"/>
                <w:szCs w:val="18"/>
              </w:rPr>
              <w:t xml:space="preserve"> (QLD)</w:t>
            </w:r>
          </w:p>
        </w:tc>
        <w:tc>
          <w:tcPr>
            <w:tcW w:w="1825" w:type="dxa"/>
            <w:tcBorders>
              <w:top w:val="single" w:sz="4" w:space="0" w:color="auto"/>
            </w:tcBorders>
            <w:shd w:val="clear" w:color="000000" w:fill="FFFFFF"/>
            <w:vAlign w:val="center"/>
            <w:hideMark/>
          </w:tcPr>
          <w:p w14:paraId="022D60E2"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Mid North</w:t>
            </w:r>
            <w:r>
              <w:rPr>
                <w:rFonts w:cs="Arial"/>
                <w:color w:val="000000"/>
                <w:sz w:val="18"/>
                <w:szCs w:val="18"/>
              </w:rPr>
              <w:t xml:space="preserve"> (SA)</w:t>
            </w:r>
          </w:p>
        </w:tc>
        <w:tc>
          <w:tcPr>
            <w:tcW w:w="1825" w:type="dxa"/>
            <w:tcBorders>
              <w:top w:val="single" w:sz="4" w:space="0" w:color="auto"/>
            </w:tcBorders>
            <w:shd w:val="clear" w:color="000000" w:fill="FFFFFF"/>
            <w:vAlign w:val="center"/>
            <w:hideMark/>
          </w:tcPr>
          <w:p w14:paraId="21EA6837"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Goldfields</w:t>
            </w:r>
            <w:r>
              <w:rPr>
                <w:rFonts w:cs="Arial"/>
                <w:color w:val="000000"/>
                <w:sz w:val="18"/>
                <w:szCs w:val="18"/>
              </w:rPr>
              <w:t xml:space="preserve"> (WA)</w:t>
            </w:r>
          </w:p>
        </w:tc>
      </w:tr>
      <w:tr w:rsidR="009E09C1" w:rsidRPr="007B491D" w14:paraId="472EB206" w14:textId="77777777">
        <w:trPr>
          <w:trHeight w:val="490"/>
        </w:trPr>
        <w:tc>
          <w:tcPr>
            <w:tcW w:w="1825" w:type="dxa"/>
            <w:shd w:val="clear" w:color="auto" w:fill="F6C5DB" w:themeFill="accent4" w:themeFillTint="33"/>
            <w:vAlign w:val="center"/>
            <w:hideMark/>
          </w:tcPr>
          <w:p w14:paraId="593E9409"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Eyre Peninsula and Southwest</w:t>
            </w:r>
            <w:r>
              <w:rPr>
                <w:rFonts w:cs="Arial"/>
                <w:color w:val="000000"/>
                <w:sz w:val="18"/>
                <w:szCs w:val="18"/>
              </w:rPr>
              <w:t xml:space="preserve"> (SA)</w:t>
            </w:r>
          </w:p>
        </w:tc>
        <w:tc>
          <w:tcPr>
            <w:tcW w:w="1825" w:type="dxa"/>
            <w:shd w:val="clear" w:color="auto" w:fill="F6C5DB" w:themeFill="accent4" w:themeFillTint="33"/>
            <w:vAlign w:val="center"/>
            <w:hideMark/>
          </w:tcPr>
          <w:p w14:paraId="50C1F5FC"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Mandurah</w:t>
            </w:r>
            <w:r>
              <w:rPr>
                <w:rFonts w:cs="Arial"/>
                <w:color w:val="000000"/>
                <w:sz w:val="18"/>
                <w:szCs w:val="18"/>
              </w:rPr>
              <w:t xml:space="preserve"> (WA)</w:t>
            </w:r>
          </w:p>
        </w:tc>
        <w:tc>
          <w:tcPr>
            <w:tcW w:w="1825" w:type="dxa"/>
            <w:shd w:val="clear" w:color="auto" w:fill="F6C5DB" w:themeFill="accent4" w:themeFillTint="33"/>
            <w:vAlign w:val="center"/>
            <w:hideMark/>
          </w:tcPr>
          <w:p w14:paraId="3C06A0C9"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Port Stephens</w:t>
            </w:r>
            <w:r>
              <w:rPr>
                <w:rFonts w:cs="Arial"/>
                <w:color w:val="000000"/>
                <w:sz w:val="18"/>
                <w:szCs w:val="18"/>
              </w:rPr>
              <w:t xml:space="preserve"> (NSW)</w:t>
            </w:r>
          </w:p>
        </w:tc>
        <w:tc>
          <w:tcPr>
            <w:tcW w:w="1825" w:type="dxa"/>
            <w:shd w:val="clear" w:color="auto" w:fill="F6C5DB" w:themeFill="accent4" w:themeFillTint="33"/>
            <w:vAlign w:val="center"/>
            <w:hideMark/>
          </w:tcPr>
          <w:p w14:paraId="6553097F"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Hobart </w:t>
            </w:r>
            <w:r>
              <w:rPr>
                <w:rFonts w:cs="Arial"/>
                <w:color w:val="000000"/>
                <w:sz w:val="18"/>
                <w:szCs w:val="18"/>
              </w:rPr>
              <w:t>–</w:t>
            </w:r>
            <w:r w:rsidRPr="007B491D">
              <w:rPr>
                <w:rFonts w:cs="Arial"/>
                <w:color w:val="000000"/>
                <w:sz w:val="18"/>
                <w:szCs w:val="18"/>
              </w:rPr>
              <w:t xml:space="preserve"> Northwest</w:t>
            </w:r>
            <w:r>
              <w:rPr>
                <w:rFonts w:cs="Arial"/>
                <w:color w:val="000000"/>
                <w:sz w:val="18"/>
                <w:szCs w:val="18"/>
              </w:rPr>
              <w:t xml:space="preserve"> (TAS)</w:t>
            </w:r>
          </w:p>
        </w:tc>
        <w:tc>
          <w:tcPr>
            <w:tcW w:w="1825" w:type="dxa"/>
            <w:shd w:val="clear" w:color="auto" w:fill="F6C5DB" w:themeFill="accent4" w:themeFillTint="33"/>
            <w:vAlign w:val="center"/>
            <w:hideMark/>
          </w:tcPr>
          <w:p w14:paraId="3DA03C1B"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Mid-West</w:t>
            </w:r>
            <w:r>
              <w:rPr>
                <w:rFonts w:cs="Arial"/>
                <w:color w:val="000000"/>
                <w:sz w:val="18"/>
                <w:szCs w:val="18"/>
              </w:rPr>
              <w:t xml:space="preserve"> (WA)</w:t>
            </w:r>
          </w:p>
        </w:tc>
      </w:tr>
      <w:tr w:rsidR="009E09C1" w:rsidRPr="007B491D" w14:paraId="0A5F023B" w14:textId="77777777">
        <w:trPr>
          <w:trHeight w:val="303"/>
        </w:trPr>
        <w:tc>
          <w:tcPr>
            <w:tcW w:w="1825" w:type="dxa"/>
            <w:shd w:val="clear" w:color="000000" w:fill="FFFFFF"/>
            <w:vAlign w:val="center"/>
            <w:hideMark/>
          </w:tcPr>
          <w:p w14:paraId="65705E54"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Newcastle</w:t>
            </w:r>
            <w:r>
              <w:rPr>
                <w:rFonts w:cs="Arial"/>
                <w:color w:val="000000"/>
                <w:sz w:val="18"/>
                <w:szCs w:val="18"/>
              </w:rPr>
              <w:t xml:space="preserve"> (NSW)</w:t>
            </w:r>
          </w:p>
        </w:tc>
        <w:tc>
          <w:tcPr>
            <w:tcW w:w="1825" w:type="dxa"/>
            <w:shd w:val="clear" w:color="000000" w:fill="FFFFFF"/>
            <w:vAlign w:val="center"/>
            <w:hideMark/>
          </w:tcPr>
          <w:p w14:paraId="22DFA7AA"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Gladstone</w:t>
            </w:r>
            <w:r>
              <w:rPr>
                <w:rFonts w:cs="Arial"/>
                <w:color w:val="000000"/>
                <w:sz w:val="18"/>
                <w:szCs w:val="18"/>
              </w:rPr>
              <w:t xml:space="preserve"> (QLD)</w:t>
            </w:r>
          </w:p>
        </w:tc>
        <w:tc>
          <w:tcPr>
            <w:tcW w:w="1825" w:type="dxa"/>
            <w:shd w:val="clear" w:color="000000" w:fill="FFFFFF"/>
            <w:vAlign w:val="center"/>
            <w:hideMark/>
          </w:tcPr>
          <w:p w14:paraId="792FF4DA"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Northeast</w:t>
            </w:r>
            <w:r>
              <w:rPr>
                <w:rFonts w:cs="Arial"/>
                <w:color w:val="000000"/>
                <w:sz w:val="18"/>
                <w:szCs w:val="18"/>
              </w:rPr>
              <w:t xml:space="preserve"> (TAS)</w:t>
            </w:r>
          </w:p>
        </w:tc>
        <w:tc>
          <w:tcPr>
            <w:tcW w:w="1825" w:type="dxa"/>
            <w:shd w:val="clear" w:color="000000" w:fill="FFFFFF"/>
            <w:vAlign w:val="center"/>
            <w:hideMark/>
          </w:tcPr>
          <w:p w14:paraId="3FD15611"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Townsville</w:t>
            </w:r>
            <w:r>
              <w:rPr>
                <w:rFonts w:cs="Arial"/>
                <w:color w:val="000000"/>
                <w:sz w:val="18"/>
                <w:szCs w:val="18"/>
              </w:rPr>
              <w:t xml:space="preserve"> (QLD)</w:t>
            </w:r>
          </w:p>
        </w:tc>
        <w:tc>
          <w:tcPr>
            <w:tcW w:w="1825" w:type="dxa"/>
            <w:shd w:val="clear" w:color="000000" w:fill="FFFFFF"/>
            <w:vAlign w:val="center"/>
            <w:hideMark/>
          </w:tcPr>
          <w:p w14:paraId="5CDFA237"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Rockingham</w:t>
            </w:r>
            <w:r>
              <w:rPr>
                <w:rFonts w:cs="Arial"/>
                <w:color w:val="000000"/>
                <w:sz w:val="18"/>
                <w:szCs w:val="18"/>
              </w:rPr>
              <w:t xml:space="preserve"> (WA)</w:t>
            </w:r>
          </w:p>
        </w:tc>
      </w:tr>
      <w:tr w:rsidR="009E09C1" w:rsidRPr="007B491D" w14:paraId="06B41179" w14:textId="77777777">
        <w:trPr>
          <w:trHeight w:val="245"/>
        </w:trPr>
        <w:tc>
          <w:tcPr>
            <w:tcW w:w="1825" w:type="dxa"/>
            <w:shd w:val="clear" w:color="auto" w:fill="F6C5DB" w:themeFill="accent4" w:themeFillTint="33"/>
            <w:vAlign w:val="center"/>
            <w:hideMark/>
          </w:tcPr>
          <w:p w14:paraId="79E55AA3"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Mornington Peninsula</w:t>
            </w:r>
            <w:r>
              <w:rPr>
                <w:rFonts w:cs="Arial"/>
                <w:color w:val="000000"/>
                <w:sz w:val="18"/>
                <w:szCs w:val="18"/>
              </w:rPr>
              <w:t xml:space="preserve"> (VIC)</w:t>
            </w:r>
          </w:p>
        </w:tc>
        <w:tc>
          <w:tcPr>
            <w:tcW w:w="1825" w:type="dxa"/>
            <w:shd w:val="clear" w:color="auto" w:fill="F6C5DB" w:themeFill="accent4" w:themeFillTint="33"/>
            <w:vAlign w:val="center"/>
            <w:hideMark/>
          </w:tcPr>
          <w:p w14:paraId="6ED30ACF"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Kwinana</w:t>
            </w:r>
            <w:r>
              <w:rPr>
                <w:rFonts w:cs="Arial"/>
                <w:color w:val="000000"/>
                <w:sz w:val="18"/>
                <w:szCs w:val="18"/>
              </w:rPr>
              <w:t xml:space="preserve"> (WA)</w:t>
            </w:r>
          </w:p>
        </w:tc>
        <w:tc>
          <w:tcPr>
            <w:tcW w:w="1825" w:type="dxa"/>
            <w:shd w:val="clear" w:color="auto" w:fill="F6C5DB" w:themeFill="accent4" w:themeFillTint="33"/>
            <w:vAlign w:val="center"/>
            <w:hideMark/>
          </w:tcPr>
          <w:p w14:paraId="3152A11C" w14:textId="4A1BDA1B"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Glenelg </w:t>
            </w:r>
            <w:r w:rsidR="00B63BBD">
              <w:rPr>
                <w:rFonts w:cs="Arial"/>
                <w:color w:val="000000"/>
                <w:sz w:val="18"/>
                <w:szCs w:val="18"/>
              </w:rPr>
              <w:t>–</w:t>
            </w:r>
            <w:r w:rsidRPr="007B491D">
              <w:rPr>
                <w:rFonts w:cs="Arial"/>
                <w:color w:val="000000"/>
                <w:sz w:val="18"/>
                <w:szCs w:val="18"/>
              </w:rPr>
              <w:t xml:space="preserve"> Southern Grampians</w:t>
            </w:r>
            <w:r>
              <w:rPr>
                <w:rFonts w:cs="Arial"/>
                <w:color w:val="000000"/>
                <w:sz w:val="18"/>
                <w:szCs w:val="18"/>
              </w:rPr>
              <w:t xml:space="preserve"> (VIC)</w:t>
            </w:r>
          </w:p>
        </w:tc>
        <w:tc>
          <w:tcPr>
            <w:tcW w:w="1825" w:type="dxa"/>
            <w:shd w:val="clear" w:color="auto" w:fill="F6C5DB" w:themeFill="accent4" w:themeFillTint="33"/>
            <w:vAlign w:val="center"/>
            <w:hideMark/>
          </w:tcPr>
          <w:p w14:paraId="49FB7707"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Outback </w:t>
            </w:r>
            <w:r>
              <w:rPr>
                <w:rFonts w:cs="Arial"/>
                <w:color w:val="000000"/>
                <w:sz w:val="18"/>
                <w:szCs w:val="18"/>
              </w:rPr>
              <w:t>–</w:t>
            </w:r>
            <w:r w:rsidRPr="007B491D">
              <w:rPr>
                <w:rFonts w:cs="Arial"/>
                <w:color w:val="000000"/>
                <w:sz w:val="18"/>
                <w:szCs w:val="18"/>
              </w:rPr>
              <w:t xml:space="preserve"> North</w:t>
            </w:r>
            <w:r>
              <w:rPr>
                <w:rFonts w:cs="Arial"/>
                <w:color w:val="000000"/>
                <w:sz w:val="18"/>
                <w:szCs w:val="18"/>
              </w:rPr>
              <w:t xml:space="preserve"> (QLD)</w:t>
            </w:r>
          </w:p>
        </w:tc>
        <w:tc>
          <w:tcPr>
            <w:tcW w:w="1825" w:type="dxa"/>
            <w:shd w:val="clear" w:color="auto" w:fill="F6C5DB" w:themeFill="accent4" w:themeFillTint="33"/>
            <w:vAlign w:val="center"/>
            <w:hideMark/>
          </w:tcPr>
          <w:p w14:paraId="4F1228CD" w14:textId="298B230A"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 xml:space="preserve">Marrickville </w:t>
            </w:r>
            <w:r w:rsidR="00B63BBD">
              <w:rPr>
                <w:rFonts w:cs="Arial"/>
                <w:color w:val="000000"/>
                <w:sz w:val="18"/>
                <w:szCs w:val="18"/>
              </w:rPr>
              <w:t>–</w:t>
            </w:r>
            <w:r w:rsidRPr="007B491D">
              <w:rPr>
                <w:rFonts w:cs="Arial"/>
                <w:color w:val="000000"/>
                <w:sz w:val="18"/>
                <w:szCs w:val="18"/>
              </w:rPr>
              <w:t xml:space="preserve"> Sydenham </w:t>
            </w:r>
            <w:r>
              <w:rPr>
                <w:rFonts w:cs="Arial"/>
                <w:color w:val="000000"/>
                <w:sz w:val="18"/>
                <w:szCs w:val="18"/>
              </w:rPr>
              <w:t>–</w:t>
            </w:r>
            <w:r w:rsidRPr="007B491D">
              <w:rPr>
                <w:rFonts w:cs="Arial"/>
                <w:color w:val="000000"/>
                <w:sz w:val="18"/>
                <w:szCs w:val="18"/>
              </w:rPr>
              <w:t xml:space="preserve"> Petersham</w:t>
            </w:r>
            <w:r>
              <w:rPr>
                <w:rFonts w:cs="Arial"/>
                <w:color w:val="000000"/>
                <w:sz w:val="18"/>
                <w:szCs w:val="18"/>
              </w:rPr>
              <w:t xml:space="preserve"> (NSW)</w:t>
            </w:r>
          </w:p>
        </w:tc>
      </w:tr>
      <w:tr w:rsidR="009E09C1" w:rsidRPr="007B491D" w14:paraId="3556DBC4" w14:textId="77777777">
        <w:trPr>
          <w:trHeight w:val="490"/>
        </w:trPr>
        <w:tc>
          <w:tcPr>
            <w:tcW w:w="1825" w:type="dxa"/>
            <w:tcBorders>
              <w:bottom w:val="single" w:sz="4" w:space="0" w:color="auto"/>
            </w:tcBorders>
            <w:shd w:val="clear" w:color="000000" w:fill="FFFFFF"/>
            <w:vAlign w:val="center"/>
            <w:hideMark/>
          </w:tcPr>
          <w:p w14:paraId="450F0FFF"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Dandenong</w:t>
            </w:r>
            <w:r>
              <w:rPr>
                <w:rFonts w:cs="Arial"/>
                <w:color w:val="000000"/>
                <w:sz w:val="18"/>
                <w:szCs w:val="18"/>
              </w:rPr>
              <w:t xml:space="preserve"> (VIC)</w:t>
            </w:r>
          </w:p>
        </w:tc>
        <w:tc>
          <w:tcPr>
            <w:tcW w:w="1825" w:type="dxa"/>
            <w:tcBorders>
              <w:bottom w:val="single" w:sz="4" w:space="0" w:color="auto"/>
            </w:tcBorders>
            <w:shd w:val="clear" w:color="000000" w:fill="FFFFFF"/>
            <w:vAlign w:val="center"/>
            <w:hideMark/>
          </w:tcPr>
          <w:p w14:paraId="6DE57696"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Wheat Belt South</w:t>
            </w:r>
            <w:r>
              <w:rPr>
                <w:rFonts w:cs="Arial"/>
                <w:color w:val="000000"/>
                <w:sz w:val="18"/>
                <w:szCs w:val="18"/>
              </w:rPr>
              <w:t xml:space="preserve"> (WA)</w:t>
            </w:r>
          </w:p>
        </w:tc>
        <w:tc>
          <w:tcPr>
            <w:tcW w:w="1825" w:type="dxa"/>
            <w:tcBorders>
              <w:bottom w:val="single" w:sz="4" w:space="0" w:color="auto"/>
            </w:tcBorders>
            <w:shd w:val="clear" w:color="000000" w:fill="FFFFFF"/>
            <w:vAlign w:val="center"/>
            <w:hideMark/>
          </w:tcPr>
          <w:p w14:paraId="1703473D"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Dandenong</w:t>
            </w:r>
            <w:r>
              <w:rPr>
                <w:rFonts w:cs="Arial"/>
                <w:color w:val="000000"/>
                <w:sz w:val="18"/>
                <w:szCs w:val="18"/>
              </w:rPr>
              <w:t xml:space="preserve"> (VIC)</w:t>
            </w:r>
          </w:p>
        </w:tc>
        <w:tc>
          <w:tcPr>
            <w:tcW w:w="1825" w:type="dxa"/>
            <w:tcBorders>
              <w:bottom w:val="single" w:sz="4" w:space="0" w:color="auto"/>
            </w:tcBorders>
            <w:shd w:val="clear" w:color="000000" w:fill="FFFFFF"/>
            <w:vAlign w:val="center"/>
            <w:hideMark/>
          </w:tcPr>
          <w:p w14:paraId="73D0B49E"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Hobart Inner</w:t>
            </w:r>
            <w:r>
              <w:rPr>
                <w:rFonts w:cs="Arial"/>
                <w:color w:val="000000"/>
                <w:sz w:val="18"/>
                <w:szCs w:val="18"/>
              </w:rPr>
              <w:t xml:space="preserve"> (TAS)</w:t>
            </w:r>
          </w:p>
        </w:tc>
        <w:tc>
          <w:tcPr>
            <w:tcW w:w="1825" w:type="dxa"/>
            <w:tcBorders>
              <w:bottom w:val="single" w:sz="4" w:space="0" w:color="auto"/>
            </w:tcBorders>
            <w:shd w:val="clear" w:color="000000" w:fill="FFFFFF"/>
            <w:vAlign w:val="center"/>
            <w:hideMark/>
          </w:tcPr>
          <w:p w14:paraId="28ADF9DA" w14:textId="77777777" w:rsidR="009E09C1" w:rsidRPr="007B491D" w:rsidRDefault="009E09C1">
            <w:pPr>
              <w:autoSpaceDE w:val="0"/>
              <w:autoSpaceDN w:val="0"/>
              <w:adjustRightInd w:val="0"/>
              <w:spacing w:before="60" w:after="60" w:line="240" w:lineRule="auto"/>
              <w:jc w:val="center"/>
              <w:rPr>
                <w:rFonts w:cs="Arial"/>
                <w:color w:val="000000"/>
                <w:sz w:val="18"/>
                <w:szCs w:val="18"/>
              </w:rPr>
            </w:pPr>
            <w:r w:rsidRPr="007B491D">
              <w:rPr>
                <w:rFonts w:cs="Arial"/>
                <w:color w:val="000000"/>
                <w:sz w:val="18"/>
                <w:szCs w:val="18"/>
              </w:rPr>
              <w:t>Kwinana</w:t>
            </w:r>
            <w:r>
              <w:rPr>
                <w:rFonts w:cs="Arial"/>
                <w:color w:val="000000"/>
                <w:sz w:val="18"/>
                <w:szCs w:val="18"/>
              </w:rPr>
              <w:t xml:space="preserve"> (WA)</w:t>
            </w:r>
          </w:p>
        </w:tc>
      </w:tr>
    </w:tbl>
    <w:p w14:paraId="6039B130" w14:textId="50A6BE8E" w:rsidR="009E09C1" w:rsidRDefault="009E09C1" w:rsidP="009E09C1">
      <w:pPr>
        <w:rPr>
          <w:sz w:val="18"/>
          <w:szCs w:val="18"/>
        </w:rPr>
      </w:pPr>
      <w:r>
        <w:rPr>
          <w:sz w:val="18"/>
          <w:szCs w:val="18"/>
        </w:rPr>
        <w:t>Source: ABS Census of Population and Housing 2021</w:t>
      </w:r>
    </w:p>
    <w:p w14:paraId="204F671D" w14:textId="77777777" w:rsidR="009E09C1" w:rsidRPr="009E09C1" w:rsidRDefault="009E09C1" w:rsidP="009E09C1">
      <w:pPr>
        <w:pStyle w:val="Heading3"/>
        <w:rPr>
          <w:color w:val="9F1853" w:themeColor="accent4"/>
        </w:rPr>
      </w:pPr>
      <w:r w:rsidRPr="009E09C1">
        <w:rPr>
          <w:color w:val="9F1853" w:themeColor="accent4"/>
        </w:rPr>
        <w:t>Manufacturing renewable technology</w:t>
      </w:r>
    </w:p>
    <w:p w14:paraId="213393DC" w14:textId="3E700C9B" w:rsidR="009E09C1" w:rsidRDefault="009E09C1" w:rsidP="009E09C1">
      <w:pPr>
        <w:pStyle w:val="Default"/>
        <w:spacing w:after="120" w:line="276" w:lineRule="auto"/>
        <w:rPr>
          <w:sz w:val="22"/>
          <w:szCs w:val="22"/>
        </w:rPr>
      </w:pPr>
      <w:r>
        <w:rPr>
          <w:sz w:val="22"/>
          <w:szCs w:val="22"/>
        </w:rPr>
        <w:t xml:space="preserve">The net zero transformation will require a rapid increase in production of technologies like solar panels, wind turbines, and </w:t>
      </w:r>
      <w:r w:rsidR="006F328E">
        <w:rPr>
          <w14:numForm w14:val="lining"/>
          <w14:numSpacing w14:val="proportional"/>
        </w:rPr>
        <w:t>EV</w:t>
      </w:r>
      <w:r>
        <w:rPr>
          <w:sz w:val="22"/>
          <w:szCs w:val="22"/>
        </w:rPr>
        <w:t>s, presenting an opportunity for manufacturing industries to expand. Australia is a relatively small manufacturer of renewable technology, however there are some examples of recent progress:</w:t>
      </w:r>
    </w:p>
    <w:p w14:paraId="52BC2DF8" w14:textId="686A3730" w:rsidR="009E09C1" w:rsidRPr="004D6F69" w:rsidRDefault="009E09C1" w:rsidP="00F25595">
      <w:pPr>
        <w:pStyle w:val="Default"/>
        <w:numPr>
          <w:ilvl w:val="0"/>
          <w:numId w:val="70"/>
        </w:numPr>
        <w:spacing w:after="120" w:line="276" w:lineRule="auto"/>
      </w:pPr>
      <w:r w:rsidRPr="001F2D73">
        <w:rPr>
          <w:sz w:val="22"/>
          <w:szCs w:val="22"/>
        </w:rPr>
        <w:t xml:space="preserve">Tritium is an advanced manufacturing company </w:t>
      </w:r>
      <w:r>
        <w:rPr>
          <w:sz w:val="22"/>
          <w:szCs w:val="22"/>
        </w:rPr>
        <w:t xml:space="preserve">based in Brisbane </w:t>
      </w:r>
      <w:r w:rsidRPr="001F2D73">
        <w:rPr>
          <w:sz w:val="22"/>
          <w:szCs w:val="22"/>
        </w:rPr>
        <w:t>that designs</w:t>
      </w:r>
      <w:r>
        <w:rPr>
          <w:sz w:val="22"/>
          <w:szCs w:val="22"/>
        </w:rPr>
        <w:t>,</w:t>
      </w:r>
      <w:r w:rsidRPr="001F2D73">
        <w:rPr>
          <w:sz w:val="22"/>
          <w:szCs w:val="22"/>
        </w:rPr>
        <w:t xml:space="preserve"> builds and sells </w:t>
      </w:r>
      <w:r w:rsidR="008428FA">
        <w:rPr>
          <w14:numForm w14:val="lining"/>
          <w14:numSpacing w14:val="proportional"/>
        </w:rPr>
        <w:t>EV</w:t>
      </w:r>
      <w:r w:rsidRPr="001F2D73">
        <w:rPr>
          <w:sz w:val="22"/>
          <w:szCs w:val="22"/>
        </w:rPr>
        <w:t xml:space="preserve"> charger</w:t>
      </w:r>
      <w:r>
        <w:rPr>
          <w:sz w:val="22"/>
          <w:szCs w:val="22"/>
        </w:rPr>
        <w:t xml:space="preserve">s around the world. The company has created around 600 jobs in Australia with </w:t>
      </w:r>
      <w:r w:rsidR="00365335">
        <w:rPr>
          <w:sz w:val="22"/>
          <w:szCs w:val="22"/>
        </w:rPr>
        <w:t>and describes its staffing profile as a mix of</w:t>
      </w:r>
      <w:r>
        <w:rPr>
          <w:sz w:val="22"/>
          <w:szCs w:val="22"/>
        </w:rPr>
        <w:t xml:space="preserve"> “…</w:t>
      </w:r>
      <w:r w:rsidRPr="00F73411">
        <w:rPr>
          <w:sz w:val="22"/>
          <w:szCs w:val="22"/>
        </w:rPr>
        <w:t>communications engineers, electronics engineers, electrical, mechatronics, mechanical, software. So a very diverse workforce, and also a workforce that staff can walk in off the street, and we can train them up in two to three weeks into manufacturing jobs</w:t>
      </w:r>
      <w:r>
        <w:rPr>
          <w:sz w:val="22"/>
          <w:szCs w:val="22"/>
        </w:rPr>
        <w:t>”</w:t>
      </w:r>
      <w:r w:rsidRPr="00F73411">
        <w:rPr>
          <w:sz w:val="22"/>
          <w:szCs w:val="22"/>
        </w:rPr>
        <w:t>.</w:t>
      </w:r>
      <w:r>
        <w:rPr>
          <w:rStyle w:val="EndnoteReference"/>
          <w:sz w:val="22"/>
          <w:szCs w:val="22"/>
        </w:rPr>
        <w:endnoteReference w:id="134"/>
      </w:r>
    </w:p>
    <w:p w14:paraId="183C7523" w14:textId="6A5B3003" w:rsidR="009E09C1" w:rsidRPr="004D6F69" w:rsidRDefault="009E09C1" w:rsidP="00F25595">
      <w:pPr>
        <w:pStyle w:val="Default"/>
        <w:numPr>
          <w:ilvl w:val="0"/>
          <w:numId w:val="70"/>
        </w:numPr>
        <w:spacing w:after="120" w:line="276" w:lineRule="auto"/>
      </w:pPr>
      <w:r>
        <w:rPr>
          <w:sz w:val="22"/>
          <w:szCs w:val="22"/>
        </w:rPr>
        <w:t>Volgren is Australia’s largest bus body builder, having built its first bus in 1979. In 2019 Volgren produced its first electric bus, and has recently delivered its 50</w:t>
      </w:r>
      <w:r w:rsidRPr="00904D2D">
        <w:rPr>
          <w:sz w:val="22"/>
          <w:szCs w:val="22"/>
          <w:vertAlign w:val="superscript"/>
        </w:rPr>
        <w:t>th</w:t>
      </w:r>
      <w:r>
        <w:rPr>
          <w:sz w:val="22"/>
          <w:szCs w:val="22"/>
        </w:rPr>
        <w:t>. As state and territory governments look to decarbonise their bus fleets, local manufacturers may benefit from increased demand. For example, NSW has committed to replacing its entire 8,000 bus fleet by 2030.</w:t>
      </w:r>
      <w:r>
        <w:rPr>
          <w:rStyle w:val="EndnoteReference"/>
          <w:sz w:val="22"/>
          <w:szCs w:val="22"/>
        </w:rPr>
        <w:endnoteReference w:id="135"/>
      </w:r>
    </w:p>
    <w:p w14:paraId="626684B9" w14:textId="77777777" w:rsidR="009E09C1" w:rsidRPr="00BD49CC" w:rsidRDefault="009E09C1" w:rsidP="00F25595">
      <w:pPr>
        <w:pStyle w:val="Default"/>
        <w:numPr>
          <w:ilvl w:val="0"/>
          <w:numId w:val="70"/>
        </w:numPr>
        <w:spacing w:after="120" w:line="276" w:lineRule="auto"/>
      </w:pPr>
      <w:r>
        <w:rPr>
          <w:sz w:val="22"/>
          <w:szCs w:val="22"/>
        </w:rPr>
        <w:t>Fortescue Future Industries is developing a multi-gigawatt-scale electrolyser factory in Gladstone, with the first electrolyser expected to be complete in 2023.</w:t>
      </w:r>
      <w:r>
        <w:rPr>
          <w:rStyle w:val="EndnoteReference"/>
          <w:sz w:val="22"/>
          <w:szCs w:val="22"/>
        </w:rPr>
        <w:endnoteReference w:id="136"/>
      </w:r>
      <w:r>
        <w:rPr>
          <w:sz w:val="22"/>
          <w:szCs w:val="22"/>
        </w:rPr>
        <w:t xml:space="preserve"> Electrolysers are already in high demand as investments in hydrogen production ramp up.</w:t>
      </w:r>
    </w:p>
    <w:p w14:paraId="11FE9237" w14:textId="77777777" w:rsidR="009E09C1" w:rsidRPr="00423CBD" w:rsidRDefault="009E09C1" w:rsidP="00F25595">
      <w:pPr>
        <w:pStyle w:val="Default"/>
        <w:numPr>
          <w:ilvl w:val="0"/>
          <w:numId w:val="70"/>
        </w:numPr>
        <w:spacing w:after="120" w:line="276" w:lineRule="auto"/>
      </w:pPr>
      <w:r>
        <w:rPr>
          <w:sz w:val="22"/>
          <w:szCs w:val="22"/>
        </w:rPr>
        <w:t>Tindo Solar launched Australia’s only solar panel production facility earlier this year in Adelaide.</w:t>
      </w:r>
      <w:r>
        <w:rPr>
          <w:rStyle w:val="EndnoteReference"/>
          <w:sz w:val="22"/>
          <w:szCs w:val="22"/>
        </w:rPr>
        <w:endnoteReference w:id="137"/>
      </w:r>
      <w:r>
        <w:rPr>
          <w:sz w:val="22"/>
          <w:szCs w:val="22"/>
        </w:rPr>
        <w:t xml:space="preserve"> The 150MW facility produces around 350 panels a day and employs around 50 staff.</w:t>
      </w:r>
    </w:p>
    <w:p w14:paraId="6E3BF5C2" w14:textId="77777777" w:rsidR="009E09C1" w:rsidRDefault="009E09C1" w:rsidP="009E09C1">
      <w:pPr>
        <w:spacing w:after="120" w:line="276" w:lineRule="auto"/>
        <w:rPr>
          <w:rFonts w:eastAsiaTheme="majorEastAsia" w:cstheme="majorBidi"/>
          <w:b/>
          <w:sz w:val="56"/>
          <w:szCs w:val="32"/>
          <w14:numForm w14:val="lining"/>
          <w14:numSpacing w14:val="proportional"/>
        </w:rPr>
      </w:pPr>
      <w:r>
        <w:rPr>
          <w14:numForm w14:val="lining"/>
          <w14:numSpacing w14:val="proportional"/>
        </w:rPr>
        <w:br w:type="page"/>
      </w:r>
    </w:p>
    <w:p w14:paraId="297D8161" w14:textId="21D39AF5" w:rsidR="003C65B0" w:rsidRDefault="00750802" w:rsidP="00F942BC">
      <w:pPr>
        <w:pStyle w:val="Bodycopy"/>
        <w:ind w:left="-1417"/>
        <w:rPr>
          <w14:numForm w14:val="lining"/>
          <w14:numSpacing w14:val="proportional"/>
        </w:rPr>
      </w:pPr>
      <w:r>
        <w:rPr>
          <w:noProof/>
        </w:rPr>
        <mc:AlternateContent>
          <mc:Choice Requires="wps">
            <w:drawing>
              <wp:anchor distT="0" distB="0" distL="114300" distR="114300" simplePos="0" relativeHeight="251669604" behindDoc="0" locked="0" layoutInCell="1" allowOverlap="1" wp14:anchorId="14C60C39" wp14:editId="3227CEDF">
                <wp:simplePos x="0" y="0"/>
                <wp:positionH relativeFrom="column">
                  <wp:posOffset>-902970</wp:posOffset>
                </wp:positionH>
                <wp:positionV relativeFrom="paragraph">
                  <wp:posOffset>3605720</wp:posOffset>
                </wp:positionV>
                <wp:extent cx="7545070" cy="227330"/>
                <wp:effectExtent l="0" t="0" r="0" b="1270"/>
                <wp:wrapNone/>
                <wp:docPr id="1087981661" name="Text Box 18"/>
                <wp:cNvGraphicFramePr/>
                <a:graphic xmlns:a="http://schemas.openxmlformats.org/drawingml/2006/main">
                  <a:graphicData uri="http://schemas.microsoft.com/office/word/2010/wordprocessingShape">
                    <wps:wsp>
                      <wps:cNvSpPr txBox="1"/>
                      <wps:spPr>
                        <a:xfrm>
                          <a:off x="0" y="0"/>
                          <a:ext cx="7545070" cy="227330"/>
                        </a:xfrm>
                        <a:prstGeom prst="rect">
                          <a:avLst/>
                        </a:prstGeom>
                        <a:solidFill>
                          <a:srgbClr val="262626">
                            <a:alpha val="60000"/>
                          </a:srgbClr>
                        </a:solidFill>
                        <a:ln w="6350">
                          <a:noFill/>
                        </a:ln>
                      </wps:spPr>
                      <wps:txbx>
                        <w:txbxContent>
                          <w:p w14:paraId="515BE8EE" w14:textId="77777777" w:rsidR="009E09C1" w:rsidRPr="00B36298" w:rsidRDefault="009E09C1" w:rsidP="009E09C1">
                            <w:pPr>
                              <w:spacing w:after="0" w:line="240" w:lineRule="auto"/>
                              <w:ind w:left="737" w:right="227"/>
                              <w:jc w:val="right"/>
                              <w:rPr>
                                <w:color w:val="FFFFFF" w:themeColor="background1"/>
                                <w:sz w:val="18"/>
                                <w:szCs w:val="18"/>
                              </w:rPr>
                            </w:pPr>
                            <w:r>
                              <w:rPr>
                                <w:color w:val="FFFFFF" w:themeColor="background1"/>
                                <w:sz w:val="18"/>
                                <w:szCs w:val="18"/>
                              </w:rPr>
                              <w:t xml:space="preserve">Murray River, South Australia </w:t>
                            </w:r>
                            <w:r w:rsidRPr="00B36298">
                              <w:rPr>
                                <w:color w:val="FFFFFF" w:themeColor="background1"/>
                                <w:sz w:val="18"/>
                                <w:szCs w:val="18"/>
                              </w:rPr>
                              <w:t>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DE4E1B">
                              <w:rPr>
                                <w:color w:val="FFFFFF" w:themeColor="background1"/>
                                <w:sz w:val="18"/>
                                <w:szCs w:val="18"/>
                              </w:rPr>
                              <w:t>11930857</w:t>
                            </w:r>
                            <w:r>
                              <w:rPr>
                                <w:color w:val="FFFFFF" w:themeColor="background1"/>
                                <w:sz w:val="18"/>
                                <w:szCs w:val="18"/>
                              </w:rPr>
                              <w:t>.</w:t>
                            </w:r>
                          </w:p>
                        </w:txbxContent>
                      </wps:txbx>
                      <wps:bodyPr rot="0" spcFirstLastPara="0" vertOverflow="overflow" horzOverflow="overflow" vert="horz" wrap="square" lIns="72000" tIns="36000" rIns="36000" bIns="36000" numCol="1" spcCol="0" rtlCol="0" fromWordArt="0" anchor="ctr" anchorCtr="0" forceAA="0" compatLnSpc="1">
                        <a:prstTxWarp prst="textNoShape">
                          <a:avLst/>
                        </a:prstTxWarp>
                        <a:noAutofit/>
                      </wps:bodyPr>
                    </wps:wsp>
                  </a:graphicData>
                </a:graphic>
              </wp:anchor>
            </w:drawing>
          </mc:Choice>
          <mc:Fallback>
            <w:pict>
              <v:shape w14:anchorId="14C60C39" id="Text Box 18" o:spid="_x0000_s1143" type="#_x0000_t202" style="position:absolute;left:0;text-align:left;margin-left:-71.1pt;margin-top:283.9pt;width:594.1pt;height:17.9pt;z-index:2516696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" fillcolor="#262626" stroked="f" strokeweight=".5pt">
                <v:fill opacity="39321f"/>
                <v:textbox inset="2mm,1mm,1mm,1mm">
                  <w:txbxContent>
                    <w:p w14:paraId="515BE8EE" w14:textId="77777777" w:rsidR="009E09C1" w:rsidRPr="00B36298" w:rsidRDefault="009E09C1" w:rsidP="009E09C1">
                      <w:pPr>
                        <w:spacing w:after="0" w:line="240" w:lineRule="auto"/>
                        <w:ind w:left="737" w:right="227"/>
                        <w:jc w:val="right"/>
                        <w:rPr>
                          <w:color w:val="FFFFFF" w:themeColor="background1"/>
                          <w:sz w:val="18"/>
                          <w:szCs w:val="18"/>
                        </w:rPr>
                      </w:pPr>
                      <w:r>
                        <w:rPr>
                          <w:color w:val="FFFFFF" w:themeColor="background1"/>
                          <w:sz w:val="18"/>
                          <w:szCs w:val="18"/>
                        </w:rPr>
                        <w:t xml:space="preserve">Murray River, South Australia </w:t>
                      </w:r>
                      <w:r w:rsidRPr="00B36298">
                        <w:rPr>
                          <w:color w:val="FFFFFF" w:themeColor="background1"/>
                          <w:sz w:val="18"/>
                          <w:szCs w:val="18"/>
                        </w:rPr>
                        <w:t>19</w:t>
                      </w:r>
                      <w:r>
                        <w:rPr>
                          <w:color w:val="FFFFFF" w:themeColor="background1"/>
                          <w:sz w:val="18"/>
                          <w:szCs w:val="18"/>
                        </w:rPr>
                        <w:t>7</w:t>
                      </w:r>
                      <w:r w:rsidRPr="00B36298">
                        <w:rPr>
                          <w:color w:val="FFFFFF" w:themeColor="background1"/>
                          <w:sz w:val="18"/>
                          <w:szCs w:val="18"/>
                        </w:rPr>
                        <w:t>5</w:t>
                      </w:r>
                      <w:r>
                        <w:rPr>
                          <w:color w:val="FFFFFF" w:themeColor="background1"/>
                          <w:sz w:val="18"/>
                          <w:szCs w:val="18"/>
                        </w:rPr>
                        <w:t xml:space="preserve">.  National Archives of Australia – </w:t>
                      </w:r>
                      <w:r w:rsidRPr="00DE4E1B">
                        <w:rPr>
                          <w:color w:val="FFFFFF" w:themeColor="background1"/>
                          <w:sz w:val="18"/>
                          <w:szCs w:val="18"/>
                        </w:rPr>
                        <w:t>11930857</w:t>
                      </w:r>
                      <w:r>
                        <w:rPr>
                          <w:color w:val="FFFFFF" w:themeColor="background1"/>
                          <w:sz w:val="18"/>
                          <w:szCs w:val="18"/>
                        </w:rPr>
                        <w:t>.</w:t>
                      </w:r>
                    </w:p>
                  </w:txbxContent>
                </v:textbox>
              </v:shape>
            </w:pict>
          </mc:Fallback>
        </mc:AlternateContent>
      </w:r>
      <w:r>
        <w:rPr>
          <w:noProof/>
          <w14:numForm w14:val="lining"/>
          <w14:numSpacing w14:val="proportional"/>
        </w:rPr>
        <w:drawing>
          <wp:inline distT="0" distB="0" distL="0" distR="0" wp14:anchorId="0F9F2D47" wp14:editId="7DD88E33">
            <wp:extent cx="7547610" cy="3846830"/>
            <wp:effectExtent l="0" t="0" r="0" b="1270"/>
            <wp:docPr id="1090967010"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67010" name="Picture 19">
                      <a:extLst>
                        <a:ext uri="{C183D7F6-B498-43B3-948B-1728B52AA6E4}">
                          <adec:decorative xmlns:adec="http://schemas.microsoft.com/office/drawing/2017/decorative" val="1"/>
                        </a:ext>
                      </a:extLst>
                    </pic:cNvPr>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7547610" cy="3846830"/>
                    </a:xfrm>
                    <a:prstGeom prst="rect">
                      <a:avLst/>
                    </a:prstGeom>
                    <a:noFill/>
                  </pic:spPr>
                </pic:pic>
              </a:graphicData>
            </a:graphic>
          </wp:inline>
        </w:drawing>
      </w:r>
    </w:p>
    <w:p w14:paraId="0D501302" w14:textId="738AA8E0" w:rsidR="009E09C1" w:rsidRPr="00CD2E87" w:rsidRDefault="009E09C1" w:rsidP="003C65B0">
      <w:pPr>
        <w:pStyle w:val="Heading2"/>
        <w:spacing w:before="720" w:after="0"/>
        <w:rPr>
          <w:b w:val="0"/>
          <w14:numForm w14:val="lining"/>
          <w14:numSpacing w14:val="proportional"/>
        </w:rPr>
      </w:pPr>
      <w:bookmarkStart w:id="74" w:name="_Toc146892691"/>
      <w:r w:rsidRPr="00BF465F">
        <w:rPr>
          <w:rFonts w:asciiTheme="minorHAnsi" w:hAnsiTheme="minorHAnsi" w:cstheme="minorHAnsi"/>
          <w14:numForm w14:val="lining"/>
          <w14:numSpacing w14:val="proportional"/>
        </w:rPr>
        <w:t>6</w:t>
      </w:r>
      <w:r w:rsidRPr="00BF465F">
        <w:rPr>
          <w:rFonts w:asciiTheme="minorHAnsi" w:hAnsiTheme="minorHAnsi" w:cstheme="minorHAnsi"/>
          <w:smallCaps/>
          <w14:numForm w14:val="lining"/>
          <w14:numSpacing w14:val="proportional"/>
        </w:rPr>
        <w:t>e.</w:t>
      </w:r>
      <w:r w:rsidRPr="00CD2E87">
        <w:rPr>
          <w14:numForm w14:val="lining"/>
          <w14:numSpacing w14:val="proportional"/>
        </w:rPr>
        <w:t xml:space="preserve"> </w:t>
      </w:r>
      <w:r w:rsidRPr="00CD2E87">
        <w:rPr>
          <w:b w:val="0"/>
          <w:sz w:val="52"/>
          <w:szCs w:val="28"/>
          <w14:numForm w14:val="lining"/>
          <w14:numSpacing w14:val="proportional"/>
        </w:rPr>
        <w:t>Land use and the circular economy</w:t>
      </w:r>
      <w:bookmarkEnd w:id="74"/>
    </w:p>
    <w:p w14:paraId="53F5ED32" w14:textId="65C36B72" w:rsidR="009E09C1" w:rsidRPr="00BF23AE" w:rsidRDefault="009E09C1" w:rsidP="00254098">
      <w:pPr>
        <w:pStyle w:val="Heading3"/>
        <w:rPr>
          <w:color w:val="9F1853" w:themeColor="accent4"/>
          <w:szCs w:val="32"/>
        </w:rPr>
      </w:pPr>
      <w:r w:rsidRPr="00BF23AE">
        <w:rPr>
          <w:color w:val="9F1853" w:themeColor="accent4"/>
          <w:szCs w:val="32"/>
        </w:rPr>
        <w:t>Agriculture</w:t>
      </w:r>
    </w:p>
    <w:p w14:paraId="1C997D38" w14:textId="06A6F690" w:rsidR="009E09C1" w:rsidRPr="00C5597D" w:rsidRDefault="009E09C1" w:rsidP="009E09C1">
      <w:pPr>
        <w:spacing w:after="120" w:line="276" w:lineRule="auto"/>
      </w:pPr>
      <w:r w:rsidRPr="00C5597D">
        <w:rPr>
          <w14:numForm w14:val="lining"/>
          <w14:numSpacing w14:val="proportional"/>
        </w:rPr>
        <w:t>Agriculture is a significant contributor to Australia’s greenhouse gas emissions, responsible for 17.5</w:t>
      </w:r>
      <w:r w:rsidR="00B47413">
        <w:rPr>
          <w14:numForm w14:val="lining"/>
          <w14:numSpacing w14:val="proportional"/>
        </w:rPr>
        <w:t>%</w:t>
      </w:r>
      <w:r w:rsidRPr="00C5597D">
        <w:rPr>
          <w14:numForm w14:val="lining"/>
          <w14:numSpacing w14:val="proportional"/>
        </w:rPr>
        <w:t>of Australia’s national inventory in the year to March 2023.</w:t>
      </w:r>
      <w:r w:rsidRPr="00C5597D">
        <w:rPr>
          <w:rStyle w:val="EndnoteReference"/>
          <w14:numForm w14:val="lining"/>
          <w14:numSpacing w14:val="proportional"/>
        </w:rPr>
        <w:endnoteReference w:id="138"/>
      </w:r>
      <w:r w:rsidRPr="00C5597D">
        <w:rPr>
          <w14:numForm w14:val="lining"/>
          <w14:numSpacing w14:val="proportional"/>
        </w:rPr>
        <w:t xml:space="preserve"> Unlike most other sectors, methane (from livestock) and nitrous oxide (from fertiliser use) are the main source of emissions.</w:t>
      </w:r>
      <w:r w:rsidRPr="00C5597D">
        <w:rPr>
          <w:rStyle w:val="EndnoteReference"/>
          <w14:numForm w14:val="lining"/>
          <w14:numSpacing w14:val="proportional"/>
        </w:rPr>
        <w:endnoteReference w:id="139"/>
      </w:r>
      <w:r w:rsidR="00C749C4">
        <w:rPr>
          <w14:numForm w14:val="lining"/>
          <w14:numSpacing w14:val="proportional"/>
        </w:rPr>
        <w:t xml:space="preserve"> </w:t>
      </w:r>
      <w:r w:rsidRPr="00C5597D">
        <w:rPr>
          <w14:numForm w14:val="lining"/>
          <w14:numSpacing w14:val="proportional"/>
        </w:rPr>
        <w:t xml:space="preserve">Some agricultural sectors also require substantial amounts of electricity, such as dairy farming, fruit orchards and wineries, </w:t>
      </w:r>
      <w:r>
        <w:t>while</w:t>
      </w:r>
      <w:r w:rsidRPr="00C5597D">
        <w:rPr>
          <w14:numForm w14:val="lining"/>
          <w14:numSpacing w14:val="proportional"/>
        </w:rPr>
        <w:t xml:space="preserve"> energy for tractors and other mobile and stationary plants typically relies on diesel.</w:t>
      </w:r>
      <w:r w:rsidRPr="00C5597D">
        <w:rPr>
          <w:rStyle w:val="EndnoteReference"/>
          <w14:numForm w14:val="lining"/>
          <w14:numSpacing w14:val="proportional"/>
        </w:rPr>
        <w:endnoteReference w:id="140"/>
      </w:r>
      <w:r w:rsidRPr="00C5597D">
        <w:rPr>
          <w14:numForm w14:val="lining"/>
          <w14:numSpacing w14:val="proportional"/>
        </w:rPr>
        <w:t xml:space="preserve"> Therefore, the path to net zero and the workforce implications are distinct for agriculture. </w:t>
      </w:r>
    </w:p>
    <w:p w14:paraId="47658FF4" w14:textId="77777777" w:rsidR="009E09C1" w:rsidRPr="00C5597D" w:rsidRDefault="009E09C1" w:rsidP="009E09C1">
      <w:pPr>
        <w:spacing w:after="120" w:line="276" w:lineRule="auto"/>
      </w:pPr>
      <w:r w:rsidRPr="00C5597D">
        <w:rPr>
          <w14:numForm w14:val="lining"/>
          <w14:numSpacing w14:val="proportional"/>
        </w:rPr>
        <w:t>The most directly related clean energy job roles relate to advisers and technicians who can help devise and implement solutions to reduce direct and indirect energy inputs and convert to renewable energy sources, including fertiliser usage, irrigation, electricity for a wide range of purposes including refrigeration and operating other machinery, and fuel for plant machinery. Many of those agriculture roles are likely to be based off-farm, but there will be requirements for on-farm workers to operate and maintain new machinery and equipment that is more efficient and/or uses renewable energy sources. In the context of an industry that is continually becoming more capital intensive, these roles are unlikely to greatly add to the overall size of the agriculture workforce.</w:t>
      </w:r>
    </w:p>
    <w:p w14:paraId="1E506FD7" w14:textId="77777777" w:rsidR="009E09C1" w:rsidRDefault="009E09C1" w:rsidP="00E51556">
      <w:pPr>
        <w:spacing w:line="276" w:lineRule="auto"/>
        <w:rPr>
          <w14:numForm w14:val="lining"/>
          <w14:numSpacing w14:val="proportional"/>
        </w:rPr>
      </w:pPr>
      <w:r>
        <w:rPr>
          <w14:numForm w14:val="lining"/>
          <w14:numSpacing w14:val="proportional"/>
        </w:rPr>
        <w:br w:type="page"/>
      </w:r>
    </w:p>
    <w:p w14:paraId="0EDF49AD" w14:textId="48760A01" w:rsidR="009E09C1" w:rsidRPr="00C5597D" w:rsidRDefault="009E09C1" w:rsidP="009E09C1">
      <w:pPr>
        <w:keepNext/>
        <w:spacing w:after="120" w:line="276" w:lineRule="auto"/>
      </w:pPr>
      <w:r w:rsidRPr="00C5597D">
        <w:rPr>
          <w14:numForm w14:val="lining"/>
          <w14:numSpacing w14:val="proportional"/>
        </w:rPr>
        <w:t xml:space="preserve">Data from LinkedIn Talent Insights suggests that at the moment clean energy-focused job roles in Land Use remain concentrated in agricultural services firms (such as irrigation services) and in research activities by the CSIRO, state-based agriculture departments and universities. </w:t>
      </w:r>
      <w:r w:rsidR="003A5C53">
        <w:rPr>
          <w14:numForm w14:val="lining"/>
          <w14:numSpacing w14:val="proportional"/>
        </w:rPr>
        <w:t xml:space="preserve">Although as mentioned earlier, this data is likely skewed towards workers in professions. </w:t>
      </w:r>
      <w:r w:rsidRPr="00C5597D">
        <w:rPr>
          <w14:numForm w14:val="lining"/>
          <w14:numSpacing w14:val="proportional"/>
        </w:rPr>
        <w:t xml:space="preserve">Common job roles include Agronomist and Farmer. While more than 10,000 professionals list one or more of the related skills (sustainable agriculture, sustainable forest management, carbon management), fewer than 50 job posts in the last 12 months </w:t>
      </w:r>
      <w:r>
        <w:t>referred to one or more of the land use skills.</w:t>
      </w:r>
    </w:p>
    <w:p w14:paraId="271A18AA" w14:textId="253CC2B5" w:rsidR="009E09C1" w:rsidRPr="00C5597D" w:rsidRDefault="009E09C1" w:rsidP="009E09C1">
      <w:pPr>
        <w:spacing w:after="120" w:line="276" w:lineRule="auto"/>
        <w:rPr>
          <w14:numForm w14:val="lining"/>
          <w14:numSpacing w14:val="proportional"/>
        </w:rPr>
      </w:pPr>
      <w:r w:rsidRPr="00C5597D">
        <w:rPr>
          <w14:numForm w14:val="lining"/>
          <w14:numSpacing w14:val="proportional"/>
        </w:rPr>
        <w:t xml:space="preserve">There is also the prospect for clean energy activities primarily driven by other sectors to have </w:t>
      </w:r>
      <w:r w:rsidR="00082824">
        <w:rPr>
          <w14:numForm w14:val="lining"/>
          <w14:numSpacing w14:val="proportional"/>
        </w:rPr>
        <w:t>some</w:t>
      </w:r>
      <w:r w:rsidRPr="00C5597D">
        <w:rPr>
          <w14:numForm w14:val="lining"/>
          <w14:numSpacing w14:val="proportional"/>
        </w:rPr>
        <w:t xml:space="preserve"> workforce implications for agriculture. For example, </w:t>
      </w:r>
      <w:r w:rsidR="00A32447">
        <w:rPr>
          <w14:numForm w14:val="lining"/>
          <w14:numSpacing w14:val="proportional"/>
        </w:rPr>
        <w:t xml:space="preserve">circular waste </w:t>
      </w:r>
      <w:r w:rsidRPr="00C5597D">
        <w:rPr>
          <w14:numForm w14:val="lining"/>
          <w14:numSpacing w14:val="proportional"/>
        </w:rPr>
        <w:t xml:space="preserve">opportunities to harvest rather than discard (or burn off) sugar cane waste or wheat straw for biofuel would generate </w:t>
      </w:r>
      <w:r w:rsidR="00082824">
        <w:rPr>
          <w14:numForm w14:val="lining"/>
          <w14:numSpacing w14:val="proportional"/>
        </w:rPr>
        <w:t>some</w:t>
      </w:r>
      <w:r w:rsidRPr="00C5597D">
        <w:rPr>
          <w14:numForm w14:val="lining"/>
          <w14:numSpacing w14:val="proportional"/>
        </w:rPr>
        <w:t xml:space="preserve"> additional demand for workers to harvest, transport and process the waste to an interim product. </w:t>
      </w:r>
      <w:r w:rsidR="00F3551C">
        <w:rPr>
          <w14:numForm w14:val="lining"/>
          <w14:numSpacing w14:val="proportional"/>
        </w:rPr>
        <w:t>Agriculture also has a complementary role in the</w:t>
      </w:r>
      <w:r w:rsidR="00DF2BAA">
        <w:rPr>
          <w14:numForm w14:val="lining"/>
          <w14:numSpacing w14:val="proportional"/>
        </w:rPr>
        <w:t xml:space="preserve"> land use and</w:t>
      </w:r>
      <w:r w:rsidR="00F3551C">
        <w:rPr>
          <w14:numForm w14:val="lining"/>
          <w14:numSpacing w14:val="proportional"/>
        </w:rPr>
        <w:t xml:space="preserve"> forestry s</w:t>
      </w:r>
      <w:r w:rsidR="009202C3">
        <w:rPr>
          <w14:numForm w14:val="lining"/>
          <w14:numSpacing w14:val="proportional"/>
        </w:rPr>
        <w:t>pace via the use of integrated farming practices to provide carbon sinks</w:t>
      </w:r>
      <w:r w:rsidR="00B7173C">
        <w:rPr>
          <w14:numForm w14:val="lining"/>
          <w14:numSpacing w14:val="proportional"/>
        </w:rPr>
        <w:t xml:space="preserve"> and other sequestration practices</w:t>
      </w:r>
      <w:r w:rsidR="00400ABA">
        <w:rPr>
          <w14:numForm w14:val="lining"/>
          <w14:numSpacing w14:val="proportional"/>
        </w:rPr>
        <w:t>, which many farmers</w:t>
      </w:r>
      <w:r w:rsidR="002C1011">
        <w:rPr>
          <w14:numForm w14:val="lining"/>
          <w14:numSpacing w14:val="proportional"/>
        </w:rPr>
        <w:t xml:space="preserve"> have embraced</w:t>
      </w:r>
      <w:r w:rsidR="00575E8F">
        <w:rPr>
          <w14:numForm w14:val="lining"/>
          <w14:numSpacing w14:val="proportional"/>
        </w:rPr>
        <w:t xml:space="preserve">. </w:t>
      </w:r>
    </w:p>
    <w:p w14:paraId="2F30E8AE" w14:textId="69F50D3A" w:rsidR="009E09C1" w:rsidRPr="007E48D8" w:rsidRDefault="009E09C1" w:rsidP="009E09C1">
      <w:pPr>
        <w:pStyle w:val="Heading3"/>
        <w:spacing w:before="240" w:after="120"/>
        <w:rPr>
          <w:color w:val="9F1853" w:themeColor="accent4"/>
          <w:szCs w:val="32"/>
        </w:rPr>
      </w:pPr>
      <w:r w:rsidRPr="007E48D8">
        <w:rPr>
          <w:color w:val="9F1853" w:themeColor="accent4"/>
          <w:szCs w:val="32"/>
        </w:rPr>
        <w:t>Land use and forestry</w:t>
      </w:r>
    </w:p>
    <w:p w14:paraId="025B3A86" w14:textId="14640C2A" w:rsidR="009E09C1" w:rsidRPr="00C5597D" w:rsidRDefault="009E09C1" w:rsidP="009E09C1">
      <w:pPr>
        <w:spacing w:after="120" w:line="276" w:lineRule="auto"/>
        <w:rPr>
          <w14:numForm w14:val="lining"/>
          <w14:numSpacing w14:val="proportional"/>
        </w:rPr>
      </w:pPr>
      <w:r w:rsidRPr="00C5597D">
        <w:rPr>
          <w14:numForm w14:val="lining"/>
          <w14:numSpacing w14:val="proportional"/>
        </w:rPr>
        <w:t xml:space="preserve">Land use and forestry play a distinct role in Australia’s transition to net zero as sectors that absorb emissions. The main drivers of </w:t>
      </w:r>
      <w:r>
        <w:rPr>
          <w14:numForm w14:val="lining"/>
          <w14:numSpacing w14:val="proportional"/>
        </w:rPr>
        <w:t>emissions reduction</w:t>
      </w:r>
      <w:r w:rsidRPr="00C5597D">
        <w:rPr>
          <w14:numForm w14:val="lining"/>
          <w14:numSpacing w14:val="proportional"/>
        </w:rPr>
        <w:t xml:space="preserve"> in this sector are changes in land use – such as </w:t>
      </w:r>
      <w:r>
        <w:rPr>
          <w14:numForm w14:val="lining"/>
          <w14:numSpacing w14:val="proportional"/>
        </w:rPr>
        <w:t xml:space="preserve">the conversion of </w:t>
      </w:r>
      <w:r w:rsidRPr="00C5597D">
        <w:rPr>
          <w14:numForm w14:val="lining"/>
          <w14:numSpacing w14:val="proportional"/>
        </w:rPr>
        <w:t>forest land</w:t>
      </w:r>
      <w:r w:rsidR="43745B8C" w:rsidRPr="00C5597D">
        <w:rPr>
          <w14:numForm w14:val="lining"/>
          <w14:numSpacing w14:val="proportional"/>
        </w:rPr>
        <w:t xml:space="preserve"> </w:t>
      </w:r>
      <w:r w:rsidRPr="00C5597D">
        <w:rPr>
          <w14:numForm w14:val="lining"/>
          <w14:numSpacing w14:val="proportional"/>
        </w:rPr>
        <w:t>– and harvested wood products.</w:t>
      </w:r>
      <w:r w:rsidRPr="00C5597D">
        <w:rPr>
          <w:rStyle w:val="EndnoteReference"/>
          <w14:numForm w14:val="lining"/>
          <w14:numSpacing w14:val="proportional"/>
        </w:rPr>
        <w:endnoteReference w:id="141"/>
      </w:r>
      <w:r w:rsidRPr="00C5597D">
        <w:rPr>
          <w14:numForm w14:val="lining"/>
          <w14:numSpacing w14:val="proportional"/>
        </w:rPr>
        <w:t xml:space="preserve"> The contribution of land use to net emissions was not something that we were able to capture in the modelling in </w:t>
      </w:r>
      <w:r w:rsidRPr="00313427">
        <w:rPr>
          <w:b/>
          <w:bCs/>
          <w14:numForm w14:val="lining"/>
          <w14:numSpacing w14:val="proportional"/>
        </w:rPr>
        <w:t>Chapter 5</w:t>
      </w:r>
      <w:r w:rsidRPr="00C5597D">
        <w:rPr>
          <w14:numForm w14:val="lining"/>
          <w14:numSpacing w14:val="proportional"/>
        </w:rPr>
        <w:t xml:space="preserve">. </w:t>
      </w:r>
      <w:r>
        <w:rPr>
          <w14:numForm w14:val="lining"/>
          <w14:numSpacing w14:val="proportional"/>
        </w:rPr>
        <w:t>A</w:t>
      </w:r>
      <w:r w:rsidRPr="00C5597D">
        <w:rPr>
          <w14:numForm w14:val="lining"/>
          <w14:numSpacing w14:val="proportional"/>
        </w:rPr>
        <w:t xml:space="preserve">s further data and research become available and the contribution of land use to emissions reduction becomes clearer, there </w:t>
      </w:r>
      <w:r>
        <w:rPr>
          <w14:numForm w14:val="lining"/>
          <w14:numSpacing w14:val="proportional"/>
        </w:rPr>
        <w:t xml:space="preserve">will be </w:t>
      </w:r>
      <w:r w:rsidRPr="00C5597D">
        <w:rPr>
          <w14:numForm w14:val="lining"/>
          <w14:numSpacing w14:val="proportional"/>
        </w:rPr>
        <w:t>merit in revisiting employment and skills implications.</w:t>
      </w:r>
    </w:p>
    <w:p w14:paraId="00E0DBF5" w14:textId="77777777" w:rsidR="009E09C1" w:rsidRPr="00C5597D" w:rsidRDefault="009E09C1" w:rsidP="009E09C1">
      <w:pPr>
        <w:spacing w:after="120" w:line="276" w:lineRule="auto"/>
        <w:rPr>
          <w14:numForm w14:val="lining"/>
          <w14:numSpacing w14:val="proportional"/>
        </w:rPr>
      </w:pPr>
      <w:r w:rsidRPr="00C5597D">
        <w:rPr>
          <w14:numForm w14:val="lining"/>
          <w14:numSpacing w14:val="proportional"/>
        </w:rPr>
        <w:t>Maximising the contribution that Australia’s land mass can make to reducing net emissions crosses over many sectors – forestry, national parks, agriculture (through minimising clearing and pursuing replanting opportunities), and construction (in terms of release of land for new residential, industrial and commercial development).</w:t>
      </w:r>
    </w:p>
    <w:p w14:paraId="4D62FF1A" w14:textId="6E15B1E7" w:rsidR="009E09C1" w:rsidRPr="00C5597D" w:rsidRDefault="009E09C1" w:rsidP="009E09C1">
      <w:pPr>
        <w:spacing w:line="276" w:lineRule="auto"/>
      </w:pPr>
      <w:r w:rsidRPr="00C5597D">
        <w:rPr>
          <w14:numForm w14:val="lining"/>
          <w14:numSpacing w14:val="proportional"/>
        </w:rPr>
        <w:t xml:space="preserve">Afforestation – increasing the amount of Australia’s land mass covered by forests – is one means of significantly reducing net emissions, but has potential implications for other economic activities, particularly agriculture, as well as requiring partnership with </w:t>
      </w:r>
      <w:bookmarkStart w:id="75" w:name="_Hlk145668464"/>
      <w:r w:rsidR="009211E5">
        <w:rPr>
          <w14:numForm w14:val="lining"/>
          <w14:numSpacing w14:val="proportional"/>
        </w:rPr>
        <w:t xml:space="preserve">local </w:t>
      </w:r>
      <w:r w:rsidR="003408B1">
        <w:rPr>
          <w14:numForm w14:val="lining"/>
          <w14:numSpacing w14:val="proportional"/>
        </w:rPr>
        <w:t xml:space="preserve">First Nations </w:t>
      </w:r>
      <w:bookmarkEnd w:id="75"/>
      <w:r w:rsidR="009211E5">
        <w:rPr>
          <w14:numForm w14:val="lining"/>
          <w14:numSpacing w14:val="proportional"/>
        </w:rPr>
        <w:t>communities</w:t>
      </w:r>
      <w:r w:rsidRPr="00C5597D">
        <w:rPr>
          <w14:numForm w14:val="lining"/>
          <w14:numSpacing w14:val="proportional"/>
        </w:rPr>
        <w:t>.</w:t>
      </w:r>
      <w:r w:rsidRPr="00C5597D">
        <w:rPr>
          <w:rStyle w:val="EndnoteReference"/>
          <w14:numForm w14:val="lining"/>
          <w14:numSpacing w14:val="proportional"/>
        </w:rPr>
        <w:endnoteReference w:id="142"/>
      </w:r>
      <w:r w:rsidRPr="00C5597D">
        <w:rPr>
          <w14:numForm w14:val="lining"/>
          <w14:numSpacing w14:val="proportional"/>
        </w:rPr>
        <w:t xml:space="preserve"> There is no strong evidence that new job roles would be required but better managing existing and new forests will draw on the </w:t>
      </w:r>
      <w:r w:rsidR="4F64117A" w:rsidRPr="00C5597D">
        <w:rPr>
          <w14:numForm w14:val="lining"/>
          <w14:numSpacing w14:val="proportional"/>
        </w:rPr>
        <w:t>current</w:t>
      </w:r>
      <w:r w:rsidRPr="00C5597D">
        <w:rPr>
          <w14:numForm w14:val="lining"/>
          <w14:numSpacing w14:val="proportional"/>
        </w:rPr>
        <w:t xml:space="preserve"> skills of foresters, other forestry and logging workers, and park rangers (including </w:t>
      </w:r>
      <w:r w:rsidR="0009125B">
        <w:rPr>
          <w14:numForm w14:val="lining"/>
          <w14:numSpacing w14:val="proportional"/>
        </w:rPr>
        <w:t>I</w:t>
      </w:r>
      <w:r w:rsidRPr="00C5597D">
        <w:rPr>
          <w14:numForm w14:val="lining"/>
          <w14:numSpacing w14:val="proportional"/>
        </w:rPr>
        <w:t xml:space="preserve">ndigenous rangers, as discussed later in </w:t>
      </w:r>
      <w:r w:rsidRPr="00313427">
        <w:rPr>
          <w:b/>
          <w:bCs/>
          <w14:numForm w14:val="lining"/>
          <w14:numSpacing w14:val="proportional"/>
        </w:rPr>
        <w:t>Chapter 8</w:t>
      </w:r>
      <w:r w:rsidRPr="00C5597D">
        <w:rPr>
          <w14:numForm w14:val="lining"/>
          <w14:numSpacing w14:val="proportional"/>
        </w:rPr>
        <w:t>).</w:t>
      </w:r>
    </w:p>
    <w:p w14:paraId="69E162A7" w14:textId="77777777" w:rsidR="009E09C1" w:rsidRPr="007E48D8" w:rsidRDefault="009E09C1" w:rsidP="00304D92">
      <w:pPr>
        <w:pStyle w:val="Heading3"/>
        <w:spacing w:after="120"/>
        <w:rPr>
          <w:color w:val="9F1853" w:themeColor="accent4"/>
          <w:szCs w:val="32"/>
        </w:rPr>
      </w:pPr>
      <w:r w:rsidRPr="007E48D8">
        <w:rPr>
          <w:color w:val="9F1853" w:themeColor="accent4"/>
          <w:szCs w:val="32"/>
        </w:rPr>
        <w:t>Recycling and waste management</w:t>
      </w:r>
    </w:p>
    <w:p w14:paraId="6B31B5C7" w14:textId="5AF3A859" w:rsidR="00304D92" w:rsidRDefault="009E09C1" w:rsidP="009E09C1">
      <w:pPr>
        <w:spacing w:after="120" w:line="276" w:lineRule="auto"/>
        <w:rPr>
          <w:rFonts w:cs="Arial"/>
          <w:color w:val="auto"/>
          <w14:numForm w14:val="lining"/>
          <w14:numSpacing w14:val="proportional"/>
        </w:rPr>
      </w:pPr>
      <w:r w:rsidRPr="00C5597D">
        <w:rPr>
          <w:rFonts w:cs="Arial"/>
          <w14:numForm w14:val="lining"/>
          <w14:numSpacing w14:val="proportional"/>
        </w:rPr>
        <w:t xml:space="preserve">Just as so many realms of clean energy technology, production and employment are new and emerging, so too is the ensuing end-of-life sector within the circular economy – recycling and re-use. </w:t>
      </w:r>
      <w:r w:rsidRPr="00C5597D">
        <w:rPr>
          <w:rFonts w:cs="Arial"/>
          <w:color w:val="auto"/>
          <w14:numForm w14:val="lining"/>
          <w14:numSpacing w14:val="proportional"/>
        </w:rPr>
        <w:t xml:space="preserve">In their 2018 report, </w:t>
      </w:r>
      <w:r w:rsidRPr="162F8A98">
        <w:rPr>
          <w:rFonts w:cs="Arial"/>
          <w:i/>
          <w:iCs/>
          <w:color w:val="auto"/>
          <w14:numForm w14:val="lining"/>
          <w14:numSpacing w14:val="proportional"/>
        </w:rPr>
        <w:t>World Employment Social Outlook</w:t>
      </w:r>
      <w:r w:rsidRPr="00C5597D">
        <w:rPr>
          <w:rFonts w:cs="Arial"/>
          <w:color w:val="auto"/>
          <w14:numForm w14:val="lining"/>
          <w14:numSpacing w14:val="proportional"/>
        </w:rPr>
        <w:t>, the International Labour Organisation (ILO) estimated global job demands for recycling in the millions, led by recycling of steel, aluminium, other metals, and wood products.</w:t>
      </w:r>
    </w:p>
    <w:p w14:paraId="796B0CBB" w14:textId="77777777" w:rsidR="00304D92" w:rsidRDefault="00304D92">
      <w:pPr>
        <w:rPr>
          <w:rFonts w:cs="Arial"/>
          <w14:numForm w14:val="lining"/>
          <w14:numSpacing w14:val="proportional"/>
        </w:rPr>
      </w:pPr>
      <w:r>
        <w:rPr>
          <w:rFonts w:cs="Arial"/>
          <w14:numForm w14:val="lining"/>
          <w14:numSpacing w14:val="proportional"/>
        </w:rPr>
        <w:br w:type="page"/>
      </w:r>
    </w:p>
    <w:p w14:paraId="4638409B" w14:textId="508E38D8" w:rsidR="00920DF2" w:rsidRDefault="009E09C1" w:rsidP="009E09C1">
      <w:pPr>
        <w:spacing w:after="120" w:line="276" w:lineRule="auto"/>
        <w:rPr>
          <w:rFonts w:cs="Arial"/>
          <w:color w:val="auto"/>
          <w14:numForm w14:val="lining"/>
          <w14:numSpacing w14:val="proportional"/>
        </w:rPr>
      </w:pPr>
      <w:r w:rsidRPr="00C5597D">
        <w:rPr>
          <w:rFonts w:cs="Arial"/>
          <w14:numForm w14:val="lining"/>
          <w14:numSpacing w14:val="proportional"/>
        </w:rPr>
        <w:t xml:space="preserve">As the widespread investment and use of new clean energy technologies grows, so too does waste </w:t>
      </w:r>
      <w:r>
        <w:rPr>
          <w:rFonts w:cs="Arial"/>
          <w14:numForm w14:val="lining"/>
          <w14:numSpacing w14:val="proportional"/>
        </w:rPr>
        <w:t>from</w:t>
      </w:r>
      <w:r w:rsidRPr="00C5597D">
        <w:rPr>
          <w:rFonts w:cs="Arial"/>
          <w14:numForm w14:val="lining"/>
          <w14:numSpacing w14:val="proportional"/>
        </w:rPr>
        <w:t xml:space="preserve"> by-products and </w:t>
      </w:r>
      <w:r>
        <w:rPr>
          <w:rFonts w:cs="Arial"/>
          <w14:numForm w14:val="lining"/>
          <w14:numSpacing w14:val="proportional"/>
        </w:rPr>
        <w:t xml:space="preserve">once technology </w:t>
      </w:r>
      <w:r w:rsidRPr="00C5597D">
        <w:rPr>
          <w:rFonts w:cs="Arial"/>
          <w14:numForm w14:val="lining"/>
          <w14:numSpacing w14:val="proportional"/>
        </w:rPr>
        <w:t>reach</w:t>
      </w:r>
      <w:r>
        <w:rPr>
          <w:rFonts w:cs="Arial"/>
          <w14:numForm w14:val="lining"/>
          <w14:numSpacing w14:val="proportional"/>
        </w:rPr>
        <w:t>es</w:t>
      </w:r>
      <w:r w:rsidRPr="00C5597D">
        <w:rPr>
          <w:rFonts w:cs="Arial"/>
          <w14:numForm w14:val="lining"/>
          <w14:numSpacing w14:val="proportional"/>
        </w:rPr>
        <w:t xml:space="preserve"> </w:t>
      </w:r>
      <w:r>
        <w:rPr>
          <w:rFonts w:cs="Arial"/>
          <w14:numForm w14:val="lining"/>
          <w14:numSpacing w14:val="proportional"/>
        </w:rPr>
        <w:t xml:space="preserve">its </w:t>
      </w:r>
      <w:r w:rsidRPr="00C5597D">
        <w:rPr>
          <w:rFonts w:cs="Arial"/>
          <w14:numForm w14:val="lining"/>
          <w14:numSpacing w14:val="proportional"/>
        </w:rPr>
        <w:t>end-life.</w:t>
      </w:r>
      <w:r w:rsidRPr="00C5597D">
        <w:rPr>
          <w:rFonts w:cs="Arial"/>
          <w:color w:val="auto"/>
          <w14:numForm w14:val="lining"/>
          <w14:numSpacing w14:val="proportional"/>
        </w:rPr>
        <w:t xml:space="preserve"> The increasing scale of investment</w:t>
      </w:r>
      <w:r w:rsidRPr="00C5597D">
        <w:rPr>
          <w:rFonts w:cs="Arial"/>
          <w14:numForm w14:val="lining"/>
          <w14:numSpacing w14:val="proportional"/>
        </w:rPr>
        <w:t xml:space="preserve"> in and adoption of</w:t>
      </w:r>
      <w:r w:rsidRPr="00C5597D">
        <w:rPr>
          <w:rFonts w:cs="Arial"/>
          <w:color w:val="auto"/>
          <w14:numForm w14:val="lining"/>
          <w14:numSpacing w14:val="proportional"/>
        </w:rPr>
        <w:t xml:space="preserve"> </w:t>
      </w:r>
      <w:r w:rsidRPr="00C5597D">
        <w:rPr>
          <w:rFonts w:cs="Arial"/>
          <w14:numForm w14:val="lining"/>
          <w14:numSpacing w14:val="proportional"/>
        </w:rPr>
        <w:t>clean</w:t>
      </w:r>
      <w:r w:rsidRPr="00C5597D">
        <w:rPr>
          <w:rFonts w:cs="Arial"/>
          <w:color w:val="auto"/>
          <w14:numForm w14:val="lining"/>
          <w14:numSpacing w14:val="proportional"/>
        </w:rPr>
        <w:t xml:space="preserve"> energy technologies is creating new challenges, accelerating waste streams.</w:t>
      </w:r>
    </w:p>
    <w:p w14:paraId="06928214" w14:textId="13B6934F" w:rsidR="009E09C1" w:rsidRPr="00C5597D" w:rsidRDefault="003F1069" w:rsidP="009E09C1">
      <w:pPr>
        <w:spacing w:after="120" w:line="276" w:lineRule="auto"/>
        <w:rPr>
          <w:rFonts w:cs="Arial"/>
          <w14:numForm w14:val="lining"/>
          <w14:numSpacing w14:val="proportional"/>
        </w:rPr>
      </w:pPr>
      <w:r>
        <w:rPr>
          <w:rFonts w:cs="Arial"/>
          <w:color w:val="auto"/>
          <w14:numForm w14:val="lining"/>
          <w14:numSpacing w14:val="proportional"/>
        </w:rPr>
        <w:t xml:space="preserve">Likewise, the decommissioning of </w:t>
      </w:r>
      <w:r w:rsidR="00077513">
        <w:rPr>
          <w:rFonts w:cs="Arial"/>
          <w:color w:val="auto"/>
          <w14:numForm w14:val="lining"/>
          <w14:numSpacing w14:val="proportional"/>
        </w:rPr>
        <w:t xml:space="preserve">former oil and gas, coal mining, and coal fired power stations will </w:t>
      </w:r>
      <w:r w:rsidR="003C7E30">
        <w:rPr>
          <w:rFonts w:cs="Arial"/>
          <w:color w:val="auto"/>
          <w14:numForm w14:val="lining"/>
          <w14:numSpacing w14:val="proportional"/>
        </w:rPr>
        <w:t xml:space="preserve">generate demand for workers to recycle materials as well as with the skills required to safely </w:t>
      </w:r>
      <w:r w:rsidR="002A6399">
        <w:rPr>
          <w:rFonts w:cs="Arial"/>
          <w:color w:val="auto"/>
          <w14:numForm w14:val="lining"/>
          <w14:numSpacing w14:val="proportional"/>
        </w:rPr>
        <w:t>shutdown and dismantle infrastructure.</w:t>
      </w:r>
      <w:r w:rsidR="00920DF2">
        <w:rPr>
          <w:rFonts w:cs="Arial"/>
          <w:color w:val="auto"/>
          <w14:numForm w14:val="lining"/>
          <w14:numSpacing w14:val="proportional"/>
        </w:rPr>
        <w:t xml:space="preserve"> </w:t>
      </w:r>
      <w:r w:rsidR="00920DF2" w:rsidRPr="00920DF2">
        <w:rPr>
          <w:rFonts w:cs="Arial"/>
          <w:color w:val="auto"/>
          <w14:numForm w14:val="lining"/>
          <w14:numSpacing w14:val="proportional"/>
        </w:rPr>
        <w:t>The Australian Government is developing a roadmap for establishing a decommissioning industry in Australia. This roadmap will position Australia to harness the estimated $60 billion of offshore petroleum decommissioning activities expected to occur over the next 30 to 50 years.</w:t>
      </w:r>
    </w:p>
    <w:p w14:paraId="3D94F1D6" w14:textId="267F9921" w:rsidR="009E09C1" w:rsidRPr="00C5597D" w:rsidRDefault="009E09C1" w:rsidP="009E09C1">
      <w:pPr>
        <w:spacing w:after="120" w:line="276" w:lineRule="auto"/>
        <w:rPr>
          <w:rFonts w:cs="Arial"/>
          <w14:numForm w14:val="lining"/>
          <w14:numSpacing w14:val="proportional"/>
        </w:rPr>
      </w:pPr>
      <w:r w:rsidRPr="00C5597D">
        <w:rPr>
          <w:rFonts w:cs="Arial"/>
          <w14:numForm w14:val="lining"/>
          <w14:numSpacing w14:val="proportional"/>
        </w:rPr>
        <w:t>Re-use and recycling will be critical in dealing with this challenge</w:t>
      </w:r>
      <w:r w:rsidR="71C1F253" w:rsidRPr="00C5597D">
        <w:rPr>
          <w:rFonts w:cs="Arial"/>
          <w14:numForm w14:val="lining"/>
          <w14:numSpacing w14:val="proportional"/>
        </w:rPr>
        <w:t>.</w:t>
      </w:r>
      <w:r w:rsidRPr="00C5597D">
        <w:rPr>
          <w:rFonts w:cs="Arial"/>
          <w14:numForm w14:val="lining"/>
          <w14:numSpacing w14:val="proportional"/>
        </w:rPr>
        <w:t xml:space="preserve"> </w:t>
      </w:r>
      <w:r w:rsidR="01AC20AC" w:rsidRPr="00C5597D">
        <w:rPr>
          <w:rFonts w:cs="Arial"/>
          <w14:numForm w14:val="lining"/>
          <w14:numSpacing w14:val="proportional"/>
        </w:rPr>
        <w:t>A</w:t>
      </w:r>
      <w:r w:rsidRPr="00C5597D">
        <w:rPr>
          <w:rFonts w:cs="Arial"/>
          <w14:numForm w14:val="lining"/>
          <w14:numSpacing w14:val="proportional"/>
        </w:rPr>
        <w:t xml:space="preserve">s the alternative </w:t>
      </w:r>
      <w:r w:rsidR="25CC678E" w:rsidRPr="00C5597D">
        <w:rPr>
          <w:rFonts w:cs="Arial"/>
          <w14:numForm w14:val="lining"/>
          <w14:numSpacing w14:val="proportional"/>
        </w:rPr>
        <w:t>to</w:t>
      </w:r>
      <w:r w:rsidRPr="00C5597D">
        <w:rPr>
          <w:rFonts w:cs="Arial"/>
          <w14:numForm w14:val="lining"/>
          <w14:numSpacing w14:val="proportional"/>
        </w:rPr>
        <w:t xml:space="preserve"> landfill</w:t>
      </w:r>
      <w:r w:rsidR="33D97C34" w:rsidRPr="00C5597D">
        <w:rPr>
          <w:rFonts w:cs="Arial"/>
          <w14:numForm w14:val="lining"/>
          <w14:numSpacing w14:val="proportional"/>
        </w:rPr>
        <w:t>, it</w:t>
      </w:r>
      <w:r w:rsidRPr="00C5597D">
        <w:rPr>
          <w:rFonts w:cs="Arial"/>
          <w14:numForm w14:val="lining"/>
          <w14:numSpacing w14:val="proportional"/>
        </w:rPr>
        <w:t xml:space="preserve"> could provide additional and significant negative environmental impacts.</w:t>
      </w:r>
      <w:r w:rsidRPr="00C5597D">
        <w:rPr>
          <w:rFonts w:cs="Arial"/>
          <w:color w:val="auto"/>
          <w14:numForm w14:val="lining"/>
          <w14:numSpacing w14:val="proportional"/>
        </w:rPr>
        <w:t xml:space="preserve"> </w:t>
      </w:r>
      <w:r w:rsidRPr="00C5597D">
        <w:rPr>
          <w:rFonts w:cs="Arial"/>
          <w14:numForm w14:val="lining"/>
          <w14:numSpacing w14:val="proportional"/>
        </w:rPr>
        <w:t xml:space="preserve">CEC </w:t>
      </w:r>
      <w:r w:rsidRPr="00C5597D">
        <w:rPr>
          <w:rFonts w:cs="Arial"/>
          <w:color w:val="auto"/>
          <w14:numForm w14:val="lining"/>
          <w14:numSpacing w14:val="proportional"/>
        </w:rPr>
        <w:t xml:space="preserve">for example has </w:t>
      </w:r>
      <w:r w:rsidRPr="00C5597D">
        <w:rPr>
          <w:rFonts w:cs="Arial"/>
          <w14:numForm w14:val="lining"/>
          <w14:numSpacing w14:val="proportional"/>
        </w:rPr>
        <w:t>estimated that by 2034 for wind turbines alone, a total of 15,000 tonnes of blade composite waste will have been created in Australia due to decommissioned wind farms, at up to 4,000 tonnes in any given year.</w:t>
      </w:r>
    </w:p>
    <w:p w14:paraId="160E7DE7" w14:textId="5BBC826B" w:rsidR="009E09C1" w:rsidRPr="00C5597D" w:rsidRDefault="009E09C1" w:rsidP="009E09C1">
      <w:pPr>
        <w:spacing w:after="120" w:line="276" w:lineRule="auto"/>
        <w:rPr>
          <w:rFonts w:cs="Arial"/>
          <w:color w:val="auto"/>
          <w14:numForm w14:val="lining"/>
          <w14:numSpacing w14:val="proportional"/>
        </w:rPr>
      </w:pPr>
      <w:r w:rsidRPr="00C5597D">
        <w:rPr>
          <w:rFonts w:cs="Arial"/>
          <w:color w:val="auto"/>
          <w14:numForm w14:val="lining"/>
          <w14:numSpacing w14:val="proportional"/>
        </w:rPr>
        <w:t>Sustainability Victoria state that across the nation, PV systems, including solar panels, inverters and batteries, are being installed in record numbers. They estimate that more than 100,000 tonnes of solar panels will enter Australia’s waste stream by 2035.</w:t>
      </w:r>
    </w:p>
    <w:p w14:paraId="4500D49E" w14:textId="225EFFE8" w:rsidR="009E09C1" w:rsidRPr="00BC4258" w:rsidRDefault="009E09C1" w:rsidP="009E09C1">
      <w:pPr>
        <w:spacing w:after="120" w:line="276" w:lineRule="auto"/>
        <w:rPr>
          <w:rFonts w:cs="Arial"/>
          <w14:numForm w14:val="lining"/>
          <w14:numSpacing w14:val="proportional"/>
        </w:rPr>
      </w:pPr>
      <w:r w:rsidRPr="00C5597D">
        <w:rPr>
          <w:rFonts w:cs="Arial"/>
          <w:color w:val="auto"/>
          <w14:numForm w14:val="lining"/>
          <w14:numSpacing w14:val="proportional"/>
        </w:rPr>
        <w:t xml:space="preserve">Not only will the sustainable reuse or recycling of this waste become </w:t>
      </w:r>
      <w:r w:rsidRPr="00C5597D">
        <w:rPr>
          <w:rFonts w:cs="Arial"/>
          <w14:numForm w14:val="lining"/>
          <w14:numSpacing w14:val="proportional"/>
        </w:rPr>
        <w:t xml:space="preserve">an </w:t>
      </w:r>
      <w:r w:rsidRPr="00C5597D">
        <w:rPr>
          <w:rFonts w:cs="Arial"/>
          <w:color w:val="auto"/>
          <w14:numForm w14:val="lining"/>
          <w14:numSpacing w14:val="proportional"/>
        </w:rPr>
        <w:t xml:space="preserve">environmental </w:t>
      </w:r>
      <w:r w:rsidRPr="00C5597D">
        <w:rPr>
          <w:rFonts w:cs="Arial"/>
          <w14:numForm w14:val="lining"/>
          <w14:numSpacing w14:val="proportional"/>
        </w:rPr>
        <w:t>imperative</w:t>
      </w:r>
      <w:r w:rsidRPr="00C5597D">
        <w:rPr>
          <w:rFonts w:cs="Arial"/>
          <w:color w:val="auto"/>
          <w14:numForm w14:val="lining"/>
          <w14:numSpacing w14:val="proportional"/>
        </w:rPr>
        <w:t>, but recycling will also likely become increasingly important for participation in</w:t>
      </w:r>
      <w:r w:rsidRPr="00C5597D">
        <w:rPr>
          <w:rFonts w:cs="Arial"/>
          <w14:numForm w14:val="lining"/>
          <w14:numSpacing w14:val="proportional"/>
        </w:rPr>
        <w:t xml:space="preserve"> related </w:t>
      </w:r>
      <w:r w:rsidRPr="00BC4258">
        <w:rPr>
          <w:rFonts w:cs="Arial"/>
          <w14:numForm w14:val="lining"/>
          <w14:numSpacing w14:val="proportional"/>
        </w:rPr>
        <w:t>economic markets. The EU</w:t>
      </w:r>
      <w:r w:rsidR="395A9959" w:rsidRPr="00BC4258">
        <w:rPr>
          <w:rFonts w:cs="Arial"/>
          <w14:numForm w14:val="lining"/>
          <w14:numSpacing w14:val="proportional"/>
        </w:rPr>
        <w:t>,</w:t>
      </w:r>
      <w:r w:rsidRPr="00BC4258">
        <w:rPr>
          <w:rFonts w:cs="Arial"/>
          <w14:numForm w14:val="lining"/>
          <w14:numSpacing w14:val="proportional"/>
        </w:rPr>
        <w:t xml:space="preserve"> for example</w:t>
      </w:r>
      <w:r w:rsidR="618F1A4B" w:rsidRPr="00BC4258">
        <w:rPr>
          <w:rFonts w:cs="Arial"/>
          <w14:numForm w14:val="lining"/>
          <w14:numSpacing w14:val="proportional"/>
        </w:rPr>
        <w:t>,</w:t>
      </w:r>
      <w:r w:rsidRPr="00BC4258">
        <w:rPr>
          <w:rFonts w:cs="Arial"/>
          <w14:numForm w14:val="lining"/>
          <w14:numSpacing w14:val="proportional"/>
        </w:rPr>
        <w:t xml:space="preserve"> has passed a law requiring the labelling of </w:t>
      </w:r>
      <w:r w:rsidRPr="48834AD3">
        <w:rPr>
          <w:rFonts w:cs="Arial"/>
        </w:rPr>
        <w:t>recycling content</w:t>
      </w:r>
      <w:r w:rsidR="1DC1FB37" w:rsidRPr="00BC4258">
        <w:rPr>
          <w:rFonts w:cs="Arial"/>
          <w14:numForm w14:val="lining"/>
          <w14:numSpacing w14:val="proportional"/>
        </w:rPr>
        <w:t xml:space="preserve"> on </w:t>
      </w:r>
      <w:r w:rsidRPr="48834AD3">
        <w:rPr>
          <w:rFonts w:cs="Arial"/>
          <w14:numForm w14:val="lining"/>
          <w14:numSpacing w14:val="proportional"/>
        </w:rPr>
        <w:t>batteries.</w:t>
      </w:r>
      <w:r w:rsidRPr="00BC4258">
        <w:rPr>
          <w:rFonts w:cs="Arial"/>
          <w14:numForm w14:val="lining"/>
          <w14:numSpacing w14:val="proportional"/>
        </w:rPr>
        <w:t xml:space="preserve"> Just as the eventuality of this waste is problematic, it also provides op</w:t>
      </w:r>
      <w:r w:rsidRPr="48834AD3">
        <w:rPr>
          <w:rFonts w:cs="Arial"/>
        </w:rPr>
        <w:t>portunities.</w:t>
      </w:r>
    </w:p>
    <w:p w14:paraId="4BE99919" w14:textId="520BB186" w:rsidR="009E09C1" w:rsidRPr="00BC4258" w:rsidRDefault="009E09C1" w:rsidP="009E09C1">
      <w:pPr>
        <w:spacing w:after="120" w:line="276" w:lineRule="auto"/>
        <w:rPr>
          <w:rFonts w:cs="Arial"/>
          <w14:numForm w14:val="lining"/>
          <w14:numSpacing w14:val="proportional"/>
        </w:rPr>
      </w:pPr>
      <w:r w:rsidRPr="00BC4258">
        <w:rPr>
          <w:rFonts w:cs="Arial"/>
          <w14:numForm w14:val="lining"/>
          <w14:numSpacing w14:val="proportional"/>
        </w:rPr>
        <w:t xml:space="preserve">According to the ISF report, </w:t>
      </w:r>
      <w:r w:rsidR="74C78BBC" w:rsidRPr="00BC4258">
        <w:rPr>
          <w:rFonts w:cs="Arial"/>
          <w14:numForm w14:val="lining"/>
          <w14:numSpacing w14:val="proportional"/>
        </w:rPr>
        <w:t>‘</w:t>
      </w:r>
      <w:r w:rsidRPr="48834AD3">
        <w:rPr>
          <w:rFonts w:cs="Arial"/>
          <w14:numForm w14:val="lining"/>
          <w14:numSpacing w14:val="proportional"/>
        </w:rPr>
        <w:t>Employment, Skills and Supply Chains: Renewable Energy in NSW</w:t>
      </w:r>
      <w:r w:rsidR="6BE428D0" w:rsidRPr="48834AD3">
        <w:rPr>
          <w:rFonts w:cs="Arial"/>
          <w14:numForm w14:val="lining"/>
          <w14:numSpacing w14:val="proportional"/>
        </w:rPr>
        <w:t>’</w:t>
      </w:r>
      <w:r w:rsidRPr="00BC4258">
        <w:rPr>
          <w:rFonts w:cs="Arial"/>
          <w14:numForm w14:val="lining"/>
          <w14:numSpacing w14:val="proportional"/>
        </w:rPr>
        <w:t xml:space="preserve">, based on current data it is estimated that recycling creates around 3.5 times as many jobs as landfill disposal creates. Their analysis found that 9.2 jobs are created per 10,000 </w:t>
      </w:r>
      <w:r w:rsidR="00731445">
        <w:rPr>
          <w:rFonts w:cs="Arial"/>
          <w14:numForm w14:val="lining"/>
          <w14:numSpacing w14:val="proportional"/>
        </w:rPr>
        <w:t>tonnes</w:t>
      </w:r>
      <w:r w:rsidRPr="00BC4258">
        <w:rPr>
          <w:rFonts w:cs="Arial"/>
          <w14:numForm w14:val="lining"/>
          <w14:numSpacing w14:val="proportional"/>
        </w:rPr>
        <w:t xml:space="preserve"> of waste recycled compared to 2.8 jobs per 10,000 t</w:t>
      </w:r>
      <w:r w:rsidR="00731445">
        <w:rPr>
          <w:rFonts w:cs="Arial"/>
          <w14:numForm w14:val="lining"/>
          <w14:numSpacing w14:val="proportional"/>
        </w:rPr>
        <w:t>onnes</w:t>
      </w:r>
      <w:r w:rsidRPr="00BC4258">
        <w:rPr>
          <w:rFonts w:cs="Arial"/>
          <w14:numForm w14:val="lining"/>
          <w14:numSpacing w14:val="proportional"/>
        </w:rPr>
        <w:t xml:space="preserve"> of waste disposed. </w:t>
      </w:r>
    </w:p>
    <w:p w14:paraId="5BA33CE8" w14:textId="1216B97A" w:rsidR="009E09C1" w:rsidRPr="00C5597D" w:rsidRDefault="009E09C1" w:rsidP="009E09C1">
      <w:pPr>
        <w:spacing w:after="120" w:line="276" w:lineRule="auto"/>
        <w:rPr>
          <w:rFonts w:cs="Arial"/>
          <w14:numForm w14:val="lining"/>
          <w14:numSpacing w14:val="proportional"/>
        </w:rPr>
      </w:pPr>
      <w:r w:rsidRPr="00BC4258">
        <w:rPr>
          <w:rFonts w:cs="Arial"/>
          <w14:numForm w14:val="lining"/>
          <w14:numSpacing w14:val="proportional"/>
        </w:rPr>
        <w:t xml:space="preserve">Skills required in this end-of-life section of the circular economy </w:t>
      </w:r>
      <w:r w:rsidRPr="00C5597D">
        <w:rPr>
          <w:rFonts w:cs="Arial"/>
          <w:color w:val="auto"/>
          <w14:numForm w14:val="lining"/>
          <w14:numSpacing w14:val="proportional"/>
        </w:rPr>
        <w:t xml:space="preserve">will vary based upon components and materials. They will </w:t>
      </w:r>
      <w:r w:rsidRPr="00C5597D">
        <w:rPr>
          <w:rFonts w:cs="Arial"/>
          <w14:numForm w14:val="lining"/>
          <w14:numSpacing w14:val="proportional"/>
        </w:rPr>
        <w:t xml:space="preserve">for example </w:t>
      </w:r>
      <w:r w:rsidRPr="00C5597D">
        <w:rPr>
          <w:rFonts w:cs="Arial"/>
          <w:color w:val="auto"/>
          <w14:numForm w14:val="lining"/>
          <w14:numSpacing w14:val="proportional"/>
        </w:rPr>
        <w:t xml:space="preserve">include roles in decommissioning, recycling, waste management, sorting, shedding, crushing and processing, </w:t>
      </w:r>
      <w:r w:rsidRPr="00C5597D">
        <w:rPr>
          <w:rFonts w:cs="Arial"/>
          <w14:numForm w14:val="lining"/>
          <w14:numSpacing w14:val="proportional"/>
        </w:rPr>
        <w:t xml:space="preserve">and </w:t>
      </w:r>
      <w:r w:rsidRPr="00C5597D">
        <w:rPr>
          <w:rFonts w:cs="Arial"/>
          <w:color w:val="auto"/>
          <w14:numForm w14:val="lining"/>
          <w14:numSpacing w14:val="proportional"/>
        </w:rPr>
        <w:t>disassembl</w:t>
      </w:r>
      <w:r w:rsidRPr="00C5597D">
        <w:rPr>
          <w:rFonts w:cs="Arial"/>
          <w14:numForm w14:val="lining"/>
          <w14:numSpacing w14:val="proportional"/>
        </w:rPr>
        <w:t>y. Not all skills required will be new</w:t>
      </w:r>
      <w:r w:rsidR="73D43AD9">
        <w:t xml:space="preserve"> –</w:t>
      </w:r>
      <w:r w:rsidRPr="00C5597D">
        <w:rPr>
          <w:rFonts w:cs="Arial"/>
          <w14:numForm w14:val="lining"/>
          <w14:numSpacing w14:val="proportional"/>
        </w:rPr>
        <w:t xml:space="preserve"> for example</w:t>
      </w:r>
      <w:r w:rsidR="6D224C0F" w:rsidRPr="00C5597D">
        <w:rPr>
          <w:rFonts w:cs="Arial"/>
          <w14:numForm w14:val="lining"/>
          <w14:numSpacing w14:val="proportional"/>
        </w:rPr>
        <w:t xml:space="preserve">, </w:t>
      </w:r>
      <w:r w:rsidRPr="00C5597D">
        <w:rPr>
          <w:rFonts w:cs="Arial"/>
          <w14:numForm w14:val="lining"/>
          <w14:numSpacing w14:val="proportional"/>
        </w:rPr>
        <w:t>the ISF cite</w:t>
      </w:r>
      <w:r w:rsidR="2C69AF85" w:rsidRPr="00C5597D">
        <w:rPr>
          <w:rFonts w:cs="Arial"/>
          <w14:numForm w14:val="lining"/>
          <w14:numSpacing w14:val="proportional"/>
        </w:rPr>
        <w:t>s</w:t>
      </w:r>
      <w:r w:rsidRPr="00C5597D">
        <w:rPr>
          <w:rFonts w:cs="Arial"/>
          <w14:numForm w14:val="lining"/>
          <w14:numSpacing w14:val="proportional"/>
        </w:rPr>
        <w:t xml:space="preserve"> that skills will be transferable from the manufacturing sector to the assembly and disassembly of renewable energy technologies, while ensuring the highest value recycling.</w:t>
      </w:r>
    </w:p>
    <w:p w14:paraId="20646E8B" w14:textId="6C3DB321" w:rsidR="009E09C1" w:rsidRPr="00C5597D" w:rsidRDefault="009E09C1" w:rsidP="009E09C1">
      <w:pPr>
        <w:spacing w:after="120" w:line="276" w:lineRule="auto"/>
        <w:rPr>
          <w:rFonts w:cs="Arial"/>
          <w:color w:val="auto"/>
          <w:kern w:val="2"/>
          <w14:ligatures w14:val="standardContextual"/>
          <w14:numForm w14:val="lining"/>
          <w14:numSpacing w14:val="proportional"/>
        </w:rPr>
      </w:pPr>
      <w:r w:rsidRPr="00C5597D">
        <w:rPr>
          <w:rFonts w:cs="Arial"/>
          <w:color w:val="auto"/>
          <w:kern w:val="2"/>
          <w14:ligatures w14:val="standardContextual"/>
          <w14:numForm w14:val="lining"/>
          <w14:numSpacing w14:val="proportional"/>
        </w:rPr>
        <w:t xml:space="preserve">There are a number of </w:t>
      </w:r>
      <w:r w:rsidRPr="00C5597D">
        <w:rPr>
          <w:rFonts w:cs="Arial"/>
          <w14:numForm w14:val="lining"/>
          <w14:numSpacing w14:val="proportional"/>
        </w:rPr>
        <w:t xml:space="preserve">active </w:t>
      </w:r>
      <w:r w:rsidRPr="00C5597D">
        <w:rPr>
          <w:rFonts w:cs="Arial"/>
          <w:color w:val="auto"/>
          <w:kern w:val="2"/>
          <w14:ligatures w14:val="standardContextual"/>
          <w14:numForm w14:val="lining"/>
          <w14:numSpacing w14:val="proportional"/>
        </w:rPr>
        <w:t>initiatives aim</w:t>
      </w:r>
      <w:r w:rsidR="2B50D8D3" w:rsidRPr="00C5597D">
        <w:rPr>
          <w:rFonts w:cs="Arial"/>
          <w:color w:val="auto"/>
          <w:kern w:val="2"/>
          <w14:ligatures w14:val="standardContextual"/>
          <w14:numForm w14:val="lining"/>
          <w14:numSpacing w14:val="proportional"/>
        </w:rPr>
        <w:t>ed</w:t>
      </w:r>
      <w:r w:rsidRPr="00C5597D">
        <w:rPr>
          <w:rFonts w:cs="Arial"/>
          <w:color w:val="auto"/>
          <w:kern w:val="2"/>
          <w14:ligatures w14:val="standardContextual"/>
          <w14:numForm w14:val="lining"/>
          <w14:numSpacing w14:val="proportional"/>
        </w:rPr>
        <w:t xml:space="preserve"> to help develop Australia’s circular economy. The </w:t>
      </w:r>
      <w:hyperlink r:id="rId210" w:tgtFrame="_blank" w:history="1">
        <w:r w:rsidRPr="00C5597D">
          <w:rPr>
            <w:rFonts w:cs="Arial"/>
            <w:color w:val="auto"/>
            <w:kern w:val="2"/>
            <w14:ligatures w14:val="standardContextual"/>
            <w14:numForm w14:val="lining"/>
            <w14:numSpacing w14:val="proportional"/>
          </w:rPr>
          <w:t>National Waste Policy Action Plan</w:t>
        </w:r>
      </w:hyperlink>
      <w:r w:rsidRPr="00C5597D">
        <w:rPr>
          <w:rFonts w:cs="Arial"/>
          <w:color w:val="auto"/>
          <w:kern w:val="2"/>
          <w14:ligatures w14:val="standardContextual"/>
          <w14:numForm w14:val="lining"/>
          <w14:numSpacing w14:val="proportional"/>
        </w:rPr>
        <w:t xml:space="preserve"> aims to prevent waste</w:t>
      </w:r>
      <w:r w:rsidRPr="00C5597D">
        <w:rPr>
          <w:rFonts w:cs="Arial"/>
          <w14:numForm w14:val="lining"/>
          <w14:numSpacing w14:val="proportional"/>
        </w:rPr>
        <w:t xml:space="preserve"> via the likes of</w:t>
      </w:r>
      <w:r w:rsidRPr="00C5597D">
        <w:rPr>
          <w:rFonts w:cs="Arial"/>
          <w:color w:val="auto"/>
          <w:kern w:val="2"/>
          <w14:ligatures w14:val="standardContextual"/>
          <w14:numForm w14:val="lining"/>
          <w14:numSpacing w14:val="proportional"/>
        </w:rPr>
        <w:t xml:space="preserve"> better product design and more efficient production processes. In 2022 it was expanded to strengthen Australia’s efforts towards our 2030</w:t>
      </w:r>
      <w:r>
        <w:rPr>
          <w:rFonts w:cs="Arial"/>
          <w:color w:val="auto"/>
          <w:kern w:val="2"/>
          <w14:ligatures w14:val="standardContextual"/>
          <w14:numForm w14:val="lining"/>
          <w14:numSpacing w14:val="proportional"/>
        </w:rPr>
        <w:t xml:space="preserve"> emissions reduction</w:t>
      </w:r>
      <w:r w:rsidRPr="00C5597D">
        <w:rPr>
          <w:rFonts w:cs="Arial"/>
          <w:color w:val="auto"/>
          <w:kern w:val="2"/>
          <w14:ligatures w14:val="standardContextual"/>
          <w14:numForm w14:val="lining"/>
          <w14:numSpacing w14:val="proportional"/>
        </w:rPr>
        <w:t xml:space="preserve"> target.</w:t>
      </w:r>
    </w:p>
    <w:p w14:paraId="787F3AEE" w14:textId="1AFBB911" w:rsidR="00121834" w:rsidRPr="00121834" w:rsidRDefault="00121834" w:rsidP="00121834">
      <w:pPr>
        <w:spacing w:after="120" w:line="276" w:lineRule="auto"/>
        <w:rPr>
          <w:rFonts w:cs="Arial"/>
          <w:color w:val="auto"/>
          <w:kern w:val="2"/>
          <w14:ligatures w14:val="standardContextual"/>
          <w14:numForm w14:val="lining"/>
          <w14:numSpacing w14:val="proportional"/>
        </w:rPr>
      </w:pPr>
      <w:r w:rsidRPr="00121834">
        <w:rPr>
          <w:rFonts w:cs="Arial"/>
          <w:color w:val="auto"/>
          <w:kern w:val="2"/>
          <w14:ligatures w14:val="standardContextual"/>
          <w14:numForm w14:val="lining"/>
          <w14:numSpacing w14:val="proportional"/>
        </w:rPr>
        <w:t>The $A250 million Recycling Modernisation Fund is a national initiative aiming to expand Australia’s capacity to sort, process and remanufacture glass, plastic, tyres, paper and cardboard. The A$15 billion National Reconstruction Fund aims to drive investment in priority areas focusing on projects that diversify and transform the Australian economy. One of the priority areas is renewables and low emission technologies. The government has announced a target investment level of up to $3 billion of NRF finance for renewables and low emission technologies.</w:t>
      </w:r>
    </w:p>
    <w:p w14:paraId="60FA5E71" w14:textId="6F58CEF6" w:rsidR="000C0CF8" w:rsidRDefault="009E09C1" w:rsidP="00304D92">
      <w:pPr>
        <w:spacing w:after="360" w:line="276" w:lineRule="auto"/>
        <w:rPr>
          <w:rFonts w:eastAsiaTheme="majorEastAsia" w:cstheme="majorBidi"/>
          <w:b/>
          <w:color w:val="9F1853" w:themeColor="accent4"/>
          <w:sz w:val="32"/>
          <w:szCs w:val="32"/>
        </w:rPr>
      </w:pPr>
      <w:r>
        <w:rPr>
          <w:rFonts w:cs="Arial"/>
          <w14:numForm w14:val="lining"/>
          <w14:numSpacing w14:val="proportional"/>
        </w:rPr>
        <w:t>D</w:t>
      </w:r>
      <w:r w:rsidRPr="00C5597D">
        <w:rPr>
          <w:rFonts w:cs="Arial"/>
          <w14:numForm w14:val="lining"/>
          <w14:numSpacing w14:val="proportional"/>
        </w:rPr>
        <w:t xml:space="preserve">ata from LinkedIn Talent Insights further shows how new and dispersed </w:t>
      </w:r>
      <w:r w:rsidR="0E54024A" w:rsidRPr="00C5597D">
        <w:rPr>
          <w:rFonts w:cs="Arial"/>
          <w14:numForm w14:val="lining"/>
          <w14:numSpacing w14:val="proportional"/>
        </w:rPr>
        <w:t>the</w:t>
      </w:r>
      <w:r w:rsidRPr="00C5597D">
        <w:rPr>
          <w:rFonts w:cs="Arial"/>
          <w14:numForm w14:val="lining"/>
          <w14:numSpacing w14:val="proportional"/>
        </w:rPr>
        <w:t xml:space="preserve"> job roles </w:t>
      </w:r>
      <w:r w:rsidR="00F230F2" w:rsidRPr="00C5597D">
        <w:rPr>
          <w:rFonts w:cs="Arial"/>
          <w14:numForm w14:val="lining"/>
          <w14:numSpacing w14:val="proportional"/>
        </w:rPr>
        <w:t xml:space="preserve">are </w:t>
      </w:r>
      <w:r w:rsidRPr="00C5597D">
        <w:rPr>
          <w:rFonts w:cs="Arial"/>
          <w14:numForm w14:val="lining"/>
          <w14:numSpacing w14:val="proportional"/>
        </w:rPr>
        <w:t xml:space="preserve">in the </w:t>
      </w:r>
      <w:r w:rsidRPr="00C5597D">
        <w:rPr>
          <w:rFonts w:cs="Arial"/>
          <w:color w:val="auto"/>
          <w:kern w:val="2"/>
          <w14:ligatures w14:val="standardContextual"/>
          <w14:numForm w14:val="lining"/>
          <w14:numSpacing w14:val="proportional"/>
        </w:rPr>
        <w:t>circular</w:t>
      </w:r>
      <w:r w:rsidRPr="00C5597D">
        <w:rPr>
          <w:rFonts w:cs="Arial"/>
          <w14:numForm w14:val="lining"/>
          <w14:numSpacing w14:val="proportional"/>
        </w:rPr>
        <w:t xml:space="preserve"> economy at present. Waste management and recycling companies are well represented </w:t>
      </w:r>
      <w:r w:rsidR="00C57413">
        <w:rPr>
          <w:rFonts w:cs="Arial"/>
          <w14:numForm w14:val="lining"/>
          <w14:numSpacing w14:val="proportional"/>
        </w:rPr>
        <w:t>as</w:t>
      </w:r>
      <w:r w:rsidRPr="00C5597D">
        <w:rPr>
          <w:rFonts w:cs="Arial"/>
          <w14:numForm w14:val="lining"/>
          <w14:numSpacing w14:val="proportional"/>
        </w:rPr>
        <w:t xml:space="preserve"> the most common </w:t>
      </w:r>
      <w:r w:rsidR="0DFDEBD9" w:rsidRPr="00C5597D">
        <w:rPr>
          <w:rFonts w:cs="Arial"/>
          <w14:numForm w14:val="lining"/>
          <w14:numSpacing w14:val="proportional"/>
        </w:rPr>
        <w:t xml:space="preserve">types of </w:t>
      </w:r>
      <w:r w:rsidRPr="00C5597D">
        <w:rPr>
          <w:rFonts w:cs="Arial"/>
          <w14:numForm w14:val="lining"/>
          <w14:numSpacing w14:val="proportional"/>
        </w:rPr>
        <w:t>employers, along with universities. However</w:t>
      </w:r>
      <w:r w:rsidR="00B63BBD" w:rsidRPr="48834AD3">
        <w:rPr>
          <w:rFonts w:cs="Arial"/>
        </w:rPr>
        <w:t>,</w:t>
      </w:r>
      <w:r w:rsidRPr="00C5597D">
        <w:rPr>
          <w:rFonts w:cs="Arial"/>
          <w14:numForm w14:val="lining"/>
          <w14:numSpacing w14:val="proportional"/>
        </w:rPr>
        <w:t xml:space="preserve"> ‘policy officer’ is the most common job title and research </w:t>
      </w:r>
      <w:r w:rsidR="6696DFE3" w:rsidRPr="00C5597D">
        <w:rPr>
          <w:rFonts w:cs="Arial"/>
          <w14:numForm w14:val="lining"/>
          <w14:numSpacing w14:val="proportional"/>
        </w:rPr>
        <w:t xml:space="preserve">roles </w:t>
      </w:r>
      <w:r w:rsidRPr="00C5597D">
        <w:rPr>
          <w:rFonts w:cs="Arial"/>
          <w14:numForm w14:val="lining"/>
          <w14:numSpacing w14:val="proportional"/>
        </w:rPr>
        <w:t xml:space="preserve">feature strongly in </w:t>
      </w:r>
      <w:r w:rsidR="1F2C548F" w:rsidRPr="00C5597D">
        <w:rPr>
          <w:rFonts w:cs="Arial"/>
          <w14:numForm w14:val="lining"/>
          <w14:numSpacing w14:val="proportional"/>
        </w:rPr>
        <w:t xml:space="preserve">the </w:t>
      </w:r>
      <w:r w:rsidRPr="00C5597D">
        <w:rPr>
          <w:rFonts w:cs="Arial"/>
          <w14:numForm w14:val="lining"/>
          <w14:numSpacing w14:val="proportional"/>
        </w:rPr>
        <w:t xml:space="preserve">fastest growing job titles – the job roles associated with industry are not apparent. By volume, the majority of </w:t>
      </w:r>
      <w:r w:rsidR="0A65F8D1" w:rsidRPr="00C5597D">
        <w:rPr>
          <w:rFonts w:cs="Arial"/>
          <w14:numForm w14:val="lining"/>
          <w14:numSpacing w14:val="proportional"/>
        </w:rPr>
        <w:t>sector-based</w:t>
      </w:r>
      <w:r w:rsidRPr="00C5597D">
        <w:rPr>
          <w:rFonts w:cs="Arial"/>
          <w14:numForm w14:val="lining"/>
          <w14:numSpacing w14:val="proportional"/>
        </w:rPr>
        <w:t xml:space="preserve"> jobs are likely to be labourer or trades-level roles</w:t>
      </w:r>
      <w:r w:rsidR="00C57413">
        <w:rPr>
          <w:rFonts w:cs="Arial"/>
          <w14:numForm w14:val="lining"/>
          <w14:numSpacing w14:val="proportional"/>
        </w:rPr>
        <w:t xml:space="preserve">, which </w:t>
      </w:r>
      <w:r w:rsidR="00B63BBD" w:rsidRPr="48834AD3">
        <w:rPr>
          <w:rFonts w:cs="Arial"/>
        </w:rPr>
        <w:t>may be</w:t>
      </w:r>
      <w:r w:rsidR="00C57413">
        <w:rPr>
          <w:rFonts w:cs="Arial"/>
          <w14:numForm w14:val="lining"/>
          <w14:numSpacing w14:val="proportional"/>
        </w:rPr>
        <w:t xml:space="preserve"> </w:t>
      </w:r>
      <w:r w:rsidRPr="00C5597D">
        <w:rPr>
          <w:rFonts w:cs="Arial"/>
          <w14:numForm w14:val="lining"/>
          <w14:numSpacing w14:val="proportional"/>
        </w:rPr>
        <w:t>susceptible to automation over future decades.</w:t>
      </w:r>
    </w:p>
    <w:p w14:paraId="63030403" w14:textId="24664524" w:rsidR="000C0CF8" w:rsidRPr="007E48D8" w:rsidRDefault="000C0CF8" w:rsidP="000C0CF8">
      <w:pPr>
        <w:pStyle w:val="Heading3"/>
        <w:spacing w:before="240" w:after="120"/>
        <w:rPr>
          <w:color w:val="9F1853" w:themeColor="accent4"/>
          <w:szCs w:val="32"/>
        </w:rPr>
      </w:pPr>
      <w:r>
        <w:rPr>
          <w:color w:val="9F1853" w:themeColor="accent4"/>
          <w:szCs w:val="32"/>
        </w:rPr>
        <w:t>Carbon Capture, Utilisation and Storage</w:t>
      </w:r>
    </w:p>
    <w:p w14:paraId="192F022C" w14:textId="1BEDACE0" w:rsidR="009E09C1" w:rsidRPr="00C5597D" w:rsidRDefault="009E09C1" w:rsidP="000C0CF8">
      <w:pPr>
        <w:pStyle w:val="Bodycopy"/>
        <w:spacing w:before="240" w:after="120" w:line="276" w:lineRule="auto"/>
        <w:rPr>
          <w14:numForm w14:val="lining"/>
          <w14:numSpacing w14:val="proportional"/>
        </w:rPr>
      </w:pPr>
      <w:r w:rsidRPr="00C5597D">
        <w:rPr>
          <w14:numForm w14:val="lining"/>
          <w14:numSpacing w14:val="proportional"/>
        </w:rPr>
        <w:t xml:space="preserve">Carbon </w:t>
      </w:r>
      <w:r w:rsidR="00C749C4">
        <w:rPr>
          <w14:numForm w14:val="lining"/>
          <w14:numSpacing w14:val="proportional"/>
        </w:rPr>
        <w:t>C</w:t>
      </w:r>
      <w:r w:rsidRPr="00C5597D">
        <w:rPr>
          <w14:numForm w14:val="lining"/>
          <w14:numSpacing w14:val="proportional"/>
        </w:rPr>
        <w:t xml:space="preserve">apture, </w:t>
      </w:r>
      <w:r w:rsidR="00C749C4">
        <w:rPr>
          <w14:numForm w14:val="lining"/>
          <w14:numSpacing w14:val="proportional"/>
        </w:rPr>
        <w:t>U</w:t>
      </w:r>
      <w:r w:rsidRPr="00C5597D">
        <w:rPr>
          <w14:numForm w14:val="lining"/>
          <w14:numSpacing w14:val="proportional"/>
        </w:rPr>
        <w:t xml:space="preserve">tilisation </w:t>
      </w:r>
      <w:r w:rsidR="00C749C4">
        <w:rPr>
          <w14:numForm w14:val="lining"/>
          <w14:numSpacing w14:val="proportional"/>
        </w:rPr>
        <w:t>a</w:t>
      </w:r>
      <w:r w:rsidRPr="00C5597D">
        <w:rPr>
          <w14:numForm w14:val="lining"/>
          <w14:numSpacing w14:val="proportional"/>
        </w:rPr>
        <w:t xml:space="preserve">nd </w:t>
      </w:r>
      <w:r w:rsidR="00C749C4">
        <w:rPr>
          <w14:numForm w14:val="lining"/>
          <w14:numSpacing w14:val="proportional"/>
        </w:rPr>
        <w:t>S</w:t>
      </w:r>
      <w:r w:rsidRPr="00C5597D">
        <w:rPr>
          <w14:numForm w14:val="lining"/>
          <w14:numSpacing w14:val="proportional"/>
        </w:rPr>
        <w:t>torage (CCUS) refers to a range of technologies intended to capture emissions of carbon dioxide or other greenhouse gases and either safely store it underground (storage) or use the carbon dioxide as an input into an industrial process to produce products such as ammonia and urea.</w:t>
      </w:r>
    </w:p>
    <w:p w14:paraId="3B730DC7" w14:textId="560452D1" w:rsidR="009E09C1" w:rsidRPr="00C5597D" w:rsidRDefault="009E09C1" w:rsidP="009E09C1">
      <w:pPr>
        <w:pStyle w:val="Bodycopy"/>
        <w:spacing w:after="120" w:line="276" w:lineRule="auto"/>
        <w:rPr>
          <w:b/>
          <w:bCs/>
          <w14:numForm w14:val="lining"/>
          <w14:numSpacing w14:val="proportional"/>
        </w:rPr>
      </w:pPr>
      <w:r w:rsidRPr="00C5597D">
        <w:rPr>
          <w14:numForm w14:val="lining"/>
          <w14:numSpacing w14:val="proportional"/>
        </w:rPr>
        <w:t xml:space="preserve">CCUS technology remains under development and the modelling in </w:t>
      </w:r>
      <w:r w:rsidRPr="00313427">
        <w:rPr>
          <w:b/>
          <w:bCs/>
          <w14:numForm w14:val="lining"/>
          <w14:numSpacing w14:val="proportional"/>
        </w:rPr>
        <w:t>Chapter 5</w:t>
      </w:r>
      <w:r w:rsidRPr="00C5597D">
        <w:rPr>
          <w14:numForm w14:val="lining"/>
          <w14:numSpacing w14:val="proportional"/>
        </w:rPr>
        <w:t xml:space="preserve"> has not assumed that CCUS will be required for Australia to reach net zero. However</w:t>
      </w:r>
      <w:r w:rsidR="00C749C4">
        <w:rPr>
          <w14:numForm w14:val="lining"/>
          <w14:numSpacing w14:val="proportional"/>
        </w:rPr>
        <w:t>,</w:t>
      </w:r>
      <w:r w:rsidRPr="00C5597D">
        <w:rPr>
          <w14:numForm w14:val="lining"/>
          <w14:numSpacing w14:val="proportional"/>
        </w:rPr>
        <w:t xml:space="preserve"> if innovation continues and concerns about safety and cost can be met, CCUS has the potential to assist Australia and the world reach net zero. The Minerals Council of Australia emphasised that Australia must invest in affordable and scalable CCUS technologies</w:t>
      </w:r>
      <w:r w:rsidR="00A12B84">
        <w:rPr>
          <w14:numForm w14:val="lining"/>
          <w14:numSpacing w14:val="proportional"/>
        </w:rPr>
        <w:t xml:space="preserve">, and that with </w:t>
      </w:r>
      <w:r w:rsidRPr="00C5597D">
        <w:rPr>
          <w14:numForm w14:val="lining"/>
          <w14:numSpacing w14:val="proportional"/>
        </w:rPr>
        <w:t>greater development and use</w:t>
      </w:r>
      <w:r w:rsidR="00BB4516">
        <w:rPr>
          <w14:numForm w14:val="lining"/>
          <w14:numSpacing w14:val="proportional"/>
        </w:rPr>
        <w:t xml:space="preserve"> it could </w:t>
      </w:r>
      <w:r w:rsidRPr="00C5597D">
        <w:rPr>
          <w14:numForm w14:val="lining"/>
          <w14:numSpacing w14:val="proportional"/>
        </w:rPr>
        <w:t xml:space="preserve">allow Australia to remain competitive as a leading energy exporter. </w:t>
      </w:r>
    </w:p>
    <w:p w14:paraId="47E4632F" w14:textId="3EFD3BF1" w:rsidR="009E09C1" w:rsidRPr="00C5597D" w:rsidRDefault="009E09C1" w:rsidP="009E09C1">
      <w:pPr>
        <w:pStyle w:val="Bodycopy"/>
        <w:spacing w:after="120" w:line="276" w:lineRule="auto"/>
        <w:rPr>
          <w:rFonts w:eastAsia="Arial" w:cs="Arial"/>
          <w:color w:val="0E101A"/>
          <w14:numForm w14:val="lining"/>
          <w14:numSpacing w14:val="proportional"/>
        </w:rPr>
      </w:pPr>
      <w:r w:rsidRPr="3E880473">
        <w:rPr>
          <w:rFonts w:asciiTheme="minorHAnsi" w:hAnsiTheme="minorHAnsi"/>
          <w:color w:val="0E101A"/>
          <w14:numForm w14:val="lining"/>
          <w14:numSpacing w14:val="proportional"/>
        </w:rPr>
        <w:t xml:space="preserve">The </w:t>
      </w:r>
      <w:r w:rsidRPr="3E880473">
        <w:rPr>
          <w:rFonts w:asciiTheme="minorHAnsi" w:hAnsiTheme="minorHAnsi"/>
          <w14:numForm w14:val="lining"/>
          <w14:numSpacing w14:val="proportional"/>
        </w:rPr>
        <w:t>Australian Petroleum Production and Exploration Association</w:t>
      </w:r>
      <w:r w:rsidRPr="3E880473">
        <w:rPr>
          <w:rFonts w:asciiTheme="minorHAnsi" w:hAnsiTheme="minorHAnsi"/>
          <w:color w:val="0E101A"/>
          <w14:numForm w14:val="lining"/>
          <w14:numSpacing w14:val="proportional"/>
        </w:rPr>
        <w:t xml:space="preserve"> </w:t>
      </w:r>
      <w:r w:rsidR="003C654A" w:rsidRPr="3E880473">
        <w:rPr>
          <w:rFonts w:asciiTheme="minorHAnsi" w:hAnsiTheme="minorHAnsi"/>
          <w:color w:val="0E101A"/>
          <w14:numForm w14:val="lining"/>
          <w14:numSpacing w14:val="proportional"/>
        </w:rPr>
        <w:t xml:space="preserve">(APPEA) </w:t>
      </w:r>
      <w:r w:rsidRPr="3E880473">
        <w:rPr>
          <w:rFonts w:asciiTheme="minorHAnsi" w:hAnsiTheme="minorHAnsi"/>
          <w:color w:val="0E101A"/>
          <w14:numForm w14:val="lining"/>
          <w14:numSpacing w14:val="proportional"/>
        </w:rPr>
        <w:t>pointed out that CCUS is an essential technology that will assist in transitioning to a net zero emissions economy and require</w:t>
      </w:r>
      <w:r w:rsidR="2AC19BDE" w:rsidRPr="3E880473">
        <w:rPr>
          <w:rFonts w:asciiTheme="minorHAnsi" w:hAnsiTheme="minorHAnsi"/>
          <w:color w:val="0E101A"/>
          <w14:numForm w14:val="lining"/>
          <w14:numSpacing w14:val="proportional"/>
        </w:rPr>
        <w:t>s</w:t>
      </w:r>
      <w:r w:rsidRPr="3E880473">
        <w:rPr>
          <w:rFonts w:asciiTheme="minorHAnsi" w:hAnsiTheme="minorHAnsi"/>
          <w:color w:val="0E101A"/>
          <w14:numForm w14:val="lining"/>
          <w14:numSpacing w14:val="proportional"/>
        </w:rPr>
        <w:t xml:space="preserve"> workers to deploy at a sufficient scale. </w:t>
      </w:r>
      <w:r w:rsidR="003C654A" w:rsidRPr="3E880473">
        <w:rPr>
          <w:rFonts w:asciiTheme="minorHAnsi" w:hAnsiTheme="minorHAnsi"/>
          <w:color w:val="0E101A"/>
          <w14:numForm w14:val="lining"/>
          <w14:numSpacing w14:val="proportional"/>
        </w:rPr>
        <w:t xml:space="preserve">APPEA further suggests </w:t>
      </w:r>
      <w:r w:rsidRPr="3E880473">
        <w:rPr>
          <w:rFonts w:asciiTheme="minorHAnsi" w:hAnsiTheme="minorHAnsi"/>
          <w:color w:val="0E101A"/>
          <w14:numForm w14:val="lining"/>
          <w14:numSpacing w14:val="proportional"/>
        </w:rPr>
        <w:t>CCUS will likely play a role in reducing electricity sector emissions and emissions</w:t>
      </w:r>
      <w:r w:rsidRPr="00C5597D">
        <w:rPr>
          <w:rFonts w:eastAsia="Arial"/>
          <w:color w:val="0E101A"/>
          <w14:numForm w14:val="lining"/>
          <w14:numSpacing w14:val="proportional"/>
        </w:rPr>
        <w:t xml:space="preserve"> from hard-to-abate sectors such as cement, steel making and critical minerals processing.</w:t>
      </w:r>
      <w:r w:rsidRPr="00C5597D">
        <w:rPr>
          <w:rStyle w:val="EndnoteReference"/>
          <w:rFonts w:eastAsia="Arial" w:cs="Arial"/>
          <w:color w:val="0E101A"/>
          <w14:numForm w14:val="lining"/>
          <w14:numSpacing w14:val="proportional"/>
        </w:rPr>
        <w:endnoteReference w:id="143"/>
      </w:r>
    </w:p>
    <w:p w14:paraId="1FBDDE63" w14:textId="2B14136C" w:rsidR="009E09C1" w:rsidRPr="00C5597D" w:rsidRDefault="009E09C1" w:rsidP="009E09C1">
      <w:pPr>
        <w:spacing w:after="120" w:line="276" w:lineRule="auto"/>
        <w:rPr>
          <w:rFonts w:cs="Arial"/>
          <w:color w:val="auto"/>
          <w:kern w:val="2"/>
          <w14:ligatures w14:val="standardContextual"/>
          <w14:numForm w14:val="lining"/>
          <w14:numSpacing w14:val="proportional"/>
        </w:rPr>
      </w:pPr>
      <w:r w:rsidRPr="00C5597D">
        <w:rPr>
          <w:rFonts w:cs="Arial"/>
          <w:color w:val="auto"/>
          <w:kern w:val="2"/>
          <w14:ligatures w14:val="standardContextual"/>
          <w14:numForm w14:val="lining"/>
          <w14:numSpacing w14:val="proportional"/>
        </w:rPr>
        <w:t>As at mid-2022, the Gorgon carbon capture and storage project on Barrow Island, off the coast of the Pilbara region in Western Australia, is the world’s largest CCUS project.</w:t>
      </w:r>
      <w:r w:rsidRPr="00C5597D">
        <w:rPr>
          <w:rStyle w:val="EndnoteReference"/>
          <w:rFonts w:cs="Arial"/>
          <w:color w:val="auto"/>
          <w:kern w:val="2"/>
          <w14:ligatures w14:val="standardContextual"/>
          <w14:numForm w14:val="lining"/>
          <w14:numSpacing w14:val="proportional"/>
        </w:rPr>
        <w:endnoteReference w:id="144"/>
      </w:r>
      <w:r w:rsidRPr="00C5597D">
        <w:rPr>
          <w:rFonts w:cs="Arial"/>
          <w:color w:val="auto"/>
          <w:kern w:val="2"/>
          <w14:ligatures w14:val="standardContextual"/>
          <w14:numForm w14:val="lining"/>
          <w14:numSpacing w14:val="proportional"/>
        </w:rPr>
        <w:t xml:space="preserve"> The Gorgon project is a joint venture between the Australian subsidiaries of Chevron, ExxonMobil, Shell, Osaka Gas, Tokyo Gas and JERA. The Australian Government has committed $60 million to the Gorgon Carbon Dioxide Injection Project as part of the Low Emissions Technology Demonstration Fund (LETDF). CCUS can potentially provide a useful second life for depleted oil and gas fields, such as in the Cooper and Otway basins of South Australia, becoming part of the decommissioning process for these sites</w:t>
      </w:r>
      <w:r w:rsidR="00B63BBD" w:rsidRPr="4AB85293">
        <w:rPr>
          <w:rFonts w:cs="Arial"/>
          <w:color w:val="auto"/>
        </w:rPr>
        <w:t>.</w:t>
      </w:r>
      <w:r w:rsidRPr="00C5597D">
        <w:rPr>
          <w:rStyle w:val="EndnoteReference"/>
          <w:rFonts w:cs="Arial"/>
          <w:color w:val="auto"/>
          <w:kern w:val="2"/>
          <w14:ligatures w14:val="standardContextual"/>
          <w14:numForm w14:val="lining"/>
          <w14:numSpacing w14:val="proportional"/>
        </w:rPr>
        <w:endnoteReference w:id="145"/>
      </w:r>
    </w:p>
    <w:p w14:paraId="52094D69" w14:textId="651FB520" w:rsidR="009E09C1" w:rsidRDefault="009E09C1" w:rsidP="009E09C1">
      <w:pPr>
        <w:spacing w:after="120" w:line="276" w:lineRule="auto"/>
        <w:rPr>
          <w:rFonts w:cs="Arial"/>
          <w:color w:val="auto"/>
          <w:kern w:val="2"/>
          <w14:ligatures w14:val="standardContextual"/>
          <w14:numForm w14:val="lining"/>
          <w14:numSpacing w14:val="proportional"/>
        </w:rPr>
      </w:pPr>
      <w:r w:rsidRPr="00C5597D">
        <w:rPr>
          <w:rFonts w:cs="Arial"/>
          <w:color w:val="auto"/>
          <w:kern w:val="2"/>
          <w14:ligatures w14:val="standardContextual"/>
          <w14:numForm w14:val="lining"/>
          <w14:numSpacing w14:val="proportional"/>
        </w:rPr>
        <w:t xml:space="preserve">CCUS projects are complex, requiring input from Geologists, Engineers from multiple specialities (including mining, process, electrical, mechanical and chemical/materials), as well as advanced project management skills. CCUS requires technical and trade roles similar to oil and gas extraction – Drillers, Fitters, and Electricians, potentially providing expansion and transition opportunities for this workforce. </w:t>
      </w:r>
    </w:p>
    <w:p w14:paraId="62E1271A" w14:textId="088703C6" w:rsidR="009D1AE6" w:rsidRPr="00434E81" w:rsidRDefault="009E09C1" w:rsidP="00434E81">
      <w:pPr>
        <w:spacing w:line="276" w:lineRule="auto"/>
        <w:rPr>
          <w:rFonts w:cs="Arial"/>
          <w:color w:val="auto"/>
          <w:kern w:val="2"/>
          <w14:ligatures w14:val="standardContextual"/>
          <w14:numForm w14:val="lining"/>
          <w14:numSpacing w14:val="proportional"/>
        </w:rPr>
        <w:sectPr w:rsidR="009D1AE6" w:rsidRPr="00434E81" w:rsidSect="00526606">
          <w:headerReference w:type="even" r:id="rId211"/>
          <w:headerReference w:type="default" r:id="rId212"/>
          <w:footerReference w:type="even" r:id="rId213"/>
          <w:footerReference w:type="default" r:id="rId214"/>
          <w:headerReference w:type="first" r:id="rId215"/>
          <w:footerReference w:type="first" r:id="rId216"/>
          <w:endnotePr>
            <w:numFmt w:val="decimal"/>
          </w:endnotePr>
          <w:pgSz w:w="11906" w:h="16838" w:code="9"/>
          <w:pgMar w:top="1440" w:right="1440" w:bottom="1440" w:left="1440" w:header="0" w:footer="709" w:gutter="0"/>
          <w:cols w:space="708"/>
          <w:docGrid w:linePitch="360"/>
        </w:sectPr>
      </w:pPr>
      <w:r>
        <w:rPr>
          <w:rFonts w:cs="Arial"/>
          <w:color w:val="auto"/>
          <w:kern w:val="2"/>
          <w14:ligatures w14:val="standardContextual"/>
          <w14:numForm w14:val="lining"/>
          <w14:numSpacing w14:val="proportional"/>
        </w:rPr>
        <w:br w:type="page"/>
      </w:r>
    </w:p>
    <w:p w14:paraId="0562202D" w14:textId="7DA7BB8B" w:rsidR="004678C0" w:rsidRPr="00AC4A93" w:rsidRDefault="00750802" w:rsidP="004463D7">
      <w:pPr>
        <w:pStyle w:val="Heading1"/>
        <w:spacing w:before="8160"/>
        <w:ind w:left="283"/>
      </w:pPr>
      <w:bookmarkStart w:id="76" w:name="_Toc146892692"/>
      <w:r>
        <w:rPr>
          <w:b w:val="0"/>
          <w:bCs/>
          <w:noProof/>
          <w:sz w:val="72"/>
          <w:szCs w:val="72"/>
        </w:rPr>
        <w:drawing>
          <wp:anchor distT="0" distB="0" distL="114300" distR="114300" simplePos="0" relativeHeight="251670628" behindDoc="0" locked="0" layoutInCell="1" allowOverlap="1" wp14:anchorId="74AC3D7C" wp14:editId="592F1229">
            <wp:simplePos x="0" y="0"/>
            <wp:positionH relativeFrom="column">
              <wp:posOffset>-898970</wp:posOffset>
            </wp:positionH>
            <wp:positionV relativeFrom="paragraph">
              <wp:posOffset>-918845</wp:posOffset>
            </wp:positionV>
            <wp:extent cx="7559675" cy="5431790"/>
            <wp:effectExtent l="0" t="0" r="3175" b="0"/>
            <wp:wrapNone/>
            <wp:docPr id="42563849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8499" name="Picture 20">
                      <a:extLst>
                        <a:ext uri="{C183D7F6-B498-43B3-948B-1728B52AA6E4}">
                          <adec:decorative xmlns:adec="http://schemas.microsoft.com/office/drawing/2017/decorative" val="1"/>
                        </a:ext>
                      </a:extLst>
                    </pic:cNvPr>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anchor>
        </w:drawing>
      </w:r>
      <w:r w:rsidR="002D4A7B" w:rsidRPr="00E5087D">
        <w:rPr>
          <w:noProof/>
        </w:rPr>
        <mc:AlternateContent>
          <mc:Choice Requires="wps">
            <w:drawing>
              <wp:anchor distT="0" distB="0" distL="114300" distR="114300" simplePos="0" relativeHeight="251658284" behindDoc="1" locked="0" layoutInCell="1" allowOverlap="1" wp14:anchorId="1E1348F8" wp14:editId="7C6E4524">
                <wp:simplePos x="0" y="0"/>
                <wp:positionH relativeFrom="page">
                  <wp:posOffset>-2540</wp:posOffset>
                </wp:positionH>
                <wp:positionV relativeFrom="paragraph">
                  <wp:posOffset>4509135</wp:posOffset>
                </wp:positionV>
                <wp:extent cx="7559675" cy="5259705"/>
                <wp:effectExtent l="0" t="0" r="3175" b="0"/>
                <wp:wrapNone/>
                <wp:docPr id="30" name="Freeform: Shap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C2A5EC"/>
                        </a:solidFill>
                      </wps:spPr>
                      <wps:txbx>
                        <w:txbxContent>
                          <w:p w14:paraId="54487A63" w14:textId="05CE37FA" w:rsidR="00D36A87" w:rsidRPr="00AC4A93" w:rsidRDefault="00D36A87" w:rsidP="00D36A87">
                            <w:pPr>
                              <w:spacing w:before="240" w:after="0" w:line="240" w:lineRule="auto"/>
                              <w:ind w:left="1417" w:right="1134"/>
                              <w:rPr>
                                <w:rFonts w:cs="Arial"/>
                                <w:sz w:val="32"/>
                                <w:szCs w:val="32"/>
                              </w:rPr>
                            </w:pPr>
                          </w:p>
                        </w:txbxContent>
                      </wps:txbx>
                      <wps:bodyPr wrap="square" lIns="0" tIns="0" rIns="0" bIns="0" rtlCol="0">
                        <a:prstTxWarp prst="textNoShape">
                          <a:avLst/>
                        </a:prstTxWarp>
                        <a:noAutofit/>
                      </wps:bodyPr>
                    </wps:wsp>
                  </a:graphicData>
                </a:graphic>
              </wp:anchor>
            </w:drawing>
          </mc:Choice>
          <mc:Fallback>
            <w:pict>
              <v:shape w14:anchorId="1E1348F8" id="Freeform: Shape 30" o:spid="_x0000_s1144" alt="&quot;&quot;" style="position:absolute;left:0;text-align:left;margin-left:-.2pt;margin-top:355.05pt;width:595.25pt;height:414.15pt;z-index:-251658196;visibility:visible;mso-wrap-style:square;mso-wrap-distance-left:9pt;mso-wrap-distance-top:0;mso-wrap-distance-right:9pt;mso-wrap-distance-bottom:0;mso-position-horizontal:absolute;mso-position-horizontal-relative:page;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" adj="-11796480,,5400" path="m7559992,l,,,5259603r7559992,l7559992,xe" fillcolor="#c2a5ec" stroked="f">
                <v:stroke joinstyle="miter"/>
                <v:formulas/>
                <v:path arrowok="t" o:connecttype="custom" textboxrect="0,0,7560309,5259705"/>
                <v:textbox inset="0,0,0,0">
                  <w:txbxContent>
                    <w:p w14:paraId="54487A63" w14:textId="05CE37FA" w:rsidR="00D36A87" w:rsidRPr="00AC4A93" w:rsidRDefault="00D36A87" w:rsidP="00D36A87">
                      <w:pPr>
                        <w:spacing w:before="240" w:after="0" w:line="240" w:lineRule="auto"/>
                        <w:ind w:left="1417" w:right="1134"/>
                        <w:rPr>
                          <w:rFonts w:cs="Arial"/>
                          <w:sz w:val="32"/>
                          <w:szCs w:val="32"/>
                        </w:rPr>
                      </w:pPr>
                    </w:p>
                  </w:txbxContent>
                </v:textbox>
                <w10:wrap anchorx="page"/>
              </v:shape>
            </w:pict>
          </mc:Fallback>
        </mc:AlternateContent>
      </w:r>
      <w:r w:rsidR="004678C0" w:rsidRPr="00D36A87">
        <w:rPr>
          <w:b w:val="0"/>
          <w:bCs/>
          <w:sz w:val="72"/>
          <w:szCs w:val="72"/>
        </w:rPr>
        <w:t>Chapter 7</w:t>
      </w:r>
      <w:r w:rsidR="004678C0">
        <w:rPr>
          <w:sz w:val="72"/>
          <w:szCs w:val="72"/>
        </w:rPr>
        <w:t>:</w:t>
      </w:r>
      <w:r w:rsidR="004678C0">
        <w:rPr>
          <w:sz w:val="72"/>
          <w:szCs w:val="72"/>
        </w:rPr>
        <w:br/>
      </w:r>
      <w:r w:rsidR="004678C0" w:rsidRPr="00D36A87">
        <w:rPr>
          <w:sz w:val="92"/>
          <w:szCs w:val="92"/>
        </w:rPr>
        <w:t xml:space="preserve">Education and </w:t>
      </w:r>
      <w:r w:rsidR="004678C0" w:rsidRPr="00D36A87">
        <w:rPr>
          <w:sz w:val="92"/>
          <w:szCs w:val="92"/>
        </w:rPr>
        <w:br/>
        <w:t>training reform</w:t>
      </w:r>
      <w:bookmarkEnd w:id="76"/>
    </w:p>
    <w:p w14:paraId="20790E87" w14:textId="6AA2BEF0" w:rsidR="004678C0" w:rsidRPr="00AC4A93" w:rsidRDefault="004678C0" w:rsidP="004678C0">
      <w:pPr>
        <w:spacing w:before="240" w:after="0" w:line="240" w:lineRule="auto"/>
        <w:ind w:left="283"/>
        <w:rPr>
          <w:rFonts w:cs="Arial"/>
          <w:sz w:val="32"/>
          <w:szCs w:val="32"/>
        </w:rPr>
      </w:pPr>
      <w:r w:rsidRPr="00AC4A93">
        <w:rPr>
          <w:rFonts w:cs="Arial"/>
          <w:sz w:val="32"/>
          <w:szCs w:val="32"/>
        </w:rPr>
        <w:t xml:space="preserve">Explores </w:t>
      </w:r>
      <w:r>
        <w:rPr>
          <w:rFonts w:cs="Arial"/>
          <w:sz w:val="32"/>
          <w:szCs w:val="32"/>
        </w:rPr>
        <w:t xml:space="preserve">opportunities to address </w:t>
      </w:r>
      <w:r w:rsidRPr="00AC4A93">
        <w:rPr>
          <w:rFonts w:cs="Arial"/>
          <w:sz w:val="32"/>
          <w:szCs w:val="32"/>
        </w:rPr>
        <w:t>barriers faced by students and providers</w:t>
      </w:r>
      <w:r>
        <w:rPr>
          <w:rFonts w:cs="Arial"/>
          <w:sz w:val="32"/>
          <w:szCs w:val="32"/>
        </w:rPr>
        <w:t xml:space="preserve"> of education and training</w:t>
      </w:r>
      <w:r w:rsidRPr="00AC4A93">
        <w:rPr>
          <w:rFonts w:cs="Arial"/>
          <w:sz w:val="32"/>
          <w:szCs w:val="32"/>
        </w:rPr>
        <w:t>.</w:t>
      </w:r>
    </w:p>
    <w:p w14:paraId="343F10C2" w14:textId="5EA1AC4F" w:rsidR="009D1AE6" w:rsidRPr="00E5087D" w:rsidRDefault="009D1AE6">
      <w:pPr>
        <w:rPr>
          <w:rFonts w:cs="Arial"/>
          <w:color w:val="auto"/>
          <w:kern w:val="2"/>
          <w14:ligatures w14:val="standardContextual"/>
        </w:rPr>
      </w:pPr>
      <w:r w:rsidRPr="00E5087D">
        <w:rPr>
          <w:rFonts w:cs="Arial"/>
          <w:color w:val="auto"/>
          <w:kern w:val="2"/>
          <w14:ligatures w14:val="standardContextual"/>
        </w:rPr>
        <w:br w:type="page"/>
      </w:r>
    </w:p>
    <w:p w14:paraId="245A992E" w14:textId="77777777" w:rsidR="00E6256B" w:rsidRPr="00E5087D" w:rsidRDefault="00E6256B" w:rsidP="00E6256B">
      <w:pPr>
        <w:pStyle w:val="Heading2"/>
        <w:rPr>
          <w:rStyle w:val="normaltextrun"/>
          <w14:ligatures w14:val="standard"/>
          <w14:numForm w14:val="lining"/>
          <w14:numSpacing w14:val="proportional"/>
        </w:rPr>
      </w:pPr>
      <w:bookmarkStart w:id="77" w:name="_Toc146892693"/>
      <w:r w:rsidRPr="00E5087D">
        <w:rPr>
          <w:rStyle w:val="normaltextrun"/>
          <w14:ligatures w14:val="standard"/>
          <w14:numForm w14:val="lining"/>
          <w14:numSpacing w14:val="proportional"/>
        </w:rPr>
        <w:t>Overview</w:t>
      </w:r>
      <w:bookmarkEnd w:id="77"/>
    </w:p>
    <w:p w14:paraId="306BC905" w14:textId="77777777" w:rsidR="00C76D3E"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Through our extensive consultation, we’ve identified many barriers faced by education and training providers and students. Without addressing these fundamental, underlying constraints, th</w:t>
      </w:r>
      <w:r w:rsidR="00575E31">
        <w:rPr>
          <w:rFonts w:cs="Arial"/>
          <w14:numForm w14:val="lining"/>
          <w14:numSpacing w14:val="proportional"/>
        </w:rPr>
        <w:t xml:space="preserve">e student </w:t>
      </w:r>
      <w:r w:rsidR="0097626F">
        <w:rPr>
          <w:rFonts w:cs="Arial"/>
          <w14:numForm w14:val="lining"/>
          <w14:numSpacing w14:val="proportional"/>
        </w:rPr>
        <w:t xml:space="preserve">pipeline </w:t>
      </w:r>
      <w:r w:rsidRPr="00E5087D">
        <w:rPr>
          <w:rFonts w:cs="Arial"/>
          <w14:numForm w14:val="lining"/>
          <w14:numSpacing w14:val="proportional"/>
        </w:rPr>
        <w:t xml:space="preserve">won’t be match-fit to address the growing and evolving skills needs of the sector. Some of these barriers are common across VET and higher education, while others are specific (or more prominent) in one or the other. </w:t>
      </w:r>
    </w:p>
    <w:p w14:paraId="42B34610" w14:textId="13201EDA" w:rsidR="00E6256B" w:rsidRPr="00E5087D" w:rsidRDefault="00F72746" w:rsidP="00E6256B">
      <w:pPr>
        <w:spacing w:after="120" w:line="276" w:lineRule="auto"/>
        <w:rPr>
          <w:rFonts w:cs="Arial"/>
          <w14:numForm w14:val="lining"/>
          <w14:numSpacing w14:val="proportional"/>
        </w:rPr>
      </w:pPr>
      <w:r>
        <w:rPr>
          <w:rFonts w:cs="Arial"/>
          <w14:numForm w14:val="lining"/>
          <w14:numSpacing w14:val="proportional"/>
        </w:rPr>
        <w:t>It is important to note that a</w:t>
      </w:r>
      <w:r w:rsidR="000C4C88">
        <w:rPr>
          <w:rFonts w:cs="Arial"/>
          <w14:numForm w14:val="lining"/>
          <w14:numSpacing w14:val="proportional"/>
        </w:rPr>
        <w:t>s of writing, a</w:t>
      </w:r>
      <w:r>
        <w:rPr>
          <w:rFonts w:cs="Arial"/>
          <w14:numForm w14:val="lining"/>
          <w14:numSpacing w14:val="proportional"/>
        </w:rPr>
        <w:t xml:space="preserve"> new National Skills Agreement and Universit</w:t>
      </w:r>
      <w:r w:rsidR="00C15D56">
        <w:rPr>
          <w:rFonts w:cs="Arial"/>
          <w14:numForm w14:val="lining"/>
          <w14:numSpacing w14:val="proportional"/>
        </w:rPr>
        <w:t>ies</w:t>
      </w:r>
      <w:r>
        <w:rPr>
          <w:rFonts w:cs="Arial"/>
          <w14:numForm w14:val="lining"/>
          <w14:numSpacing w14:val="proportional"/>
        </w:rPr>
        <w:t xml:space="preserve"> Accord are both under active development</w:t>
      </w:r>
      <w:r w:rsidR="000C4C88">
        <w:rPr>
          <w:rFonts w:cs="Arial"/>
          <w14:numForm w14:val="lining"/>
          <w14:numSpacing w14:val="proportional"/>
        </w:rPr>
        <w:t>. The outcomes of these two negotiations will greatly impact the design and delivery of any recommendations explored below.</w:t>
      </w:r>
    </w:p>
    <w:p w14:paraId="7293B12C" w14:textId="77777777" w:rsidR="00E6256B" w:rsidRPr="00E5087D" w:rsidRDefault="00E6256B" w:rsidP="00E6256B">
      <w:pPr>
        <w:spacing w:after="240" w:line="276" w:lineRule="auto"/>
        <w:rPr>
          <w:rFonts w:cs="Arial"/>
          <w14:numForm w14:val="lining"/>
          <w14:numSpacing w14:val="proportional"/>
        </w:rPr>
      </w:pPr>
      <w:r w:rsidRPr="00E5087D">
        <w:rPr>
          <w:rFonts w:cs="Arial"/>
          <w14:numForm w14:val="lining"/>
          <w14:numSpacing w14:val="proportional"/>
        </w:rPr>
        <w:t>This chapter explores these barriers and potential reforms to address them. These have been organised into the following themes:</w:t>
      </w:r>
    </w:p>
    <w:p w14:paraId="2700CB43" w14:textId="77777777" w:rsidR="00E6256B" w:rsidRPr="00E5087D" w:rsidRDefault="00E6256B" w:rsidP="00E6256B">
      <w:pPr>
        <w:pBdr>
          <w:top w:val="single" w:sz="4" w:space="1" w:color="BFBFBF" w:themeColor="background1" w:themeShade="BF"/>
        </w:pBdr>
        <w:spacing w:before="120" w:after="0" w:line="276" w:lineRule="auto"/>
        <w:rPr>
          <w:rFonts w:cs="Arial"/>
          <w:color w:val="6929C4"/>
          <w:sz w:val="24"/>
          <w:szCs w:val="24"/>
          <w14:numForm w14:val="lining"/>
          <w14:numSpacing w14:val="proportional"/>
        </w:rPr>
      </w:pPr>
      <w:r w:rsidRPr="00E5087D">
        <w:rPr>
          <w:rFonts w:cs="Arial"/>
          <w:b/>
          <w:bCs/>
          <w:color w:val="6929C4"/>
          <w:sz w:val="28"/>
          <w:szCs w:val="28"/>
          <w14:numForm w14:val="lining"/>
          <w14:numSpacing w14:val="proportional"/>
        </w:rPr>
        <w:t>7</w:t>
      </w:r>
      <w:r w:rsidRPr="00E5087D">
        <w:rPr>
          <w:rFonts w:ascii="Arial Bold" w:hAnsi="Arial Bold" w:cs="Arial"/>
          <w:b/>
          <w:bCs/>
          <w:smallCaps/>
          <w:color w:val="6929C4"/>
          <w:sz w:val="28"/>
          <w:szCs w:val="28"/>
          <w14:numForm w14:val="lining"/>
          <w14:numSpacing w14:val="proportional"/>
        </w:rPr>
        <w:t>a</w:t>
      </w:r>
      <w:r w:rsidRPr="00E5087D">
        <w:rPr>
          <w:rFonts w:cs="Arial"/>
          <w:b/>
          <w:bCs/>
          <w:color w:val="6929C4"/>
          <w:sz w:val="28"/>
          <w:szCs w:val="28"/>
          <w14:numForm w14:val="lining"/>
          <w14:numSpacing w14:val="proportional"/>
        </w:rPr>
        <w:t xml:space="preserve">. </w:t>
      </w:r>
      <w:r w:rsidRPr="00E5087D">
        <w:rPr>
          <w:rFonts w:cs="Arial"/>
          <w:b/>
          <w:bCs/>
          <w:color w:val="6929C4"/>
          <w:sz w:val="28"/>
          <w:szCs w:val="28"/>
          <w14:numForm w14:val="lining"/>
          <w14:numSpacing w14:val="proportional"/>
        </w:rPr>
        <w:tab/>
      </w:r>
      <w:r w:rsidRPr="00E5087D">
        <w:rPr>
          <w:rFonts w:cs="Arial"/>
          <w:color w:val="6929C4"/>
          <w:sz w:val="28"/>
          <w:szCs w:val="28"/>
          <w14:numForm w14:val="lining"/>
          <w14:numSpacing w14:val="proportional"/>
        </w:rPr>
        <w:t>System design</w:t>
      </w:r>
    </w:p>
    <w:p w14:paraId="6482A0EE"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Frameworks for deeper collaboration between VET, higher education and industry</w:t>
      </w:r>
    </w:p>
    <w:p w14:paraId="0264B144"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New models for course delivery to better align graduates with emerging needs</w:t>
      </w:r>
    </w:p>
    <w:p w14:paraId="6BF13945"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Clearer pathways for students to navigate and access</w:t>
      </w:r>
    </w:p>
    <w:p w14:paraId="202EF56C" w14:textId="77777777" w:rsidR="00E6256B" w:rsidRPr="00392D2B"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392D2B">
        <w:rPr>
          <w:rFonts w:cs="Arial"/>
          <w14:numForm w14:val="lining"/>
          <w14:numSpacing w14:val="proportional"/>
        </w:rPr>
        <w:t>A cohesive and connected tertiary education system with fewer obstacles</w:t>
      </w:r>
    </w:p>
    <w:p w14:paraId="4489E343" w14:textId="45AD15D7" w:rsidR="00E6256B" w:rsidRPr="00392D2B" w:rsidRDefault="00E6256B" w:rsidP="00F25595">
      <w:pPr>
        <w:pStyle w:val="ListParagraph"/>
        <w:numPr>
          <w:ilvl w:val="2"/>
          <w:numId w:val="36"/>
        </w:numPr>
        <w:spacing w:before="60" w:after="240" w:line="276" w:lineRule="auto"/>
        <w:ind w:left="709" w:hanging="425"/>
        <w:rPr>
          <w:rFonts w:cs="Arial"/>
          <w14:numForm w14:val="lining"/>
          <w14:numSpacing w14:val="proportional"/>
        </w:rPr>
      </w:pPr>
      <w:r w:rsidRPr="00392D2B">
        <w:rPr>
          <w:rFonts w:cs="Arial"/>
          <w14:numForm w14:val="lining"/>
          <w14:numSpacing w14:val="proportional"/>
        </w:rPr>
        <w:t>Consistent occupational licencing</w:t>
      </w:r>
      <w:r w:rsidR="69A65BC5" w:rsidRPr="00392D2B">
        <w:rPr>
          <w:rFonts w:cs="Arial"/>
          <w14:numForm w14:val="lining"/>
          <w14:numSpacing w14:val="proportional"/>
        </w:rPr>
        <w:t>.</w:t>
      </w:r>
    </w:p>
    <w:p w14:paraId="78E04F90" w14:textId="77777777" w:rsidR="00E6256B" w:rsidRPr="00E5087D" w:rsidRDefault="00E6256B" w:rsidP="00E6256B">
      <w:pPr>
        <w:pBdr>
          <w:top w:val="single" w:sz="4" w:space="1" w:color="BFBFBF" w:themeColor="background1" w:themeShade="BF"/>
        </w:pBdr>
        <w:spacing w:before="360" w:after="0" w:line="276" w:lineRule="auto"/>
        <w:rPr>
          <w:rFonts w:cs="Arial"/>
          <w:b/>
          <w:bCs/>
          <w:color w:val="6929C4"/>
          <w:sz w:val="28"/>
          <w:szCs w:val="28"/>
          <w14:numForm w14:val="lining"/>
          <w14:numSpacing w14:val="proportional"/>
        </w:rPr>
      </w:pPr>
      <w:r w:rsidRPr="00E5087D">
        <w:rPr>
          <w:rFonts w:cs="Arial"/>
          <w:b/>
          <w:bCs/>
          <w:color w:val="6929C4"/>
          <w:sz w:val="28"/>
          <w:szCs w:val="28"/>
          <w14:numForm w14:val="lining"/>
          <w14:numSpacing w14:val="proportional"/>
        </w:rPr>
        <w:t>7</w:t>
      </w:r>
      <w:r w:rsidRPr="00E5087D">
        <w:rPr>
          <w:rFonts w:ascii="Arial Bold" w:hAnsi="Arial Bold" w:cs="Arial"/>
          <w:b/>
          <w:bCs/>
          <w:smallCaps/>
          <w:color w:val="6929C4"/>
          <w:sz w:val="28"/>
          <w:szCs w:val="28"/>
          <w14:numForm w14:val="lining"/>
          <w14:numSpacing w14:val="proportional"/>
        </w:rPr>
        <w:t>b</w:t>
      </w:r>
      <w:r w:rsidRPr="00E5087D">
        <w:rPr>
          <w:rFonts w:cs="Arial"/>
          <w:b/>
          <w:bCs/>
          <w:color w:val="6929C4"/>
          <w:sz w:val="28"/>
          <w:szCs w:val="28"/>
          <w14:numForm w14:val="lining"/>
          <w14:numSpacing w14:val="proportional"/>
        </w:rPr>
        <w:t xml:space="preserve">. </w:t>
      </w:r>
      <w:r w:rsidRPr="00E5087D">
        <w:rPr>
          <w:rFonts w:cs="Arial"/>
          <w:b/>
          <w:bCs/>
          <w:color w:val="6929C4"/>
          <w:sz w:val="28"/>
          <w:szCs w:val="28"/>
          <w14:numForm w14:val="lining"/>
          <w14:numSpacing w14:val="proportional"/>
        </w:rPr>
        <w:tab/>
      </w:r>
      <w:r w:rsidRPr="00E5087D">
        <w:rPr>
          <w:rFonts w:cs="Arial"/>
          <w:color w:val="6929C4"/>
          <w:sz w:val="28"/>
          <w:szCs w:val="28"/>
          <w14:numForm w14:val="lining"/>
          <w14:numSpacing w14:val="proportional"/>
        </w:rPr>
        <w:t>Funding and program design</w:t>
      </w:r>
    </w:p>
    <w:p w14:paraId="5059396D" w14:textId="77777777"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New and responsive curriculum development for emerging needs</w:t>
      </w:r>
    </w:p>
    <w:p w14:paraId="09FCFD04" w14:textId="77777777"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Servicing thin markets and regions through competitive models</w:t>
      </w:r>
    </w:p>
    <w:p w14:paraId="498343F1" w14:textId="77777777"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Minimising capital constraints through collaboration</w:t>
      </w:r>
    </w:p>
    <w:p w14:paraId="4BD244F3" w14:textId="0E2A3F4E" w:rsidR="00E6256B" w:rsidRPr="00E5087D" w:rsidRDefault="00E6256B" w:rsidP="00F25595">
      <w:pPr>
        <w:pStyle w:val="ListParagraph"/>
        <w:numPr>
          <w:ilvl w:val="2"/>
          <w:numId w:val="36"/>
        </w:numPr>
        <w:spacing w:before="60" w:line="276" w:lineRule="auto"/>
        <w:ind w:left="709" w:hanging="425"/>
        <w:rPr>
          <w:rFonts w:cs="Arial"/>
          <w14:numForm w14:val="lining"/>
          <w14:numSpacing w14:val="proportional"/>
        </w:rPr>
      </w:pPr>
      <w:r w:rsidRPr="00E5087D">
        <w:rPr>
          <w:rFonts w:cs="Arial"/>
          <w14:numForm w14:val="lining"/>
          <w14:numSpacing w14:val="proportional"/>
        </w:rPr>
        <w:t>Incentivising employer involvement in education and training</w:t>
      </w:r>
      <w:r w:rsidR="2BCA2EB7" w:rsidRPr="00E5087D">
        <w:rPr>
          <w:rFonts w:cs="Arial"/>
          <w14:numForm w14:val="lining"/>
          <w14:numSpacing w14:val="proportional"/>
        </w:rPr>
        <w:t>.</w:t>
      </w:r>
    </w:p>
    <w:p w14:paraId="5CABF44B" w14:textId="77777777" w:rsidR="00E6256B" w:rsidRPr="00E5087D" w:rsidRDefault="00E6256B" w:rsidP="00E6256B">
      <w:pPr>
        <w:pBdr>
          <w:top w:val="single" w:sz="4" w:space="1" w:color="BFBFBF" w:themeColor="background1" w:themeShade="BF"/>
        </w:pBdr>
        <w:spacing w:before="360" w:after="0" w:line="276" w:lineRule="auto"/>
        <w:rPr>
          <w:rFonts w:cs="Arial"/>
          <w:b/>
          <w:bCs/>
          <w:color w:val="6929C4"/>
          <w:sz w:val="28"/>
          <w:szCs w:val="28"/>
          <w14:numForm w14:val="lining"/>
          <w14:numSpacing w14:val="proportional"/>
        </w:rPr>
      </w:pPr>
      <w:r w:rsidRPr="00E5087D">
        <w:rPr>
          <w:rFonts w:cs="Arial"/>
          <w:b/>
          <w:bCs/>
          <w:color w:val="6929C4"/>
          <w:sz w:val="28"/>
          <w:szCs w:val="28"/>
          <w14:numForm w14:val="lining"/>
          <w14:numSpacing w14:val="proportional"/>
        </w:rPr>
        <w:t>7</w:t>
      </w:r>
      <w:r w:rsidRPr="00E5087D">
        <w:rPr>
          <w:rFonts w:ascii="Arial Bold" w:hAnsi="Arial Bold" w:cs="Arial"/>
          <w:b/>
          <w:bCs/>
          <w:smallCaps/>
          <w:color w:val="6929C4"/>
          <w:sz w:val="28"/>
          <w:szCs w:val="28"/>
          <w14:numForm w14:val="lining"/>
          <w14:numSpacing w14:val="proportional"/>
        </w:rPr>
        <w:t>c</w:t>
      </w:r>
      <w:r w:rsidRPr="00E5087D">
        <w:rPr>
          <w:rFonts w:cs="Arial"/>
          <w:b/>
          <w:bCs/>
          <w:color w:val="6929C4"/>
          <w:sz w:val="28"/>
          <w:szCs w:val="28"/>
          <w14:numForm w14:val="lining"/>
          <w14:numSpacing w14:val="proportional"/>
        </w:rPr>
        <w:t xml:space="preserve">. </w:t>
      </w:r>
      <w:r w:rsidRPr="00E5087D">
        <w:rPr>
          <w:rFonts w:cs="Arial"/>
          <w:b/>
          <w:bCs/>
          <w:color w:val="6929C4"/>
          <w:sz w:val="28"/>
          <w:szCs w:val="28"/>
          <w14:numForm w14:val="lining"/>
          <w14:numSpacing w14:val="proportional"/>
        </w:rPr>
        <w:tab/>
      </w:r>
      <w:r w:rsidRPr="00E5087D">
        <w:rPr>
          <w:rFonts w:cs="Arial"/>
          <w:color w:val="6929C4"/>
          <w:sz w:val="28"/>
          <w:szCs w:val="28"/>
          <w14:numForm w14:val="lining"/>
          <w14:numSpacing w14:val="proportional"/>
        </w:rPr>
        <w:t>Student pipeline</w:t>
      </w:r>
    </w:p>
    <w:p w14:paraId="4BC7CF2A" w14:textId="5842EF62" w:rsidR="00E6256B" w:rsidRPr="00E5087D" w:rsidRDefault="00E6256B"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sidRPr="00E5087D">
        <w:rPr>
          <w:rFonts w:cs="Arial"/>
          <w14:numForm w14:val="lining"/>
          <w14:numSpacing w14:val="proportional"/>
        </w:rPr>
        <w:t xml:space="preserve">Increasing </w:t>
      </w:r>
      <w:r w:rsidR="00C92C0A">
        <w:rPr>
          <w:rFonts w:cs="Arial"/>
          <w14:numForm w14:val="lining"/>
          <w14:numSpacing w14:val="proportional"/>
        </w:rPr>
        <w:t xml:space="preserve">student </w:t>
      </w:r>
      <w:r w:rsidRPr="00E5087D">
        <w:rPr>
          <w:rFonts w:cs="Arial"/>
          <w14:numForm w14:val="lining"/>
          <w14:numSpacing w14:val="proportional"/>
        </w:rPr>
        <w:t>participation in STEM</w:t>
      </w:r>
    </w:p>
    <w:p w14:paraId="4B636A01" w14:textId="74B58A17" w:rsidR="00E6256B" w:rsidRPr="00E5087D" w:rsidRDefault="00C92C0A"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Pr>
          <w:rFonts w:cs="Arial"/>
          <w14:numForm w14:val="lining"/>
          <w14:numSpacing w14:val="proportional"/>
        </w:rPr>
        <w:t>Growing and supporting the</w:t>
      </w:r>
      <w:r w:rsidR="00E6256B" w:rsidRPr="00E5087D">
        <w:rPr>
          <w:rFonts w:cs="Arial"/>
          <w14:numForm w14:val="lining"/>
          <w14:numSpacing w14:val="proportional"/>
        </w:rPr>
        <w:t xml:space="preserve"> trainer, teacher and researcher workforce</w:t>
      </w:r>
    </w:p>
    <w:p w14:paraId="3FE689D8" w14:textId="1D5F429D" w:rsidR="00E6256B" w:rsidRPr="00E5087D" w:rsidRDefault="00C92C0A"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Pr>
          <w:rFonts w:cs="Arial"/>
          <w14:numForm w14:val="lining"/>
          <w14:numSpacing w14:val="proportional"/>
        </w:rPr>
        <w:t>Doubling down on efforts to get more women into trades</w:t>
      </w:r>
    </w:p>
    <w:p w14:paraId="0A430960" w14:textId="366CFDEA" w:rsidR="00E6256B" w:rsidRPr="00AE4AA1" w:rsidRDefault="00C92C0A" w:rsidP="00F25595">
      <w:pPr>
        <w:pStyle w:val="ListParagraph"/>
        <w:numPr>
          <w:ilvl w:val="2"/>
          <w:numId w:val="36"/>
        </w:numPr>
        <w:spacing w:before="60" w:after="120" w:line="276" w:lineRule="auto"/>
        <w:ind w:left="709" w:hanging="425"/>
        <w:contextualSpacing w:val="0"/>
        <w:rPr>
          <w:rFonts w:cs="Arial"/>
          <w14:numForm w14:val="lining"/>
          <w14:numSpacing w14:val="proportional"/>
        </w:rPr>
      </w:pPr>
      <w:r>
        <w:rPr>
          <w:rFonts w:cs="Arial"/>
          <w14:numForm w14:val="lining"/>
          <w14:numSpacing w14:val="proportional"/>
        </w:rPr>
        <w:t xml:space="preserve">Supporting more </w:t>
      </w:r>
      <w:r w:rsidR="00E6256B" w:rsidRPr="00E5087D">
        <w:rPr>
          <w:rFonts w:cs="Arial"/>
          <w14:numForm w14:val="lining"/>
          <w14:numSpacing w14:val="proportional"/>
        </w:rPr>
        <w:t xml:space="preserve">First Nations </w:t>
      </w:r>
      <w:r w:rsidR="00AB7909">
        <w:rPr>
          <w:rFonts w:cs="Arial"/>
          <w14:numForm w14:val="lining"/>
          <w14:numSpacing w14:val="proportional"/>
        </w:rPr>
        <w:t>people</w:t>
      </w:r>
      <w:r>
        <w:rPr>
          <w:rFonts w:cs="Arial"/>
          <w14:numForm w14:val="lining"/>
          <w14:numSpacing w14:val="proportional"/>
        </w:rPr>
        <w:t xml:space="preserve"> into </w:t>
      </w:r>
      <w:r w:rsidR="00E6256B" w:rsidRPr="00E5087D">
        <w:rPr>
          <w:rFonts w:cs="Arial"/>
          <w14:numForm w14:val="lining"/>
          <w14:numSpacing w14:val="proportional"/>
        </w:rPr>
        <w:t>education and training</w:t>
      </w:r>
    </w:p>
    <w:p w14:paraId="48CB5C8D" w14:textId="5C278149" w:rsidR="00E6256B" w:rsidRPr="00AE4AA1" w:rsidRDefault="00C92C0A" w:rsidP="00F25595">
      <w:pPr>
        <w:pStyle w:val="ListParagraph"/>
        <w:numPr>
          <w:ilvl w:val="2"/>
          <w:numId w:val="36"/>
        </w:numPr>
        <w:spacing w:before="60" w:line="276" w:lineRule="auto"/>
        <w:ind w:left="709" w:hanging="425"/>
        <w:rPr>
          <w:rFonts w:cs="Arial"/>
          <w14:numForm w14:val="lining"/>
          <w14:numSpacing w14:val="proportional"/>
        </w:rPr>
      </w:pPr>
      <w:r>
        <w:rPr>
          <w:rFonts w:cs="Arial"/>
          <w14:numForm w14:val="lining"/>
          <w14:numSpacing w14:val="proportional"/>
        </w:rPr>
        <w:t>Better targeting of</w:t>
      </w:r>
      <w:r w:rsidR="06F6702D" w:rsidRPr="00AE4AA1">
        <w:rPr>
          <w:rFonts w:cs="Arial"/>
          <w14:numForm w14:val="lining"/>
          <w14:numSpacing w14:val="proportional"/>
        </w:rPr>
        <w:t xml:space="preserve"> incentives and supports for apprentices</w:t>
      </w:r>
      <w:r w:rsidR="44443177" w:rsidRPr="00AE4AA1">
        <w:rPr>
          <w:rFonts w:cs="Arial"/>
          <w14:numForm w14:val="lining"/>
          <w14:numSpacing w14:val="proportional"/>
        </w:rPr>
        <w:t>.</w:t>
      </w:r>
    </w:p>
    <w:p w14:paraId="3CAA5B4C" w14:textId="77777777" w:rsidR="00E6256B" w:rsidRPr="00E5087D" w:rsidRDefault="00E6256B" w:rsidP="00E6256B">
      <w:pPr>
        <w:spacing w:before="360" w:after="240" w:line="276" w:lineRule="auto"/>
        <w:rPr>
          <w:rFonts w:cs="Arial"/>
          <w14:numForm w14:val="lining"/>
          <w14:numSpacing w14:val="proportional"/>
        </w:rPr>
      </w:pPr>
      <w:r w:rsidRPr="00E5087D">
        <w:rPr>
          <w:rFonts w:cs="Arial"/>
          <w:b/>
          <w:bCs/>
          <w14:numForm w14:val="lining"/>
          <w14:numSpacing w14:val="proportional"/>
        </w:rPr>
        <w:t>Chapter 8</w:t>
      </w:r>
      <w:r w:rsidRPr="00E5087D">
        <w:rPr>
          <w:rFonts w:ascii="Arial Bold" w:hAnsi="Arial Bold" w:cs="Arial"/>
          <w:b/>
          <w:bCs/>
          <w:smallCaps/>
          <w14:numForm w14:val="lining"/>
          <w14:numSpacing w14:val="proportional"/>
        </w:rPr>
        <w:t>b</w:t>
      </w:r>
      <w:r w:rsidRPr="00E5087D">
        <w:rPr>
          <w:rFonts w:cs="Arial"/>
          <w14:numForm w14:val="lining"/>
          <w14:numSpacing w14:val="proportional"/>
        </w:rPr>
        <w:t xml:space="preserve"> explores opportunities to mature the sector and lift training rates by stimulating a training culture amongst employers. It also explores opportunities to better utilise international students in relevant fields. </w:t>
      </w:r>
      <w:r w:rsidRPr="00E5087D">
        <w:rPr>
          <w:rFonts w:cs="Arial"/>
          <w:b/>
          <w:bCs/>
          <w14:numForm w14:val="lining"/>
          <w14:numSpacing w14:val="proportional"/>
        </w:rPr>
        <w:t>Chapter 4</w:t>
      </w:r>
      <w:r w:rsidRPr="00E5087D">
        <w:rPr>
          <w:rFonts w:ascii="Arial Bold" w:hAnsi="Arial Bold" w:cs="Arial"/>
          <w:b/>
          <w:bCs/>
          <w:smallCaps/>
          <w14:numForm w14:val="lining"/>
          <w14:numSpacing w14:val="proportional"/>
        </w:rPr>
        <w:t>b</w:t>
      </w:r>
      <w:r w:rsidRPr="00E5087D">
        <w:rPr>
          <w:rFonts w:cs="Arial"/>
          <w14:numForm w14:val="lining"/>
          <w14:numSpacing w14:val="proportional"/>
        </w:rPr>
        <w:t xml:space="preserve"> explores the education and training pathways that currently exist for clean energy.</w:t>
      </w:r>
    </w:p>
    <w:p w14:paraId="6E7D56C9" w14:textId="77777777" w:rsidR="00E6256B" w:rsidRPr="00E5087D" w:rsidRDefault="00E6256B" w:rsidP="00E6256B">
      <w:pPr>
        <w:pStyle w:val="Heading2"/>
        <w:rPr>
          <w:rStyle w:val="normaltextrun"/>
        </w:rPr>
      </w:pPr>
      <w:bookmarkStart w:id="78" w:name="_Toc146892694"/>
      <w:r w:rsidRPr="00BF465F">
        <w:rPr>
          <w:rStyle w:val="normaltextrun"/>
          <w:rFonts w:asciiTheme="minorHAnsi" w:hAnsiTheme="minorHAnsi" w:cstheme="minorHAnsi"/>
        </w:rPr>
        <w:t>7</w:t>
      </w:r>
      <w:r w:rsidRPr="00BF465F">
        <w:rPr>
          <w:rStyle w:val="normaltextrun"/>
          <w:rFonts w:asciiTheme="minorHAnsi" w:hAnsiTheme="minorHAnsi" w:cstheme="minorHAnsi"/>
          <w:smallCaps/>
        </w:rPr>
        <w:t>a</w:t>
      </w:r>
      <w:r w:rsidRPr="00BF465F">
        <w:rPr>
          <w:rStyle w:val="normaltextrun"/>
          <w:rFonts w:asciiTheme="minorHAnsi" w:hAnsiTheme="minorHAnsi" w:cstheme="minorHAnsi"/>
        </w:rPr>
        <w:t>.</w:t>
      </w:r>
      <w:r w:rsidRPr="00E5087D">
        <w:rPr>
          <w:rStyle w:val="normaltextrun"/>
        </w:rPr>
        <w:t xml:space="preserve"> </w:t>
      </w:r>
      <w:r w:rsidRPr="00E5087D">
        <w:rPr>
          <w:rStyle w:val="normaltextrun"/>
          <w:b w:val="0"/>
          <w:bCs/>
        </w:rPr>
        <w:t>System design</w:t>
      </w:r>
      <w:bookmarkEnd w:id="78"/>
    </w:p>
    <w:p w14:paraId="5977579A" w14:textId="77777777" w:rsidR="00E6256B" w:rsidRPr="00E5087D" w:rsidRDefault="00E6256B" w:rsidP="00641B5D">
      <w:pPr>
        <w:pStyle w:val="Heading3"/>
        <w:rPr>
          <w:rStyle w:val="normaltextrun"/>
          <w:rFonts w:cs="Arial"/>
          <w:b w:val="0"/>
          <w:bCs/>
          <w:color w:val="441170" w:themeColor="text2"/>
          <w:szCs w:val="32"/>
        </w:rPr>
      </w:pPr>
      <w:r w:rsidRPr="00E5087D">
        <w:rPr>
          <w:rStyle w:val="normaltextrun"/>
          <w:rFonts w:cs="Arial"/>
          <w:bCs/>
          <w:szCs w:val="32"/>
        </w:rPr>
        <w:t xml:space="preserve">Frameworks for deeper </w:t>
      </w:r>
      <w:r w:rsidRPr="00E5087D">
        <w:rPr>
          <w:rStyle w:val="normaltextrun"/>
        </w:rPr>
        <w:t>collaboration</w:t>
      </w:r>
      <w:r w:rsidRPr="00E5087D">
        <w:rPr>
          <w:rStyle w:val="normaltextrun"/>
          <w:rFonts w:cs="Arial"/>
          <w:bCs/>
          <w:szCs w:val="32"/>
        </w:rPr>
        <w:t xml:space="preserve"> </w:t>
      </w:r>
    </w:p>
    <w:p w14:paraId="52688F14" w14:textId="150D5255" w:rsidR="00E6256B" w:rsidRPr="00E5087D" w:rsidRDefault="00E6256B" w:rsidP="00641B5D">
      <w:pPr>
        <w:pStyle w:val="Bodycopy"/>
      </w:pPr>
      <w:r w:rsidRPr="00E5087D">
        <w:t xml:space="preserve">The fast pace of technological innovation in clean energy means skill requirements and job roles are constantly evolving. Therefore, it is critical to have </w:t>
      </w:r>
      <w:r w:rsidR="00FE49C3">
        <w:t>arrangements where</w:t>
      </w:r>
      <w:r w:rsidRPr="00E5087D">
        <w:t xml:space="preserve"> industry, VET, and higher education </w:t>
      </w:r>
      <w:r w:rsidR="00FE49C3">
        <w:t>can</w:t>
      </w:r>
      <w:r w:rsidRPr="00E5087D">
        <w:t xml:space="preserve"> collaborate as technologies are developed and deployed. Through our consultations we </w:t>
      </w:r>
      <w:r w:rsidR="00AE3348">
        <w:t xml:space="preserve">found </w:t>
      </w:r>
      <w:r w:rsidR="007E2C1F">
        <w:t xml:space="preserve">some </w:t>
      </w:r>
      <w:r w:rsidRPr="00E5087D">
        <w:t xml:space="preserve">examples </w:t>
      </w:r>
      <w:r w:rsidR="007E2C1F">
        <w:t xml:space="preserve">of this </w:t>
      </w:r>
      <w:r w:rsidR="00AE3348">
        <w:t>happening already</w:t>
      </w:r>
      <w:r w:rsidRPr="00E5087D">
        <w:t>:</w:t>
      </w:r>
    </w:p>
    <w:p w14:paraId="1045CDD5" w14:textId="79533C32" w:rsidR="00E6256B" w:rsidRPr="00E5087D" w:rsidRDefault="00E6256B" w:rsidP="003F04CC">
      <w:pPr>
        <w:pStyle w:val="ListParagraph"/>
        <w:numPr>
          <w:ilvl w:val="0"/>
          <w:numId w:val="37"/>
        </w:numPr>
        <w:spacing w:before="160" w:after="120" w:line="276" w:lineRule="auto"/>
        <w:ind w:left="426" w:hanging="357"/>
        <w:contextualSpacing w:val="0"/>
        <w:rPr>
          <w:rFonts w:cs="Arial"/>
          <w14:numForm w14:val="lining"/>
          <w14:numSpacing w14:val="proportional"/>
        </w:rPr>
      </w:pPr>
      <w:r w:rsidRPr="00E5087D">
        <w:rPr>
          <w:rFonts w:cs="Arial"/>
          <w:b/>
          <w:bCs/>
          <w14:numForm w14:val="lining"/>
          <w14:numSpacing w14:val="proportional"/>
        </w:rPr>
        <w:t>Dual sector universities</w:t>
      </w:r>
      <w:r w:rsidRPr="00E5087D">
        <w:rPr>
          <w:rFonts w:cs="Arial"/>
          <w14:numForm w14:val="lining"/>
          <w14:numSpacing w14:val="proportional"/>
        </w:rPr>
        <w:t xml:space="preserve"> have a unique advantage in fostering industry, higher education and VET collaboration. Federation University has established itself as a centre of innovation and research on renewable energy as the site of the Asia Pacific Renewable Energy Training Centre (an initiative that received support from wind energy companies, Vestas, Acciona, Tilt Renewables and GPG). The training centre includes a wind turbine onsite at the Mt St Helens (Ballarat) campus for training students. Federation University is also home to the Centre for New Energy Transition Research. </w:t>
      </w:r>
    </w:p>
    <w:p w14:paraId="60F61681" w14:textId="77777777" w:rsidR="00E6256B" w:rsidRPr="00E5087D" w:rsidRDefault="00E6256B" w:rsidP="00F25595">
      <w:pPr>
        <w:pStyle w:val="ListParagraph"/>
        <w:numPr>
          <w:ilvl w:val="0"/>
          <w:numId w:val="37"/>
        </w:numPr>
        <w:spacing w:before="160" w:after="120" w:line="276" w:lineRule="auto"/>
        <w:ind w:left="426" w:hanging="357"/>
        <w:contextualSpacing w:val="0"/>
        <w:rPr>
          <w14:numForm w14:val="lining"/>
          <w14:numSpacing w14:val="proportional"/>
        </w:rPr>
      </w:pPr>
      <w:r w:rsidRPr="00E5087D">
        <w:rPr>
          <w14:numForm w14:val="lining"/>
          <w14:numSpacing w14:val="proportional"/>
        </w:rPr>
        <w:t xml:space="preserve">TAFE Institutes that are approved </w:t>
      </w:r>
      <w:r w:rsidRPr="00E5087D">
        <w:rPr>
          <w:b/>
          <w:bCs/>
          <w14:numForm w14:val="lining"/>
          <w14:numSpacing w14:val="proportional"/>
        </w:rPr>
        <w:t>non-university higher education providers</w:t>
      </w:r>
      <w:r w:rsidRPr="00E5087D">
        <w:rPr>
          <w14:numForm w14:val="lining"/>
          <w14:numSpacing w14:val="proportional"/>
        </w:rPr>
        <w:t xml:space="preserve">, such as Chisholm Institute, are also identifying </w:t>
      </w:r>
      <w:r w:rsidRPr="00E5087D">
        <w:rPr>
          <w:rFonts w:cs="Arial"/>
          <w14:numForm w14:val="lining"/>
          <w14:numSpacing w14:val="proportional"/>
        </w:rPr>
        <w:t>ways</w:t>
      </w:r>
      <w:r w:rsidRPr="00E5087D">
        <w:rPr>
          <w14:numForm w14:val="lining"/>
          <w14:numSpacing w14:val="proportional"/>
        </w:rPr>
        <w:t xml:space="preserve"> to bridge higher levels of learning associated with bachelor degrees and the strong workplace learning and industry connection of VET (explored further in the next section). </w:t>
      </w:r>
    </w:p>
    <w:p w14:paraId="5BCA408F" w14:textId="61592727" w:rsidR="00E6256B" w:rsidRPr="00E5087D" w:rsidRDefault="50E545A1" w:rsidP="00F25595">
      <w:pPr>
        <w:pStyle w:val="ListParagraph"/>
        <w:numPr>
          <w:ilvl w:val="0"/>
          <w:numId w:val="37"/>
        </w:numPr>
        <w:spacing w:before="160" w:after="120" w:line="276" w:lineRule="auto"/>
        <w:ind w:left="426" w:hanging="357"/>
        <w:contextualSpacing w:val="0"/>
        <w:rPr>
          <w:rFonts w:cs="Arial"/>
          <w14:numForm w14:val="lining"/>
          <w14:numSpacing w14:val="proportional"/>
        </w:rPr>
      </w:pPr>
      <w:r w:rsidRPr="00E5087D">
        <w:rPr>
          <w14:numForm w14:val="lining"/>
          <w14:numSpacing w14:val="proportional"/>
        </w:rPr>
        <w:t xml:space="preserve">TAFE SA and South Metropolitan TAFE (WA) pointed to the benefits of their involvement in two </w:t>
      </w:r>
      <w:r w:rsidR="00455C18">
        <w:rPr>
          <w:b/>
          <w:bCs/>
          <w14:numForm w14:val="lining"/>
          <w14:numSpacing w14:val="proportional"/>
        </w:rPr>
        <w:t>CRC</w:t>
      </w:r>
      <w:r w:rsidRPr="00E5087D">
        <w:rPr>
          <w:b/>
          <w:bCs/>
          <w14:numForm w14:val="lining"/>
          <w14:numSpacing w14:val="proportional"/>
        </w:rPr>
        <w:t>s</w:t>
      </w:r>
      <w:r w:rsidRPr="00E5087D">
        <w:rPr>
          <w14:numForm w14:val="lining"/>
          <w14:numSpacing w14:val="proportional"/>
        </w:rPr>
        <w:t xml:space="preserve"> – the </w:t>
      </w:r>
      <w:r w:rsidRPr="388C0A0B">
        <w:rPr>
          <w:i/>
          <w:iCs/>
          <w14:numForm w14:val="lining"/>
          <w14:numSpacing w14:val="proportional"/>
        </w:rPr>
        <w:t xml:space="preserve">Heavy Industry Low-carbon Transition </w:t>
      </w:r>
      <w:r w:rsidRPr="44992EBB">
        <w:rPr>
          <w:i/>
          <w:iCs/>
          <w14:numForm w14:val="lining"/>
          <w14:numSpacing w14:val="proportional"/>
        </w:rPr>
        <w:t>C</w:t>
      </w:r>
      <w:r w:rsidR="477508D5" w:rsidRPr="44992EBB">
        <w:rPr>
          <w:i/>
          <w:iCs/>
          <w14:numForm w14:val="lining"/>
          <w14:numSpacing w14:val="proportional"/>
        </w:rPr>
        <w:t>RC</w:t>
      </w:r>
      <w:r w:rsidRPr="44992EBB">
        <w:rPr>
          <w:i/>
          <w14:numForm w14:val="lining"/>
          <w14:numSpacing w14:val="proportional"/>
        </w:rPr>
        <w:t xml:space="preserve"> </w:t>
      </w:r>
      <w:r w:rsidRPr="00E5087D">
        <w:rPr>
          <w14:numForm w14:val="lining"/>
          <w14:numSpacing w14:val="proportional"/>
        </w:rPr>
        <w:t xml:space="preserve">(HILTCRC), and the </w:t>
      </w:r>
      <w:r w:rsidRPr="388C0A0B">
        <w:rPr>
          <w:i/>
          <w:iCs/>
          <w14:numForm w14:val="lining"/>
          <w14:numSpacing w14:val="proportional"/>
        </w:rPr>
        <w:t>Future Battery Industry CRC</w:t>
      </w:r>
      <w:r w:rsidRPr="00E5087D">
        <w:rPr>
          <w14:numForm w14:val="lining"/>
          <w14:numSpacing w14:val="proportional"/>
        </w:rPr>
        <w:t>. In both cases, the two TAFEs have been able to quickly identify skill implications of new technology and begin development of training responses.</w:t>
      </w:r>
    </w:p>
    <w:p w14:paraId="791B84CA" w14:textId="392A1860" w:rsidR="00E6256B" w:rsidRPr="00E5087D" w:rsidRDefault="00E6256B" w:rsidP="00F25595">
      <w:pPr>
        <w:pStyle w:val="ListParagraph"/>
        <w:numPr>
          <w:ilvl w:val="0"/>
          <w:numId w:val="37"/>
        </w:numPr>
        <w:spacing w:before="160" w:after="120" w:line="276" w:lineRule="auto"/>
        <w:ind w:left="426" w:hanging="357"/>
        <w:rPr>
          <w:rFonts w:cs="Arial"/>
          <w14:numForm w14:val="lining"/>
          <w14:numSpacing w14:val="proportional"/>
        </w:rPr>
      </w:pPr>
      <w:r w:rsidRPr="00E5087D">
        <w:rPr>
          <w:rFonts w:cs="Arial"/>
          <w14:numForm w14:val="lining"/>
          <w14:numSpacing w14:val="proportional"/>
        </w:rPr>
        <w:t xml:space="preserve">The University of Wollongong received an investment of $10 million from the Australian Government to establish an </w:t>
      </w:r>
      <w:r w:rsidRPr="00E5087D">
        <w:rPr>
          <w:rFonts w:cs="Arial"/>
          <w:b/>
          <w:bCs/>
          <w14:numForm w14:val="lining"/>
          <w14:numSpacing w14:val="proportional"/>
        </w:rPr>
        <w:t>Energy Future Skills Centre</w:t>
      </w:r>
      <w:r w:rsidRPr="00E5087D">
        <w:rPr>
          <w:rFonts w:cs="Arial"/>
          <w14:numForm w14:val="lining"/>
          <w14:numSpacing w14:val="proportional"/>
        </w:rPr>
        <w:t>. A second investment, valued at $2.5 million</w:t>
      </w:r>
      <w:r w:rsidR="37D8F437" w:rsidRPr="00E5087D">
        <w:rPr>
          <w:rFonts w:cs="Arial"/>
          <w14:numForm w14:val="lining"/>
          <w14:numSpacing w14:val="proportional"/>
        </w:rPr>
        <w:t>,</w:t>
      </w:r>
      <w:r w:rsidRPr="00E5087D">
        <w:rPr>
          <w:rFonts w:cs="Arial"/>
          <w14:numForm w14:val="lining"/>
          <w14:numSpacing w14:val="proportional"/>
        </w:rPr>
        <w:t xml:space="preserve"> helped upgrade equipment and teaching aids to create a Renewable Energy Training facility at Wollongong TAFE. Through a combined partnership, the two facilities will work together to utilise these state-of-the-art teaching laboratories and upgraded equipment to provide real life examples of clean energy technology.</w:t>
      </w:r>
    </w:p>
    <w:p w14:paraId="2FC2273B" w14:textId="654E6B64" w:rsidR="00E6256B" w:rsidRPr="00E5087D" w:rsidRDefault="00E6256B" w:rsidP="00E6256B">
      <w:pPr>
        <w:spacing w:before="240" w:line="276" w:lineRule="auto"/>
        <w:rPr>
          <w:rFonts w:cs="Arial"/>
        </w:rPr>
      </w:pPr>
      <w:r w:rsidRPr="00E5087D">
        <w:rPr>
          <w:rFonts w:cs="Arial"/>
        </w:rPr>
        <w:t xml:space="preserve">Much more of this style of collaboration will be needed, and it should not be contained to specific organisational forms such as the public dual sector universities. Rather, options will need to exist to draw in the traditional standalone forms of universities and TAFEs. The proposed TAFE Centres of Excellence (Recommendation 7.1), if adopted, </w:t>
      </w:r>
      <w:r w:rsidR="000F596B">
        <w:rPr>
          <w:rFonts w:cs="Arial"/>
        </w:rPr>
        <w:t>will be well placed to lead on new collaborative approaches to qualification design</w:t>
      </w:r>
      <w:r w:rsidRPr="00E5087D">
        <w:rPr>
          <w:rFonts w:cs="Arial"/>
        </w:rPr>
        <w:t xml:space="preserve">. </w:t>
      </w:r>
      <w:r w:rsidR="00584E18" w:rsidRPr="00584E18">
        <w:rPr>
          <w:rFonts w:cs="Arial"/>
        </w:rPr>
        <w:t>JSC</w:t>
      </w:r>
      <w:r w:rsidR="00584E18">
        <w:rPr>
          <w:rFonts w:cs="Arial"/>
        </w:rPr>
        <w:t>s</w:t>
      </w:r>
      <w:r w:rsidRPr="00E5087D">
        <w:rPr>
          <w:rFonts w:cs="Arial"/>
        </w:rPr>
        <w:t xml:space="preserve"> also have an important role in promoting and facilitating collaboration between industry, education and training.</w:t>
      </w:r>
    </w:p>
    <w:p w14:paraId="4667C100" w14:textId="77777777" w:rsidR="00E6256B" w:rsidRPr="00E5087D" w:rsidRDefault="00E6256B" w:rsidP="00E6256B">
      <w:pPr>
        <w:rPr>
          <w:rStyle w:val="normaltextrun"/>
          <w:rFonts w:eastAsiaTheme="majorEastAsia" w:cs="Arial"/>
          <w:b/>
          <w:bCs/>
          <w:sz w:val="32"/>
          <w:szCs w:val="32"/>
        </w:rPr>
      </w:pPr>
      <w:r w:rsidRPr="00E5087D">
        <w:rPr>
          <w:rStyle w:val="normaltextrun"/>
          <w:rFonts w:cs="Arial"/>
          <w:b/>
          <w:bCs/>
          <w:sz w:val="32"/>
          <w:szCs w:val="32"/>
        </w:rPr>
        <w:br w:type="page"/>
      </w:r>
    </w:p>
    <w:p w14:paraId="1563EA2E" w14:textId="65AAE421" w:rsidR="00E6256B" w:rsidRPr="00E5087D" w:rsidRDefault="00E6256B" w:rsidP="00641B5D">
      <w:pPr>
        <w:pStyle w:val="Heading3"/>
        <w:rPr>
          <w:rStyle w:val="normaltextrun"/>
          <w:rFonts w:cs="Arial"/>
          <w:b w:val="0"/>
          <w:bCs/>
          <w:szCs w:val="32"/>
        </w:rPr>
      </w:pPr>
      <w:r w:rsidRPr="00E5087D">
        <w:rPr>
          <w:rStyle w:val="normaltextrun"/>
          <w:rFonts w:cs="Arial"/>
          <w:bCs/>
          <w:szCs w:val="32"/>
        </w:rPr>
        <w:t>New models for course delivery</w:t>
      </w:r>
    </w:p>
    <w:p w14:paraId="351B9DA2" w14:textId="38A8BC2E"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The pace and complexity of work in the clean energy sector lends itself to new models of course design and delivery. In many regards, clean energy is an ideal testbed for new </w:t>
      </w:r>
      <w:r w:rsidR="00745AE6">
        <w:rPr>
          <w:rFonts w:cs="Arial"/>
          <w14:numForm w14:val="lining"/>
          <w14:numSpacing w14:val="proportional"/>
        </w:rPr>
        <w:t xml:space="preserve">course delivery </w:t>
      </w:r>
      <w:r w:rsidRPr="00E5087D">
        <w:rPr>
          <w:rFonts w:cs="Arial"/>
          <w14:numForm w14:val="lining"/>
          <w14:numSpacing w14:val="proportional"/>
        </w:rPr>
        <w:t xml:space="preserve">approaches, </w:t>
      </w:r>
      <w:r w:rsidR="00745AE6">
        <w:rPr>
          <w:rFonts w:cs="Arial"/>
          <w14:numForm w14:val="lining"/>
          <w14:numSpacing w14:val="proportional"/>
        </w:rPr>
        <w:t xml:space="preserve">given the sector’s </w:t>
      </w:r>
      <w:r w:rsidRPr="00E5087D">
        <w:rPr>
          <w:rFonts w:cs="Arial"/>
          <w14:numForm w14:val="lining"/>
          <w14:numSpacing w14:val="proportional"/>
        </w:rPr>
        <w:t xml:space="preserve">emerging nature and the fact that it straddles traditional trades and professions. For example, to address electrification in the industrial segment of the economy, there is likely to be growing demand for </w:t>
      </w:r>
      <w:r w:rsidR="6EF3B796" w:rsidRPr="00E5087D">
        <w:rPr>
          <w:rFonts w:cs="Arial"/>
          <w14:numForm w14:val="lining"/>
          <w14:numSpacing w14:val="proportional"/>
        </w:rPr>
        <w:t>E</w:t>
      </w:r>
      <w:r w:rsidRPr="00E5087D">
        <w:rPr>
          <w:rFonts w:cs="Arial"/>
          <w14:numForm w14:val="lining"/>
          <w14:numSpacing w14:val="proportional"/>
        </w:rPr>
        <w:t xml:space="preserve">lectrical </w:t>
      </w:r>
      <w:r w:rsidR="484338F1" w:rsidRPr="00E5087D">
        <w:rPr>
          <w:rFonts w:cs="Arial"/>
          <w14:numForm w14:val="lining"/>
          <w14:numSpacing w14:val="proportional"/>
        </w:rPr>
        <w:t>E</w:t>
      </w:r>
      <w:r w:rsidRPr="00E5087D">
        <w:rPr>
          <w:rFonts w:cs="Arial"/>
          <w14:numForm w14:val="lining"/>
          <w14:numSpacing w14:val="proportional"/>
        </w:rPr>
        <w:t xml:space="preserve">ngineers with A-Grade electrical licenses. </w:t>
      </w:r>
    </w:p>
    <w:p w14:paraId="7F7B2F28" w14:textId="47E5B3EF" w:rsidR="00E6256B" w:rsidRPr="00E5087D" w:rsidRDefault="50E545A1" w:rsidP="00E6256B">
      <w:pPr>
        <w:spacing w:after="120" w:line="276" w:lineRule="auto"/>
        <w:rPr>
          <w:rFonts w:cs="Arial"/>
          <w14:numForm w14:val="lining"/>
          <w14:numSpacing w14:val="proportional"/>
        </w:rPr>
      </w:pPr>
      <w:r w:rsidRPr="00E5087D">
        <w:rPr>
          <w:rFonts w:cs="Arial"/>
          <w14:numForm w14:val="lining"/>
          <w14:numSpacing w14:val="proportional"/>
        </w:rPr>
        <w:t xml:space="preserve">There would be great value in expanding opportunities for </w:t>
      </w:r>
      <w:r w:rsidR="62EE383E">
        <w:rPr>
          <w:rFonts w:cs="Arial"/>
          <w14:numForm w14:val="lining"/>
          <w14:numSpacing w14:val="proportional"/>
        </w:rPr>
        <w:t xml:space="preserve">mid-tier </w:t>
      </w:r>
      <w:r w:rsidRPr="00E5087D">
        <w:rPr>
          <w:rFonts w:cs="Arial"/>
          <w14:numForm w14:val="lining"/>
          <w14:numSpacing w14:val="proportional"/>
        </w:rPr>
        <w:t>work-based and integrated learning, including higher apprenticeships</w:t>
      </w:r>
      <w:r w:rsidR="25147EC7">
        <w:rPr>
          <w:rFonts w:cs="Arial"/>
          <w14:numForm w14:val="lining"/>
          <w14:numSpacing w14:val="proportional"/>
        </w:rPr>
        <w:t xml:space="preserve"> and top-upskilling</w:t>
      </w:r>
      <w:r w:rsidRPr="00E5087D">
        <w:rPr>
          <w:rFonts w:cs="Arial"/>
          <w14:numForm w14:val="lining"/>
          <w14:numSpacing w14:val="proportional"/>
        </w:rPr>
        <w:t>. One example is a pilot led by the Ai Group to combine an electrical engineering degree with a Certificate III electrical trade, delivered as an apprenticeship. This blended qualification will seek to combine the theoretical aspects of higher education and the practical skills and experience associated with a trade apprenticeship.</w:t>
      </w:r>
      <w:r w:rsidR="0F956949">
        <w:rPr>
          <w:rFonts w:cs="Arial"/>
          <w14:numForm w14:val="lining"/>
          <w14:numSpacing w14:val="proportional"/>
        </w:rPr>
        <w:t xml:space="preserve"> Federation University are planning to launch a </w:t>
      </w:r>
      <w:r w:rsidR="1938D94D">
        <w:rPr>
          <w:rFonts w:cs="Arial"/>
          <w14:numForm w14:val="lining"/>
          <w14:numSpacing w14:val="proportional"/>
        </w:rPr>
        <w:t>6</w:t>
      </w:r>
      <w:r w:rsidR="00B11E54">
        <w:rPr>
          <w:rFonts w:cs="Arial"/>
          <w14:numForm w14:val="lining"/>
          <w14:numSpacing w14:val="proportional"/>
        </w:rPr>
        <w:t>-</w:t>
      </w:r>
      <w:r w:rsidR="1938D94D">
        <w:rPr>
          <w:rFonts w:cs="Arial"/>
          <w14:numForm w14:val="lining"/>
          <w14:numSpacing w14:val="proportional"/>
        </w:rPr>
        <w:t>year apprenticeship with NECA to provide a Certificate III in parallel with an Electrical Engineering degree.</w:t>
      </w:r>
      <w:r w:rsidR="51C9D2C0">
        <w:rPr>
          <w:rFonts w:cs="Arial"/>
          <w14:numForm w14:val="lining"/>
          <w14:numSpacing w14:val="proportional"/>
        </w:rPr>
        <w:t xml:space="preserve"> Teaching will be delivered in 9 week blocks each year, with NECA Education acting as the VET RTO.</w:t>
      </w:r>
    </w:p>
    <w:p w14:paraId="33CD1388" w14:textId="6C434E0D"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Chisholm Institute has a partnership with </w:t>
      </w:r>
      <w:r w:rsidRPr="00E5087D">
        <w:rPr>
          <w:rFonts w:cs="Arial"/>
          <w:i/>
          <w:iCs/>
          <w14:numForm w14:val="lining"/>
          <w14:numSpacing w14:val="proportional"/>
        </w:rPr>
        <w:t>Renewable Energy Design Engineering and Integration</w:t>
      </w:r>
      <w:r w:rsidRPr="00E5087D">
        <w:rPr>
          <w:rFonts w:cs="Arial"/>
          <w14:numForm w14:val="lining"/>
          <w14:numSpacing w14:val="proportional"/>
        </w:rPr>
        <w:t xml:space="preserve"> (REDEI), an enterprise that designs, engineers, manufactures, and integrates bespoke renewable energy generation and battery storage systems. Chisholm Institute </w:t>
      </w:r>
      <w:r w:rsidR="44320B34" w:rsidRPr="00E5087D">
        <w:rPr>
          <w:rFonts w:cs="Arial"/>
          <w14:numForm w14:val="lining"/>
          <w14:numSpacing w14:val="proportional"/>
        </w:rPr>
        <w:t>e</w:t>
      </w:r>
      <w:r w:rsidRPr="00E5087D">
        <w:rPr>
          <w:rFonts w:cs="Arial"/>
          <w14:numForm w14:val="lining"/>
          <w14:numSpacing w14:val="proportional"/>
        </w:rPr>
        <w:t>ngineering students have undertaken vocational placements at REDEI Services through a program that targets the occupational gap between trade-qualified and four</w:t>
      </w:r>
      <w:r w:rsidR="00557957">
        <w:rPr>
          <w:rFonts w:cs="Arial"/>
          <w14:numForm w14:val="lining"/>
          <w14:numSpacing w14:val="proportional"/>
        </w:rPr>
        <w:t>th</w:t>
      </w:r>
      <w:r w:rsidRPr="00E5087D">
        <w:rPr>
          <w:rFonts w:cs="Arial"/>
          <w14:numForm w14:val="lining"/>
          <w14:numSpacing w14:val="proportional"/>
        </w:rPr>
        <w:t>-year engineering degree graduates. Currently, Chisholm offers this program only on a full-fee basis (with students eligible for FEE HELP).</w:t>
      </w:r>
    </w:p>
    <w:p w14:paraId="5D7327F0" w14:textId="27028CAB"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In many respects, increasing training opportunities for technician-level roles within clean energy is an extension of </w:t>
      </w:r>
      <w:r w:rsidR="00557957">
        <w:rPr>
          <w:rFonts w:cs="Arial"/>
          <w14:numForm w14:val="lining"/>
          <w14:numSpacing w14:val="proportional"/>
        </w:rPr>
        <w:t>a</w:t>
      </w:r>
      <w:r w:rsidRPr="00E5087D">
        <w:rPr>
          <w:rFonts w:cs="Arial"/>
          <w14:numForm w14:val="lining"/>
          <w14:numSpacing w14:val="proportional"/>
        </w:rPr>
        <w:t xml:space="preserve"> higher apprenticeship pilot in advanced manufacturing that began in 2017. This pilot program involved a collaboration between Siemens (which employed the participants) and Swinburne University (which created a customised higher education Diploma of Advanced Technology, articulating to a Bachelor of Technology).</w:t>
      </w:r>
      <w:r w:rsidRPr="00E5087D">
        <w:rPr>
          <w:rStyle w:val="EndnoteReference"/>
          <w:rFonts w:cs="Arial"/>
          <w14:numForm w14:val="lining"/>
          <w14:numSpacing w14:val="proportional"/>
        </w:rPr>
        <w:endnoteReference w:id="146"/>
      </w:r>
      <w:r w:rsidRPr="00E5087D">
        <w:rPr>
          <w:rFonts w:cs="Arial"/>
          <w14:numForm w14:val="lining"/>
          <w14:numSpacing w14:val="proportional"/>
        </w:rPr>
        <w:t xml:space="preserve"> The Australian Government established further </w:t>
      </w:r>
      <w:r w:rsidR="00557957">
        <w:rPr>
          <w:rFonts w:cs="Arial"/>
          <w14:numForm w14:val="lining"/>
          <w14:numSpacing w14:val="proportional"/>
        </w:rPr>
        <w:t>programs</w:t>
      </w:r>
      <w:r w:rsidRPr="00E5087D">
        <w:rPr>
          <w:rFonts w:cs="Arial"/>
          <w14:numForm w14:val="lining"/>
          <w14:numSpacing w14:val="proportional"/>
        </w:rPr>
        <w:t xml:space="preserve"> in 2021 through the Advanced Apprenticeships (Industry 4.0) pilot involving seven universities and engaging a broader range of industries</w:t>
      </w:r>
      <w:r w:rsidR="1AEF684C" w:rsidRPr="00E5087D">
        <w:rPr>
          <w:rFonts w:cs="Arial"/>
          <w14:numForm w14:val="lining"/>
          <w14:numSpacing w14:val="proportional"/>
        </w:rPr>
        <w:t>,</w:t>
      </w:r>
      <w:r w:rsidRPr="00E5087D">
        <w:rPr>
          <w:rFonts w:cs="Arial"/>
          <w14:numForm w14:val="lining"/>
          <w14:numSpacing w14:val="proportional"/>
        </w:rPr>
        <w:t xml:space="preserve"> including defence and aerospace.</w:t>
      </w:r>
      <w:r w:rsidRPr="00E5087D">
        <w:rPr>
          <w:rStyle w:val="EndnoteReference"/>
          <w:rFonts w:cs="Arial"/>
          <w14:numForm w14:val="lining"/>
          <w14:numSpacing w14:val="proportional"/>
        </w:rPr>
        <w:endnoteReference w:id="147"/>
      </w:r>
      <w:r w:rsidRPr="00E5087D">
        <w:rPr>
          <w:rFonts w:cs="Arial"/>
          <w14:numForm w14:val="lining"/>
          <w14:numSpacing w14:val="proportional"/>
        </w:rPr>
        <w:t xml:space="preserve"> </w:t>
      </w:r>
    </w:p>
    <w:p w14:paraId="115C85F9" w14:textId="77777777" w:rsidR="003C6874" w:rsidRDefault="00E6256B" w:rsidP="003C6874">
      <w:pPr>
        <w:spacing w:after="120" w:line="276" w:lineRule="auto"/>
        <w:rPr>
          <w:rFonts w:cs="Arial"/>
          <w14:numForm w14:val="lining"/>
          <w14:numSpacing w14:val="proportional"/>
        </w:rPr>
      </w:pPr>
      <w:r w:rsidRPr="00E5087D">
        <w:rPr>
          <w:rFonts w:cs="Arial"/>
          <w14:numForm w14:val="lining"/>
          <w14:numSpacing w14:val="proportional"/>
        </w:rPr>
        <w:t>These types of new delivery models will require national collaboration, as state and territory training authorities are ultimately responsible for determining which qualifications are available as apprenticeships. Training that spans VET and higher education is also subject to different funding and regulatory arrangements, further complicating the ability to design and deliver new course models.</w:t>
      </w:r>
      <w:r w:rsidRPr="00E5087D">
        <w:rPr>
          <w:rStyle w:val="EndnoteReference"/>
          <w:rFonts w:cs="Arial"/>
          <w14:numForm w14:val="lining"/>
          <w14:numSpacing w14:val="proportional"/>
        </w:rPr>
        <w:endnoteReference w:id="148"/>
      </w:r>
      <w:r w:rsidRPr="00E5087D">
        <w:rPr>
          <w:rFonts w:cs="Arial"/>
          <w14:numForm w14:val="lining"/>
          <w14:numSpacing w14:val="proportional"/>
        </w:rPr>
        <w:t xml:space="preserve"> </w:t>
      </w:r>
    </w:p>
    <w:p w14:paraId="25D012BB" w14:textId="699887B0" w:rsidR="00434E81" w:rsidRDefault="00E6256B" w:rsidP="00E6256B">
      <w:pPr>
        <w:spacing w:after="240" w:line="276" w:lineRule="auto"/>
        <w:rPr>
          <w:rFonts w:cs="Arial"/>
          <w14:numForm w14:val="lining"/>
          <w14:numSpacing w14:val="proportional"/>
        </w:rPr>
      </w:pPr>
      <w:r w:rsidRPr="00E5087D">
        <w:rPr>
          <w:rFonts w:cs="Arial"/>
          <w14:numForm w14:val="lining"/>
          <w14:numSpacing w14:val="proportional"/>
        </w:rPr>
        <w:t xml:space="preserve">While the number of pilot programs is promising, these are typically targeted to either VET or higher education, and often to a particular state or territory. Moving towards a substantial, nationally consistent approach would be </w:t>
      </w:r>
      <w:r w:rsidR="003C6874">
        <w:rPr>
          <w:rFonts w:cs="Arial"/>
          <w14:numForm w14:val="lining"/>
          <w14:numSpacing w14:val="proportional"/>
        </w:rPr>
        <w:t xml:space="preserve">more </w:t>
      </w:r>
      <w:r w:rsidRPr="00E5087D">
        <w:rPr>
          <w:rFonts w:cs="Arial"/>
          <w14:numForm w14:val="lining"/>
          <w14:numSpacing w14:val="proportional"/>
        </w:rPr>
        <w:t>impactful</w:t>
      </w:r>
      <w:r w:rsidR="00897991">
        <w:rPr>
          <w:rFonts w:cs="Arial"/>
          <w14:numForm w14:val="lining"/>
          <w14:numSpacing w14:val="proportional"/>
        </w:rPr>
        <w:t xml:space="preserve"> and could benefit from a ‘regulatory sandbox’ approach, where participants can test innovative concepts in the market under relaxed requirements, on a time-limited basis.</w:t>
      </w:r>
      <w:r w:rsidR="00B1775A">
        <w:rPr>
          <w:rStyle w:val="EndnoteReference"/>
          <w:rFonts w:cs="Arial"/>
          <w14:numForm w14:val="lining"/>
          <w14:numSpacing w14:val="proportional"/>
        </w:rPr>
        <w:endnoteReference w:id="149"/>
      </w:r>
      <w:r w:rsidR="003C6874">
        <w:rPr>
          <w:rFonts w:cs="Arial"/>
          <w14:numForm w14:val="lining"/>
          <w14:numSpacing w14:val="proportional"/>
        </w:rPr>
        <w:t xml:space="preserve"> </w:t>
      </w:r>
    </w:p>
    <w:p w14:paraId="1B9A533D" w14:textId="77777777" w:rsidR="00434E81" w:rsidRDefault="00434E81">
      <w:pPr>
        <w:rPr>
          <w:rFonts w:cs="Arial"/>
          <w14:numForm w14:val="lining"/>
          <w14:numSpacing w14:val="proportional"/>
        </w:rPr>
      </w:pPr>
      <w:r>
        <w:rPr>
          <w:rFonts w:cs="Arial"/>
          <w14:numForm w14:val="lining"/>
          <w14:numSpacing w14:val="proportional"/>
        </w:rPr>
        <w:br w:type="page"/>
      </w:r>
    </w:p>
    <w:p w14:paraId="77267D33" w14:textId="39C3FA15" w:rsidR="00E71285" w:rsidRPr="006E07A7" w:rsidRDefault="00E71285" w:rsidP="00E71285">
      <w:pPr>
        <w:spacing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4" behindDoc="1" locked="0" layoutInCell="1" allowOverlap="1" wp14:anchorId="6EEC9B7F" wp14:editId="2FBEC213">
                <wp:simplePos x="0" y="0"/>
                <wp:positionH relativeFrom="column">
                  <wp:posOffset>0</wp:posOffset>
                </wp:positionH>
                <wp:positionV relativeFrom="paragraph">
                  <wp:posOffset>-25167</wp:posOffset>
                </wp:positionV>
                <wp:extent cx="5731510" cy="1224793"/>
                <wp:effectExtent l="0" t="0" r="21590" b="13970"/>
                <wp:wrapNone/>
                <wp:docPr id="1341085162" name="Group 1341085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224793"/>
                          <a:chOff x="0" y="0"/>
                          <a:chExt cx="5880735" cy="1257271"/>
                        </a:xfrm>
                      </wpg:grpSpPr>
                      <wps:wsp>
                        <wps:cNvPr id="1341085166" name="Rectangle: Top Corners Rounded 134108516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6A5810" w14:textId="2D1FDB7B" w:rsidR="00E412CF" w:rsidRPr="006E07A7" w:rsidRDefault="00E412CF" w:rsidP="00E412CF">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67" name="Rectangle 1341085167"/>
                        <wps:cNvSpPr/>
                        <wps:spPr>
                          <a:xfrm>
                            <a:off x="0" y="230660"/>
                            <a:ext cx="5880735" cy="1026611"/>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9D99D" w14:textId="39FDADA6" w:rsidR="00E412CF" w:rsidRPr="00A90F3C" w:rsidRDefault="00E412CF" w:rsidP="00E412CF">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EC9B7F" id="Group 1341085162" o:spid="_x0000_s1145" alt="&quot;&quot;" style="position:absolute;left:0;text-align:left;margin-left:0;margin-top:-2pt;width:451.3pt;height:96.45pt;z-index:-251658176;mso-position-horizontal-relative:text;mso-position-vertical-relative:text;mso-height-relative:margin" coordsize="58807,12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">
                <v:shape id="Rectangle: Top Corners Rounded 1341085166" o:spid="_x0000_s1146"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4F6A5810" w14:textId="2D1FDB7B" w:rsidR="00E412CF" w:rsidRPr="006E07A7" w:rsidRDefault="00E412CF" w:rsidP="00E412CF">
                        <w:pPr>
                          <w:spacing w:after="0" w:line="240" w:lineRule="auto"/>
                          <w:rPr>
                            <w:b/>
                            <w:bCs/>
                            <w14:numForm w14:val="lining"/>
                            <w14:numSpacing w14:val="proportional"/>
                          </w:rPr>
                        </w:pPr>
                      </w:p>
                    </w:txbxContent>
                  </v:textbox>
                </v:shape>
                <v:rect id="Rectangle 1341085167" o:spid="_x0000_s1147" style="position:absolute;top:2306;width:58807;height:10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" fillcolor="#f2f2f2" strokecolor="#c2a5ec" strokeweight="1pt">
                  <v:textbox inset="2mm,1mm,2mm,1mm">
                    <w:txbxContent>
                      <w:p w14:paraId="3959D99D" w14:textId="39FDADA6" w:rsidR="00E412CF" w:rsidRPr="00A90F3C" w:rsidRDefault="00E412CF" w:rsidP="00E412CF">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7.1</w:t>
      </w:r>
    </w:p>
    <w:p w14:paraId="702283C8" w14:textId="33DCD9AF" w:rsidR="00E71285" w:rsidRDefault="00E71285" w:rsidP="0052276B">
      <w:pPr>
        <w:spacing w:before="200" w:after="480" w:line="240" w:lineRule="auto"/>
        <w:ind w:left="170" w:right="113"/>
        <w:rPr>
          <w:lang w:val="en-US"/>
        </w:rPr>
      </w:pPr>
      <w:r w:rsidRPr="00BB2E09">
        <w:rPr>
          <w:noProof/>
        </w:rPr>
        <mc:AlternateContent>
          <mc:Choice Requires="wpg">
            <w:drawing>
              <wp:anchor distT="0" distB="0" distL="114300" distR="114300" simplePos="0" relativeHeight="251658305" behindDoc="1" locked="0" layoutInCell="1" allowOverlap="1" wp14:anchorId="151C1EA9" wp14:editId="732E39D4">
                <wp:simplePos x="0" y="0"/>
                <wp:positionH relativeFrom="column">
                  <wp:posOffset>0</wp:posOffset>
                </wp:positionH>
                <wp:positionV relativeFrom="page">
                  <wp:posOffset>2287404</wp:posOffset>
                </wp:positionV>
                <wp:extent cx="5731510" cy="880844"/>
                <wp:effectExtent l="0" t="0" r="21590" b="14605"/>
                <wp:wrapNone/>
                <wp:docPr id="1341085278" name="Group 1341085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80844"/>
                          <a:chOff x="0" y="0"/>
                          <a:chExt cx="5880735" cy="904783"/>
                        </a:xfrm>
                      </wpg:grpSpPr>
                      <wps:wsp>
                        <wps:cNvPr id="1341085279" name="Rectangle: Top Corners Rounded 1341085279"/>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C79D47" w14:textId="46539EEA" w:rsidR="00DB046F" w:rsidRPr="006E07A7" w:rsidRDefault="00DB046F" w:rsidP="00DB046F">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80" name="Rectangle 1341085280"/>
                        <wps:cNvSpPr/>
                        <wps:spPr>
                          <a:xfrm>
                            <a:off x="0" y="230660"/>
                            <a:ext cx="5880735" cy="674123"/>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4BAA96" w14:textId="1D88B535" w:rsidR="00DB046F" w:rsidRPr="00A90F3C" w:rsidRDefault="00DB046F" w:rsidP="00DB046F">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51C1EA9" id="Group 1341085278" o:spid="_x0000_s1148" alt="&quot;&quot;" style="position:absolute;left:0;text-align:left;margin-left:0;margin-top:180.1pt;width:451.3pt;height:69.35pt;z-index:-251658175;mso-position-horizontal-relative:text;mso-position-vertical-relative:page;mso-height-relative:margin" coordsize="58807,9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">
                <v:shape id="Rectangle: Top Corners Rounded 1341085279" o:spid="_x0000_s1149"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50C79D47" w14:textId="46539EEA" w:rsidR="00DB046F" w:rsidRPr="006E07A7" w:rsidRDefault="00DB046F" w:rsidP="00DB046F">
                        <w:pPr>
                          <w:spacing w:after="0" w:line="240" w:lineRule="auto"/>
                          <w:rPr>
                            <w:b/>
                            <w:bCs/>
                            <w14:numForm w14:val="lining"/>
                            <w14:numSpacing w14:val="proportional"/>
                          </w:rPr>
                        </w:pPr>
                      </w:p>
                    </w:txbxContent>
                  </v:textbox>
                </v:shape>
                <v:rect id="Rectangle 1341085280" o:spid="_x0000_s1150" style="position:absolute;top:2306;width:58807;height:6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" fillcolor="#f2f2f2" strokecolor="#c2a5ec" strokeweight="1pt">
                  <v:textbox inset="2mm,1mm,2mm,1mm">
                    <w:txbxContent>
                      <w:p w14:paraId="604BAA96" w14:textId="1D88B535" w:rsidR="00DB046F" w:rsidRPr="00A90F3C" w:rsidRDefault="00DB046F" w:rsidP="00DB046F">
                        <w:pPr>
                          <w:spacing w:after="0" w:line="276" w:lineRule="auto"/>
                          <w:ind w:left="113" w:right="113"/>
                          <w:rPr>
                            <w:lang w:val="en-US"/>
                          </w:rPr>
                        </w:pPr>
                      </w:p>
                    </w:txbxContent>
                  </v:textbox>
                </v:rect>
                <w10:wrap anchory="page"/>
              </v:group>
            </w:pict>
          </mc:Fallback>
        </mc:AlternateContent>
      </w:r>
      <w:r w:rsidRPr="00847EE9">
        <w:rPr>
          <w:lang w:val="en-US"/>
        </w:rPr>
        <w:t xml:space="preserve">Establish TAFE Clean Energy Centres of Excellence to collaborate with </w:t>
      </w:r>
      <w:r>
        <w:rPr>
          <w:lang w:val="en-US"/>
        </w:rPr>
        <w:t xml:space="preserve">industry, communities, </w:t>
      </w:r>
      <w:r w:rsidRPr="00847EE9">
        <w:rPr>
          <w:lang w:val="en-US"/>
        </w:rPr>
        <w:t xml:space="preserve">universities </w:t>
      </w:r>
      <w:r>
        <w:rPr>
          <w:lang w:val="en-US"/>
        </w:rPr>
        <w:t>and governments</w:t>
      </w:r>
      <w:r w:rsidRPr="00847EE9">
        <w:rPr>
          <w:lang w:val="en-US"/>
        </w:rPr>
        <w:t xml:space="preserve"> on new curriculum and course offerings that meet the emerging needs of industry and can keep pace with rapid technological change. This will require a ‘regulatory sandbox’ approach that relaxes current funding and regulatory constraints that inhibit such cross-sectoral collaboration.</w:t>
      </w:r>
    </w:p>
    <w:p w14:paraId="67BEA278" w14:textId="09BC716A" w:rsidR="00E71285" w:rsidRPr="006E07A7" w:rsidRDefault="00E71285" w:rsidP="00E71285">
      <w:pPr>
        <w:spacing w:before="240"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7.2</w:t>
      </w:r>
    </w:p>
    <w:p w14:paraId="43C7EC3C" w14:textId="110A362E" w:rsidR="00E71285" w:rsidRPr="00E71285" w:rsidRDefault="00E71285" w:rsidP="00434E81">
      <w:pPr>
        <w:spacing w:before="200" w:after="600" w:line="240" w:lineRule="auto"/>
        <w:ind w:left="170" w:right="113"/>
        <w:rPr>
          <w:rStyle w:val="normaltextrun"/>
          <w:lang w:val="en-US"/>
        </w:rPr>
      </w:pPr>
      <w:r w:rsidRPr="00512BEE">
        <w:rPr>
          <w:lang w:val="en-US"/>
        </w:rPr>
        <w:t xml:space="preserve">In collaboration with states and territories, </w:t>
      </w:r>
      <w:r>
        <w:rPr>
          <w:lang w:val="en-US"/>
        </w:rPr>
        <w:t xml:space="preserve">consider </w:t>
      </w:r>
      <w:r w:rsidRPr="00512BEE">
        <w:rPr>
          <w:lang w:val="en-US"/>
        </w:rPr>
        <w:t>expand</w:t>
      </w:r>
      <w:r>
        <w:rPr>
          <w:lang w:val="en-US"/>
        </w:rPr>
        <w:t>ing</w:t>
      </w:r>
      <w:r w:rsidRPr="00512BEE">
        <w:rPr>
          <w:lang w:val="en-US"/>
        </w:rPr>
        <w:t xml:space="preserve"> opportunities for mid-tier work-based and integrated learning, including higher apprenticeships, top-up training and microcredentials.</w:t>
      </w:r>
    </w:p>
    <w:p w14:paraId="3246CA38" w14:textId="65ECF29F" w:rsidR="00E6256B" w:rsidRPr="00E5087D" w:rsidRDefault="00E6256B" w:rsidP="00641B5D">
      <w:pPr>
        <w:pStyle w:val="Heading3"/>
        <w:rPr>
          <w:rStyle w:val="normaltextrun"/>
          <w:rFonts w:cs="Arial"/>
          <w:b w:val="0"/>
          <w:bCs/>
          <w:szCs w:val="32"/>
        </w:rPr>
      </w:pPr>
      <w:r w:rsidRPr="00E5087D">
        <w:rPr>
          <w:rStyle w:val="normaltextrun"/>
          <w:rFonts w:cs="Arial"/>
          <w:bCs/>
          <w:szCs w:val="32"/>
        </w:rPr>
        <w:t>Clearer tertiary pathways</w:t>
      </w:r>
    </w:p>
    <w:p w14:paraId="09126B14" w14:textId="07D76245" w:rsidR="00613450" w:rsidRPr="00E5087D" w:rsidRDefault="00EE2781" w:rsidP="00E6256B">
      <w:pPr>
        <w:spacing w:after="120" w:line="276" w:lineRule="auto"/>
        <w:rPr>
          <w:rFonts w:cs="Arial"/>
          <w14:numForm w14:val="lining"/>
          <w14:numSpacing w14:val="proportional"/>
        </w:rPr>
      </w:pPr>
      <w:r>
        <w:rPr>
          <w:rFonts w:cs="Arial"/>
          <w14:numForm w14:val="lining"/>
          <w14:numSpacing w14:val="proportional"/>
        </w:rPr>
        <w:t>Clearer</w:t>
      </w:r>
      <w:r w:rsidR="008708DA">
        <w:rPr>
          <w:rFonts w:cs="Arial"/>
          <w14:numForm w14:val="lining"/>
          <w14:numSpacing w14:val="proportional"/>
        </w:rPr>
        <w:t xml:space="preserve"> tertiary education </w:t>
      </w:r>
      <w:r>
        <w:rPr>
          <w:rFonts w:cs="Arial"/>
          <w14:numForm w14:val="lining"/>
          <w14:numSpacing w14:val="proportional"/>
        </w:rPr>
        <w:t xml:space="preserve">and training pathways </w:t>
      </w:r>
      <w:r w:rsidR="0080316B">
        <w:rPr>
          <w:rFonts w:cs="Arial"/>
          <w14:numForm w14:val="lining"/>
          <w14:numSpacing w14:val="proportional"/>
        </w:rPr>
        <w:t>are</w:t>
      </w:r>
      <w:r w:rsidR="008708DA">
        <w:rPr>
          <w:rFonts w:cs="Arial"/>
          <w14:numForm w14:val="lining"/>
          <w14:numSpacing w14:val="proportional"/>
        </w:rPr>
        <w:t xml:space="preserve"> desperately needed</w:t>
      </w:r>
      <w:r w:rsidR="0080316B">
        <w:rPr>
          <w:rFonts w:cs="Arial"/>
          <w14:numForm w14:val="lining"/>
          <w14:numSpacing w14:val="proportional"/>
        </w:rPr>
        <w:t xml:space="preserve"> for the clean energy workforce</w:t>
      </w:r>
      <w:r w:rsidR="008708DA">
        <w:rPr>
          <w:rFonts w:cs="Arial"/>
          <w14:numForm w14:val="lining"/>
          <w14:numSpacing w14:val="proportional"/>
        </w:rPr>
        <w:t xml:space="preserve">. </w:t>
      </w:r>
      <w:r w:rsidR="00C34305">
        <w:rPr>
          <w:rFonts w:cs="Arial"/>
          <w14:numForm w14:val="lining"/>
          <w14:numSpacing w14:val="proportional"/>
        </w:rPr>
        <w:t xml:space="preserve">This </w:t>
      </w:r>
      <w:r w:rsidR="00E6073A">
        <w:rPr>
          <w:rFonts w:cs="Arial"/>
          <w14:numForm w14:val="lining"/>
          <w14:numSpacing w14:val="proportional"/>
        </w:rPr>
        <w:t>means</w:t>
      </w:r>
      <w:r w:rsidR="00C34305">
        <w:rPr>
          <w:rFonts w:cs="Arial"/>
          <w14:numForm w14:val="lining"/>
          <w14:numSpacing w14:val="proportional"/>
        </w:rPr>
        <w:t xml:space="preserve"> </w:t>
      </w:r>
      <w:r w:rsidR="000259D0">
        <w:rPr>
          <w:rFonts w:cs="Arial"/>
          <w14:numForm w14:val="lining"/>
          <w14:numSpacing w14:val="proportional"/>
        </w:rPr>
        <w:t xml:space="preserve">boosting </w:t>
      </w:r>
      <w:r w:rsidR="00C34305">
        <w:rPr>
          <w:rFonts w:cs="Arial"/>
          <w14:numForm w14:val="lining"/>
          <w14:numSpacing w14:val="proportional"/>
        </w:rPr>
        <w:t xml:space="preserve">the status of </w:t>
      </w:r>
      <w:r w:rsidR="000259D0">
        <w:rPr>
          <w:rFonts w:cs="Arial"/>
          <w14:numForm w14:val="lining"/>
          <w14:numSpacing w14:val="proportional"/>
        </w:rPr>
        <w:t>VET as a viable and rewarding post-school pathway</w:t>
      </w:r>
      <w:r w:rsidR="00723F8E">
        <w:rPr>
          <w:rFonts w:cs="Arial"/>
          <w14:numForm w14:val="lining"/>
          <w14:numSpacing w14:val="proportional"/>
        </w:rPr>
        <w:t xml:space="preserve">, and dispelling the idea that tertiary education is a once off, binary choice between two </w:t>
      </w:r>
      <w:r w:rsidR="0004778C">
        <w:rPr>
          <w:rFonts w:cs="Arial"/>
          <w14:numForm w14:val="lining"/>
          <w14:numSpacing w14:val="proportional"/>
        </w:rPr>
        <w:t xml:space="preserve">disparate </w:t>
      </w:r>
      <w:r w:rsidR="00723F8E">
        <w:rPr>
          <w:rFonts w:cs="Arial"/>
          <w14:numForm w14:val="lining"/>
          <w14:numSpacing w14:val="proportional"/>
        </w:rPr>
        <w:t>syste</w:t>
      </w:r>
      <w:r w:rsidR="0004778C">
        <w:rPr>
          <w:rFonts w:cs="Arial"/>
          <w14:numForm w14:val="lining"/>
          <w14:numSpacing w14:val="proportional"/>
        </w:rPr>
        <w:t>ms.</w:t>
      </w:r>
    </w:p>
    <w:p w14:paraId="0B1AC3BC" w14:textId="4B372E56"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Workshop discussions </w:t>
      </w:r>
      <w:r w:rsidR="00A92C78">
        <w:rPr>
          <w:rFonts w:cs="Arial"/>
          <w14:numForm w14:val="lining"/>
          <w14:numSpacing w14:val="proportional"/>
        </w:rPr>
        <w:t>undertaken for this</w:t>
      </w:r>
      <w:r w:rsidR="00A92C78" w:rsidRPr="4AB85293">
        <w:rPr>
          <w:rFonts w:cs="Arial"/>
        </w:rPr>
        <w:t xml:space="preserve"> </w:t>
      </w:r>
      <w:r w:rsidR="00B767D7" w:rsidRPr="4AB85293">
        <w:rPr>
          <w:rFonts w:cs="Arial"/>
        </w:rPr>
        <w:t>study</w:t>
      </w:r>
      <w:r w:rsidR="00A92C78">
        <w:rPr>
          <w:rFonts w:cs="Arial"/>
          <w14:numForm w14:val="lining"/>
          <w14:numSpacing w14:val="proportional"/>
        </w:rPr>
        <w:t xml:space="preserve"> suggested </w:t>
      </w:r>
      <w:r w:rsidRPr="00E5087D">
        <w:rPr>
          <w:rFonts w:cs="Arial"/>
          <w14:numForm w14:val="lining"/>
          <w14:numSpacing w14:val="proportional"/>
        </w:rPr>
        <w:t xml:space="preserve">that improving communications and messaging for VET and Higher Education pathways may help improve </w:t>
      </w:r>
      <w:r w:rsidR="00057FB2">
        <w:rPr>
          <w:rFonts w:cs="Arial"/>
          <w14:numForm w14:val="lining"/>
          <w14:numSpacing w14:val="proportional"/>
        </w:rPr>
        <w:t>parity of esteem between the VET and higher education sectors</w:t>
      </w:r>
      <w:r w:rsidRPr="00E5087D">
        <w:rPr>
          <w:rFonts w:cs="Arial"/>
          <w14:numForm w14:val="lining"/>
          <w14:numSpacing w14:val="proportional"/>
        </w:rPr>
        <w:t>. As noted by the Universit</w:t>
      </w:r>
      <w:r w:rsidR="00025537">
        <w:rPr>
          <w:rFonts w:cs="Arial"/>
          <w14:numForm w14:val="lining"/>
          <w14:numSpacing w14:val="proportional"/>
        </w:rPr>
        <w:t>ies</w:t>
      </w:r>
      <w:r w:rsidRPr="00E5087D">
        <w:rPr>
          <w:rFonts w:cs="Arial"/>
          <w14:numForm w14:val="lining"/>
          <w14:numSpacing w14:val="proportional"/>
        </w:rPr>
        <w:t xml:space="preserve"> Accord Interim Report, “we need to eliminate some of the cultural barriers that have historically existed between the VET and higher education sectors and see both sectors as distinct but equally important parts of the skills development system”.</w:t>
      </w:r>
      <w:r w:rsidRPr="00E5087D">
        <w:rPr>
          <w:rStyle w:val="EndnoteReference"/>
          <w:rFonts w:cs="Arial"/>
          <w14:numForm w14:val="lining"/>
          <w14:numSpacing w14:val="proportional"/>
        </w:rPr>
        <w:endnoteReference w:id="150"/>
      </w:r>
    </w:p>
    <w:p w14:paraId="3C3A8E00" w14:textId="2864D801" w:rsidR="00FA02D9" w:rsidRDefault="00E6256B" w:rsidP="00434E81">
      <w:pPr>
        <w:spacing w:after="120" w:line="276" w:lineRule="auto"/>
        <w:rPr>
          <w:rFonts w:cs="Arial"/>
          <w14:numForm w14:val="lining"/>
          <w14:numSpacing w14:val="proportional"/>
        </w:rPr>
      </w:pPr>
      <w:r w:rsidRPr="00E5087D">
        <w:rPr>
          <w:rFonts w:cs="Arial"/>
          <w14:numForm w14:val="lining"/>
          <w14:numSpacing w14:val="proportional"/>
        </w:rPr>
        <w:t xml:space="preserve">Attracting students to clean energy is also difficult without clear and consistent career pathways. Because this sector is relatively new and continuing to evolve, it can be difficult to provide information that is current and to showcase success stories. Pathways into clean energy are not always straightforward. For a young person to work on large scale solar or battery installations, they may first need to do a four-year electrical apprenticeship in a traditional sector like construction. This is because opportunities to immediately work on clean-energy projects can be limited. </w:t>
      </w:r>
      <w:r w:rsidR="00FA02D9">
        <w:rPr>
          <w:rFonts w:cs="Arial"/>
          <w14:numForm w14:val="lining"/>
          <w14:numSpacing w14:val="proportional"/>
        </w:rPr>
        <w:t>Similarly, students may associate some pathways, like earth sciences, as being linked to the fossil fuel sector and not be aware that these roles are critical for decarbonisation.</w:t>
      </w:r>
    </w:p>
    <w:p w14:paraId="1CD3AEAF" w14:textId="54D2F62A" w:rsidR="00E6256B" w:rsidRPr="00E5087D" w:rsidRDefault="00E6256B" w:rsidP="00E6256B">
      <w:pPr>
        <w:spacing w:line="276" w:lineRule="auto"/>
        <w:rPr>
          <w:rFonts w:cs="Arial"/>
          <w14:numForm w14:val="lining"/>
          <w14:numSpacing w14:val="proportional"/>
        </w:rPr>
      </w:pPr>
      <w:r w:rsidRPr="00E5087D">
        <w:rPr>
          <w:rFonts w:cs="Arial"/>
          <w14:numForm w14:val="lining"/>
          <w14:numSpacing w14:val="proportional"/>
        </w:rPr>
        <w:t>The lack of a standardi</w:t>
      </w:r>
      <w:r w:rsidR="00794040">
        <w:rPr>
          <w:rFonts w:cs="Arial"/>
          <w14:numForm w14:val="lining"/>
          <w14:numSpacing w14:val="proportional"/>
        </w:rPr>
        <w:t>s</w:t>
      </w:r>
      <w:r w:rsidRPr="00E5087D">
        <w:rPr>
          <w:rFonts w:cs="Arial"/>
          <w14:numForm w14:val="lining"/>
          <w14:numSpacing w14:val="proportional"/>
        </w:rPr>
        <w:t>ed curriculum for clean energy courses can also create confusion among students and employers about what skills and knowledge are necessary for jobs and careers in the clean energy sector.</w:t>
      </w:r>
    </w:p>
    <w:p w14:paraId="3F19F059" w14:textId="77777777" w:rsidR="00093DA3" w:rsidRDefault="00093DA3">
      <w:pPr>
        <w:rPr>
          <w:rFonts w:cs="Arial"/>
          <w14:numForm w14:val="lining"/>
          <w14:numSpacing w14:val="proportional"/>
        </w:rPr>
      </w:pPr>
      <w:r>
        <w:rPr>
          <w:rFonts w:cs="Arial"/>
          <w14:numForm w14:val="lining"/>
          <w14:numSpacing w14:val="proportional"/>
        </w:rPr>
        <w:br w:type="page"/>
      </w:r>
    </w:p>
    <w:p w14:paraId="561AA7A4" w14:textId="2D3A5E9B" w:rsidR="00E6256B" w:rsidRDefault="00E6256B" w:rsidP="00A6265F">
      <w:pPr>
        <w:spacing w:before="160" w:line="276" w:lineRule="auto"/>
        <w:rPr>
          <w:rFonts w:cs="Arial"/>
          <w14:numForm w14:val="lining"/>
          <w14:numSpacing w14:val="proportional"/>
        </w:rPr>
      </w:pPr>
      <w:r w:rsidRPr="00E5087D">
        <w:rPr>
          <w:rFonts w:cs="Arial"/>
          <w14:numForm w14:val="lining"/>
          <w14:numSpacing w14:val="proportional"/>
        </w:rPr>
        <w:t xml:space="preserve">Careers guidance and advice for clean energy pathways needs to be substantially improved. Greater clarity and consistency can support more young people to identify and access the plethora of opportunities in this sector. </w:t>
      </w:r>
      <w:r w:rsidR="008515E3">
        <w:rPr>
          <w:rFonts w:cs="Arial"/>
          <w14:numForm w14:val="lining"/>
          <w14:numSpacing w14:val="proportional"/>
        </w:rPr>
        <w:t>T</w:t>
      </w:r>
      <w:r w:rsidRPr="00E5087D">
        <w:rPr>
          <w:rFonts w:cs="Arial"/>
          <w14:numForm w14:val="lining"/>
          <w14:numSpacing w14:val="proportional"/>
        </w:rPr>
        <w:t>he National Careers Institute will need to work closely with state and territory governments</w:t>
      </w:r>
      <w:r w:rsidR="00424611">
        <w:rPr>
          <w:rFonts w:cs="Arial"/>
          <w14:numForm w14:val="lining"/>
          <w14:numSpacing w14:val="proportional"/>
        </w:rPr>
        <w:t>,</w:t>
      </w:r>
      <w:r w:rsidRPr="00E5087D">
        <w:rPr>
          <w:rFonts w:cs="Arial"/>
          <w14:numForm w14:val="lining"/>
          <w14:numSpacing w14:val="proportional"/>
        </w:rPr>
        <w:t xml:space="preserve"> industry groups (like the </w:t>
      </w:r>
      <w:r w:rsidR="00F72FA8">
        <w:rPr>
          <w:rFonts w:cs="Arial"/>
          <w14:numForm w14:val="lining"/>
          <w14:numSpacing w14:val="proportional"/>
        </w:rPr>
        <w:t>CEC</w:t>
      </w:r>
      <w:r w:rsidRPr="00E5087D">
        <w:rPr>
          <w:rFonts w:cs="Arial"/>
          <w14:numForm w14:val="lining"/>
          <w14:numSpacing w14:val="proportional"/>
        </w:rPr>
        <w:t>)</w:t>
      </w:r>
      <w:r w:rsidR="00424611">
        <w:rPr>
          <w:rFonts w:cs="Arial"/>
          <w14:numForm w14:val="lining"/>
          <w14:numSpacing w14:val="proportional"/>
        </w:rPr>
        <w:t>, careers practitioners and education providers</w:t>
      </w:r>
      <w:r w:rsidRPr="00E5087D">
        <w:rPr>
          <w:rFonts w:cs="Arial"/>
          <w14:numForm w14:val="lining"/>
          <w14:numSpacing w14:val="proportional"/>
        </w:rPr>
        <w:t xml:space="preserve"> to ensure careers advice is consistent, reflects genuine pathways, and clearly communicates the sector’s value proposition.</w:t>
      </w:r>
      <w:r w:rsidR="00E0628C">
        <w:rPr>
          <w:rFonts w:cs="Arial"/>
          <w14:numForm w14:val="lining"/>
          <w14:numSpacing w14:val="proportional"/>
        </w:rPr>
        <w:t xml:space="preserve"> </w:t>
      </w:r>
      <w:r w:rsidR="006D6BA9">
        <w:rPr>
          <w:rFonts w:cs="Arial"/>
          <w14:numForm w14:val="lining"/>
          <w14:numSpacing w14:val="proportional"/>
        </w:rPr>
        <w:t>Career information</w:t>
      </w:r>
      <w:r w:rsidR="00E0628C">
        <w:rPr>
          <w:rFonts w:cs="Arial"/>
          <w14:numForm w14:val="lining"/>
          <w14:numSpacing w14:val="proportional"/>
        </w:rPr>
        <w:t xml:space="preserve"> should </w:t>
      </w:r>
      <w:r w:rsidR="006D6BA9">
        <w:rPr>
          <w:rFonts w:cs="Arial"/>
          <w14:numForm w14:val="lining"/>
          <w14:numSpacing w14:val="proportional"/>
        </w:rPr>
        <w:t>acknowledge</w:t>
      </w:r>
      <w:r w:rsidR="00E0628C">
        <w:rPr>
          <w:rFonts w:cs="Arial"/>
          <w14:numForm w14:val="lining"/>
          <w14:numSpacing w14:val="proportional"/>
        </w:rPr>
        <w:t xml:space="preserve"> the </w:t>
      </w:r>
      <w:r w:rsidR="00E9601B">
        <w:rPr>
          <w:rFonts w:cs="Arial"/>
          <w14:numForm w14:val="lining"/>
          <w14:numSpacing w14:val="proportional"/>
        </w:rPr>
        <w:t>electives</w:t>
      </w:r>
      <w:r w:rsidR="00E0628C">
        <w:rPr>
          <w:rFonts w:cs="Arial"/>
          <w14:numForm w14:val="lining"/>
          <w14:numSpacing w14:val="proportional"/>
        </w:rPr>
        <w:t xml:space="preserve"> and pathways that exist within qualifications</w:t>
      </w:r>
      <w:r w:rsidR="006D6BA9">
        <w:rPr>
          <w:rFonts w:cs="Arial"/>
          <w14:numForm w14:val="lining"/>
          <w14:numSpacing w14:val="proportional"/>
        </w:rPr>
        <w:t xml:space="preserve"> and their role in supporting skills specific to roles in clean energy</w:t>
      </w:r>
      <w:r w:rsidR="00E0628C">
        <w:rPr>
          <w:rFonts w:cs="Arial"/>
          <w14:numForm w14:val="lining"/>
          <w14:numSpacing w14:val="proportional"/>
        </w:rPr>
        <w:t xml:space="preserve">, as explored in </w:t>
      </w:r>
      <w:r w:rsidR="00E0628C" w:rsidRPr="00085EF8">
        <w:rPr>
          <w:rFonts w:cs="Arial"/>
          <w:b/>
          <w14:numForm w14:val="lining"/>
          <w14:numSpacing w14:val="proportional"/>
        </w:rPr>
        <w:t>Chapter 4</w:t>
      </w:r>
      <w:r w:rsidR="00E0628C">
        <w:rPr>
          <w:rFonts w:cs="Arial"/>
          <w14:numForm w14:val="lining"/>
          <w14:numSpacing w14:val="proportional"/>
        </w:rPr>
        <w:t>.</w:t>
      </w:r>
    </w:p>
    <w:p w14:paraId="0E1C3B9B" w14:textId="56E70E42" w:rsidR="0052276B" w:rsidRPr="006E07A7" w:rsidRDefault="0052276B" w:rsidP="0052276B">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6" behindDoc="1" locked="0" layoutInCell="1" allowOverlap="1" wp14:anchorId="7E1E9DF8" wp14:editId="51746B43">
                <wp:simplePos x="0" y="0"/>
                <wp:positionH relativeFrom="column">
                  <wp:posOffset>0</wp:posOffset>
                </wp:positionH>
                <wp:positionV relativeFrom="paragraph">
                  <wp:posOffset>98553</wp:posOffset>
                </wp:positionV>
                <wp:extent cx="5731510" cy="922790"/>
                <wp:effectExtent l="0" t="0" r="21590" b="10795"/>
                <wp:wrapNone/>
                <wp:docPr id="1341085375" name="Group 1341085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22790"/>
                          <a:chOff x="0" y="0"/>
                          <a:chExt cx="5880735" cy="947134"/>
                        </a:xfrm>
                      </wpg:grpSpPr>
                      <wps:wsp>
                        <wps:cNvPr id="65" name="Rectangle: Top Corners Rounded 65"/>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C700C8" w14:textId="54380778" w:rsidR="008515E3" w:rsidRPr="006E07A7" w:rsidRDefault="008515E3" w:rsidP="008515E3">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6" name="Rectangle 66"/>
                        <wps:cNvSpPr/>
                        <wps:spPr>
                          <a:xfrm>
                            <a:off x="0" y="230660"/>
                            <a:ext cx="5880735" cy="716474"/>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99A31" w14:textId="3C5345E0" w:rsidR="008515E3" w:rsidRPr="003955C9" w:rsidRDefault="008515E3" w:rsidP="008515E3">
                              <w:pPr>
                                <w:spacing w:after="0" w:line="276" w:lineRule="auto"/>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E1E9DF8" id="Group 1341085375" o:spid="_x0000_s1151" alt="&quot;&quot;" style="position:absolute;left:0;text-align:left;margin-left:0;margin-top:7.75pt;width:451.3pt;height:72.65pt;z-index:-251658174;mso-position-horizontal-relative:text;mso-position-vertical-relative:text;mso-height-relative:margin" coordsize="58807,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">
                <v:shape id="Rectangle: Top Corners Rounded 65" o:spid="_x0000_s1152"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76C700C8" w14:textId="54380778" w:rsidR="008515E3" w:rsidRPr="006E07A7" w:rsidRDefault="008515E3" w:rsidP="008515E3">
                        <w:pPr>
                          <w:spacing w:after="0" w:line="240" w:lineRule="auto"/>
                          <w:rPr>
                            <w:b/>
                            <w:bCs/>
                            <w14:numForm w14:val="lining"/>
                            <w14:numSpacing w14:val="proportional"/>
                          </w:rPr>
                        </w:pPr>
                      </w:p>
                    </w:txbxContent>
                  </v:textbox>
                </v:shape>
                <v:rect id="Rectangle 66" o:spid="_x0000_s1153" style="position:absolute;top:2306;width:58807;height:7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" fillcolor="#f2f2f2" strokecolor="#c2a5ec" strokeweight="1pt">
                  <v:textbox inset="2mm,1mm,2mm,1mm">
                    <w:txbxContent>
                      <w:p w14:paraId="05B99A31" w14:textId="3C5345E0" w:rsidR="008515E3" w:rsidRPr="003955C9" w:rsidRDefault="008515E3" w:rsidP="008515E3">
                        <w:pPr>
                          <w:spacing w:after="0" w:line="276" w:lineRule="auto"/>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7.3</w:t>
      </w:r>
    </w:p>
    <w:p w14:paraId="42BAAA18" w14:textId="6AFDA758" w:rsidR="0052276B" w:rsidRPr="00434E81" w:rsidRDefault="0052276B" w:rsidP="00434E81">
      <w:pPr>
        <w:spacing w:before="200" w:after="600" w:line="240" w:lineRule="auto"/>
        <w:ind w:left="170" w:right="113"/>
      </w:pPr>
      <w:r w:rsidRPr="003955C9">
        <w:t xml:space="preserve">The National Careers Institute should collaborate with tertiary providers, industry and other stakeholders to improve awareness of clean energy career pathways, including the </w:t>
      </w:r>
      <w:r>
        <w:t>many</w:t>
      </w:r>
      <w:r w:rsidRPr="003955C9">
        <w:t xml:space="preserve"> </w:t>
      </w:r>
      <w:r>
        <w:t xml:space="preserve">different </w:t>
      </w:r>
      <w:r w:rsidRPr="003955C9">
        <w:t>education and training options to speciali</w:t>
      </w:r>
      <w:r>
        <w:t>s</w:t>
      </w:r>
      <w:r w:rsidRPr="003955C9">
        <w:t>e.</w:t>
      </w:r>
    </w:p>
    <w:p w14:paraId="6B4EA22C" w14:textId="4B80D520" w:rsidR="00E6256B" w:rsidRPr="00E5087D" w:rsidRDefault="00E6256B" w:rsidP="00641B5D">
      <w:pPr>
        <w:pStyle w:val="Heading3"/>
        <w:rPr>
          <w:rStyle w:val="normaltextrun"/>
          <w:rFonts w:cs="Arial"/>
          <w:b w:val="0"/>
          <w:bCs/>
          <w:szCs w:val="32"/>
        </w:rPr>
      </w:pPr>
      <w:r w:rsidRPr="00E5087D">
        <w:rPr>
          <w:rStyle w:val="normaltextrun"/>
          <w:rFonts w:cs="Arial"/>
          <w:bCs/>
          <w:szCs w:val="32"/>
        </w:rPr>
        <w:t xml:space="preserve">A </w:t>
      </w:r>
      <w:r w:rsidR="00F8623F">
        <w:rPr>
          <w:rStyle w:val="normaltextrun"/>
          <w:rFonts w:cs="Arial"/>
          <w:bCs/>
          <w:szCs w:val="32"/>
        </w:rPr>
        <w:t xml:space="preserve">harmonised </w:t>
      </w:r>
      <w:r w:rsidRPr="00E5087D">
        <w:rPr>
          <w:rStyle w:val="normaltextrun"/>
          <w:rFonts w:cs="Arial"/>
          <w:bCs/>
          <w:szCs w:val="32"/>
        </w:rPr>
        <w:t>tertiary system</w:t>
      </w:r>
    </w:p>
    <w:p w14:paraId="20E67D21" w14:textId="3AD7D772" w:rsidR="001944BA" w:rsidRDefault="50E545A1" w:rsidP="00E6256B">
      <w:pPr>
        <w:spacing w:after="120" w:line="276" w:lineRule="auto"/>
        <w:rPr>
          <w:rFonts w:cs="Arial"/>
          <w14:numForm w14:val="lining"/>
          <w14:numSpacing w14:val="proportional"/>
        </w:rPr>
      </w:pPr>
      <w:r w:rsidRPr="00E5087D">
        <w:rPr>
          <w:rFonts w:cs="Arial"/>
          <w14:numForm w14:val="lining"/>
          <w14:numSpacing w14:val="proportional"/>
        </w:rPr>
        <w:t xml:space="preserve">Stakeholders have long yearned for a </w:t>
      </w:r>
      <w:r w:rsidR="1287CD3B">
        <w:rPr>
          <w:rFonts w:cs="Arial"/>
          <w14:numForm w14:val="lining"/>
          <w14:numSpacing w14:val="proportional"/>
        </w:rPr>
        <w:t>harmonise</w:t>
      </w:r>
      <w:r w:rsidR="0F942DB9">
        <w:rPr>
          <w:rFonts w:cs="Arial"/>
          <w14:numForm w14:val="lining"/>
          <w14:numSpacing w14:val="proportional"/>
        </w:rPr>
        <w:t>d</w:t>
      </w:r>
      <w:r w:rsidR="1287CD3B">
        <w:rPr>
          <w:rFonts w:cs="Arial"/>
          <w14:numForm w14:val="lining"/>
          <w14:numSpacing w14:val="proportional"/>
        </w:rPr>
        <w:t xml:space="preserve"> </w:t>
      </w:r>
      <w:r w:rsidRPr="00E5087D">
        <w:rPr>
          <w:rFonts w:cs="Arial"/>
          <w14:numForm w14:val="lining"/>
          <w14:numSpacing w14:val="proportional"/>
        </w:rPr>
        <w:t xml:space="preserve">tertiary education system in Australia, creating opportunities for student mobility between the VET and Higher Education as the pinnacle goal for long-term workforce and policy development. </w:t>
      </w:r>
      <w:r w:rsidR="086B64F3" w:rsidRPr="002E299E">
        <w:rPr>
          <w:rFonts w:cs="Arial"/>
          <w14:numForm w14:val="lining"/>
          <w14:numSpacing w14:val="proportional"/>
        </w:rPr>
        <w:t>The Ai Group noted that the ongoing disconnect between VET and Higher Education has led to industry needs not being met and new innovations being stifled, compounding the overall growth of the sector.</w:t>
      </w:r>
      <w:r w:rsidR="086B64F3">
        <w:rPr>
          <w:rFonts w:cs="Arial"/>
          <w14:numForm w14:val="lining"/>
          <w14:numSpacing w14:val="proportional"/>
        </w:rPr>
        <w:t xml:space="preserve"> </w:t>
      </w:r>
    </w:p>
    <w:p w14:paraId="0C0D4CF7" w14:textId="7FD8B6E4"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The draft VET Reform Roadmap published in April 2021 had among</w:t>
      </w:r>
      <w:r w:rsidR="005D7E95">
        <w:rPr>
          <w:rFonts w:cs="Arial"/>
          <w14:numForm w14:val="lining"/>
          <w14:numSpacing w14:val="proportional"/>
        </w:rPr>
        <w:t>st</w:t>
      </w:r>
      <w:r w:rsidRPr="00E5087D">
        <w:rPr>
          <w:rFonts w:cs="Arial"/>
          <w14:numForm w14:val="lining"/>
          <w14:numSpacing w14:val="proportional"/>
        </w:rPr>
        <w:t xml:space="preserve"> its goals improving cross-sector cooperation and integration, citing “stronger alignment and integration between VET and Higher Education as one of the seven destinations that will need to be reached</w:t>
      </w:r>
      <w:r w:rsidR="005D7E95">
        <w:rPr>
          <w:rFonts w:cs="Arial"/>
          <w14:numForm w14:val="lining"/>
          <w14:numSpacing w14:val="proportional"/>
        </w:rPr>
        <w:t>”</w:t>
      </w:r>
      <w:r w:rsidRPr="00E5087D">
        <w:rPr>
          <w:rFonts w:cs="Arial"/>
          <w14:numForm w14:val="lining"/>
          <w14:numSpacing w14:val="proportional"/>
        </w:rPr>
        <w:t>.</w:t>
      </w:r>
      <w:r w:rsidRPr="00E5087D">
        <w:rPr>
          <w:rStyle w:val="EndnoteReference"/>
          <w:rFonts w:cs="Arial"/>
          <w14:numForm w14:val="lining"/>
          <w14:numSpacing w14:val="proportional"/>
        </w:rPr>
        <w:endnoteReference w:id="151"/>
      </w:r>
      <w:r w:rsidRPr="00E5087D">
        <w:rPr>
          <w:rFonts w:cs="Arial"/>
          <w14:numForm w14:val="lining"/>
          <w14:numSpacing w14:val="proportional"/>
        </w:rPr>
        <w:t xml:space="preserve"> </w:t>
      </w:r>
      <w:r w:rsidR="00D765C1">
        <w:rPr>
          <w:rFonts w:cs="Arial"/>
          <w14:numForm w14:val="lining"/>
          <w14:numSpacing w14:val="proportional"/>
        </w:rPr>
        <w:t>More recently, t</w:t>
      </w:r>
      <w:r w:rsidRPr="00E5087D">
        <w:rPr>
          <w:rFonts w:cs="Arial"/>
          <w14:numForm w14:val="lining"/>
          <w14:numSpacing w14:val="proportional"/>
        </w:rPr>
        <w:t>he Universities Accord Interim Report emphasise</w:t>
      </w:r>
      <w:r w:rsidR="00D765C1">
        <w:rPr>
          <w:rFonts w:cs="Arial"/>
          <w14:numForm w14:val="lining"/>
          <w14:numSpacing w14:val="proportional"/>
        </w:rPr>
        <w:t>d</w:t>
      </w:r>
      <w:r w:rsidRPr="00E5087D">
        <w:rPr>
          <w:rFonts w:cs="Arial"/>
          <w14:numForm w14:val="lining"/>
          <w14:numSpacing w14:val="proportional"/>
        </w:rPr>
        <w:t xml:space="preserve"> the importance of bringing together VET and higher education, particularly in areas of critical skills needs. However, </w:t>
      </w:r>
      <w:r w:rsidR="00405F9A">
        <w:rPr>
          <w:rFonts w:cs="Arial"/>
          <w14:numForm w14:val="lining"/>
          <w14:numSpacing w14:val="proportional"/>
        </w:rPr>
        <w:t xml:space="preserve">the </w:t>
      </w:r>
      <w:r w:rsidR="00807F99">
        <w:rPr>
          <w:rFonts w:cs="Arial"/>
          <w14:numForm w14:val="lining"/>
          <w14:numSpacing w14:val="proportional"/>
        </w:rPr>
        <w:t>I</w:t>
      </w:r>
      <w:r w:rsidR="00405F9A">
        <w:rPr>
          <w:rFonts w:cs="Arial"/>
          <w14:numForm w14:val="lining"/>
          <w14:numSpacing w14:val="proportional"/>
        </w:rPr>
        <w:t xml:space="preserve">nterim </w:t>
      </w:r>
      <w:r w:rsidR="00807F99">
        <w:rPr>
          <w:rFonts w:cs="Arial"/>
          <w14:numForm w14:val="lining"/>
          <w14:numSpacing w14:val="proportional"/>
        </w:rPr>
        <w:t>R</w:t>
      </w:r>
      <w:r w:rsidR="00405F9A">
        <w:rPr>
          <w:rFonts w:cs="Arial"/>
          <w14:numForm w14:val="lining"/>
          <w14:numSpacing w14:val="proportional"/>
        </w:rPr>
        <w:t>eport</w:t>
      </w:r>
      <w:r w:rsidRPr="00E5087D">
        <w:rPr>
          <w:rFonts w:cs="Arial"/>
          <w14:numForm w14:val="lining"/>
          <w14:numSpacing w14:val="proportional"/>
        </w:rPr>
        <w:t xml:space="preserve"> noted that the </w:t>
      </w:r>
      <w:r w:rsidR="00405F9A">
        <w:rPr>
          <w:rFonts w:cs="Arial"/>
          <w14:numForm w14:val="lining"/>
          <w14:numSpacing w14:val="proportional"/>
        </w:rPr>
        <w:t xml:space="preserve">reform of the </w:t>
      </w:r>
      <w:r w:rsidRPr="00E5087D">
        <w:rPr>
          <w:rFonts w:cs="Arial"/>
          <w14:numForm w14:val="lining"/>
          <w14:numSpacing w14:val="proportional"/>
        </w:rPr>
        <w:t xml:space="preserve">Australian Qualifications Framework (AQF) </w:t>
      </w:r>
      <w:r w:rsidR="00FD626F">
        <w:rPr>
          <w:rFonts w:cs="Arial"/>
          <w14:numForm w14:val="lining"/>
          <w14:numSpacing w14:val="proportional"/>
        </w:rPr>
        <w:t xml:space="preserve">could be a critical element </w:t>
      </w:r>
      <w:r w:rsidR="001128D7">
        <w:rPr>
          <w:rFonts w:cs="Arial"/>
          <w14:numForm w14:val="lining"/>
          <w14:numSpacing w14:val="proportional"/>
        </w:rPr>
        <w:t>of a new tertiary education system</w:t>
      </w:r>
      <w:r w:rsidR="00405F9A">
        <w:rPr>
          <w:rFonts w:cs="Arial"/>
          <w14:numForm w14:val="lining"/>
          <w14:numSpacing w14:val="proportional"/>
        </w:rPr>
        <w:t xml:space="preserve">. </w:t>
      </w:r>
    </w:p>
    <w:p w14:paraId="5B07926E" w14:textId="77777777" w:rsidR="00A6265F" w:rsidRPr="00E5087D" w:rsidRDefault="00E6256B" w:rsidP="00130E0C">
      <w:pPr>
        <w:pStyle w:val="IntenseQuote"/>
        <w:spacing w:before="240" w:after="120"/>
        <w:ind w:left="794" w:right="794"/>
        <w:rPr>
          <w:color w:val="000000" w:themeColor="text1"/>
        </w:rPr>
      </w:pPr>
      <w:r w:rsidRPr="00E5087D">
        <w:rPr>
          <w:color w:val="000000" w:themeColor="text1"/>
        </w:rPr>
        <w:t>“Increasingly skills development in many areas of study will require both the best elements of VET and higher education. An Accord for the future of the tertiary sector needs to bring together governments, education providers, employers, regulators, peak bodies for the professions and the labour movement in a shared purpose to better align skills development across the tertiary sector with the skills needs of employers and workers”.</w:t>
      </w:r>
    </w:p>
    <w:p w14:paraId="754E64A9" w14:textId="655AE6A4" w:rsidR="00E6256B" w:rsidRPr="00E5087D" w:rsidRDefault="00E6256B" w:rsidP="00A6265F">
      <w:pPr>
        <w:pStyle w:val="IntenseQuote"/>
        <w:spacing w:before="120" w:after="120"/>
        <w:ind w:left="794" w:right="794"/>
        <w:rPr>
          <w:rStyle w:val="EndnoteReference"/>
          <w:color w:val="000000" w:themeColor="text1"/>
        </w:rPr>
      </w:pPr>
      <w:r w:rsidRPr="00E5087D">
        <w:t xml:space="preserve">– </w:t>
      </w:r>
      <w:r w:rsidRPr="5FE65E9E">
        <w:rPr>
          <w:i w:val="0"/>
        </w:rPr>
        <w:t>Australian Universities Accord - Interim Report</w:t>
      </w:r>
      <w:r w:rsidR="7BE4F763" w:rsidRPr="60E8ABAC">
        <w:rPr>
          <w:i w:val="0"/>
          <w:iCs w:val="0"/>
        </w:rPr>
        <w:t>.</w:t>
      </w:r>
      <w:r w:rsidRPr="60E8ABAC">
        <w:rPr>
          <w:rStyle w:val="EndnoteReference"/>
          <w:i w:val="0"/>
        </w:rPr>
        <w:endnoteReference w:id="152"/>
      </w:r>
    </w:p>
    <w:p w14:paraId="5B78ABCB" w14:textId="3122DEC1" w:rsidR="00E6256B" w:rsidRPr="00E5087D" w:rsidRDefault="00934195" w:rsidP="0052276B">
      <w:pPr>
        <w:spacing w:before="360" w:line="276" w:lineRule="auto"/>
        <w:rPr>
          <w:rFonts w:cs="Arial"/>
          <w14:numForm w14:val="lining"/>
          <w14:numSpacing w14:val="proportional"/>
        </w:rPr>
      </w:pPr>
      <w:r>
        <w:rPr>
          <w:rFonts w:cs="Arial"/>
          <w14:numForm w14:val="lining"/>
          <w14:numSpacing w14:val="proportional"/>
        </w:rPr>
        <w:t>Addressing t</w:t>
      </w:r>
      <w:r w:rsidR="00E6256B" w:rsidRPr="00E5087D">
        <w:rPr>
          <w:rFonts w:cs="Arial"/>
          <w14:numForm w14:val="lining"/>
          <w14:numSpacing w14:val="proportional"/>
        </w:rPr>
        <w:t xml:space="preserve">hese barriers will be critical to reducing friction and enable collaboration, but will take the effort of both </w:t>
      </w:r>
      <w:r w:rsidR="00FE77C9">
        <w:rPr>
          <w:rFonts w:cs="Arial"/>
          <w14:numForm w14:val="lining"/>
          <w14:numSpacing w14:val="proportional"/>
        </w:rPr>
        <w:t>systems</w:t>
      </w:r>
      <w:r w:rsidR="00E6256B" w:rsidRPr="00E5087D">
        <w:rPr>
          <w:rFonts w:cs="Arial"/>
          <w14:numForm w14:val="lining"/>
          <w14:numSpacing w14:val="proportional"/>
        </w:rPr>
        <w:t>. Given VET and higher education systems are also in the midst of major reforms, the time for genuine action should be now.</w:t>
      </w:r>
    </w:p>
    <w:p w14:paraId="6960A888" w14:textId="77777777" w:rsidR="00586B9D" w:rsidRPr="00434E81" w:rsidRDefault="00586B9D">
      <w:pPr>
        <w:rPr>
          <w:rStyle w:val="normaltextrun"/>
          <w:rFonts w:eastAsiaTheme="majorEastAsia" w:cs="Arial"/>
          <w:b/>
          <w:bCs/>
          <w:sz w:val="32"/>
          <w:szCs w:val="32"/>
        </w:rPr>
      </w:pPr>
      <w:r>
        <w:rPr>
          <w:rStyle w:val="normaltextrun"/>
          <w:rFonts w:cs="Arial"/>
          <w:bCs/>
          <w:color w:val="FF0000"/>
          <w:szCs w:val="32"/>
        </w:rPr>
        <w:br w:type="page"/>
      </w:r>
    </w:p>
    <w:p w14:paraId="3F636316" w14:textId="77777777" w:rsidR="00E6256B" w:rsidRPr="004F656D" w:rsidRDefault="00E6256B" w:rsidP="00641B5D">
      <w:pPr>
        <w:pStyle w:val="Heading3"/>
        <w:rPr>
          <w:rStyle w:val="normaltextrun"/>
          <w:rFonts w:cs="Arial"/>
          <w:szCs w:val="32"/>
        </w:rPr>
      </w:pPr>
      <w:r w:rsidRPr="004F656D">
        <w:rPr>
          <w:rStyle w:val="normaltextrun"/>
          <w:rFonts w:cs="Arial"/>
          <w:szCs w:val="32"/>
        </w:rPr>
        <w:t>Consistent occupational licencing</w:t>
      </w:r>
    </w:p>
    <w:p w14:paraId="3F91EBD7" w14:textId="1779AFEF" w:rsidR="00926BC2" w:rsidRDefault="00586B9D" w:rsidP="00586B9D">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Occupational </w:t>
      </w:r>
      <w:r w:rsidR="0038711A">
        <w:rPr>
          <w:rFonts w:eastAsia="Arial" w:cs="Arial"/>
          <w14:numForm w14:val="lining"/>
          <w14:numSpacing w14:val="proportional"/>
        </w:rPr>
        <w:t>licencing</w:t>
      </w:r>
      <w:r w:rsidRPr="00A715AA">
        <w:rPr>
          <w:rFonts w:eastAsia="Arial" w:cs="Arial"/>
          <w14:numForm w14:val="lining"/>
          <w14:numSpacing w14:val="proportional"/>
        </w:rPr>
        <w:t xml:space="preserve"> exists to </w:t>
      </w:r>
      <w:r w:rsidR="00E41A8B">
        <w:rPr>
          <w:rFonts w:eastAsia="Arial" w:cs="Arial"/>
          <w14:numForm w14:val="lining"/>
          <w14:numSpacing w14:val="proportional"/>
        </w:rPr>
        <w:t xml:space="preserve">ensure </w:t>
      </w:r>
      <w:r w:rsidR="000A7F99">
        <w:rPr>
          <w:rFonts w:eastAsia="Arial" w:cs="Arial"/>
          <w14:numForm w14:val="lining"/>
          <w14:numSpacing w14:val="proportional"/>
        </w:rPr>
        <w:t xml:space="preserve">quality and protect the safety of consumers and workers. However, licencing </w:t>
      </w:r>
      <w:r w:rsidR="004C51F9">
        <w:rPr>
          <w:rFonts w:eastAsia="Arial" w:cs="Arial"/>
          <w14:numForm w14:val="lining"/>
          <w14:numSpacing w14:val="proportional"/>
        </w:rPr>
        <w:t xml:space="preserve">can </w:t>
      </w:r>
      <w:r w:rsidR="000A7F99">
        <w:rPr>
          <w:rFonts w:eastAsia="Arial" w:cs="Arial"/>
          <w14:numForm w14:val="lining"/>
          <w14:numSpacing w14:val="proportional"/>
        </w:rPr>
        <w:t>also act as a barrier and reduce the number of people that can work in that occupation.</w:t>
      </w:r>
      <w:r w:rsidR="00F45005">
        <w:rPr>
          <w:rFonts w:eastAsia="Arial" w:cs="Arial"/>
          <w14:numForm w14:val="lining"/>
          <w14:numSpacing w14:val="proportional"/>
        </w:rPr>
        <w:t xml:space="preserve"> This is particularly true for migrants who may satisfy skills assessment requirements but </w:t>
      </w:r>
      <w:r w:rsidR="00294D1B">
        <w:rPr>
          <w:rFonts w:eastAsia="Arial" w:cs="Arial"/>
          <w14:numForm w14:val="lining"/>
          <w14:numSpacing w14:val="proportional"/>
        </w:rPr>
        <w:t xml:space="preserve">fail to meet </w:t>
      </w:r>
      <w:r w:rsidR="00FF3420">
        <w:rPr>
          <w:rFonts w:eastAsia="Arial" w:cs="Arial"/>
          <w14:numForm w14:val="lining"/>
          <w14:numSpacing w14:val="proportional"/>
        </w:rPr>
        <w:t>licencing</w:t>
      </w:r>
      <w:r w:rsidR="00294D1B">
        <w:rPr>
          <w:rFonts w:eastAsia="Arial" w:cs="Arial"/>
          <w14:numForm w14:val="lining"/>
          <w14:numSpacing w14:val="proportional"/>
        </w:rPr>
        <w:t xml:space="preserve"> requirements, leaving them in a labour market limbo</w:t>
      </w:r>
      <w:r w:rsidR="00FF3420">
        <w:rPr>
          <w:rFonts w:eastAsia="Arial" w:cs="Arial"/>
          <w14:numForm w14:val="lining"/>
          <w14:numSpacing w14:val="proportional"/>
        </w:rPr>
        <w:t>.</w:t>
      </w:r>
      <w:r w:rsidR="00FF3420" w:rsidRPr="00A715AA">
        <w:rPr>
          <w:rStyle w:val="EndnoteReference"/>
          <w:rFonts w:eastAsia="Arial" w:cs="Arial"/>
          <w14:numForm w14:val="lining"/>
          <w14:numSpacing w14:val="proportional"/>
        </w:rPr>
        <w:endnoteReference w:id="153"/>
      </w:r>
    </w:p>
    <w:p w14:paraId="5D879DBF" w14:textId="2009C2F9" w:rsidR="00926BC2" w:rsidRDefault="004C51F9" w:rsidP="00586B9D">
      <w:pPr>
        <w:spacing w:before="120" w:after="120" w:line="276" w:lineRule="auto"/>
        <w:rPr>
          <w:rFonts w:eastAsia="Arial" w:cs="Arial"/>
          <w14:numForm w14:val="lining"/>
          <w14:numSpacing w14:val="proportional"/>
        </w:rPr>
      </w:pPr>
      <w:r>
        <w:rPr>
          <w:rFonts w:eastAsia="Arial" w:cs="Arial"/>
          <w14:numForm w14:val="lining"/>
          <w14:numSpacing w14:val="proportional"/>
        </w:rPr>
        <w:t>Each state and territory is responsible for deciding which occupations need registration o</w:t>
      </w:r>
      <w:r w:rsidR="00FF3420">
        <w:rPr>
          <w:rFonts w:eastAsia="Arial" w:cs="Arial"/>
          <w14:numForm w14:val="lining"/>
          <w14:numSpacing w14:val="proportional"/>
        </w:rPr>
        <w:t>r</w:t>
      </w:r>
      <w:r>
        <w:rPr>
          <w:rFonts w:eastAsia="Arial" w:cs="Arial"/>
          <w14:numForm w14:val="lining"/>
          <w14:numSpacing w14:val="proportional"/>
        </w:rPr>
        <w:t xml:space="preserve"> licencing, and the requirements that go with it. </w:t>
      </w:r>
      <w:r w:rsidR="00BC467A">
        <w:rPr>
          <w:rFonts w:eastAsia="Arial" w:cs="Arial"/>
          <w14:numForm w14:val="lining"/>
          <w14:numSpacing w14:val="proportional"/>
        </w:rPr>
        <w:t xml:space="preserve">This has resulted in inconsistent approaches across Australia that can limit worker mobility, something that is particularly important in a highly mobile </w:t>
      </w:r>
      <w:r w:rsidR="00FF3420">
        <w:rPr>
          <w:rFonts w:eastAsia="Arial" w:cs="Arial"/>
          <w14:numForm w14:val="lining"/>
          <w14:numSpacing w14:val="proportional"/>
        </w:rPr>
        <w:t xml:space="preserve">and trade-dominant </w:t>
      </w:r>
      <w:r w:rsidR="00BC467A">
        <w:rPr>
          <w:rFonts w:eastAsia="Arial" w:cs="Arial"/>
          <w14:numForm w14:val="lining"/>
          <w14:numSpacing w14:val="proportional"/>
        </w:rPr>
        <w:t>workforce like clean energy</w:t>
      </w:r>
      <w:r w:rsidR="00926BC2">
        <w:rPr>
          <w:rFonts w:eastAsia="Arial" w:cs="Arial"/>
          <w14:numForm w14:val="lining"/>
          <w14:numSpacing w14:val="proportional"/>
        </w:rPr>
        <w:t xml:space="preserve">. Some stakeholders have raised the need for better harmonisation of licencing across Australia, which is something that could be </w:t>
      </w:r>
      <w:r w:rsidR="006C3BCC">
        <w:rPr>
          <w:rFonts w:eastAsia="Arial" w:cs="Arial"/>
          <w14:numForm w14:val="lining"/>
          <w14:numSpacing w14:val="proportional"/>
        </w:rPr>
        <w:t>facilitated through</w:t>
      </w:r>
      <w:r w:rsidR="00926BC2">
        <w:rPr>
          <w:rFonts w:eastAsia="Arial" w:cs="Arial"/>
          <w14:numForm w14:val="lining"/>
          <w14:numSpacing w14:val="proportional"/>
        </w:rPr>
        <w:t xml:space="preserve"> the National Energy Workforce Strategy</w:t>
      </w:r>
      <w:r w:rsidR="006C3BCC">
        <w:rPr>
          <w:rFonts w:eastAsia="Arial" w:cs="Arial"/>
          <w14:numForm w14:val="lining"/>
          <w14:numSpacing w14:val="proportional"/>
        </w:rPr>
        <w:t xml:space="preserve"> as a priority focus.</w:t>
      </w:r>
    </w:p>
    <w:p w14:paraId="2A90F7B0" w14:textId="1B9F06E6" w:rsidR="00926BC2" w:rsidRDefault="00926BC2" w:rsidP="004F656D">
      <w:pPr>
        <w:pStyle w:val="IntenseQuote"/>
        <w:spacing w:after="240"/>
        <w:rPr>
          <w:color w:val="000000" w:themeColor="text1"/>
        </w:rPr>
      </w:pPr>
      <w:r w:rsidRPr="004F656D">
        <w:rPr>
          <w:color w:val="000000" w:themeColor="text1"/>
        </w:rPr>
        <w:t>State and Federal governments must take immediate action to update, streamline and nationally harmonise relevant occupational licences to reduce barriers to labour mobility where this will not jeopardise safety. Licensing should enable modern training pathways in new technologies such as small-scale renewables and electric vehicles.</w:t>
      </w:r>
    </w:p>
    <w:p w14:paraId="7E943CE4" w14:textId="7FF2ABE4" w:rsidR="00926BC2" w:rsidRPr="004F656D" w:rsidRDefault="24017CD7" w:rsidP="004F656D">
      <w:pPr>
        <w:pStyle w:val="IntenseQuote"/>
        <w:spacing w:before="240"/>
        <w:rPr>
          <w:i w:val="0"/>
        </w:rPr>
      </w:pPr>
      <w:r>
        <w:t>–</w:t>
      </w:r>
      <w:r w:rsidR="00926BC2">
        <w:t xml:space="preserve"> </w:t>
      </w:r>
      <w:r w:rsidR="00926BC2" w:rsidRPr="3E880473">
        <w:rPr>
          <w:i w:val="0"/>
          <w:iCs w:val="0"/>
        </w:rPr>
        <w:t xml:space="preserve">Powering the Transition, </w:t>
      </w:r>
      <w:r w:rsidR="00DE3806" w:rsidRPr="3E880473">
        <w:rPr>
          <w:i w:val="0"/>
          <w:iCs w:val="0"/>
        </w:rPr>
        <w:t>Committee for Economic Development of Australia (</w:t>
      </w:r>
      <w:r w:rsidR="00926BC2" w:rsidRPr="3E880473">
        <w:rPr>
          <w:i w:val="0"/>
          <w:iCs w:val="0"/>
        </w:rPr>
        <w:t>CEDA</w:t>
      </w:r>
      <w:r w:rsidR="00DE3806" w:rsidRPr="60E8ABAC">
        <w:rPr>
          <w:i w:val="0"/>
          <w:iCs w:val="0"/>
        </w:rPr>
        <w:t>)</w:t>
      </w:r>
      <w:r w:rsidR="7E84B2C7" w:rsidRPr="60E8ABAC">
        <w:rPr>
          <w:i w:val="0"/>
          <w:iCs w:val="0"/>
        </w:rPr>
        <w:t>.</w:t>
      </w:r>
      <w:r w:rsidR="00926BC2" w:rsidRPr="3E880473">
        <w:rPr>
          <w:rStyle w:val="EndnoteReference"/>
          <w:i w:val="0"/>
          <w:iCs w:val="0"/>
        </w:rPr>
        <w:endnoteReference w:id="154"/>
      </w:r>
    </w:p>
    <w:p w14:paraId="7D290B64" w14:textId="44E32952" w:rsidR="00BC467A" w:rsidRPr="00A715AA" w:rsidRDefault="00BC467A" w:rsidP="00BC467A">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The establishment of the Automatic Mutual Recognition (AMR) </w:t>
      </w:r>
      <w:r>
        <w:rPr>
          <w:rFonts w:eastAsia="Arial" w:cs="Arial"/>
          <w14:numForm w14:val="lining"/>
          <w14:numSpacing w14:val="proportional"/>
        </w:rPr>
        <w:t xml:space="preserve">from </w:t>
      </w:r>
      <w:r w:rsidRPr="00A715AA">
        <w:rPr>
          <w:rFonts w:eastAsia="Arial" w:cs="Arial"/>
          <w14:numForm w14:val="lining"/>
          <w14:numSpacing w14:val="proportional"/>
        </w:rPr>
        <w:t>1 July 2021 has improved the recognition of occupational licensing across Australian states and territories.</w:t>
      </w:r>
      <w:r w:rsidRPr="00A715AA">
        <w:rPr>
          <w:rStyle w:val="EndnoteReference"/>
          <w:rFonts w:eastAsia="Arial" w:cs="Arial"/>
          <w14:numForm w14:val="lining"/>
          <w14:numSpacing w14:val="proportional"/>
        </w:rPr>
        <w:endnoteReference w:id="155"/>
      </w:r>
      <w:r w:rsidRPr="00A715AA">
        <w:rPr>
          <w:rFonts w:eastAsia="Arial" w:cs="Arial"/>
          <w14:numForm w14:val="lining"/>
          <w14:numSpacing w14:val="proportional"/>
        </w:rPr>
        <w:t xml:space="preserve"> Th</w:t>
      </w:r>
      <w:r w:rsidR="00F45005">
        <w:rPr>
          <w:rFonts w:eastAsia="Arial" w:cs="Arial"/>
          <w14:numForm w14:val="lining"/>
          <w14:numSpacing w14:val="proportional"/>
        </w:rPr>
        <w:t xml:space="preserve">is new approach has </w:t>
      </w:r>
      <w:r w:rsidRPr="00A715AA">
        <w:rPr>
          <w:rFonts w:eastAsia="Arial" w:cs="Arial"/>
          <w14:numForm w14:val="lining"/>
          <w14:numSpacing w14:val="proportional"/>
        </w:rPr>
        <w:t>removed additional licensing and registration fees when working in another state or territory. However, not all occupations are covered</w:t>
      </w:r>
      <w:r w:rsidR="0054490F">
        <w:rPr>
          <w:rFonts w:eastAsia="Arial" w:cs="Arial"/>
          <w14:numForm w14:val="lining"/>
          <w14:numSpacing w14:val="proportional"/>
        </w:rPr>
        <w:t>,</w:t>
      </w:r>
      <w:r w:rsidRPr="00A715AA">
        <w:rPr>
          <w:rFonts w:eastAsia="Arial" w:cs="Arial"/>
          <w14:numForm w14:val="lining"/>
          <w14:numSpacing w14:val="proportional"/>
        </w:rPr>
        <w:t xml:space="preserve"> and Queensland </w:t>
      </w:r>
      <w:r w:rsidR="0054490F">
        <w:rPr>
          <w:rFonts w:eastAsia="Arial" w:cs="Arial"/>
          <w14:numForm w14:val="lining"/>
          <w14:numSpacing w14:val="proportional"/>
        </w:rPr>
        <w:t>has</w:t>
      </w:r>
      <w:r w:rsidRPr="00A715AA">
        <w:rPr>
          <w:rFonts w:eastAsia="Arial" w:cs="Arial"/>
          <w14:numForm w14:val="lining"/>
          <w14:numSpacing w14:val="proportional"/>
        </w:rPr>
        <w:t xml:space="preserve"> yet to </w:t>
      </w:r>
      <w:r w:rsidR="0054490F">
        <w:rPr>
          <w:rFonts w:eastAsia="Arial" w:cs="Arial"/>
          <w14:numForm w14:val="lining"/>
          <w14:numSpacing w14:val="proportional"/>
        </w:rPr>
        <w:t>join the scheme</w:t>
      </w:r>
      <w:r w:rsidRPr="00A715AA">
        <w:rPr>
          <w:rFonts w:eastAsia="Arial" w:cs="Arial"/>
          <w14:numForm w14:val="lining"/>
          <w14:numSpacing w14:val="proportional"/>
        </w:rPr>
        <w:t>.</w:t>
      </w:r>
      <w:r w:rsidRPr="00A715AA">
        <w:rPr>
          <w:rStyle w:val="EndnoteReference"/>
          <w:rFonts w:eastAsia="Arial" w:cs="Arial"/>
          <w14:numForm w14:val="lining"/>
          <w14:numSpacing w14:val="proportional"/>
        </w:rPr>
        <w:endnoteReference w:id="156"/>
      </w:r>
    </w:p>
    <w:p w14:paraId="2AA6F6E3" w14:textId="282A0FA5" w:rsidR="00BC467A" w:rsidRPr="00A715AA" w:rsidRDefault="00BC467A" w:rsidP="00BC467A">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Further, inconsistences currently exist across multiple state and territory jurisdictions in the list of AMR occupations. For example, licensed </w:t>
      </w:r>
      <w:r w:rsidR="31376239" w:rsidRPr="00A715AA">
        <w:rPr>
          <w:rFonts w:eastAsia="Arial" w:cs="Arial"/>
          <w14:numForm w14:val="lining"/>
          <w14:numSpacing w14:val="proportional"/>
        </w:rPr>
        <w:t>E</w:t>
      </w:r>
      <w:r w:rsidRPr="00A715AA">
        <w:rPr>
          <w:rFonts w:eastAsia="Arial" w:cs="Arial"/>
          <w14:numForm w14:val="lining"/>
          <w14:numSpacing w14:val="proportional"/>
        </w:rPr>
        <w:t>lectricians from Queensland, Victoria and the ACT allow automatic recognition under the East Coast Electricians scheme</w:t>
      </w:r>
      <w:r w:rsidRPr="00A715AA">
        <w:rPr>
          <w:rStyle w:val="EndnoteReference"/>
          <w:rFonts w:eastAsia="Arial" w:cs="Arial"/>
          <w14:numForm w14:val="lining"/>
          <w14:numSpacing w14:val="proportional"/>
        </w:rPr>
        <w:endnoteReference w:id="157"/>
      </w:r>
      <w:r w:rsidRPr="00A715AA">
        <w:rPr>
          <w:rFonts w:eastAsia="Arial" w:cs="Arial"/>
          <w14:numForm w14:val="lining"/>
          <w14:numSpacing w14:val="proportional"/>
        </w:rPr>
        <w:t xml:space="preserve">, with activities under electrical wiring work slated to commence under the AMR scheme in NSW from 1 July 2024. On the other hand, executive powers under state ministers provide the opportunity to exempt registrations from automatic deemed registration (ADR) occupations if it poses a significant risk to consumer protection, the environment, animal welfare or the health or safety of workers or the public. As an example, the ACT Government has exempted the following occupations from achieving the AMR, including but not limited to Electricians, Gasfitters, Plumbers, </w:t>
      </w:r>
      <w:r w:rsidR="3599A934" w:rsidRPr="00A715AA">
        <w:rPr>
          <w:rFonts w:eastAsia="Arial" w:cs="Arial"/>
          <w14:numForm w14:val="lining"/>
          <w14:numSpacing w14:val="proportional"/>
        </w:rPr>
        <w:t>a</w:t>
      </w:r>
      <w:r w:rsidRPr="00A715AA">
        <w:rPr>
          <w:rFonts w:eastAsia="Arial" w:cs="Arial"/>
          <w14:numForm w14:val="lining"/>
          <w14:numSpacing w14:val="proportional"/>
        </w:rPr>
        <w:t>nd Builders</w:t>
      </w:r>
      <w:r w:rsidR="5CD92E5B" w:rsidRPr="00A715AA">
        <w:rPr>
          <w:rFonts w:eastAsia="Arial" w:cs="Arial"/>
          <w14:numForm w14:val="lining"/>
          <w14:numSpacing w14:val="proportional"/>
        </w:rPr>
        <w:t>,</w:t>
      </w:r>
      <w:r w:rsidRPr="00A715AA">
        <w:rPr>
          <w:rFonts w:eastAsia="Arial" w:cs="Arial"/>
          <w14:numForm w14:val="lining"/>
          <w14:numSpacing w14:val="proportional"/>
        </w:rPr>
        <w:t xml:space="preserve"> to name a few.</w:t>
      </w:r>
      <w:r w:rsidRPr="00A715AA">
        <w:rPr>
          <w:rStyle w:val="EndnoteReference"/>
          <w:rFonts w:eastAsia="Arial" w:cs="Arial"/>
          <w14:numForm w14:val="lining"/>
          <w14:numSpacing w14:val="proportional"/>
        </w:rPr>
        <w:endnoteReference w:id="158"/>
      </w:r>
      <w:r w:rsidRPr="00A715AA">
        <w:rPr>
          <w:rFonts w:eastAsia="Arial" w:cs="Arial"/>
          <w14:numForm w14:val="lining"/>
          <w14:numSpacing w14:val="proportional"/>
        </w:rPr>
        <w:t xml:space="preserve"> </w:t>
      </w:r>
    </w:p>
    <w:p w14:paraId="625A2A2B" w14:textId="7C6B6CCE" w:rsidR="00BC467A" w:rsidRPr="00A715AA" w:rsidRDefault="00BC467A" w:rsidP="00BC467A">
      <w:pPr>
        <w:spacing w:before="120" w:after="120" w:line="276" w:lineRule="auto"/>
        <w:rPr>
          <w:rFonts w:eastAsia="Arial" w:cs="Arial"/>
          <w14:numForm w14:val="lining"/>
          <w14:numSpacing w14:val="proportional"/>
        </w:rPr>
      </w:pPr>
      <w:r w:rsidRPr="00A715AA">
        <w:rPr>
          <w:rFonts w:eastAsia="Arial" w:cs="Arial"/>
          <w14:numForm w14:val="lining"/>
          <w14:numSpacing w14:val="proportional"/>
        </w:rPr>
        <w:t xml:space="preserve">Although significant progress has been made in the harmonisation of mutual recognition of occupations through the AMR scheme, not all occupations that require licensing have been recognised. The absence of Queensland under this initiative potentially impedes the overall progress of the nation’s transition towards net zero. Addressing these issues and the inclusion of Queensland under the AMR scheme will be critical to achieve a cohesive licensing arrangement that is fit for purpose across all states and territories. </w:t>
      </w:r>
    </w:p>
    <w:p w14:paraId="675F1E79" w14:textId="66035BD1" w:rsidR="00E6256B" w:rsidRPr="00E5087D" w:rsidRDefault="00E6256B" w:rsidP="00E6256B">
      <w:pPr>
        <w:pStyle w:val="Heading2"/>
        <w:rPr>
          <w:rStyle w:val="normaltextrun"/>
        </w:rPr>
      </w:pPr>
      <w:bookmarkStart w:id="79" w:name="_Toc146892695"/>
      <w:r w:rsidRPr="00BF465F">
        <w:rPr>
          <w:rStyle w:val="normaltextrun"/>
          <w:rFonts w:asciiTheme="minorHAnsi" w:hAnsiTheme="minorHAnsi" w:cstheme="minorHAnsi"/>
        </w:rPr>
        <w:t>7</w:t>
      </w:r>
      <w:r w:rsidRPr="00BF465F">
        <w:rPr>
          <w:rStyle w:val="normaltextrun"/>
          <w:rFonts w:asciiTheme="minorHAnsi" w:hAnsiTheme="minorHAnsi" w:cstheme="minorHAnsi"/>
          <w:smallCaps/>
        </w:rPr>
        <w:t>b</w:t>
      </w:r>
      <w:r w:rsidRPr="00BF465F">
        <w:rPr>
          <w:rStyle w:val="normaltextrun"/>
          <w:rFonts w:asciiTheme="minorHAnsi" w:hAnsiTheme="minorHAnsi" w:cstheme="minorHAnsi"/>
        </w:rPr>
        <w:t>.</w:t>
      </w:r>
      <w:r w:rsidRPr="00E5087D">
        <w:rPr>
          <w:rStyle w:val="normaltextrun"/>
        </w:rPr>
        <w:t xml:space="preserve"> </w:t>
      </w:r>
      <w:r w:rsidRPr="00E5087D">
        <w:rPr>
          <w:rStyle w:val="normaltextrun"/>
          <w:b w:val="0"/>
          <w:bCs/>
        </w:rPr>
        <w:t>Funding and program design</w:t>
      </w:r>
      <w:bookmarkEnd w:id="79"/>
    </w:p>
    <w:p w14:paraId="4720F3C7" w14:textId="77777777" w:rsidR="00E6256B" w:rsidRPr="00E5087D" w:rsidRDefault="00E6256B" w:rsidP="00641B5D">
      <w:pPr>
        <w:pStyle w:val="Heading3"/>
        <w:rPr>
          <w:rStyle w:val="normaltextrun"/>
        </w:rPr>
      </w:pPr>
      <w:r w:rsidRPr="00E5087D">
        <w:rPr>
          <w:rStyle w:val="normaltextrun"/>
        </w:rPr>
        <w:t>New and responsive curriculum</w:t>
      </w:r>
    </w:p>
    <w:p w14:paraId="563501BE" w14:textId="77777777" w:rsidR="00E6256B" w:rsidRPr="00E5087D" w:rsidRDefault="00E6256B" w:rsidP="00E6256B">
      <w:pPr>
        <w:pStyle w:val="Bodycopy"/>
        <w:spacing w:after="120" w:line="276" w:lineRule="auto"/>
        <w:rPr>
          <w:rFonts w:cs="Arial"/>
          <w14:numForm w14:val="lining"/>
          <w14:numSpacing w14:val="proportional"/>
        </w:rPr>
      </w:pPr>
      <w:r w:rsidRPr="00E5087D">
        <w:rPr>
          <w:rFonts w:cs="Arial"/>
          <w14:numForm w14:val="lining"/>
          <w14:numSpacing w14:val="proportional"/>
        </w:rPr>
        <w:t xml:space="preserve">As new technologies appear, and emerging sectors start to grow, new courses will be needed to deliver graduates with the right skills. The speed at which some of these changes are happening leaves the tertiary sector little time to respond, meaning anticipation and agility are key. Apprentices and undergraduate degrees are typically three to four year commitments, creating an in-built lag of at least several years in the system. Consultation has indicated that even industry is struggling to identify its current skill needs, let alone future needs. </w:t>
      </w:r>
    </w:p>
    <w:p w14:paraId="4A90B7CE" w14:textId="2318F525" w:rsidR="00E6256B" w:rsidRPr="00E5087D" w:rsidRDefault="00E6256B" w:rsidP="00E6256B">
      <w:pPr>
        <w:pStyle w:val="Bodycopy"/>
        <w:spacing w:after="120" w:line="276" w:lineRule="auto"/>
        <w:rPr>
          <w:rFonts w:cs="Arial"/>
          <w14:numForm w14:val="lining"/>
          <w14:numSpacing w14:val="proportional"/>
        </w:rPr>
      </w:pPr>
      <w:r w:rsidRPr="00E5087D">
        <w:rPr>
          <w:rFonts w:cs="Arial"/>
          <w14:numForm w14:val="lining"/>
          <w14:numSpacing w14:val="proportional"/>
        </w:rPr>
        <w:t xml:space="preserve">Designing and delivering new courses can be particularly challenging for emerging sectors. High upfront capital costs, low initial demand from students and employers, and a lack of trainers with industry experience are just some of the challenges. Roundtable discussions suggested that the Australian Government could play a greater role by providing seed funding to support curriculum development, and </w:t>
      </w:r>
      <w:r w:rsidR="1C86CDE8" w:rsidRPr="00E5087D">
        <w:rPr>
          <w:rFonts w:cs="Arial"/>
          <w14:numForm w14:val="lining"/>
          <w14:numSpacing w14:val="proportional"/>
        </w:rPr>
        <w:t xml:space="preserve">to </w:t>
      </w:r>
      <w:r w:rsidRPr="00E5087D">
        <w:rPr>
          <w:rFonts w:cs="Arial"/>
          <w14:numForm w14:val="lining"/>
          <w14:numSpacing w14:val="proportional"/>
        </w:rPr>
        <w:t xml:space="preserve">consider reforming funding models. </w:t>
      </w:r>
    </w:p>
    <w:p w14:paraId="2CE83540" w14:textId="1F3486A0" w:rsidR="00E6256B" w:rsidRPr="00E5087D" w:rsidRDefault="00584E18" w:rsidP="00E6256B">
      <w:pPr>
        <w:pStyle w:val="Bodycopy"/>
        <w:spacing w:after="120" w:line="276" w:lineRule="auto"/>
        <w:rPr>
          <w:rFonts w:cs="Arial"/>
          <w14:numForm w14:val="lining"/>
          <w14:numSpacing w14:val="proportional"/>
        </w:rPr>
      </w:pPr>
      <w:r w:rsidRPr="00584E18">
        <w:rPr>
          <w:rFonts w:cs="Arial"/>
          <w14:numForm w14:val="lining"/>
          <w14:numSpacing w14:val="proportional"/>
        </w:rPr>
        <w:t>JSC</w:t>
      </w:r>
      <w:r>
        <w:rPr>
          <w:rFonts w:cs="Arial"/>
          <w14:numForm w14:val="lining"/>
          <w14:numSpacing w14:val="proportional"/>
        </w:rPr>
        <w:t>s</w:t>
      </w:r>
      <w:r w:rsidR="00E6256B" w:rsidRPr="00E5087D">
        <w:rPr>
          <w:rFonts w:cs="Arial"/>
          <w14:numForm w14:val="lining"/>
          <w14:numSpacing w14:val="proportional"/>
        </w:rPr>
        <w:t xml:space="preserve"> will have an important role to ensure VET training packages remain relevant by working closely with industry and other key stakeholders like unions, training providers, peak bodies and professional associations. Unlike in higher education, VET providers are unable to self-accredit courses</w:t>
      </w:r>
      <w:r w:rsidR="002C7478">
        <w:rPr>
          <w:rFonts w:cs="Arial"/>
          <w14:numForm w14:val="lining"/>
          <w14:numSpacing w14:val="proportional"/>
        </w:rPr>
        <w:t xml:space="preserve"> in many cases</w:t>
      </w:r>
      <w:r w:rsidR="00E6256B" w:rsidRPr="00E5087D">
        <w:rPr>
          <w:rFonts w:cs="Arial"/>
          <w14:numForm w14:val="lining"/>
          <w14:numSpacing w14:val="proportional"/>
        </w:rPr>
        <w:t xml:space="preserve">, </w:t>
      </w:r>
      <w:r w:rsidR="001D4FE7">
        <w:rPr>
          <w:rFonts w:cs="Arial"/>
          <w14:numForm w14:val="lining"/>
          <w14:numSpacing w14:val="proportional"/>
        </w:rPr>
        <w:t xml:space="preserve">therein </w:t>
      </w:r>
      <w:r w:rsidR="00E6256B" w:rsidRPr="00E5087D">
        <w:rPr>
          <w:rFonts w:cs="Arial"/>
          <w14:numForm w14:val="lining"/>
          <w14:numSpacing w14:val="proportional"/>
        </w:rPr>
        <w:t xml:space="preserve">limiting their </w:t>
      </w:r>
      <w:r w:rsidR="001D4FE7">
        <w:rPr>
          <w:rFonts w:cs="Arial"/>
          <w14:numForm w14:val="lining"/>
          <w14:numSpacing w14:val="proportional"/>
        </w:rPr>
        <w:t>overall</w:t>
      </w:r>
      <w:r w:rsidR="00E6256B" w:rsidRPr="00E5087D">
        <w:rPr>
          <w:rFonts w:cs="Arial"/>
          <w14:numForm w14:val="lining"/>
          <w14:numSpacing w14:val="proportional"/>
        </w:rPr>
        <w:t xml:space="preserve"> ability to quickly respond to emerging skills needs. If established, TAFE Centres of Excellence may be well placed to trial self-accreditation in their area of focus, improving the sectors ability to respond to rapid change.</w:t>
      </w:r>
      <w:r w:rsidR="0065321B">
        <w:rPr>
          <w:rFonts w:cs="Arial"/>
          <w14:numForm w14:val="lining"/>
          <w14:numSpacing w14:val="proportional"/>
        </w:rPr>
        <w:t xml:space="preserve"> We also heard from stakeholders that universities are not </w:t>
      </w:r>
      <w:r w:rsidR="00B85B23">
        <w:rPr>
          <w:rFonts w:cs="Arial"/>
          <w14:numForm w14:val="lining"/>
          <w14:numSpacing w14:val="proportional"/>
        </w:rPr>
        <w:t xml:space="preserve">typically </w:t>
      </w:r>
      <w:r w:rsidR="0065321B">
        <w:rPr>
          <w:rFonts w:cs="Arial"/>
          <w14:numForm w14:val="lining"/>
          <w14:numSpacing w14:val="proportional"/>
        </w:rPr>
        <w:t>incentiv</w:t>
      </w:r>
      <w:r w:rsidR="00B85B23">
        <w:rPr>
          <w:rFonts w:cs="Arial"/>
          <w14:numForm w14:val="lining"/>
          <w14:numSpacing w14:val="proportional"/>
        </w:rPr>
        <w:t>ised</w:t>
      </w:r>
      <w:r w:rsidR="0065321B">
        <w:rPr>
          <w:rFonts w:cs="Arial"/>
          <w14:numForm w14:val="lining"/>
          <w14:numSpacing w14:val="proportional"/>
        </w:rPr>
        <w:t xml:space="preserve"> to design or deliver courses in areas of national priority, including clean energy. </w:t>
      </w:r>
      <w:r w:rsidR="00B85B23">
        <w:rPr>
          <w:rFonts w:cs="Arial"/>
          <w14:numForm w14:val="lining"/>
          <w14:numSpacing w14:val="proportional"/>
        </w:rPr>
        <w:t>This is a result of current funding structures and could be explored as part of the Universities Accord.</w:t>
      </w:r>
    </w:p>
    <w:p w14:paraId="634FA2CD" w14:textId="3B09F0F2" w:rsidR="00E6256B" w:rsidRDefault="00C55ECC" w:rsidP="00043F58">
      <w:pPr>
        <w:pStyle w:val="Bodycopy"/>
        <w:spacing w:after="240" w:line="276" w:lineRule="auto"/>
        <w:rPr>
          <w:rFonts w:cs="Arial"/>
          <w14:numForm w14:val="lining"/>
          <w14:numSpacing w14:val="proportional"/>
        </w:rPr>
      </w:pPr>
      <w:r w:rsidRPr="00BB2E09">
        <w:rPr>
          <w:noProof/>
        </w:rPr>
        <mc:AlternateContent>
          <mc:Choice Requires="wpg">
            <w:drawing>
              <wp:anchor distT="0" distB="0" distL="114300" distR="114300" simplePos="0" relativeHeight="251658307" behindDoc="1" locked="0" layoutInCell="1" allowOverlap="1" wp14:anchorId="39F8E975" wp14:editId="7B257215">
                <wp:simplePos x="0" y="0"/>
                <wp:positionH relativeFrom="column">
                  <wp:posOffset>0</wp:posOffset>
                </wp:positionH>
                <wp:positionV relativeFrom="paragraph">
                  <wp:posOffset>1414280</wp:posOffset>
                </wp:positionV>
                <wp:extent cx="5731510" cy="715620"/>
                <wp:effectExtent l="0" t="0" r="21590" b="27940"/>
                <wp:wrapNone/>
                <wp:docPr id="71" name="Group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15620"/>
                          <a:chOff x="0" y="0"/>
                          <a:chExt cx="5880735" cy="734596"/>
                        </a:xfrm>
                      </wpg:grpSpPr>
                      <wps:wsp>
                        <wps:cNvPr id="1341085136" name="Rectangle: Top Corners Rounded 134108513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8C1548" w14:textId="56FD3F13" w:rsidR="00043F58" w:rsidRPr="006E07A7" w:rsidRDefault="00043F58" w:rsidP="00043F5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37" name="Rectangle 1341085137"/>
                        <wps:cNvSpPr/>
                        <wps:spPr>
                          <a:xfrm>
                            <a:off x="0" y="230662"/>
                            <a:ext cx="5880735" cy="503934"/>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F04BB" w14:textId="095A15E1" w:rsidR="00043F58" w:rsidRPr="00A90F3C" w:rsidRDefault="00043F58" w:rsidP="00043F58">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39F8E975" id="Group 71" o:spid="_x0000_s1154" alt="&quot;&quot;" style="position:absolute;margin-left:0;margin-top:111.35pt;width:451.3pt;height:56.35pt;z-index:-251658173;mso-position-horizontal-relative:text;mso-position-vertical-relative:text" coordsize="58807,7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">
                <v:shape id="Rectangle: Top Corners Rounded 1341085136" o:spid="_x0000_s1155"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088C1548" w14:textId="56FD3F13" w:rsidR="00043F58" w:rsidRPr="006E07A7" w:rsidRDefault="00043F58" w:rsidP="00043F58">
                        <w:pPr>
                          <w:spacing w:after="0" w:line="240" w:lineRule="auto"/>
                          <w:rPr>
                            <w:b/>
                            <w:bCs/>
                            <w14:numForm w14:val="lining"/>
                            <w14:numSpacing w14:val="proportional"/>
                          </w:rPr>
                        </w:pPr>
                      </w:p>
                    </w:txbxContent>
                  </v:textbox>
                </v:shape>
                <v:rect id="Rectangle 1341085137" o:spid="_x0000_s1156" style="position:absolute;top:2306;width:58807;height:5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" fillcolor="#f2f2f2" strokecolor="#c2a5ec" strokeweight="1pt">
                  <v:textbox inset="2mm,1mm,2mm,1mm">
                    <w:txbxContent>
                      <w:p w14:paraId="3B2F04BB" w14:textId="095A15E1" w:rsidR="00043F58" w:rsidRPr="00A90F3C" w:rsidRDefault="00043F58" w:rsidP="00043F58">
                        <w:pPr>
                          <w:spacing w:after="0" w:line="276" w:lineRule="auto"/>
                          <w:ind w:left="113" w:right="113"/>
                          <w:rPr>
                            <w:lang w:val="en-US"/>
                          </w:rPr>
                        </w:pPr>
                      </w:p>
                    </w:txbxContent>
                  </v:textbox>
                </v:rect>
              </v:group>
            </w:pict>
          </mc:Fallback>
        </mc:AlternateContent>
      </w:r>
      <w:r w:rsidR="00E6256B" w:rsidRPr="00E5087D">
        <w:rPr>
          <w:rFonts w:cs="Arial"/>
          <w14:numForm w14:val="lining"/>
          <w14:numSpacing w14:val="proportional"/>
        </w:rPr>
        <w:t xml:space="preserve">As explored in </w:t>
      </w:r>
      <w:r w:rsidR="00E6256B" w:rsidRPr="00E5087D">
        <w:rPr>
          <w:rFonts w:cs="Arial"/>
          <w:b/>
          <w:bCs/>
          <w14:numForm w14:val="lining"/>
          <w14:numSpacing w14:val="proportional"/>
        </w:rPr>
        <w:t>Chapter 4</w:t>
      </w:r>
      <w:r w:rsidR="00E6256B" w:rsidRPr="00E5087D">
        <w:rPr>
          <w:rFonts w:cs="Arial"/>
          <w14:numForm w14:val="lining"/>
          <w14:numSpacing w14:val="proportional"/>
        </w:rPr>
        <w:t>, the VET sector will benefit from course design that can be sustainably delivered. Highly specialised, firm-specific training will limit workers’ ability to apply their skills in different settings, and make it difficult for the VET sector to deliver. Specialised electives, core units and skillsets may be more cost effective and timely than bespoke qualifications. Similarly, industry led training and certification plays an important role to bridge the gap between what is sustainable and appropriate for tertiary education to deliver, and what is needed in the workplace.</w:t>
      </w:r>
    </w:p>
    <w:p w14:paraId="4C69A5A0" w14:textId="6691B70F" w:rsidR="00C55ECC" w:rsidRPr="006E07A7" w:rsidRDefault="00C55ECC" w:rsidP="00C55ECC">
      <w:pPr>
        <w:spacing w:before="240"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7.4</w:t>
      </w:r>
    </w:p>
    <w:p w14:paraId="6006034C" w14:textId="5414D2A8" w:rsidR="00C55ECC" w:rsidRPr="00A90F3C" w:rsidRDefault="00C55ECC" w:rsidP="00C55ECC">
      <w:pPr>
        <w:spacing w:before="200" w:after="0" w:line="240" w:lineRule="auto"/>
        <w:ind w:left="170" w:right="113"/>
        <w:rPr>
          <w:lang w:val="en-US"/>
        </w:rPr>
      </w:pPr>
      <w:r w:rsidRPr="00043F58">
        <w:rPr>
          <w:lang w:val="en-US"/>
        </w:rPr>
        <w:t>Consider giving TAFE Centres of Excellence authority to self-accredit courses in their areas of expertise to expedite new training.</w:t>
      </w:r>
    </w:p>
    <w:p w14:paraId="1DF28EC8" w14:textId="3FA2286B" w:rsidR="00C55ECC" w:rsidRPr="006E07A7" w:rsidRDefault="00C55ECC" w:rsidP="00C55ECC">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8" behindDoc="1" locked="0" layoutInCell="1" allowOverlap="1" wp14:anchorId="52D3CC7B" wp14:editId="689F07C2">
                <wp:simplePos x="0" y="0"/>
                <wp:positionH relativeFrom="column">
                  <wp:posOffset>0</wp:posOffset>
                </wp:positionH>
                <wp:positionV relativeFrom="paragraph">
                  <wp:posOffset>190514</wp:posOffset>
                </wp:positionV>
                <wp:extent cx="5731510" cy="1037618"/>
                <wp:effectExtent l="0" t="0" r="21590" b="10160"/>
                <wp:wrapNone/>
                <wp:docPr id="1341085138" name="Group 1341085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37618"/>
                          <a:chOff x="0" y="0"/>
                          <a:chExt cx="5880735" cy="913426"/>
                        </a:xfrm>
                      </wpg:grpSpPr>
                      <wps:wsp>
                        <wps:cNvPr id="1341085139" name="Rectangle: Top Corners Rounded 1341085139"/>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EFF774" w14:textId="09C9CE0D" w:rsidR="00043F58" w:rsidRPr="006E07A7" w:rsidRDefault="00043F58" w:rsidP="00043F5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40" name="Rectangle 1341085140"/>
                        <wps:cNvSpPr/>
                        <wps:spPr>
                          <a:xfrm>
                            <a:off x="0" y="230662"/>
                            <a:ext cx="5880735" cy="682764"/>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AE287" w14:textId="5C2D4CCD" w:rsidR="00043F58" w:rsidRPr="00A90F3C" w:rsidRDefault="00043F58" w:rsidP="00043F58">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2D3CC7B" id="Group 1341085138" o:spid="_x0000_s1157" alt="&quot;&quot;" style="position:absolute;left:0;text-align:left;margin-left:0;margin-top:15pt;width:451.3pt;height:81.7pt;z-index:-251658172;mso-position-horizontal-relative:text;mso-position-vertical-relative:text;mso-height-relative:margin" coordsize="58807,9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">
                <v:shape id="Rectangle: Top Corners Rounded 1341085139" o:spid="_x0000_s1158"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9EFF774" w14:textId="09C9CE0D" w:rsidR="00043F58" w:rsidRPr="006E07A7" w:rsidRDefault="00043F58" w:rsidP="00043F58">
                        <w:pPr>
                          <w:spacing w:after="0" w:line="240" w:lineRule="auto"/>
                          <w:rPr>
                            <w:b/>
                            <w:bCs/>
                            <w14:numForm w14:val="lining"/>
                            <w14:numSpacing w14:val="proportional"/>
                          </w:rPr>
                        </w:pPr>
                      </w:p>
                    </w:txbxContent>
                  </v:textbox>
                </v:shape>
                <v:rect id="Rectangle 1341085140" o:spid="_x0000_s1159" style="position:absolute;top:2306;width:58807;height:6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" fillcolor="#f2f2f2" strokecolor="#c2a5ec" strokeweight="1pt">
                  <v:textbox inset="2mm,1mm,2mm,1mm">
                    <w:txbxContent>
                      <w:p w14:paraId="3D0AE287" w14:textId="5C2D4CCD" w:rsidR="00043F58" w:rsidRPr="00A90F3C" w:rsidRDefault="00043F58" w:rsidP="00043F58">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7.5</w:t>
      </w:r>
    </w:p>
    <w:p w14:paraId="0F81FB23" w14:textId="3593B1F8" w:rsidR="00043F58" w:rsidRPr="00434E81" w:rsidRDefault="00C55ECC" w:rsidP="00434E81">
      <w:pPr>
        <w:spacing w:before="200" w:after="0" w:line="240" w:lineRule="auto"/>
        <w:ind w:left="170" w:right="113"/>
        <w:rPr>
          <w:lang w:val="en-US"/>
        </w:rPr>
      </w:pPr>
      <w:r w:rsidRPr="00043F58">
        <w:rPr>
          <w:lang w:val="en-US"/>
        </w:rPr>
        <w:t>Explore mechanisms to provide seed funding to universities, TAFE Centres of Excellence and other education providers to develop curriculum in priority areas. These areas would need to be identified through robust criteria</w:t>
      </w:r>
      <w:r>
        <w:rPr>
          <w:lang w:val="en-US"/>
        </w:rPr>
        <w:t xml:space="preserve"> co-designed with state and territory governments.</w:t>
      </w:r>
    </w:p>
    <w:p w14:paraId="07CAA393" w14:textId="77777777" w:rsidR="00E6256B" w:rsidRPr="00E5087D" w:rsidRDefault="00E6256B" w:rsidP="00641B5D">
      <w:pPr>
        <w:pStyle w:val="Heading3"/>
        <w:rPr>
          <w:rStyle w:val="normaltextrun"/>
          <w:b w:val="0"/>
          <w:bCs/>
          <w:szCs w:val="32"/>
        </w:rPr>
      </w:pPr>
      <w:r w:rsidRPr="00E5087D">
        <w:rPr>
          <w:rStyle w:val="normaltextrun"/>
          <w:bCs/>
          <w:szCs w:val="32"/>
        </w:rPr>
        <w:t>Servicing thin markets and regions</w:t>
      </w:r>
    </w:p>
    <w:p w14:paraId="03F1EB4A" w14:textId="48A6474F"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RTOs can only deliver training sustainably where there is a supply of learners willing and able to enrol. This can be particularly difficult for specialised training where the </w:t>
      </w:r>
      <w:r w:rsidR="00004FB2">
        <w:rPr>
          <w:rFonts w:cs="Arial"/>
          <w14:numForm w14:val="lining"/>
          <w14:numSpacing w14:val="proportional"/>
        </w:rPr>
        <w:t>number</w:t>
      </w:r>
      <w:r w:rsidRPr="00E5087D">
        <w:rPr>
          <w:rFonts w:cs="Arial"/>
          <w14:numForm w14:val="lining"/>
          <w14:numSpacing w14:val="proportional"/>
        </w:rPr>
        <w:t xml:space="preserve"> of workers needed is small, limiting the number of students prepared to commit to that career path. In the past, </w:t>
      </w:r>
      <w:r w:rsidR="00A14CE1" w:rsidRPr="063FE17D">
        <w:rPr>
          <w:rFonts w:cs="Arial"/>
        </w:rPr>
        <w:t xml:space="preserve">employment in </w:t>
      </w:r>
      <w:r w:rsidRPr="00E5087D">
        <w:rPr>
          <w:rFonts w:cs="Arial"/>
          <w14:numForm w14:val="lining"/>
          <w14:numSpacing w14:val="proportional"/>
        </w:rPr>
        <w:t>energy</w:t>
      </w:r>
      <w:r w:rsidR="00A14CE1" w:rsidRPr="063FE17D">
        <w:rPr>
          <w:rFonts w:cs="Arial"/>
        </w:rPr>
        <w:t xml:space="preserve"> supply</w:t>
      </w:r>
      <w:r w:rsidRPr="00E5087D">
        <w:rPr>
          <w:rFonts w:cs="Arial"/>
          <w14:numForm w14:val="lining"/>
          <w14:numSpacing w14:val="proportional"/>
        </w:rPr>
        <w:t xml:space="preserve"> has been concentrated in a handful of regions, allowing education and training providers to scale </w:t>
      </w:r>
      <w:r w:rsidR="0070299A">
        <w:rPr>
          <w:rFonts w:cs="Arial"/>
          <w14:numForm w14:val="lining"/>
          <w14:numSpacing w14:val="proportional"/>
        </w:rPr>
        <w:t xml:space="preserve">up </w:t>
      </w:r>
      <w:r w:rsidR="49C13E0D">
        <w:rPr>
          <w:rFonts w:cs="Arial"/>
          <w14:numForm w14:val="lining"/>
          <w14:numSpacing w14:val="proportional"/>
        </w:rPr>
        <w:t xml:space="preserve">delivery </w:t>
      </w:r>
      <w:r w:rsidR="0070299A">
        <w:rPr>
          <w:rFonts w:cs="Arial"/>
          <w14:numForm w14:val="lining"/>
          <w14:numSpacing w14:val="proportional"/>
        </w:rPr>
        <w:t>for</w:t>
      </w:r>
      <w:r w:rsidRPr="00E5087D">
        <w:rPr>
          <w:rFonts w:cs="Arial"/>
          <w14:numForm w14:val="lining"/>
          <w14:numSpacing w14:val="proportional"/>
        </w:rPr>
        <w:t xml:space="preserve"> local industry need</w:t>
      </w:r>
      <w:r w:rsidR="0070299A">
        <w:rPr>
          <w:rFonts w:cs="Arial"/>
          <w14:numForm w14:val="lining"/>
          <w14:numSpacing w14:val="proportional"/>
        </w:rPr>
        <w:t>s</w:t>
      </w:r>
      <w:r w:rsidRPr="00E5087D">
        <w:rPr>
          <w:rFonts w:cs="Arial"/>
          <w14:numForm w14:val="lining"/>
          <w14:numSpacing w14:val="proportional"/>
        </w:rPr>
        <w:t xml:space="preserve">. This approach is difficult to apply to clean energy because the sector is more </w:t>
      </w:r>
      <w:r w:rsidR="009F2648">
        <w:rPr>
          <w:rFonts w:cs="Arial"/>
          <w14:numForm w14:val="lining"/>
          <w14:numSpacing w14:val="proportional"/>
        </w:rPr>
        <w:t xml:space="preserve">mobile and often </w:t>
      </w:r>
      <w:r w:rsidRPr="00E5087D">
        <w:rPr>
          <w:rFonts w:cs="Arial"/>
          <w14:numForm w14:val="lining"/>
          <w14:numSpacing w14:val="proportional"/>
        </w:rPr>
        <w:t>dispersed</w:t>
      </w:r>
      <w:r w:rsidR="009F2648">
        <w:rPr>
          <w:rFonts w:cs="Arial"/>
          <w14:numForm w14:val="lining"/>
          <w14:numSpacing w14:val="proportional"/>
        </w:rPr>
        <w:t xml:space="preserve"> where tertiary markets are thin.</w:t>
      </w:r>
      <w:r w:rsidRPr="00E5087D">
        <w:rPr>
          <w:rFonts w:cs="Arial"/>
          <w14:numForm w14:val="lining"/>
          <w14:numSpacing w14:val="proportional"/>
        </w:rPr>
        <w:t xml:space="preserve"> Clean energy training can also be capital and equipment intensive, making it unviable for smaller, regional</w:t>
      </w:r>
      <w:r w:rsidR="00C7653E">
        <w:rPr>
          <w:rFonts w:cs="Arial"/>
          <w14:numForm w14:val="lining"/>
          <w14:numSpacing w14:val="proportional"/>
        </w:rPr>
        <w:t>ly</w:t>
      </w:r>
      <w:r w:rsidRPr="00E5087D">
        <w:rPr>
          <w:rFonts w:cs="Arial"/>
          <w14:numForm w14:val="lining"/>
          <w14:numSpacing w14:val="proportional"/>
        </w:rPr>
        <w:t xml:space="preserve"> </w:t>
      </w:r>
      <w:r w:rsidR="00C7653E">
        <w:rPr>
          <w:rFonts w:cs="Arial"/>
          <w14:numForm w14:val="lining"/>
          <w14:numSpacing w14:val="proportional"/>
        </w:rPr>
        <w:t xml:space="preserve">located </w:t>
      </w:r>
      <w:r w:rsidRPr="00E5087D">
        <w:rPr>
          <w:rFonts w:cs="Arial"/>
          <w14:numForm w14:val="lining"/>
          <w14:numSpacing w14:val="proportional"/>
        </w:rPr>
        <w:t>providers to offer.</w:t>
      </w:r>
    </w:p>
    <w:p w14:paraId="3F7585F3" w14:textId="77777777" w:rsidR="00A6265F" w:rsidRPr="00E5087D" w:rsidRDefault="00E6256B" w:rsidP="00A6265F">
      <w:pPr>
        <w:pStyle w:val="IntenseQuote"/>
        <w:spacing w:before="240" w:after="120"/>
        <w:ind w:left="737"/>
        <w:rPr>
          <w:color w:val="000000" w:themeColor="text1"/>
        </w:rPr>
      </w:pPr>
      <w:r w:rsidRPr="00E5087D">
        <w:rPr>
          <w:color w:val="000000" w:themeColor="text1"/>
        </w:rPr>
        <w:t xml:space="preserve">“Communities in regional locations have little sense of what ongoing employment opportunities exist on a wind, solar, battery or hydropower site. Training organisations are also unsure of the skills and qualifications to offer locals in preparation for upcoming renewable energy projects in the region.” </w:t>
      </w:r>
    </w:p>
    <w:p w14:paraId="72DC21CA" w14:textId="65A1ACA8" w:rsidR="00E6256B" w:rsidRPr="00E5087D" w:rsidRDefault="00E6256B" w:rsidP="00A6265F">
      <w:pPr>
        <w:pStyle w:val="IntenseQuote"/>
        <w:spacing w:before="120" w:after="240"/>
        <w:ind w:left="737"/>
        <w:rPr>
          <w:rStyle w:val="FootnoteReference"/>
          <w:i w:val="0"/>
        </w:rPr>
      </w:pPr>
      <w:r w:rsidRPr="00E5087D">
        <w:t xml:space="preserve">– </w:t>
      </w:r>
      <w:r w:rsidRPr="72EB74C8">
        <w:rPr>
          <w:i w:val="0"/>
          <w:iCs w:val="0"/>
        </w:rPr>
        <w:t>Clean Energy Council</w:t>
      </w:r>
      <w:r w:rsidR="6ACF95A9" w:rsidRPr="72EB74C8">
        <w:rPr>
          <w:i w:val="0"/>
          <w:iCs w:val="0"/>
        </w:rPr>
        <w:t>.</w:t>
      </w:r>
      <w:r w:rsidRPr="72EB74C8">
        <w:rPr>
          <w:rStyle w:val="EndnoteReference"/>
          <w:i w:val="0"/>
          <w:iCs w:val="0"/>
        </w:rPr>
        <w:endnoteReference w:id="159"/>
      </w:r>
    </w:p>
    <w:p w14:paraId="02092D29" w14:textId="76ECBC39"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An as example of mitigating this barrier, TAFE NSW are considering hub-and-spoke models of training that align with the NSW </w:t>
      </w:r>
      <w:r w:rsidR="009B43EA">
        <w:rPr>
          <w:rFonts w:cs="Arial"/>
          <w14:numForm w14:val="lining"/>
          <w14:numSpacing w14:val="proportional"/>
        </w:rPr>
        <w:t>REZs</w:t>
      </w:r>
      <w:r w:rsidRPr="00E5087D">
        <w:rPr>
          <w:rFonts w:cs="Arial"/>
          <w14:numForm w14:val="lining"/>
          <w14:numSpacing w14:val="proportional"/>
        </w:rPr>
        <w:t>. Instead of TAFE NSW constructing its own training facilities across multiple locations, it will consult with industry and gain access to existing infrastructure where possible. This will be supplemented with virtual learning where appropriate.</w:t>
      </w:r>
    </w:p>
    <w:p w14:paraId="06216049" w14:textId="77777777" w:rsidR="008F1EA9"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Clean energy workers are needed right across Australia, including in regional and remote areas away from sources of labour supply. In some instances, this requires short-term moves or fly-in-fly-out work, which can be inaccessible for apprentices, particularly in their</w:t>
      </w:r>
      <w:r w:rsidRPr="00E5087D">
        <w:t xml:space="preserve"> </w:t>
      </w:r>
      <w:r w:rsidRPr="00E5087D">
        <w:rPr>
          <w:rFonts w:cs="Arial"/>
          <w14:numForm w14:val="lining"/>
          <w14:numSpacing w14:val="proportional"/>
        </w:rPr>
        <w:t xml:space="preserve">first year. Working in remote areas is also impractical for apprentices who need to access in-class training or other work sites to gain all of their competencies. </w:t>
      </w:r>
    </w:p>
    <w:p w14:paraId="35162B3A" w14:textId="66C0BF18" w:rsidR="00E6256B" w:rsidRPr="00E5087D" w:rsidRDefault="00854EE6" w:rsidP="00E6256B">
      <w:pPr>
        <w:spacing w:after="120" w:line="276" w:lineRule="auto"/>
        <w:rPr>
          <w:rFonts w:cs="Arial"/>
          <w14:numForm w14:val="lining"/>
          <w14:numSpacing w14:val="proportional"/>
        </w:rPr>
      </w:pPr>
      <w:r>
        <w:rPr>
          <w:rFonts w:cs="Arial"/>
          <w14:numForm w14:val="lining"/>
          <w14:numSpacing w14:val="proportional"/>
        </w:rPr>
        <w:t>S</w:t>
      </w:r>
      <w:r w:rsidR="008F1EA9">
        <w:rPr>
          <w:rFonts w:cs="Arial"/>
          <w14:numForm w14:val="lining"/>
          <w14:numSpacing w14:val="proportional"/>
        </w:rPr>
        <w:t>ome stakeholders</w:t>
      </w:r>
      <w:r w:rsidR="00E6256B" w:rsidRPr="00E5087D">
        <w:rPr>
          <w:rFonts w:cs="Arial"/>
          <w14:numForm w14:val="lining"/>
          <w14:numSpacing w14:val="proportional"/>
        </w:rPr>
        <w:t xml:space="preserve"> suggest</w:t>
      </w:r>
      <w:r>
        <w:rPr>
          <w:rFonts w:cs="Arial"/>
          <w14:numForm w14:val="lining"/>
          <w14:numSpacing w14:val="proportional"/>
        </w:rPr>
        <w:t>ed</w:t>
      </w:r>
      <w:r w:rsidR="00E6256B" w:rsidRPr="00E5087D">
        <w:rPr>
          <w:rFonts w:cs="Arial"/>
          <w14:numForm w14:val="lining"/>
          <w14:numSpacing w14:val="proportional"/>
        </w:rPr>
        <w:t xml:space="preserve"> that </w:t>
      </w:r>
      <w:r w:rsidR="009D73F1">
        <w:rPr>
          <w:rFonts w:cs="Arial"/>
          <w14:numForm w14:val="lining"/>
          <w14:numSpacing w14:val="proportional"/>
        </w:rPr>
        <w:t>group training</w:t>
      </w:r>
      <w:r w:rsidR="00E6256B" w:rsidRPr="00E5087D">
        <w:rPr>
          <w:rFonts w:cs="Arial"/>
          <w14:numForm w14:val="lining"/>
          <w14:numSpacing w14:val="proportional"/>
        </w:rPr>
        <w:t xml:space="preserve"> model</w:t>
      </w:r>
      <w:r w:rsidR="009D73F1">
        <w:rPr>
          <w:rFonts w:cs="Arial"/>
          <w14:numForm w14:val="lining"/>
          <w14:numSpacing w14:val="proportional"/>
        </w:rPr>
        <w:t>s</w:t>
      </w:r>
      <w:r w:rsidR="00E6256B" w:rsidRPr="00E5087D">
        <w:rPr>
          <w:rFonts w:cs="Arial"/>
          <w14:numForm w14:val="lining"/>
          <w14:numSpacing w14:val="proportional"/>
        </w:rPr>
        <w:t xml:space="preserve"> </w:t>
      </w:r>
      <w:r w:rsidR="000A0CA3">
        <w:rPr>
          <w:rFonts w:cs="Arial"/>
          <w14:numForm w14:val="lining"/>
          <w14:numSpacing w14:val="proportional"/>
        </w:rPr>
        <w:t>can work</w:t>
      </w:r>
      <w:r w:rsidR="00E6256B" w:rsidRPr="00E5087D">
        <w:rPr>
          <w:rFonts w:cs="Arial"/>
          <w14:numForm w14:val="lining"/>
          <w14:numSpacing w14:val="proportional"/>
        </w:rPr>
        <w:t xml:space="preserve"> better in remote locations at ensuring apprentices are exposed to all the skills that their apprenticeship requires of them</w:t>
      </w:r>
      <w:r>
        <w:rPr>
          <w:rFonts w:cs="Arial"/>
          <w14:numForm w14:val="lining"/>
          <w14:numSpacing w14:val="proportional"/>
        </w:rPr>
        <w:t>.</w:t>
      </w:r>
      <w:r w:rsidR="008F1EA9">
        <w:rPr>
          <w:rFonts w:cs="Arial"/>
          <w14:numForm w14:val="lining"/>
          <w14:numSpacing w14:val="proportional"/>
        </w:rPr>
        <w:t xml:space="preserve"> </w:t>
      </w:r>
      <w:r w:rsidR="000054D8">
        <w:rPr>
          <w:rFonts w:cs="Arial"/>
          <w14:numForm w14:val="lining"/>
          <w14:numSpacing w14:val="proportional"/>
        </w:rPr>
        <w:t>There is</w:t>
      </w:r>
      <w:r w:rsidR="00DD38D6">
        <w:rPr>
          <w:rFonts w:cs="Arial"/>
          <w14:numForm w14:val="lining"/>
          <w14:numSpacing w14:val="proportional"/>
        </w:rPr>
        <w:t xml:space="preserve"> also</w:t>
      </w:r>
      <w:r w:rsidR="000054D8">
        <w:rPr>
          <w:rFonts w:cs="Arial"/>
          <w14:numForm w14:val="lining"/>
          <w14:numSpacing w14:val="proportional"/>
        </w:rPr>
        <w:t xml:space="preserve"> evidence </w:t>
      </w:r>
      <w:r w:rsidR="007C76E1">
        <w:rPr>
          <w:rFonts w:cs="Arial"/>
          <w14:numForm w14:val="lining"/>
          <w14:numSpacing w14:val="proportional"/>
        </w:rPr>
        <w:t>to</w:t>
      </w:r>
      <w:r w:rsidR="000054D8">
        <w:rPr>
          <w:rFonts w:cs="Arial"/>
          <w14:numForm w14:val="lining"/>
          <w14:numSpacing w14:val="proportional"/>
        </w:rPr>
        <w:t xml:space="preserve"> </w:t>
      </w:r>
      <w:r w:rsidR="007C76E1">
        <w:rPr>
          <w:rFonts w:cs="Arial"/>
          <w14:numForm w14:val="lining"/>
          <w14:numSpacing w14:val="proportional"/>
        </w:rPr>
        <w:t>suggest</w:t>
      </w:r>
      <w:r w:rsidR="000054D8">
        <w:rPr>
          <w:rFonts w:cs="Arial"/>
          <w14:numForm w14:val="lining"/>
          <w14:numSpacing w14:val="proportional"/>
        </w:rPr>
        <w:t xml:space="preserve"> completion rates </w:t>
      </w:r>
      <w:r w:rsidR="00053938">
        <w:rPr>
          <w:rFonts w:cs="Arial"/>
          <w14:numForm w14:val="lining"/>
          <w14:numSpacing w14:val="proportional"/>
        </w:rPr>
        <w:t>for GTO apprentices have been higher</w:t>
      </w:r>
      <w:r w:rsidR="00E6256B" w:rsidRPr="00E5087D">
        <w:rPr>
          <w:rFonts w:cs="Arial"/>
          <w14:numForm w14:val="lining"/>
          <w14:numSpacing w14:val="proportional"/>
        </w:rPr>
        <w:t xml:space="preserve"> than </w:t>
      </w:r>
      <w:r w:rsidR="007C76E1">
        <w:rPr>
          <w:rFonts w:cs="Arial"/>
          <w14:numForm w14:val="lining"/>
          <w14:numSpacing w14:val="proportional"/>
        </w:rPr>
        <w:t xml:space="preserve">those employed directly by </w:t>
      </w:r>
      <w:r w:rsidR="00053938">
        <w:rPr>
          <w:rFonts w:cs="Arial"/>
          <w14:numForm w14:val="lining"/>
          <w14:numSpacing w14:val="proportional"/>
        </w:rPr>
        <w:t xml:space="preserve">small and medium employers, including </w:t>
      </w:r>
      <w:r w:rsidR="007C76E1">
        <w:rPr>
          <w:rFonts w:cs="Arial"/>
          <w14:numForm w14:val="lining"/>
          <w14:numSpacing w14:val="proportional"/>
        </w:rPr>
        <w:t xml:space="preserve">better rates </w:t>
      </w:r>
      <w:r w:rsidR="00053938">
        <w:rPr>
          <w:rFonts w:cs="Arial"/>
          <w14:numForm w14:val="lining"/>
          <w14:numSpacing w14:val="proportional"/>
        </w:rPr>
        <w:t xml:space="preserve">for </w:t>
      </w:r>
      <w:r w:rsidR="00610C6C">
        <w:rPr>
          <w:rFonts w:cs="Arial"/>
          <w14:numForm w14:val="lining"/>
          <w14:numSpacing w14:val="proportional"/>
        </w:rPr>
        <w:t>some disadvantaged groups.</w:t>
      </w:r>
      <w:r w:rsidR="007C76E1">
        <w:rPr>
          <w:rStyle w:val="EndnoteReference"/>
          <w:rFonts w:cs="Arial"/>
          <w14:numForm w14:val="lining"/>
          <w14:numSpacing w14:val="proportional"/>
        </w:rPr>
        <w:endnoteReference w:id="160"/>
      </w:r>
      <w:r w:rsidR="00DD38D6">
        <w:rPr>
          <w:rFonts w:cs="Arial"/>
          <w14:numForm w14:val="lining"/>
          <w14:numSpacing w14:val="proportional"/>
        </w:rPr>
        <w:t xml:space="preserve"> There is merit in further exploring </w:t>
      </w:r>
      <w:r w:rsidR="000A0CA3">
        <w:rPr>
          <w:rFonts w:cs="Arial"/>
          <w14:numForm w14:val="lining"/>
          <w14:numSpacing w14:val="proportional"/>
        </w:rPr>
        <w:t xml:space="preserve">group training </w:t>
      </w:r>
      <w:r w:rsidR="00E6256B" w:rsidRPr="00E5087D">
        <w:rPr>
          <w:rFonts w:cs="Arial"/>
          <w14:numForm w14:val="lining"/>
          <w14:numSpacing w14:val="proportional"/>
        </w:rPr>
        <w:t xml:space="preserve">in the </w:t>
      </w:r>
      <w:r w:rsidR="00DD38D6">
        <w:rPr>
          <w:rFonts w:cs="Arial"/>
          <w14:numForm w14:val="lining"/>
          <w14:numSpacing w14:val="proportional"/>
        </w:rPr>
        <w:t xml:space="preserve">context of clean energy, including whether </w:t>
      </w:r>
      <w:r w:rsidR="00CE31E2">
        <w:rPr>
          <w:rFonts w:cs="Arial"/>
          <w14:numForm w14:val="lining"/>
          <w14:numSpacing w14:val="proportional"/>
        </w:rPr>
        <w:t xml:space="preserve">it </w:t>
      </w:r>
      <w:r w:rsidR="007C76E1">
        <w:rPr>
          <w:rFonts w:cs="Arial"/>
          <w14:numForm w14:val="lining"/>
          <w14:numSpacing w14:val="proportional"/>
        </w:rPr>
        <w:t>could lead to hi</w:t>
      </w:r>
      <w:r w:rsidR="795A128D">
        <w:rPr>
          <w:rFonts w:cs="Arial"/>
          <w14:numForm w14:val="lining"/>
          <w14:numSpacing w14:val="proportional"/>
        </w:rPr>
        <w:t>gher</w:t>
      </w:r>
      <w:r w:rsidR="007C76E1">
        <w:rPr>
          <w:rFonts w:cs="Arial"/>
          <w14:numForm w14:val="lining"/>
          <w14:numSpacing w14:val="proportional"/>
        </w:rPr>
        <w:t xml:space="preserve"> completion rates in regional areas and for historically underrepresented groups</w:t>
      </w:r>
      <w:r w:rsidR="00E6256B" w:rsidRPr="00E5087D">
        <w:rPr>
          <w:rFonts w:cs="Arial"/>
          <w14:numForm w14:val="lining"/>
          <w14:numSpacing w14:val="proportional"/>
        </w:rPr>
        <w:t>.</w:t>
      </w:r>
    </w:p>
    <w:p w14:paraId="2E8525CB" w14:textId="03B55733"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As part of the Northern Territory First Nations Clean Energy Strategy workshop held in Alice Springs in May</w:t>
      </w:r>
      <w:r w:rsidR="1C8A02CB" w:rsidRPr="00E5087D">
        <w:rPr>
          <w:rFonts w:cs="Arial"/>
          <w14:numForm w14:val="lining"/>
          <w14:numSpacing w14:val="proportional"/>
        </w:rPr>
        <w:t xml:space="preserve"> 2023</w:t>
      </w:r>
      <w:r w:rsidRPr="00E5087D">
        <w:rPr>
          <w:rFonts w:cs="Arial"/>
          <w14:numForm w14:val="lining"/>
          <w14:numSpacing w14:val="proportional"/>
        </w:rPr>
        <w:t>, peak bodies and community representatives highlighted that young people wanted to be able to train to get jobs within or closer to their communities rather than having to travel to Alice Springs or even Queensland.</w:t>
      </w:r>
    </w:p>
    <w:p w14:paraId="45079F6F" w14:textId="792F710F" w:rsidR="00E6256B" w:rsidRPr="00E5087D" w:rsidRDefault="00E6256B" w:rsidP="00E6256B">
      <w:pPr>
        <w:spacing w:after="120" w:line="276" w:lineRule="auto"/>
        <w:rPr>
          <w:rFonts w:cs="Arial"/>
          <w14:numForm w14:val="lining"/>
          <w14:numSpacing w14:val="proportional"/>
        </w:rPr>
      </w:pPr>
      <w:r w:rsidRPr="00E5087D">
        <w:rPr>
          <w:rFonts w:cs="Arial"/>
          <w14:numForm w14:val="lining"/>
          <w14:numSpacing w14:val="proportional"/>
        </w:rPr>
        <w:t xml:space="preserve">Because VET is typically hands-on and competency based, delivery can </w:t>
      </w:r>
      <w:r w:rsidR="009D73F1">
        <w:rPr>
          <w:rFonts w:cs="Arial"/>
          <w14:numForm w14:val="lining"/>
          <w14:numSpacing w14:val="proportional"/>
        </w:rPr>
        <w:t xml:space="preserve">sometimes </w:t>
      </w:r>
      <w:r w:rsidRPr="00E5087D">
        <w:rPr>
          <w:rFonts w:cs="Arial"/>
          <w14:numForm w14:val="lining"/>
          <w14:numSpacing w14:val="proportional"/>
        </w:rPr>
        <w:t xml:space="preserve">be less flexible than in </w:t>
      </w:r>
      <w:r w:rsidR="009D73F1">
        <w:rPr>
          <w:rFonts w:cs="Arial"/>
          <w14:numForm w14:val="lining"/>
          <w14:numSpacing w14:val="proportional"/>
        </w:rPr>
        <w:t>h</w:t>
      </w:r>
      <w:r w:rsidRPr="00E5087D">
        <w:rPr>
          <w:rFonts w:cs="Arial"/>
          <w14:numForm w14:val="lining"/>
          <w14:numSpacing w14:val="proportional"/>
        </w:rPr>
        <w:t xml:space="preserve">igher </w:t>
      </w:r>
      <w:r w:rsidR="009D73F1">
        <w:rPr>
          <w:rFonts w:cs="Arial"/>
          <w14:numForm w14:val="lining"/>
          <w14:numSpacing w14:val="proportional"/>
        </w:rPr>
        <w:t>e</w:t>
      </w:r>
      <w:r w:rsidRPr="00E5087D">
        <w:rPr>
          <w:rFonts w:cs="Arial"/>
          <w14:numForm w14:val="lining"/>
          <w14:numSpacing w14:val="proportional"/>
        </w:rPr>
        <w:t xml:space="preserve">ducation. </w:t>
      </w:r>
      <w:r w:rsidR="009D73F1">
        <w:rPr>
          <w:rFonts w:cs="Arial"/>
          <w14:numForm w14:val="lining"/>
          <w14:numSpacing w14:val="proportional"/>
        </w:rPr>
        <w:t>T</w:t>
      </w:r>
      <w:r w:rsidRPr="00E5087D">
        <w:rPr>
          <w:rFonts w:cs="Arial"/>
          <w14:numForm w14:val="lining"/>
          <w14:numSpacing w14:val="proportional"/>
        </w:rPr>
        <w:t xml:space="preserve">rade training </w:t>
      </w:r>
      <w:r w:rsidR="009D73F1">
        <w:rPr>
          <w:rFonts w:cs="Arial"/>
          <w14:numForm w14:val="lining"/>
          <w14:numSpacing w14:val="proportional"/>
        </w:rPr>
        <w:t xml:space="preserve">can often </w:t>
      </w:r>
      <w:r w:rsidRPr="00E5087D">
        <w:rPr>
          <w:rFonts w:cs="Arial"/>
          <w14:numForm w14:val="lining"/>
          <w14:numSpacing w14:val="proportional"/>
        </w:rPr>
        <w:t>require access to industrial equipment</w:t>
      </w:r>
      <w:r w:rsidR="00867E95">
        <w:rPr>
          <w:rFonts w:cs="Arial"/>
          <w14:numForm w14:val="lining"/>
          <w14:numSpacing w14:val="proportional"/>
        </w:rPr>
        <w:t xml:space="preserve"> in workplace like</w:t>
      </w:r>
      <w:r w:rsidRPr="00E5087D">
        <w:rPr>
          <w:rFonts w:cs="Arial"/>
          <w14:numForm w14:val="lining"/>
          <w14:numSpacing w14:val="proportional"/>
        </w:rPr>
        <w:t xml:space="preserve"> environments, making it difficult to offer solely online or through mobile delivery. Without flexibility, RTOs may struggle to work around the needs and circumstances of students, particularly those in regional and remote areas that need to travel long distances for face</w:t>
      </w:r>
      <w:r w:rsidR="00CD038C" w:rsidRPr="00E5087D">
        <w:rPr>
          <w:rFonts w:cs="Arial"/>
          <w14:numForm w14:val="lining"/>
          <w14:numSpacing w14:val="proportional"/>
        </w:rPr>
        <w:t>-</w:t>
      </w:r>
      <w:r w:rsidRPr="00E5087D">
        <w:rPr>
          <w:rFonts w:cs="Arial"/>
          <w14:numForm w14:val="lining"/>
          <w14:numSpacing w14:val="proportional"/>
        </w:rPr>
        <w:t>to</w:t>
      </w:r>
      <w:r w:rsidR="00CD038C" w:rsidRPr="00E5087D">
        <w:rPr>
          <w:rFonts w:cs="Arial"/>
          <w14:numForm w14:val="lining"/>
          <w14:numSpacing w14:val="proportional"/>
        </w:rPr>
        <w:t>-</w:t>
      </w:r>
      <w:r w:rsidRPr="00E5087D">
        <w:rPr>
          <w:rFonts w:cs="Arial"/>
          <w14:numForm w14:val="lining"/>
          <w14:numSpacing w14:val="proportional"/>
        </w:rPr>
        <w:t>face training.</w:t>
      </w:r>
    </w:p>
    <w:p w14:paraId="507C3220" w14:textId="02C9106D" w:rsidR="00E6256B" w:rsidRDefault="00E6256B" w:rsidP="00E6256B">
      <w:pPr>
        <w:spacing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Flexible and non-traditional delivery models should be explored to support tertiary education and training in regional areas. This is particularly important for courses relevant to clean energy that are capital intensive and require face to face delivery. Collaboration between VET providers (including TAFEs), universities and industry is another way that training can be provided more sustainably in regional communities.</w:t>
      </w:r>
      <w:r w:rsidRPr="00E5087D">
        <w:rPr>
          <w:rStyle w:val="EndnoteReference"/>
          <w:rFonts w:cs="Arial"/>
          <w:spacing w:val="2"/>
          <w14:ligatures w14:val="standard"/>
          <w14:numForm w14:val="lining"/>
          <w14:numSpacing w14:val="proportional"/>
        </w:rPr>
        <w:endnoteReference w:id="161"/>
      </w:r>
      <w:r w:rsidRPr="00E5087D">
        <w:rPr>
          <w:rFonts w:cs="Arial"/>
          <w:spacing w:val="2"/>
          <w14:ligatures w14:val="standard"/>
          <w14:numForm w14:val="lining"/>
          <w14:numSpacing w14:val="proportional"/>
        </w:rPr>
        <w:t xml:space="preserve"> Targeted training centres may be appropriate in regions with long-term energy projects </w:t>
      </w:r>
      <w:r w:rsidR="00867E95">
        <w:rPr>
          <w:rFonts w:cs="Arial"/>
          <w:spacing w:val="2"/>
          <w14:ligatures w14:val="standard"/>
          <w14:numForm w14:val="lining"/>
          <w14:numSpacing w14:val="proportional"/>
        </w:rPr>
        <w:t xml:space="preserve">where </w:t>
      </w:r>
      <w:r w:rsidRPr="00E5087D">
        <w:rPr>
          <w:rFonts w:cs="Arial"/>
          <w:spacing w:val="2"/>
          <w14:ligatures w14:val="standard"/>
          <w14:numForm w14:val="lining"/>
          <w14:numSpacing w14:val="proportional"/>
        </w:rPr>
        <w:t xml:space="preserve">new training facilities </w:t>
      </w:r>
      <w:r w:rsidR="00D42205">
        <w:rPr>
          <w:rFonts w:cs="Arial"/>
          <w:spacing w:val="2"/>
          <w14:ligatures w14:val="standard"/>
          <w14:numForm w14:val="lining"/>
          <w14:numSpacing w14:val="proportional"/>
        </w:rPr>
        <w:t xml:space="preserve">cam be sustained </w:t>
      </w:r>
      <w:r w:rsidRPr="00E5087D">
        <w:rPr>
          <w:rFonts w:cs="Arial"/>
          <w:spacing w:val="2"/>
          <w14:ligatures w14:val="standard"/>
          <w14:numForm w14:val="lining"/>
          <w14:numSpacing w14:val="proportional"/>
        </w:rPr>
        <w:t xml:space="preserve">with students, trainers and </w:t>
      </w:r>
      <w:r w:rsidR="00C001C0">
        <w:rPr>
          <w:rFonts w:cs="Arial"/>
          <w:spacing w:val="2"/>
          <w14:ligatures w14:val="standard"/>
          <w14:numForm w14:val="lining"/>
          <w14:numSpacing w14:val="proportional"/>
        </w:rPr>
        <w:t xml:space="preserve">a </w:t>
      </w:r>
      <w:r w:rsidRPr="00E5087D">
        <w:rPr>
          <w:rFonts w:cs="Arial"/>
          <w:spacing w:val="2"/>
          <w14:ligatures w14:val="standard"/>
          <w14:numForm w14:val="lining"/>
          <w14:numSpacing w14:val="proportional"/>
        </w:rPr>
        <w:t>demand for workers.</w:t>
      </w:r>
    </w:p>
    <w:p w14:paraId="1A17D5CA" w14:textId="43FDAFBF" w:rsidR="0092763B" w:rsidRDefault="0092763B" w:rsidP="0092763B">
      <w:pPr>
        <w:spacing w:before="24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09" behindDoc="1" locked="0" layoutInCell="1" allowOverlap="1" wp14:anchorId="3253899D" wp14:editId="40BE0A48">
                <wp:simplePos x="0" y="0"/>
                <wp:positionH relativeFrom="column">
                  <wp:posOffset>0</wp:posOffset>
                </wp:positionH>
                <wp:positionV relativeFrom="paragraph">
                  <wp:posOffset>12808</wp:posOffset>
                </wp:positionV>
                <wp:extent cx="5731510" cy="875490"/>
                <wp:effectExtent l="0" t="0" r="21590" b="20320"/>
                <wp:wrapNone/>
                <wp:docPr id="612265801" name="Group 612265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75490"/>
                          <a:chOff x="0" y="0"/>
                          <a:chExt cx="5880735" cy="900950"/>
                        </a:xfrm>
                      </wpg:grpSpPr>
                      <wps:wsp>
                        <wps:cNvPr id="612265802" name="Rectangle: Top Corners Rounded 612265802"/>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1BC12F" w14:textId="4C4F525F" w:rsidR="00051DC7" w:rsidRPr="006E07A7" w:rsidRDefault="00051DC7" w:rsidP="00051DC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03" name="Rectangle 612265803"/>
                        <wps:cNvSpPr/>
                        <wps:spPr>
                          <a:xfrm>
                            <a:off x="0" y="230551"/>
                            <a:ext cx="5880735" cy="670399"/>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86808" w14:textId="5B93D2F4" w:rsidR="00051DC7" w:rsidRPr="00A90F3C" w:rsidRDefault="00051DC7" w:rsidP="00051DC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253899D" id="Group 612265801" o:spid="_x0000_s1160" alt="&quot;&quot;" style="position:absolute;left:0;text-align:left;margin-left:0;margin-top:1pt;width:451.3pt;height:68.95pt;z-index:-251658171;mso-position-horizontal-relative:text;mso-position-vertical-relative:text;mso-height-relative:margin" coordsize="58807,9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">
                <v:shape id="Rectangle: Top Corners Rounded 612265802" o:spid="_x0000_s1161"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61BC12F" w14:textId="4C4F525F" w:rsidR="00051DC7" w:rsidRPr="006E07A7" w:rsidRDefault="00051DC7" w:rsidP="00051DC7">
                        <w:pPr>
                          <w:spacing w:after="0" w:line="240" w:lineRule="auto"/>
                          <w:rPr>
                            <w:b/>
                            <w:bCs/>
                            <w14:numForm w14:val="lining"/>
                            <w14:numSpacing w14:val="proportional"/>
                          </w:rPr>
                        </w:pPr>
                      </w:p>
                    </w:txbxContent>
                  </v:textbox>
                </v:shape>
                <v:rect id="Rectangle 612265803" o:spid="_x0000_s1162" style="position:absolute;top:2305;width:58807;height:6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" fillcolor="#f2f2f2" strokecolor="#c2a5ec" strokeweight="1pt">
                  <v:textbox inset="2mm,1mm,2mm,1mm">
                    <w:txbxContent>
                      <w:p w14:paraId="3A086808" w14:textId="5B93D2F4" w:rsidR="00051DC7" w:rsidRPr="00A90F3C" w:rsidRDefault="00051DC7" w:rsidP="00051DC7">
                        <w:pPr>
                          <w:spacing w:after="0" w:line="276" w:lineRule="auto"/>
                          <w:ind w:left="113" w:right="113"/>
                          <w:rPr>
                            <w:lang w:val="en-US"/>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7.6</w:t>
      </w:r>
    </w:p>
    <w:p w14:paraId="0AC00F26" w14:textId="718ABDBA" w:rsidR="0092763B" w:rsidRPr="00434E81" w:rsidRDefault="0092763B" w:rsidP="00434E81">
      <w:pPr>
        <w:spacing w:before="200" w:after="120" w:line="240" w:lineRule="auto"/>
        <w:ind w:left="170" w:right="113"/>
        <w:rPr>
          <w:lang w:val="en-US"/>
        </w:rPr>
      </w:pPr>
      <w:r w:rsidRPr="00051DC7">
        <w:rPr>
          <w:lang w:val="en-US"/>
        </w:rPr>
        <w:t>Explore mechanisms for identifying and servicing thin markets in higher education and VET to ensure training provision in areas critical to the clean energy transition, including hub and spoke models of delivery.</w:t>
      </w:r>
    </w:p>
    <w:p w14:paraId="51721437" w14:textId="18F8895A" w:rsidR="0092763B" w:rsidRPr="006E07A7" w:rsidRDefault="0092763B" w:rsidP="0092763B">
      <w:pPr>
        <w:spacing w:before="24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0" behindDoc="1" locked="0" layoutInCell="1" allowOverlap="1" wp14:anchorId="00B45E67" wp14:editId="3204BE99">
                <wp:simplePos x="0" y="0"/>
                <wp:positionH relativeFrom="column">
                  <wp:posOffset>0</wp:posOffset>
                </wp:positionH>
                <wp:positionV relativeFrom="paragraph">
                  <wp:posOffset>65828</wp:posOffset>
                </wp:positionV>
                <wp:extent cx="5731510" cy="920885"/>
                <wp:effectExtent l="0" t="0" r="21590" b="12700"/>
                <wp:wrapNone/>
                <wp:docPr id="612265805" name="Group 6122658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20885"/>
                          <a:chOff x="0" y="0"/>
                          <a:chExt cx="5880735" cy="947668"/>
                        </a:xfrm>
                      </wpg:grpSpPr>
                      <wps:wsp>
                        <wps:cNvPr id="612265806" name="Rectangle: Top Corners Rounded 61226580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1189DE" w14:textId="0DAA1847" w:rsidR="00725E10" w:rsidRPr="006E07A7" w:rsidRDefault="00725E10" w:rsidP="00725E10">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08" name="Rectangle 612265808"/>
                        <wps:cNvSpPr/>
                        <wps:spPr>
                          <a:xfrm>
                            <a:off x="0" y="230552"/>
                            <a:ext cx="5880735" cy="717116"/>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F32D3" w14:textId="294AC7D6" w:rsidR="00725E10" w:rsidRPr="002F0C88" w:rsidRDefault="00725E10" w:rsidP="00725E10">
                              <w:pPr>
                                <w:spacing w:after="0" w:line="276" w:lineRule="auto"/>
                                <w:ind w:left="113" w:right="113"/>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B45E67" id="Group 612265805" o:spid="_x0000_s1163" alt="&quot;&quot;" style="position:absolute;left:0;text-align:left;margin-left:0;margin-top:5.2pt;width:451.3pt;height:72.5pt;z-index:-251658170;mso-position-horizontal-relative:text;mso-position-vertical-relative:text;mso-height-relative:margin" coordsize="58807,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">
                <v:shape id="Rectangle: Top Corners Rounded 612265806" o:spid="_x0000_s1164"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751189DE" w14:textId="0DAA1847" w:rsidR="00725E10" w:rsidRPr="006E07A7" w:rsidRDefault="00725E10" w:rsidP="00725E10">
                        <w:pPr>
                          <w:spacing w:after="0" w:line="240" w:lineRule="auto"/>
                          <w:rPr>
                            <w:b/>
                            <w:bCs/>
                            <w14:numForm w14:val="lining"/>
                            <w14:numSpacing w14:val="proportional"/>
                          </w:rPr>
                        </w:pPr>
                      </w:p>
                    </w:txbxContent>
                  </v:textbox>
                </v:shape>
                <v:rect id="Rectangle 612265808" o:spid="_x0000_s1165" style="position:absolute;top:2305;width:58807;height:7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" fillcolor="#f2f2f2" strokecolor="#c2a5ec" strokeweight="1pt">
                  <v:textbox inset="2mm,1mm,2mm,1mm">
                    <w:txbxContent>
                      <w:p w14:paraId="68BF32D3" w14:textId="294AC7D6" w:rsidR="00725E10" w:rsidRPr="002F0C88" w:rsidRDefault="00725E10" w:rsidP="00725E10">
                        <w:pPr>
                          <w:spacing w:after="0" w:line="276" w:lineRule="auto"/>
                          <w:ind w:left="113" w:right="113"/>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7.7</w:t>
      </w:r>
    </w:p>
    <w:p w14:paraId="34E11D55" w14:textId="6937957C" w:rsidR="0092763B" w:rsidRPr="002F0C88" w:rsidRDefault="0092763B" w:rsidP="0092763B">
      <w:pPr>
        <w:spacing w:before="200" w:after="0" w:line="240" w:lineRule="auto"/>
        <w:ind w:left="170" w:right="113"/>
      </w:pPr>
      <w:r w:rsidRPr="002F0C88">
        <w:t xml:space="preserve">Explore </w:t>
      </w:r>
      <w:r>
        <w:t>the merits of</w:t>
      </w:r>
      <w:r w:rsidRPr="002F0C88">
        <w:t xml:space="preserve"> foster</w:t>
      </w:r>
      <w:r>
        <w:t>ing</w:t>
      </w:r>
      <w:r w:rsidRPr="002F0C88">
        <w:t xml:space="preserve"> </w:t>
      </w:r>
      <w:r>
        <w:t>g</w:t>
      </w:r>
      <w:r w:rsidRPr="002F0C88">
        <w:t xml:space="preserve">roup </w:t>
      </w:r>
      <w:r>
        <w:t>t</w:t>
      </w:r>
      <w:r w:rsidRPr="002F0C88">
        <w:t xml:space="preserve">raining </w:t>
      </w:r>
      <w:r>
        <w:t xml:space="preserve">schemes </w:t>
      </w:r>
      <w:r w:rsidRPr="002F0C88">
        <w:t xml:space="preserve">as a means of employing apprentices in clean energy roles. This may help apprentices access shorter-term energy projects and gain broad experience with different technologies.  </w:t>
      </w:r>
    </w:p>
    <w:p w14:paraId="3C1B63C8" w14:textId="77777777" w:rsidR="00E6256B" w:rsidRPr="00E5087D" w:rsidRDefault="00E6256B" w:rsidP="00434E81">
      <w:pPr>
        <w:pStyle w:val="Heading3"/>
        <w:spacing w:before="600"/>
        <w:rPr>
          <w:rStyle w:val="normaltextrun"/>
          <w:b w:val="0"/>
          <w:bCs/>
          <w:szCs w:val="32"/>
        </w:rPr>
      </w:pPr>
      <w:r w:rsidRPr="00E5087D">
        <w:rPr>
          <w:rStyle w:val="normaltextrun"/>
          <w:bCs/>
          <w:szCs w:val="32"/>
        </w:rPr>
        <w:t>Addressing capital requirements</w:t>
      </w:r>
    </w:p>
    <w:p w14:paraId="01CFCD2C" w14:textId="14D13D02" w:rsidR="00E6256B" w:rsidRPr="00E5087D" w:rsidRDefault="00E6256B" w:rsidP="00E6256B">
      <w:pPr>
        <w:spacing w:after="120" w:line="276" w:lineRule="auto"/>
        <w:rPr>
          <w:rFonts w:cs="Arial"/>
        </w:rPr>
      </w:pPr>
      <w:r w:rsidRPr="00E5087D">
        <w:rPr>
          <w:rFonts w:cs="Arial"/>
          <w14:numForm w14:val="lining"/>
          <w14:numSpacing w14:val="proportional"/>
        </w:rPr>
        <w:t xml:space="preserve">As new sectors emerge, education and training providers need access to new technologies, tools and facilities. Without these, providers can’t give students the skills and experience needed by industry. Roundtable discussions highlighted the difficulty that some providers face finding funds for new equipment and facilities, and often </w:t>
      </w:r>
      <w:r w:rsidR="00C001C0">
        <w:rPr>
          <w:rFonts w:cs="Arial"/>
          <w14:numForm w14:val="lining"/>
          <w14:numSpacing w14:val="proportional"/>
        </w:rPr>
        <w:t xml:space="preserve">there are </w:t>
      </w:r>
      <w:r w:rsidRPr="00E5087D">
        <w:rPr>
          <w:rFonts w:cs="Arial"/>
          <w14:numForm w14:val="lining"/>
          <w14:numSpacing w14:val="proportional"/>
        </w:rPr>
        <w:t>long delays. There was also considerable concern about the inflated costs and difficulties in accessing training materials. In the current environment of supply chain lags and high inflation, this has le</w:t>
      </w:r>
      <w:r w:rsidR="6051780B" w:rsidRPr="00E5087D">
        <w:rPr>
          <w:rFonts w:cs="Arial"/>
          <w14:numForm w14:val="lining"/>
          <w14:numSpacing w14:val="proportional"/>
        </w:rPr>
        <w:t>ft</w:t>
      </w:r>
      <w:r w:rsidRPr="00E5087D">
        <w:rPr>
          <w:rFonts w:cs="Arial"/>
          <w14:numForm w14:val="lining"/>
          <w14:numSpacing w14:val="proportional"/>
        </w:rPr>
        <w:t xml:space="preserve"> some TAFE institutes with a shortfall in the purchase of equipment and building fit out.</w:t>
      </w:r>
    </w:p>
    <w:p w14:paraId="1BFEB879" w14:textId="6B19B05F" w:rsidR="00E6256B" w:rsidRDefault="00E6256B" w:rsidP="00A66CD1">
      <w:pPr>
        <w:spacing w:after="120" w:line="276" w:lineRule="auto"/>
        <w:rPr>
          <w:rFonts w:cs="Arial"/>
          <w14:numForm w14:val="lining"/>
          <w14:numSpacing w14:val="proportional"/>
        </w:rPr>
      </w:pPr>
      <w:r w:rsidRPr="00E5087D">
        <w:rPr>
          <w:rFonts w:cs="Arial"/>
          <w14:numForm w14:val="lining"/>
          <w14:numSpacing w14:val="proportional"/>
        </w:rPr>
        <w:t xml:space="preserve">By working with industry to gain </w:t>
      </w:r>
      <w:r w:rsidR="00C001C0">
        <w:rPr>
          <w:rFonts w:cs="Arial"/>
          <w14:numForm w14:val="lining"/>
          <w14:numSpacing w14:val="proportional"/>
        </w:rPr>
        <w:t xml:space="preserve">in-kind support such as </w:t>
      </w:r>
      <w:r w:rsidRPr="00E5087D">
        <w:rPr>
          <w:rFonts w:cs="Arial"/>
          <w14:numForm w14:val="lining"/>
          <w14:numSpacing w14:val="proportional"/>
        </w:rPr>
        <w:t>access to existing infrastructure and technologies, some education and training providers</w:t>
      </w:r>
      <w:r w:rsidR="00C001C0">
        <w:rPr>
          <w:rFonts w:cs="Arial"/>
          <w14:numForm w14:val="lining"/>
          <w14:numSpacing w14:val="proportional"/>
        </w:rPr>
        <w:t xml:space="preserve"> could</w:t>
      </w:r>
      <w:r w:rsidRPr="00E5087D">
        <w:rPr>
          <w:rFonts w:cs="Arial"/>
          <w14:numForm w14:val="lining"/>
          <w14:numSpacing w14:val="proportional"/>
        </w:rPr>
        <w:t xml:space="preserve"> avoid having to construct their own facilities. As mentioned earlier, there is benefit in increased collaboration not just with industry</w:t>
      </w:r>
      <w:r w:rsidR="788D56E6" w:rsidRPr="00E5087D">
        <w:rPr>
          <w:rFonts w:cs="Arial"/>
          <w14:numForm w14:val="lining"/>
          <w14:numSpacing w14:val="proportional"/>
        </w:rPr>
        <w:t>,</w:t>
      </w:r>
      <w:r w:rsidRPr="00E5087D">
        <w:rPr>
          <w:rFonts w:cs="Arial"/>
          <w14:numForm w14:val="lining"/>
          <w14:numSpacing w14:val="proportional"/>
        </w:rPr>
        <w:t xml:space="preserve"> but between educational institutions sector wide. This could help facilitate the sharing of learning and enable cost-sharing opportunities, leading to cost savings via bulk-purchases of common training materials and equipment. Similarly in higher education, a model could be explored </w:t>
      </w:r>
      <w:r w:rsidR="00776997">
        <w:rPr>
          <w:rFonts w:cs="Arial"/>
          <w14:numForm w14:val="lining"/>
          <w14:numSpacing w14:val="proportional"/>
        </w:rPr>
        <w:t xml:space="preserve">by </w:t>
      </w:r>
      <w:r w:rsidRPr="00E5087D">
        <w:rPr>
          <w:rFonts w:cs="Arial"/>
          <w14:numForm w14:val="lining"/>
          <w14:numSpacing w14:val="proportional"/>
        </w:rPr>
        <w:t xml:space="preserve">establishing a nationally coordinated program where multiple universities contribute to the design of courses in new priority areas, </w:t>
      </w:r>
      <w:r w:rsidR="00776997">
        <w:rPr>
          <w:rFonts w:cs="Arial"/>
          <w14:numForm w14:val="lining"/>
          <w14:numSpacing w14:val="proportional"/>
        </w:rPr>
        <w:t xml:space="preserve">where thin and emerging markets </w:t>
      </w:r>
      <w:r w:rsidRPr="00E5087D">
        <w:rPr>
          <w:rFonts w:cs="Arial"/>
          <w14:numForm w14:val="lining"/>
          <w14:numSpacing w14:val="proportional"/>
        </w:rPr>
        <w:t>would otherwise be underserved</w:t>
      </w:r>
      <w:r w:rsidR="00776997">
        <w:rPr>
          <w:rFonts w:cs="Arial"/>
          <w14:numForm w14:val="lining"/>
          <w14:numSpacing w14:val="proportional"/>
        </w:rPr>
        <w:t>.</w:t>
      </w:r>
    </w:p>
    <w:p w14:paraId="79410201" w14:textId="1B4FF9BD" w:rsidR="00A66CD1" w:rsidRDefault="00943091" w:rsidP="00073CDB">
      <w:pPr>
        <w:spacing w:after="240" w:line="276" w:lineRule="auto"/>
        <w:rPr>
          <w:rFonts w:cs="Arial"/>
          <w14:numForm w14:val="lining"/>
          <w14:numSpacing w14:val="proportional"/>
        </w:rPr>
      </w:pPr>
      <w:r>
        <w:rPr>
          <w:rFonts w:cs="Arial"/>
          <w14:numForm w14:val="lining"/>
          <w14:numSpacing w14:val="proportional"/>
        </w:rPr>
        <w:t xml:space="preserve">All governments </w:t>
      </w:r>
      <w:r w:rsidR="00094DDA">
        <w:rPr>
          <w:rFonts w:cs="Arial"/>
          <w14:numForm w14:val="lining"/>
          <w14:numSpacing w14:val="proportional"/>
        </w:rPr>
        <w:t xml:space="preserve">can also play an important role by </w:t>
      </w:r>
      <w:r w:rsidR="006608C2">
        <w:rPr>
          <w:rFonts w:cs="Arial"/>
          <w14:numForm w14:val="lining"/>
          <w14:numSpacing w14:val="proportional"/>
        </w:rPr>
        <w:t xml:space="preserve">injecting capital into </w:t>
      </w:r>
      <w:r w:rsidR="00094DDA">
        <w:rPr>
          <w:rFonts w:cs="Arial"/>
          <w14:numForm w14:val="lining"/>
          <w14:numSpacing w14:val="proportional"/>
        </w:rPr>
        <w:t>infrastructure projects like buildings</w:t>
      </w:r>
      <w:r w:rsidR="00502AF9">
        <w:rPr>
          <w:rFonts w:cs="Arial"/>
          <w14:numForm w14:val="lining"/>
          <w14:numSpacing w14:val="proportional"/>
        </w:rPr>
        <w:t xml:space="preserve">, facilities and equipment. This is particularly valuable </w:t>
      </w:r>
      <w:r w:rsidR="008E1F9F">
        <w:rPr>
          <w:rFonts w:cs="Arial"/>
          <w14:numForm w14:val="lining"/>
          <w14:numSpacing w14:val="proportional"/>
        </w:rPr>
        <w:t>in emerging areas, like clean energy, that</w:t>
      </w:r>
      <w:r w:rsidR="003018F0">
        <w:rPr>
          <w:rFonts w:cs="Arial"/>
          <w14:numForm w14:val="lining"/>
          <w14:numSpacing w14:val="proportional"/>
        </w:rPr>
        <w:t xml:space="preserve"> can</w:t>
      </w:r>
      <w:r w:rsidR="008E1F9F">
        <w:rPr>
          <w:rFonts w:cs="Arial"/>
          <w14:numForm w14:val="lining"/>
          <w14:numSpacing w14:val="proportional"/>
        </w:rPr>
        <w:t xml:space="preserve"> benefit from a kick start </w:t>
      </w:r>
      <w:r w:rsidR="003018F0">
        <w:rPr>
          <w:rFonts w:cs="Arial"/>
          <w14:numForm w14:val="lining"/>
          <w14:numSpacing w14:val="proportional"/>
        </w:rPr>
        <w:t xml:space="preserve">of funding </w:t>
      </w:r>
      <w:r w:rsidR="008E1F9F">
        <w:rPr>
          <w:rFonts w:cs="Arial"/>
          <w14:numForm w14:val="lining"/>
          <w14:numSpacing w14:val="proportional"/>
        </w:rPr>
        <w:t>to gain momentum</w:t>
      </w:r>
      <w:r w:rsidR="00EF66B8">
        <w:rPr>
          <w:rFonts w:cs="Arial"/>
          <w14:numForm w14:val="lining"/>
          <w14:numSpacing w14:val="proportional"/>
        </w:rPr>
        <w:t>.</w:t>
      </w:r>
      <w:r w:rsidR="00BE5B1B">
        <w:rPr>
          <w:rFonts w:cs="Arial"/>
          <w14:numForm w14:val="lining"/>
          <w14:numSpacing w14:val="proportional"/>
        </w:rPr>
        <w:t xml:space="preserve"> The Revitalising TAFE Campuses Across Australia agreement is an </w:t>
      </w:r>
      <w:r w:rsidR="003018F0">
        <w:rPr>
          <w:rFonts w:cs="Arial"/>
          <w14:numForm w14:val="lining"/>
          <w14:numSpacing w14:val="proportional"/>
        </w:rPr>
        <w:t>example</w:t>
      </w:r>
      <w:r w:rsidR="00BE5B1B">
        <w:rPr>
          <w:rFonts w:cs="Arial"/>
          <w14:numForm w14:val="lining"/>
          <w14:numSpacing w14:val="proportional"/>
        </w:rPr>
        <w:t xml:space="preserve"> of this</w:t>
      </w:r>
      <w:r w:rsidR="003018F0">
        <w:rPr>
          <w:rFonts w:cs="Arial"/>
          <w14:numForm w14:val="lining"/>
          <w14:numSpacing w14:val="proportional"/>
        </w:rPr>
        <w:t>.</w:t>
      </w:r>
    </w:p>
    <w:p w14:paraId="28809F3B" w14:textId="77777777" w:rsidR="0092763B" w:rsidRDefault="0092763B">
      <w:pPr>
        <w:rPr>
          <w:b/>
          <w:bCs/>
          <w14:numForm w14:val="lining"/>
          <w14:numSpacing w14:val="proportional"/>
        </w:rPr>
      </w:pPr>
      <w:r>
        <w:rPr>
          <w:b/>
          <w:bCs/>
          <w14:numForm w14:val="lining"/>
          <w14:numSpacing w14:val="proportional"/>
        </w:rPr>
        <w:br w:type="page"/>
      </w:r>
    </w:p>
    <w:p w14:paraId="59ECB2A7" w14:textId="2D4FB3F6" w:rsidR="0092763B" w:rsidRPr="006E07A7" w:rsidRDefault="0092763B" w:rsidP="0092763B">
      <w:pPr>
        <w:spacing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1" behindDoc="1" locked="0" layoutInCell="1" allowOverlap="1" wp14:anchorId="3BE11CDD" wp14:editId="086629F5">
                <wp:simplePos x="0" y="0"/>
                <wp:positionH relativeFrom="column">
                  <wp:posOffset>0</wp:posOffset>
                </wp:positionH>
                <wp:positionV relativeFrom="paragraph">
                  <wp:posOffset>-25940</wp:posOffset>
                </wp:positionV>
                <wp:extent cx="5731510" cy="1037617"/>
                <wp:effectExtent l="0" t="0" r="21590" b="10160"/>
                <wp:wrapNone/>
                <wp:docPr id="612265847" name="Group 6122658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37617"/>
                          <a:chOff x="0" y="0"/>
                          <a:chExt cx="5880735" cy="1164737"/>
                        </a:xfrm>
                      </wpg:grpSpPr>
                      <wps:wsp>
                        <wps:cNvPr id="1341085252" name="Rectangle: Top Corners Rounded 1341085252"/>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F8225B" w14:textId="6D689806" w:rsidR="002B54A2" w:rsidRPr="006E07A7" w:rsidRDefault="002B54A2" w:rsidP="002B54A2">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77" name="Rectangle 1341085277"/>
                        <wps:cNvSpPr/>
                        <wps:spPr>
                          <a:xfrm>
                            <a:off x="0" y="230662"/>
                            <a:ext cx="5880735" cy="934075"/>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88253A" w14:textId="4152EFA8" w:rsidR="002B54A2" w:rsidRPr="008A1B18" w:rsidRDefault="002B54A2" w:rsidP="002B54A2">
                              <w:pPr>
                                <w:spacing w:after="0" w:line="276" w:lineRule="auto"/>
                                <w:ind w:left="113" w:right="113"/>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E11CDD" id="Group 612265847" o:spid="_x0000_s1166" alt="&quot;&quot;" style="position:absolute;left:0;text-align:left;margin-left:0;margin-top:-2.05pt;width:451.3pt;height:81.7pt;z-index:-251658169;mso-position-horizontal-relative:text;mso-position-vertical-relative:text;mso-height-relative:margin" coordsize="58807,11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">
                <v:shape id="Rectangle: Top Corners Rounded 1341085252" o:spid="_x0000_s1167"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22F8225B" w14:textId="6D689806" w:rsidR="002B54A2" w:rsidRPr="006E07A7" w:rsidRDefault="002B54A2" w:rsidP="002B54A2">
                        <w:pPr>
                          <w:spacing w:after="0" w:line="240" w:lineRule="auto"/>
                          <w:rPr>
                            <w:b/>
                            <w:bCs/>
                            <w14:numForm w14:val="lining"/>
                            <w14:numSpacing w14:val="proportional"/>
                          </w:rPr>
                        </w:pPr>
                      </w:p>
                    </w:txbxContent>
                  </v:textbox>
                </v:shape>
                <v:rect id="Rectangle 1341085277" o:spid="_x0000_s1168" style="position:absolute;top:2306;width:58807;height:9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" fillcolor="#f2f2f2" strokecolor="#c2a5ec" strokeweight="1pt">
                  <v:textbox inset="2mm,1mm,2mm,1mm">
                    <w:txbxContent>
                      <w:p w14:paraId="6388253A" w14:textId="4152EFA8" w:rsidR="002B54A2" w:rsidRPr="008A1B18" w:rsidRDefault="002B54A2" w:rsidP="002B54A2">
                        <w:pPr>
                          <w:spacing w:after="0" w:line="276" w:lineRule="auto"/>
                          <w:ind w:left="113" w:right="113"/>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7.8</w:t>
      </w:r>
    </w:p>
    <w:p w14:paraId="25C0E470" w14:textId="57466873" w:rsidR="0092763B" w:rsidRPr="008A1B18" w:rsidRDefault="0092763B" w:rsidP="0092763B">
      <w:pPr>
        <w:spacing w:before="200" w:after="0" w:line="240" w:lineRule="auto"/>
        <w:ind w:left="170" w:right="113"/>
      </w:pPr>
      <w:r w:rsidRPr="008A1B18">
        <w:t xml:space="preserve">Continue to make dedicated capital funding available, along the lines of the Revitalising TAFE Campuses Across Australia agreement, and similar programs in higher education, to ensure training facilities have access to current equipment. Ideally this will include ways to incentivise industry financial and in-kind support.  </w:t>
      </w:r>
    </w:p>
    <w:p w14:paraId="5DEFD405" w14:textId="47B506BD" w:rsidR="00E6256B" w:rsidRPr="00E5087D" w:rsidRDefault="00E6256B" w:rsidP="00434E81">
      <w:pPr>
        <w:pStyle w:val="Heading3"/>
        <w:spacing w:before="480"/>
        <w:rPr>
          <w:rStyle w:val="normaltextrun"/>
          <w:b w:val="0"/>
          <w:bCs/>
          <w:szCs w:val="32"/>
        </w:rPr>
      </w:pPr>
      <w:r w:rsidRPr="00E5087D">
        <w:rPr>
          <w:rStyle w:val="normaltextrun"/>
          <w:bCs/>
          <w:szCs w:val="32"/>
        </w:rPr>
        <w:t>Incentivising employer engagement</w:t>
      </w:r>
    </w:p>
    <w:p w14:paraId="54A599C2" w14:textId="1952CA44" w:rsidR="00E6256B" w:rsidRPr="00E5087D" w:rsidRDefault="00E6256B" w:rsidP="00E6256B">
      <w:pPr>
        <w:spacing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 xml:space="preserve">Apprenticeships can only take place if employers are familiar and willing to engage with the VET system. There is a risk that employers in the clean energy sector may not be fully engaging with the VET system due to their lack of familiarity with it. This could be driven by the fact there are many overseas firms joining the sector, and some employers have stronger connections with higher education and research institutions, with inherent preferences to hiring skilled workers rather than investing in apprentices. It’s important that governments actively engage with clean energy industries </w:t>
      </w:r>
      <w:r w:rsidR="00353CB7">
        <w:rPr>
          <w:rFonts w:cs="Arial"/>
          <w:spacing w:val="2"/>
          <w14:ligatures w14:val="standard"/>
          <w14:numForm w14:val="lining"/>
          <w14:numSpacing w14:val="proportional"/>
        </w:rPr>
        <w:t>and</w:t>
      </w:r>
      <w:r w:rsidRPr="00E5087D">
        <w:rPr>
          <w:rFonts w:cs="Arial"/>
          <w:spacing w:val="2"/>
          <w14:ligatures w14:val="standard"/>
          <w14:numForm w14:val="lining"/>
          <w14:numSpacing w14:val="proportional"/>
        </w:rPr>
        <w:t xml:space="preserve"> support employers to:</w:t>
      </w:r>
    </w:p>
    <w:p w14:paraId="70088E6D"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hire apprentices and support them through to completion</w:t>
      </w:r>
    </w:p>
    <w:p w14:paraId="134CDB78"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access incentives and in-training supports</w:t>
      </w:r>
    </w:p>
    <w:p w14:paraId="068C456B"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support course design and updates</w:t>
      </w:r>
    </w:p>
    <w:p w14:paraId="4E4FBD89" w14:textId="77777777" w:rsidR="00E6256B" w:rsidRPr="00E5087D" w:rsidRDefault="00E6256B" w:rsidP="00F25595">
      <w:pPr>
        <w:pStyle w:val="ListParagraph"/>
        <w:numPr>
          <w:ilvl w:val="0"/>
          <w:numId w:val="38"/>
        </w:numPr>
        <w:spacing w:after="12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allow trainers to maintain the currency of their industry skills and knowledge, and</w:t>
      </w:r>
    </w:p>
    <w:p w14:paraId="64271C4A" w14:textId="77777777" w:rsidR="00E6256B" w:rsidRPr="00E5087D" w:rsidRDefault="00E6256B" w:rsidP="00F25595">
      <w:pPr>
        <w:pStyle w:val="ListParagraph"/>
        <w:numPr>
          <w:ilvl w:val="0"/>
          <w:numId w:val="38"/>
        </w:numPr>
        <w:spacing w:after="240" w:line="276" w:lineRule="auto"/>
        <w:ind w:left="709"/>
        <w:contextualSpacing w:val="0"/>
        <w:rPr>
          <w:spacing w:val="2"/>
          <w14:ligatures w14:val="standard"/>
          <w14:numForm w14:val="lining"/>
          <w14:numSpacing w14:val="proportional"/>
        </w:rPr>
      </w:pPr>
      <w:r w:rsidRPr="00E5087D">
        <w:rPr>
          <w:spacing w:val="2"/>
          <w14:ligatures w14:val="standard"/>
          <w14:numForm w14:val="lining"/>
          <w14:numSpacing w14:val="proportional"/>
        </w:rPr>
        <w:t>provide opportunities for on-site training by industry and RTO trainers.</w:t>
      </w:r>
    </w:p>
    <w:p w14:paraId="4B7535D3" w14:textId="77777777" w:rsidR="00E6256B" w:rsidRPr="00E5087D" w:rsidRDefault="00E6256B" w:rsidP="00E6256B">
      <w:pPr>
        <w:spacing w:before="240" w:after="120" w:line="276" w:lineRule="auto"/>
        <w:rPr>
          <w:rFonts w:cs="Arial"/>
          <w14:numForm w14:val="lining"/>
          <w14:numSpacing w14:val="proportional"/>
        </w:rPr>
      </w:pPr>
      <w:r w:rsidRPr="00E5087D">
        <w:rPr>
          <w:rFonts w:cs="Arial"/>
          <w14:numForm w14:val="lining"/>
          <w14:numSpacing w14:val="proportional"/>
        </w:rPr>
        <w:t xml:space="preserve">Employer involvement is also a crucial ingredient in successful higher education programs. Work placements have long been embedded in engineering degree programs and stakeholders report that students who select work-integrated learning placements are more likely to secure an ongoing role post completion. Monash University has fostered strong connections with industry, where third and fourth-year students are able to select a unit and undertake a 6-month paid internship within the chosen field. </w:t>
      </w:r>
    </w:p>
    <w:p w14:paraId="51AF004A" w14:textId="77777777" w:rsidR="00A400D2" w:rsidRPr="00E5087D" w:rsidRDefault="00E6256B" w:rsidP="00A400D2">
      <w:pPr>
        <w:pStyle w:val="IntenseQuote"/>
        <w:spacing w:before="240" w:after="120"/>
        <w:ind w:left="737" w:right="737"/>
        <w:rPr>
          <w:color w:val="000000" w:themeColor="text1"/>
        </w:rPr>
      </w:pPr>
      <w:r w:rsidRPr="00E5087D">
        <w:rPr>
          <w:color w:val="000000" w:themeColor="text1"/>
        </w:rPr>
        <w:t xml:space="preserve">“The general low level of partnership between the clean energy industry and education and training providers affects the volume of graduates, knowledge and skills taught, skills alignment and the readiness of graduates.” </w:t>
      </w:r>
    </w:p>
    <w:p w14:paraId="6A9EAB8D" w14:textId="1180BA3F" w:rsidR="00E6256B" w:rsidRPr="003018F0" w:rsidRDefault="00E6256B" w:rsidP="00A400D2">
      <w:pPr>
        <w:pStyle w:val="IntenseQuote"/>
        <w:spacing w:before="120" w:after="120"/>
        <w:ind w:left="737" w:right="737"/>
        <w:rPr>
          <w:i w:val="0"/>
          <w:iCs w:val="0"/>
        </w:rPr>
      </w:pPr>
      <w:r w:rsidRPr="003018F0">
        <w:rPr>
          <w:i w:val="0"/>
          <w:iCs w:val="0"/>
        </w:rPr>
        <w:t>– A</w:t>
      </w:r>
      <w:r w:rsidR="003C34FF">
        <w:rPr>
          <w:i w:val="0"/>
          <w:iCs w:val="0"/>
        </w:rPr>
        <w:t>i</w:t>
      </w:r>
      <w:r w:rsidRPr="003018F0">
        <w:rPr>
          <w:i w:val="0"/>
          <w:iCs w:val="0"/>
        </w:rPr>
        <w:t xml:space="preserve"> Group</w:t>
      </w:r>
      <w:r w:rsidR="685A0D05" w:rsidRPr="0D0C6639">
        <w:rPr>
          <w:i w:val="0"/>
          <w:iCs w:val="0"/>
        </w:rPr>
        <w:t>.</w:t>
      </w:r>
      <w:r w:rsidRPr="79066BF4">
        <w:rPr>
          <w:rStyle w:val="EndnoteReference"/>
          <w:i w:val="0"/>
          <w:iCs w:val="0"/>
        </w:rPr>
        <w:endnoteReference w:id="162"/>
      </w:r>
    </w:p>
    <w:p w14:paraId="6428407F" w14:textId="317FA2C6" w:rsidR="00E6256B" w:rsidRPr="00E5087D" w:rsidRDefault="50E545A1" w:rsidP="00A755D9">
      <w:pPr>
        <w:spacing w:before="360" w:after="120" w:line="276" w:lineRule="auto"/>
        <w:rPr>
          <w:rFonts w:cs="Arial"/>
          <w14:numForm w14:val="lining"/>
          <w14:numSpacing w14:val="proportional"/>
        </w:rPr>
      </w:pPr>
      <w:r w:rsidRPr="00E5087D">
        <w:rPr>
          <w:rFonts w:cs="Arial"/>
          <w14:numForm w14:val="lining"/>
          <w14:numSpacing w14:val="proportional"/>
        </w:rPr>
        <w:t xml:space="preserve">While most universities offer internships, </w:t>
      </w:r>
      <w:r w:rsidR="00E900EF">
        <w:rPr>
          <w:rFonts w:cs="Arial"/>
          <w14:numForm w14:val="lining"/>
          <w14:numSpacing w14:val="proportional"/>
        </w:rPr>
        <w:t>u</w:t>
      </w:r>
      <w:r w:rsidRPr="00E5087D">
        <w:rPr>
          <w:rFonts w:cs="Arial"/>
          <w14:numForm w14:val="lining"/>
          <w14:numSpacing w14:val="proportional"/>
        </w:rPr>
        <w:t>npaid internships are more common</w:t>
      </w:r>
      <w:r w:rsidR="00E900EF">
        <w:rPr>
          <w:rFonts w:cs="Arial"/>
          <w14:numForm w14:val="lining"/>
          <w14:numSpacing w14:val="proportional"/>
        </w:rPr>
        <w:t>.</w:t>
      </w:r>
      <w:r w:rsidRPr="00E5087D">
        <w:rPr>
          <w:rFonts w:cs="Arial"/>
          <w14:numForm w14:val="lining"/>
          <w14:numSpacing w14:val="proportional"/>
        </w:rPr>
        <w:t xml:space="preserve"> Students </w:t>
      </w:r>
      <w:r w:rsidR="00E900EF">
        <w:rPr>
          <w:rFonts w:cs="Arial"/>
          <w14:numForm w14:val="lining"/>
          <w14:numSpacing w14:val="proportional"/>
        </w:rPr>
        <w:t xml:space="preserve">may be </w:t>
      </w:r>
      <w:r w:rsidRPr="00E5087D">
        <w:rPr>
          <w:rFonts w:cs="Arial"/>
          <w14:numForm w14:val="lining"/>
          <w14:numSpacing w14:val="proportional"/>
        </w:rPr>
        <w:t>less likely to participate in unpaid internships if the cost equates to forgoing paid employment</w:t>
      </w:r>
      <w:r w:rsidR="34C77AED">
        <w:rPr>
          <w:rFonts w:cs="Arial"/>
          <w14:numForm w14:val="lining"/>
          <w14:numSpacing w14:val="proportional"/>
        </w:rPr>
        <w:t>, which can be particularly difficult for those from low socioeconomic backgrounds.</w:t>
      </w:r>
    </w:p>
    <w:p w14:paraId="5DB8C0E2" w14:textId="77777777" w:rsidR="00A755D9"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While many employers may be interested in providing paid internships or </w:t>
      </w:r>
      <w:r w:rsidR="00C8618F">
        <w:rPr>
          <w:rFonts w:cs="Arial"/>
          <w14:numForm w14:val="lining"/>
          <w14:numSpacing w14:val="proportional"/>
        </w:rPr>
        <w:t xml:space="preserve">other </w:t>
      </w:r>
      <w:r w:rsidRPr="00E5087D">
        <w:rPr>
          <w:rFonts w:cs="Arial"/>
          <w14:numForm w14:val="lining"/>
          <w14:numSpacing w14:val="proportional"/>
        </w:rPr>
        <w:t>support</w:t>
      </w:r>
      <w:r w:rsidR="00C8618F">
        <w:rPr>
          <w:rFonts w:cs="Arial"/>
          <w14:numForm w14:val="lining"/>
          <w14:numSpacing w14:val="proportional"/>
        </w:rPr>
        <w:t>s</w:t>
      </w:r>
      <w:r w:rsidRPr="00E5087D">
        <w:rPr>
          <w:rFonts w:cs="Arial"/>
          <w14:numForm w14:val="lining"/>
          <w14:numSpacing w14:val="proportional"/>
        </w:rPr>
        <w:t xml:space="preserve"> for higher education students, there can be regulatory or funding barriers that make this too difficult. </w:t>
      </w:r>
      <w:r w:rsidR="002C51CB">
        <w:rPr>
          <w:rFonts w:cs="Arial"/>
          <w14:numForm w14:val="lining"/>
          <w14:numSpacing w14:val="proportional"/>
        </w:rPr>
        <w:t>A</w:t>
      </w:r>
      <w:r w:rsidRPr="00E5087D">
        <w:rPr>
          <w:rFonts w:cs="Arial"/>
          <w14:numForm w14:val="lining"/>
          <w14:numSpacing w14:val="proportional"/>
        </w:rPr>
        <w:t xml:space="preserve">s higher education institutions are large employers themselves, there may be merit in exploring a group training model for the sector. </w:t>
      </w:r>
    </w:p>
    <w:p w14:paraId="773F4723" w14:textId="41517182" w:rsidR="00E6256B" w:rsidRDefault="00DB250C" w:rsidP="00A755D9">
      <w:pPr>
        <w:spacing w:before="120" w:after="360" w:line="276" w:lineRule="auto"/>
        <w:rPr>
          <w:rFonts w:cs="Arial"/>
          <w14:numForm w14:val="lining"/>
          <w14:numSpacing w14:val="proportional"/>
        </w:rPr>
      </w:pPr>
      <w:r w:rsidRPr="00BB2E09">
        <w:rPr>
          <w:noProof/>
        </w:rPr>
        <mc:AlternateContent>
          <mc:Choice Requires="wpg">
            <w:drawing>
              <wp:anchor distT="0" distB="0" distL="114300" distR="114300" simplePos="0" relativeHeight="251658312" behindDoc="1" locked="0" layoutInCell="1" allowOverlap="1" wp14:anchorId="4DCE65CF" wp14:editId="779FD8B6">
                <wp:simplePos x="0" y="0"/>
                <wp:positionH relativeFrom="column">
                  <wp:posOffset>0</wp:posOffset>
                </wp:positionH>
                <wp:positionV relativeFrom="paragraph">
                  <wp:posOffset>929148</wp:posOffset>
                </wp:positionV>
                <wp:extent cx="5731510" cy="1091382"/>
                <wp:effectExtent l="0" t="0" r="21590" b="13970"/>
                <wp:wrapNone/>
                <wp:docPr id="1341085281" name="Group 1341085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91382"/>
                          <a:chOff x="0" y="0"/>
                          <a:chExt cx="5880735" cy="1122112"/>
                        </a:xfrm>
                      </wpg:grpSpPr>
                      <wps:wsp>
                        <wps:cNvPr id="1341085282" name="Rectangle: Top Corners Rounded 1341085282"/>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361FA3" w14:textId="27CB9716" w:rsidR="005F3922" w:rsidRPr="006E07A7" w:rsidRDefault="005F3922" w:rsidP="005F3922">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83" name="Rectangle 1341085283"/>
                        <wps:cNvSpPr/>
                        <wps:spPr>
                          <a:xfrm>
                            <a:off x="0" y="230663"/>
                            <a:ext cx="5880735" cy="891449"/>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4B5BD" w14:textId="4072A5CA" w:rsidR="005F3922" w:rsidRPr="00A90F3C" w:rsidRDefault="005F3922" w:rsidP="005F3922">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DCE65CF" id="Group 1341085281" o:spid="_x0000_s1169" alt="&quot;&quot;" style="position:absolute;margin-left:0;margin-top:73.15pt;width:451.3pt;height:85.95pt;z-index:-251658168;mso-position-horizontal-relative:text;mso-position-vertical-relative:text;mso-height-relative:margin" coordsize="58807,11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">
                <v:shape id="Rectangle: Top Corners Rounded 1341085282" o:spid="_x0000_s1170"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41361FA3" w14:textId="27CB9716" w:rsidR="005F3922" w:rsidRPr="006E07A7" w:rsidRDefault="005F3922" w:rsidP="005F3922">
                        <w:pPr>
                          <w:spacing w:after="0" w:line="240" w:lineRule="auto"/>
                          <w:rPr>
                            <w:b/>
                            <w:bCs/>
                            <w14:numForm w14:val="lining"/>
                            <w14:numSpacing w14:val="proportional"/>
                          </w:rPr>
                        </w:pPr>
                      </w:p>
                    </w:txbxContent>
                  </v:textbox>
                </v:shape>
                <v:rect id="Rectangle 1341085283" o:spid="_x0000_s1171" style="position:absolute;top:2306;width:58807;height:8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" fillcolor="#f2f2f2" strokecolor="#c2a5ec" strokeweight="1pt">
                  <v:textbox inset="2mm,1mm,2mm,1mm">
                    <w:txbxContent>
                      <w:p w14:paraId="4B84B5BD" w14:textId="4072A5CA" w:rsidR="005F3922" w:rsidRPr="00A90F3C" w:rsidRDefault="005F3922" w:rsidP="005F3922">
                        <w:pPr>
                          <w:spacing w:after="0" w:line="276" w:lineRule="auto"/>
                          <w:ind w:left="113" w:right="113"/>
                          <w:rPr>
                            <w:lang w:val="en-US"/>
                          </w:rPr>
                        </w:pPr>
                      </w:p>
                    </w:txbxContent>
                  </v:textbox>
                </v:rect>
              </v:group>
            </w:pict>
          </mc:Fallback>
        </mc:AlternateContent>
      </w:r>
      <w:r w:rsidR="00E6256B" w:rsidRPr="00E5087D">
        <w:rPr>
          <w:rFonts w:cs="Arial"/>
          <w14:numForm w14:val="lining"/>
          <w14:numSpacing w14:val="proportional"/>
        </w:rPr>
        <w:t xml:space="preserve">This type of model could help industry access </w:t>
      </w:r>
      <w:r w:rsidR="00CB50C1">
        <w:rPr>
          <w:rFonts w:cs="Arial"/>
          <w14:numForm w14:val="lining"/>
          <w14:numSpacing w14:val="proportional"/>
        </w:rPr>
        <w:t>higher education</w:t>
      </w:r>
      <w:r w:rsidR="00E6256B" w:rsidRPr="00E5087D">
        <w:rPr>
          <w:rFonts w:cs="Arial"/>
          <w14:numForm w14:val="lining"/>
          <w14:numSpacing w14:val="proportional"/>
        </w:rPr>
        <w:t xml:space="preserve"> students for paid placements without needing to assume the responsibilities of an employer. It also means students can more easily move between different worksites, while maintaining their employment rights and conditions provided by the </w:t>
      </w:r>
      <w:r w:rsidR="00CB50C1">
        <w:rPr>
          <w:rFonts w:cs="Arial"/>
          <w14:numForm w14:val="lining"/>
          <w14:numSpacing w14:val="proportional"/>
        </w:rPr>
        <w:t>higher education institution</w:t>
      </w:r>
      <w:r w:rsidR="00E6256B" w:rsidRPr="00E5087D">
        <w:rPr>
          <w:rFonts w:cs="Arial"/>
          <w14:numForm w14:val="lining"/>
          <w14:numSpacing w14:val="proportional"/>
        </w:rPr>
        <w:t>.</w:t>
      </w:r>
    </w:p>
    <w:p w14:paraId="7220B40F" w14:textId="445E957C" w:rsidR="00A755D9" w:rsidRPr="006E07A7" w:rsidRDefault="00A755D9" w:rsidP="00A755D9">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7.9</w:t>
      </w:r>
    </w:p>
    <w:p w14:paraId="766EF614" w14:textId="034693CE" w:rsidR="00E6256B" w:rsidRPr="00434E81" w:rsidRDefault="00A755D9" w:rsidP="00434E81">
      <w:pPr>
        <w:spacing w:before="200" w:after="0" w:line="240" w:lineRule="auto"/>
        <w:ind w:left="170" w:right="113"/>
        <w:rPr>
          <w:lang w:val="en-US"/>
        </w:rPr>
      </w:pPr>
      <w:r w:rsidRPr="00FB3773">
        <w:rPr>
          <w:lang w:val="en-US"/>
        </w:rPr>
        <w:t xml:space="preserve">Consider establishing a pilot program that, along similar lines to the group training model, allows employers to access </w:t>
      </w:r>
      <w:r>
        <w:rPr>
          <w:lang w:val="en-US"/>
        </w:rPr>
        <w:t>higher education</w:t>
      </w:r>
      <w:r w:rsidRPr="00FB3773">
        <w:rPr>
          <w:lang w:val="en-US"/>
        </w:rPr>
        <w:t xml:space="preserve"> students for paid placements without needing to assume the responsibilities of an employer. The program would need to consider rights, responsibilities and protections.</w:t>
      </w:r>
    </w:p>
    <w:p w14:paraId="19E359CD" w14:textId="77777777" w:rsidR="00E6256B" w:rsidRPr="00E5087D" w:rsidRDefault="00E6256B" w:rsidP="00E6256B">
      <w:pPr>
        <w:rPr>
          <w:rStyle w:val="normaltextrun"/>
          <w:rFonts w:eastAsiaTheme="majorEastAsia" w:cstheme="majorBidi"/>
          <w:b/>
          <w:sz w:val="56"/>
          <w:szCs w:val="32"/>
        </w:rPr>
      </w:pPr>
      <w:r w:rsidRPr="00E5087D">
        <w:rPr>
          <w:rStyle w:val="normaltextrun"/>
        </w:rPr>
        <w:br w:type="page"/>
      </w:r>
    </w:p>
    <w:p w14:paraId="41F8BCC1" w14:textId="79D2B900" w:rsidR="00E6256B" w:rsidRPr="00E5087D" w:rsidRDefault="00E6256B" w:rsidP="00E6256B">
      <w:pPr>
        <w:pStyle w:val="Heading2"/>
        <w:rPr>
          <w:rStyle w:val="normaltextrun"/>
        </w:rPr>
      </w:pPr>
      <w:bookmarkStart w:id="80" w:name="_Toc146892696"/>
      <w:r w:rsidRPr="00BF465F">
        <w:rPr>
          <w:rStyle w:val="normaltextrun"/>
          <w:rFonts w:asciiTheme="minorHAnsi" w:hAnsiTheme="minorHAnsi" w:cstheme="minorHAnsi"/>
        </w:rPr>
        <w:t>7</w:t>
      </w:r>
      <w:r w:rsidRPr="00BF465F">
        <w:rPr>
          <w:rStyle w:val="normaltextrun"/>
          <w:rFonts w:asciiTheme="minorHAnsi" w:hAnsiTheme="minorHAnsi" w:cstheme="minorHAnsi"/>
          <w:smallCaps/>
        </w:rPr>
        <w:t>c</w:t>
      </w:r>
      <w:r w:rsidRPr="00BF465F">
        <w:rPr>
          <w:rStyle w:val="normaltextrun"/>
          <w:rFonts w:asciiTheme="minorHAnsi" w:hAnsiTheme="minorHAnsi" w:cstheme="minorHAnsi"/>
        </w:rPr>
        <w:t>.</w:t>
      </w:r>
      <w:r w:rsidRPr="00E5087D">
        <w:rPr>
          <w:rStyle w:val="normaltextrun"/>
        </w:rPr>
        <w:t xml:space="preserve"> </w:t>
      </w:r>
      <w:r w:rsidRPr="00E5087D">
        <w:rPr>
          <w:rStyle w:val="normaltextrun"/>
          <w:b w:val="0"/>
          <w:bCs/>
        </w:rPr>
        <w:t>Student pipeline</w:t>
      </w:r>
      <w:bookmarkEnd w:id="80"/>
    </w:p>
    <w:p w14:paraId="7E6E0330" w14:textId="77777777" w:rsidR="00E6256B" w:rsidRPr="00E5087D" w:rsidRDefault="00E6256B" w:rsidP="00641B5D">
      <w:pPr>
        <w:pStyle w:val="Heading3"/>
        <w:rPr>
          <w:rStyle w:val="normaltextrun"/>
          <w:rFonts w:cs="Arial"/>
          <w:b w:val="0"/>
          <w:bCs/>
          <w:szCs w:val="32"/>
        </w:rPr>
      </w:pPr>
      <w:r w:rsidRPr="00E5087D">
        <w:rPr>
          <w:rStyle w:val="normaltextrun"/>
          <w:rFonts w:cs="Arial"/>
          <w:bCs/>
          <w:szCs w:val="32"/>
        </w:rPr>
        <w:t>Increasing participation in STEM</w:t>
      </w:r>
    </w:p>
    <w:p w14:paraId="5D7D48CA" w14:textId="06910AB6" w:rsidR="00E6256B" w:rsidRPr="00E5087D" w:rsidRDefault="00A6664E" w:rsidP="00E6256B">
      <w:pPr>
        <w:spacing w:before="120" w:after="120" w:line="276" w:lineRule="auto"/>
        <w:rPr>
          <w:rFonts w:cs="Arial"/>
          <w14:numForm w14:val="lining"/>
          <w14:numSpacing w14:val="proportional"/>
        </w:rPr>
      </w:pPr>
      <w:r>
        <w:rPr>
          <w:rFonts w:cs="Arial"/>
          <w14:numForm w14:val="lining"/>
          <w14:numSpacing w14:val="proportional"/>
        </w:rPr>
        <w:t xml:space="preserve">As explored in </w:t>
      </w:r>
      <w:r w:rsidRPr="00085EF8">
        <w:rPr>
          <w:rFonts w:cs="Arial"/>
          <w:b/>
          <w14:numForm w14:val="lining"/>
          <w14:numSpacing w14:val="proportional"/>
        </w:rPr>
        <w:t>Chapter 4</w:t>
      </w:r>
      <w:r>
        <w:rPr>
          <w:rFonts w:cs="Arial"/>
          <w14:numForm w14:val="lining"/>
          <w14:numSpacing w14:val="proportional"/>
        </w:rPr>
        <w:t xml:space="preserve">, low participation in STEM subjects is a significant </w:t>
      </w:r>
      <w:r w:rsidR="00E6256B" w:rsidRPr="00E5087D">
        <w:rPr>
          <w:rFonts w:cs="Arial"/>
          <w14:numForm w14:val="lining"/>
          <w14:numSpacing w14:val="proportional"/>
        </w:rPr>
        <w:t>concern</w:t>
      </w:r>
      <w:r>
        <w:rPr>
          <w:rFonts w:cs="Arial"/>
          <w14:numForm w14:val="lining"/>
          <w14:numSpacing w14:val="proportional"/>
        </w:rPr>
        <w:t>, particularly</w:t>
      </w:r>
      <w:r w:rsidR="00E6256B" w:rsidRPr="00E5087D">
        <w:rPr>
          <w:rFonts w:cs="Arial"/>
          <w14:numForm w14:val="lining"/>
          <w14:numSpacing w14:val="proportional"/>
        </w:rPr>
        <w:t xml:space="preserve"> for the future of clean energy</w:t>
      </w:r>
      <w:r w:rsidR="00B439CF">
        <w:rPr>
          <w:rFonts w:cs="Arial"/>
          <w14:numForm w14:val="lining"/>
          <w14:numSpacing w14:val="proportional"/>
        </w:rPr>
        <w:t>.</w:t>
      </w:r>
      <w:r w:rsidR="00E6256B" w:rsidRPr="00E5087D">
        <w:rPr>
          <w:rFonts w:cs="Arial"/>
          <w14:numForm w14:val="lining"/>
          <w14:numSpacing w14:val="proportional"/>
        </w:rPr>
        <w:t xml:space="preserve"> Australia will need many more graduates in existing </w:t>
      </w:r>
      <w:r w:rsidR="00B439CF">
        <w:rPr>
          <w:rFonts w:cs="Arial"/>
          <w14:numForm w14:val="lining"/>
          <w14:numSpacing w14:val="proportional"/>
        </w:rPr>
        <w:t xml:space="preserve">STEM fields </w:t>
      </w:r>
      <w:r w:rsidR="00E6256B" w:rsidRPr="00E5087D">
        <w:rPr>
          <w:rFonts w:cs="Arial"/>
          <w14:numForm w14:val="lining"/>
          <w14:numSpacing w14:val="proportional"/>
        </w:rPr>
        <w:t xml:space="preserve">like </w:t>
      </w:r>
      <w:r w:rsidR="3375C111" w:rsidRPr="00E5087D">
        <w:rPr>
          <w:rFonts w:cs="Arial"/>
          <w14:numForm w14:val="lining"/>
          <w14:numSpacing w14:val="proportional"/>
        </w:rPr>
        <w:t>E</w:t>
      </w:r>
      <w:r w:rsidR="004C7365">
        <w:rPr>
          <w:rFonts w:cs="Arial"/>
          <w14:numForm w14:val="lining"/>
          <w14:numSpacing w14:val="proportional"/>
        </w:rPr>
        <w:t xml:space="preserve">arth </w:t>
      </w:r>
      <w:r w:rsidR="4522FD59">
        <w:rPr>
          <w:rFonts w:cs="Arial"/>
          <w14:numForm w14:val="lining"/>
          <w14:numSpacing w14:val="proportional"/>
        </w:rPr>
        <w:t>S</w:t>
      </w:r>
      <w:r w:rsidR="004C7365">
        <w:rPr>
          <w:rFonts w:cs="Arial"/>
          <w14:numForm w14:val="lining"/>
          <w14:numSpacing w14:val="proportional"/>
        </w:rPr>
        <w:t xml:space="preserve">ciences and </w:t>
      </w:r>
      <w:r w:rsidR="0042C020">
        <w:rPr>
          <w:rFonts w:cs="Arial"/>
          <w14:numForm w14:val="lining"/>
          <w14:numSpacing w14:val="proportional"/>
        </w:rPr>
        <w:t>E</w:t>
      </w:r>
      <w:r w:rsidR="00E6256B" w:rsidRPr="00E5087D">
        <w:rPr>
          <w:rFonts w:cs="Arial"/>
          <w14:numForm w14:val="lining"/>
          <w14:numSpacing w14:val="proportional"/>
        </w:rPr>
        <w:t xml:space="preserve">lectrical, </w:t>
      </w:r>
      <w:r w:rsidR="7D96CC04" w:rsidRPr="00E5087D">
        <w:rPr>
          <w:rFonts w:cs="Arial"/>
          <w14:numForm w14:val="lining"/>
          <w14:numSpacing w14:val="proportional"/>
        </w:rPr>
        <w:t>C</w:t>
      </w:r>
      <w:r w:rsidR="00E6256B" w:rsidRPr="00E5087D">
        <w:rPr>
          <w:rFonts w:cs="Arial"/>
          <w14:numForm w14:val="lining"/>
          <w14:numSpacing w14:val="proportional"/>
        </w:rPr>
        <w:t xml:space="preserve">ivil and </w:t>
      </w:r>
      <w:r w:rsidR="0AED4888" w:rsidRPr="00E5087D">
        <w:rPr>
          <w:rFonts w:cs="Arial"/>
          <w14:numForm w14:val="lining"/>
          <w14:numSpacing w14:val="proportional"/>
        </w:rPr>
        <w:t>M</w:t>
      </w:r>
      <w:r w:rsidR="00E6256B" w:rsidRPr="00E5087D">
        <w:rPr>
          <w:rFonts w:cs="Arial"/>
          <w14:numForm w14:val="lining"/>
          <w14:numSpacing w14:val="proportional"/>
        </w:rPr>
        <w:t xml:space="preserve">echanical </w:t>
      </w:r>
      <w:r w:rsidR="5376F1AD" w:rsidRPr="00E5087D">
        <w:rPr>
          <w:rFonts w:cs="Arial"/>
          <w14:numForm w14:val="lining"/>
          <w14:numSpacing w14:val="proportional"/>
        </w:rPr>
        <w:t>E</w:t>
      </w:r>
      <w:r w:rsidR="00E6256B" w:rsidRPr="00E5087D">
        <w:rPr>
          <w:rFonts w:cs="Arial"/>
          <w14:numForm w14:val="lining"/>
          <w14:numSpacing w14:val="proportional"/>
        </w:rPr>
        <w:t>ngineering, alongside graduates of more specialised courses. Demand for these fundamental skills is also growing across other sectors, like information technology and healthcare, putting further pressure on our dwindling supply.</w:t>
      </w:r>
    </w:p>
    <w:p w14:paraId="2A5E4D11" w14:textId="31C15489" w:rsidR="00E6256B" w:rsidRPr="00E5087D" w:rsidRDefault="00E6256B" w:rsidP="00A400D2">
      <w:pPr>
        <w:pStyle w:val="IntenseQuote"/>
        <w:spacing w:before="240" w:after="120"/>
        <w:ind w:left="624" w:right="624"/>
        <w:rPr>
          <w:color w:val="000000" w:themeColor="text1"/>
        </w:rPr>
      </w:pPr>
      <w:r w:rsidRPr="00E5087D">
        <w:rPr>
          <w:color w:val="000000" w:themeColor="text1"/>
        </w:rPr>
        <w:t xml:space="preserve">“We need to look at the entire STEM pathway in a broad and holistic way. Opportunities to reach equity in STEM are in our communities, education settings and workplaces, in our systems of government and decision-making – even in ourselves. All organisations, institutions and people in the STEM ecosystem will benefit from a bigger, more diverse, STEM workforce. Achieving this requires a collective response”. </w:t>
      </w:r>
    </w:p>
    <w:p w14:paraId="7EBF5D4A" w14:textId="23C7E760" w:rsidR="00E6256B" w:rsidRPr="001535ED" w:rsidRDefault="649423C5" w:rsidP="007A553F">
      <w:pPr>
        <w:pStyle w:val="IntenseQuote"/>
        <w:spacing w:before="120" w:after="240"/>
        <w:ind w:left="624" w:right="624"/>
        <w:rPr>
          <w:i w:val="0"/>
          <w:iCs w:val="0"/>
          <w14:numForm w14:val="lining"/>
          <w14:numSpacing w14:val="proportional"/>
        </w:rPr>
      </w:pPr>
      <w:r w:rsidRPr="2D8771F7">
        <w:rPr>
          <w:i w:val="0"/>
          <w:iCs w:val="0"/>
        </w:rPr>
        <w:t>–</w:t>
      </w:r>
      <w:r w:rsidR="00E6256B" w:rsidRPr="001535ED">
        <w:rPr>
          <w:i w:val="0"/>
          <w:iCs w:val="0"/>
        </w:rPr>
        <w:t xml:space="preserve"> Diversity in STEM Review, Draft Recommendations</w:t>
      </w:r>
      <w:r w:rsidR="45C852C9" w:rsidRPr="0D0C6639">
        <w:rPr>
          <w:i w:val="0"/>
          <w:iCs w:val="0"/>
        </w:rPr>
        <w:t>.</w:t>
      </w:r>
      <w:r w:rsidR="00E6256B" w:rsidRPr="2D8771F7">
        <w:rPr>
          <w:rStyle w:val="EndnoteReference"/>
          <w:i w:val="0"/>
          <w:iCs w:val="0"/>
        </w:rPr>
        <w:endnoteReference w:id="163"/>
      </w:r>
      <w:r w:rsidR="00E6256B" w:rsidRPr="001535ED">
        <w:rPr>
          <w:i w:val="0"/>
          <w:iCs w:val="0"/>
        </w:rPr>
        <w:t xml:space="preserve"> </w:t>
      </w:r>
    </w:p>
    <w:p w14:paraId="0E6AD11A" w14:textId="12968465"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One constraint to scaling up higher education </w:t>
      </w:r>
      <w:r w:rsidR="00B030E8">
        <w:rPr>
          <w:rFonts w:cs="Arial"/>
          <w14:numForm w14:val="lining"/>
          <w14:numSpacing w14:val="proportional"/>
        </w:rPr>
        <w:t xml:space="preserve">engineering </w:t>
      </w:r>
      <w:r w:rsidRPr="00E5087D">
        <w:rPr>
          <w:rFonts w:cs="Arial"/>
          <w14:numForm w14:val="lining"/>
          <w14:numSpacing w14:val="proportional"/>
        </w:rPr>
        <w:t xml:space="preserve">enrolments is the decline in advanced STEM enrolments in secondary schools. Anecdotally, many students forgo mathematics and science subjects as they are perceived as difficult and will not help students achieve a high ATAR score. This could be the result of poor messaging, or an ATAR system that acts as </w:t>
      </w:r>
      <w:r w:rsidR="00B030E8">
        <w:rPr>
          <w:rFonts w:cs="Arial"/>
          <w14:numForm w14:val="lining"/>
          <w14:numSpacing w14:val="proportional"/>
        </w:rPr>
        <w:t xml:space="preserve">a </w:t>
      </w:r>
      <w:r w:rsidRPr="00E5087D">
        <w:rPr>
          <w:rFonts w:cs="Arial"/>
          <w14:numForm w14:val="lining"/>
          <w14:numSpacing w14:val="proportional"/>
        </w:rPr>
        <w:t>disincentive to STEM.</w:t>
      </w:r>
    </w:p>
    <w:p w14:paraId="32E4979B" w14:textId="5CD32418"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Roundtable discussions emphasised the importance of schools engaging with career advisors and educating parents on the benefits of enrolling in STEM subjects. Additionally, the integration of</w:t>
      </w:r>
      <w:r w:rsidR="00ED062F">
        <w:rPr>
          <w:rFonts w:cs="Arial"/>
          <w14:numForm w14:val="lining"/>
          <w14:numSpacing w14:val="proportional"/>
        </w:rPr>
        <w:t xml:space="preserve"> industry</w:t>
      </w:r>
      <w:r w:rsidRPr="00E5087D">
        <w:rPr>
          <w:rFonts w:cs="Arial"/>
          <w14:numForm w14:val="lining"/>
          <w14:numSpacing w14:val="proportional"/>
        </w:rPr>
        <w:t xml:space="preserve"> workplace simulation</w:t>
      </w:r>
      <w:r w:rsidR="00ED062F">
        <w:rPr>
          <w:rFonts w:cs="Arial"/>
          <w14:numForm w14:val="lining"/>
          <w14:numSpacing w14:val="proportional"/>
        </w:rPr>
        <w:t>s</w:t>
      </w:r>
      <w:r w:rsidRPr="00E5087D">
        <w:rPr>
          <w:rFonts w:cs="Arial"/>
          <w14:numForm w14:val="lining"/>
          <w14:numSpacing w14:val="proportional"/>
        </w:rPr>
        <w:t xml:space="preserve"> at the beginning of secondary school may influence </w:t>
      </w:r>
      <w:r w:rsidR="00ED062F">
        <w:rPr>
          <w:rFonts w:cs="Arial"/>
          <w14:numForm w14:val="lining"/>
          <w14:numSpacing w14:val="proportional"/>
        </w:rPr>
        <w:t xml:space="preserve">student </w:t>
      </w:r>
      <w:r w:rsidRPr="00E5087D">
        <w:rPr>
          <w:rFonts w:cs="Arial"/>
          <w14:numForm w14:val="lining"/>
          <w14:numSpacing w14:val="proportional"/>
        </w:rPr>
        <w:t>decision-making by improving awareness of unfamiliar professions and trades.</w:t>
      </w:r>
      <w:r w:rsidR="00CC04F7">
        <w:rPr>
          <w:rFonts w:cs="Arial"/>
          <w14:numForm w14:val="lining"/>
          <w14:numSpacing w14:val="proportional"/>
        </w:rPr>
        <w:t xml:space="preserve"> Informal exposure to STEM knowledge and pathways outside of the schooling environment</w:t>
      </w:r>
      <w:r w:rsidR="00223352">
        <w:rPr>
          <w:rFonts w:cs="Arial"/>
          <w14:numForm w14:val="lining"/>
          <w14:numSpacing w14:val="proportional"/>
        </w:rPr>
        <w:t xml:space="preserve"> can also support efforts to increase young people</w:t>
      </w:r>
      <w:r w:rsidR="00304D92">
        <w:rPr>
          <w:rFonts w:cs="Arial"/>
          <w14:numForm w14:val="lining"/>
          <w14:numSpacing w14:val="proportional"/>
        </w:rPr>
        <w:t>’</w:t>
      </w:r>
      <w:r w:rsidR="00223352">
        <w:rPr>
          <w:rFonts w:cs="Arial"/>
          <w14:numForm w14:val="lining"/>
          <w14:numSpacing w14:val="proportional"/>
        </w:rPr>
        <w:t>s awareness of and interest in further STEM study and careers.</w:t>
      </w:r>
    </w:p>
    <w:p w14:paraId="0698E1E4" w14:textId="4A8B88B8"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 xml:space="preserve">Aside from foundational STEM knowledge, participants observed that a constraint on the pipeline of students is a lack of awareness of the strong demand </w:t>
      </w:r>
      <w:r w:rsidR="00ED062F">
        <w:rPr>
          <w:rFonts w:cs="Arial"/>
          <w14:numForm w14:val="lining"/>
          <w14:numSpacing w14:val="proportional"/>
        </w:rPr>
        <w:t xml:space="preserve">for engineers </w:t>
      </w:r>
      <w:r w:rsidRPr="00E5087D">
        <w:rPr>
          <w:rFonts w:cs="Arial"/>
          <w14:numForm w14:val="lining"/>
          <w14:numSpacing w14:val="proportional"/>
        </w:rPr>
        <w:t xml:space="preserve">and </w:t>
      </w:r>
      <w:r w:rsidR="00ED062F">
        <w:rPr>
          <w:rFonts w:cs="Arial"/>
          <w14:numForm w14:val="lining"/>
          <w14:numSpacing w14:val="proportional"/>
        </w:rPr>
        <w:t xml:space="preserve">the </w:t>
      </w:r>
      <w:r w:rsidRPr="00E5087D">
        <w:rPr>
          <w:rFonts w:cs="Arial"/>
          <w14:numForm w14:val="lining"/>
          <w14:numSpacing w14:val="proportional"/>
        </w:rPr>
        <w:t xml:space="preserve">variety of possible engineering careers. Scholarships for undergraduate students in clean energy (or engineering </w:t>
      </w:r>
      <w:r w:rsidR="00B00959">
        <w:rPr>
          <w:rFonts w:cs="Arial"/>
          <w14:numForm w14:val="lining"/>
          <w14:numSpacing w14:val="proportional"/>
        </w:rPr>
        <w:t xml:space="preserve">and earth sciences </w:t>
      </w:r>
      <w:r w:rsidRPr="00E5087D">
        <w:rPr>
          <w:rFonts w:cs="Arial"/>
          <w14:numForm w14:val="lining"/>
          <w14:numSpacing w14:val="proportional"/>
        </w:rPr>
        <w:t>more generally) could help attract more students, in the same vein as state governments have pursued for teaching and nursing.  </w:t>
      </w:r>
    </w:p>
    <w:p w14:paraId="321E8D5E" w14:textId="4D747BB9" w:rsidR="00E6256B" w:rsidRPr="00E5087D" w:rsidRDefault="00B439CF" w:rsidP="003F04CC">
      <w:pPr>
        <w:spacing w:before="120" w:after="120" w:line="276" w:lineRule="auto"/>
        <w:rPr>
          <w:rFonts w:cs="Arial"/>
          <w14:numForm w14:val="lining"/>
          <w14:numSpacing w14:val="proportional"/>
        </w:rPr>
      </w:pPr>
      <w:r>
        <w:rPr>
          <w:rFonts w:cs="Arial"/>
          <w14:numForm w14:val="lining"/>
          <w14:numSpacing w14:val="proportional"/>
        </w:rPr>
        <w:t>Minimising</w:t>
      </w:r>
      <w:r w:rsidR="00E6256B" w:rsidRPr="00E5087D">
        <w:rPr>
          <w:rFonts w:cs="Arial"/>
          <w14:numForm w14:val="lining"/>
          <w14:numSpacing w14:val="proportional"/>
        </w:rPr>
        <w:t xml:space="preserve"> pre-requisites for higher education degrees may be </w:t>
      </w:r>
      <w:r>
        <w:rPr>
          <w:rFonts w:cs="Arial"/>
          <w14:numForm w14:val="lining"/>
          <w14:numSpacing w14:val="proportional"/>
        </w:rPr>
        <w:t>one</w:t>
      </w:r>
      <w:r w:rsidR="00E6256B" w:rsidRPr="00E5087D">
        <w:rPr>
          <w:rFonts w:cs="Arial"/>
          <w14:numForm w14:val="lining"/>
          <w14:numSpacing w14:val="proportional"/>
        </w:rPr>
        <w:t xml:space="preserve"> solution to increase enrolment</w:t>
      </w:r>
      <w:r>
        <w:rPr>
          <w:rFonts w:cs="Arial"/>
          <w14:numForm w14:val="lining"/>
          <w14:numSpacing w14:val="proportional"/>
        </w:rPr>
        <w:t>s</w:t>
      </w:r>
      <w:r w:rsidR="00E6256B" w:rsidRPr="00E5087D">
        <w:rPr>
          <w:rFonts w:cs="Arial"/>
          <w14:numForm w14:val="lining"/>
          <w14:numSpacing w14:val="proportional"/>
        </w:rPr>
        <w:t>, however stakeholders noted that removing pre-requisites meant that students will often need bridging and enabling courses to cover the required knowledge.</w:t>
      </w:r>
      <w:r w:rsidR="00B00959">
        <w:rPr>
          <w:rFonts w:cs="Arial"/>
          <w14:numForm w14:val="lining"/>
          <w14:numSpacing w14:val="proportional"/>
        </w:rPr>
        <w:t xml:space="preserve"> Greater participation in STEM will also require a teacher and trainer workforce with STEM skills.</w:t>
      </w:r>
    </w:p>
    <w:p w14:paraId="0A1EDD94" w14:textId="1475A10E" w:rsidR="00434E81" w:rsidRDefault="00434E81">
      <w:pPr>
        <w:rPr>
          <w:b/>
          <w:bCs/>
          <w14:numForm w14:val="lining"/>
          <w14:numSpacing w14:val="proportional"/>
        </w:rPr>
      </w:pPr>
      <w:r>
        <w:rPr>
          <w:b/>
          <w:bCs/>
          <w14:numForm w14:val="lining"/>
          <w14:numSpacing w14:val="proportional"/>
        </w:rPr>
        <w:br w:type="page"/>
      </w:r>
    </w:p>
    <w:p w14:paraId="012FF3F1" w14:textId="7E905A43" w:rsidR="007940B6" w:rsidRPr="006E07A7" w:rsidRDefault="00434E81" w:rsidP="00434E81">
      <w:pPr>
        <w:spacing w:after="0"/>
        <w:ind w:left="170" w:right="113"/>
        <w:rPr>
          <w:b/>
          <w:bCs/>
          <w14:numForm w14:val="lining"/>
          <w14:numSpacing w14:val="proportional"/>
        </w:rPr>
      </w:pPr>
      <w:r w:rsidRPr="00BB2E09">
        <w:rPr>
          <w:noProof/>
        </w:rPr>
        <mc:AlternateContent>
          <mc:Choice Requires="wpg">
            <w:drawing>
              <wp:anchor distT="0" distB="0" distL="114300" distR="114300" simplePos="0" relativeHeight="251658313" behindDoc="1" locked="0" layoutInCell="1" allowOverlap="1" wp14:anchorId="0972E26C" wp14:editId="2905E08D">
                <wp:simplePos x="0" y="0"/>
                <wp:positionH relativeFrom="column">
                  <wp:posOffset>16722</wp:posOffset>
                </wp:positionH>
                <wp:positionV relativeFrom="paragraph">
                  <wp:posOffset>-22225</wp:posOffset>
                </wp:positionV>
                <wp:extent cx="5722374" cy="1246119"/>
                <wp:effectExtent l="0" t="0" r="12065" b="11430"/>
                <wp:wrapNone/>
                <wp:docPr id="1341085287" name="Group 1341085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2374" cy="1246119"/>
                          <a:chOff x="0" y="0"/>
                          <a:chExt cx="5871361" cy="1282026"/>
                        </a:xfrm>
                      </wpg:grpSpPr>
                      <wps:wsp>
                        <wps:cNvPr id="1341085288" name="Rectangle: Top Corners Rounded 1341085288"/>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2A1D39" w14:textId="697323C4" w:rsidR="0024405E" w:rsidRPr="006E07A7" w:rsidRDefault="0024405E" w:rsidP="0024405E">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89" name="Rectangle 1341085289"/>
                        <wps:cNvSpPr/>
                        <wps:spPr>
                          <a:xfrm>
                            <a:off x="0" y="230171"/>
                            <a:ext cx="5871361" cy="1051855"/>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EC661" w14:textId="5E32A6D3" w:rsidR="0024405E" w:rsidRPr="0024405E" w:rsidRDefault="0024405E" w:rsidP="0024405E">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72E26C" id="Group 1341085287" o:spid="_x0000_s1172" alt="&quot;&quot;" style="position:absolute;left:0;text-align:left;margin-left:1.3pt;margin-top:-1.75pt;width:450.6pt;height:98.1pt;z-index:-251658167;mso-position-horizontal-relative:text;mso-position-vertical-relative:text;mso-width-relative:margin;mso-height-relative:margin" coordsize="58713,1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">
                <v:shape id="Rectangle: Top Corners Rounded 1341085288" o:spid="_x0000_s1173"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2F2A1D39" w14:textId="697323C4" w:rsidR="0024405E" w:rsidRPr="006E07A7" w:rsidRDefault="0024405E" w:rsidP="0024405E">
                        <w:pPr>
                          <w:spacing w:after="0" w:line="240" w:lineRule="auto"/>
                          <w:rPr>
                            <w:b/>
                            <w:bCs/>
                            <w14:numForm w14:val="lining"/>
                            <w14:numSpacing w14:val="proportional"/>
                          </w:rPr>
                        </w:pPr>
                      </w:p>
                    </w:txbxContent>
                  </v:textbox>
                </v:shape>
                <v:rect id="Rectangle 1341085289" o:spid="_x0000_s1174" style="position:absolute;top:2301;width:58713;height:10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" fillcolor="#f2f2f2" strokecolor="#c2a5ec" strokeweight="1pt">
                  <v:textbox inset="2mm,1mm,2mm,1mm">
                    <w:txbxContent>
                      <w:p w14:paraId="5E5EC661" w14:textId="5E32A6D3" w:rsidR="0024405E" w:rsidRPr="0024405E" w:rsidRDefault="0024405E" w:rsidP="0024405E">
                        <w:pPr>
                          <w:spacing w:after="0" w:line="276" w:lineRule="auto"/>
                          <w:ind w:left="113" w:right="113"/>
                          <w:rPr>
                            <w:lang w:val="en-US"/>
                          </w:rPr>
                        </w:pPr>
                      </w:p>
                    </w:txbxContent>
                  </v:textbox>
                </v:rect>
              </v:group>
            </w:pict>
          </mc:Fallback>
        </mc:AlternateContent>
      </w:r>
      <w:r w:rsidR="007940B6" w:rsidRPr="006E07A7">
        <w:rPr>
          <w:b/>
          <w:bCs/>
          <w14:numForm w14:val="lining"/>
          <w14:numSpacing w14:val="proportional"/>
        </w:rPr>
        <w:t xml:space="preserve">Recommendation </w:t>
      </w:r>
      <w:r w:rsidR="007940B6">
        <w:rPr>
          <w:b/>
          <w:bCs/>
          <w14:numForm w14:val="lining"/>
          <w14:numSpacing w14:val="proportional"/>
        </w:rPr>
        <w:t>7.10</w:t>
      </w:r>
    </w:p>
    <w:p w14:paraId="5836D9DC" w14:textId="6F6571EB" w:rsidR="007940B6" w:rsidRDefault="007940B6" w:rsidP="00292FA9">
      <w:pPr>
        <w:spacing w:before="200" w:after="360" w:line="240" w:lineRule="auto"/>
        <w:ind w:left="170" w:right="113"/>
        <w:rPr>
          <w:rStyle w:val="normaltextrun"/>
          <w:rFonts w:cs="Arial"/>
        </w:rPr>
      </w:pPr>
      <w:r w:rsidRPr="00063954">
        <w:rPr>
          <w:rStyle w:val="normaltextrun"/>
          <w:rFonts w:cs="Arial"/>
        </w:rPr>
        <w:t>Education and training providers should consider entry requirements and supported pathways, like pre-apprenticeships and elective substitutes, to encourage more students from underrepresented backgrounds into full qualifications. Governments should</w:t>
      </w:r>
      <w:r>
        <w:rPr>
          <w:rStyle w:val="normaltextrun"/>
          <w:rFonts w:cs="Arial"/>
        </w:rPr>
        <w:t xml:space="preserve"> consider the adequacy of funding of these programs</w:t>
      </w:r>
      <w:r w:rsidRPr="00063954">
        <w:rPr>
          <w:rStyle w:val="normaltextrun"/>
          <w:rFonts w:cs="Arial"/>
        </w:rPr>
        <w:t>, including appropriate wrap-around supports</w:t>
      </w:r>
      <w:r>
        <w:rPr>
          <w:rStyle w:val="normaltextrun"/>
          <w:rFonts w:cs="Arial"/>
        </w:rPr>
        <w:t>, scholarships</w:t>
      </w:r>
      <w:r w:rsidRPr="00063954">
        <w:rPr>
          <w:rStyle w:val="normaltextrun"/>
          <w:rFonts w:cs="Arial"/>
        </w:rPr>
        <w:t xml:space="preserve"> and industry connections.</w:t>
      </w:r>
    </w:p>
    <w:p w14:paraId="23E6CF25" w14:textId="21D026FB" w:rsidR="007940B6" w:rsidRDefault="00292FA9" w:rsidP="00292FA9">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4" behindDoc="1" locked="0" layoutInCell="1" allowOverlap="1" wp14:anchorId="52130C7D" wp14:editId="65662C41">
                <wp:simplePos x="0" y="0"/>
                <wp:positionH relativeFrom="column">
                  <wp:posOffset>0</wp:posOffset>
                </wp:positionH>
                <wp:positionV relativeFrom="paragraph">
                  <wp:posOffset>37854</wp:posOffset>
                </wp:positionV>
                <wp:extent cx="5721985" cy="1194435"/>
                <wp:effectExtent l="0" t="0" r="12065" b="24765"/>
                <wp:wrapNone/>
                <wp:docPr id="1341085314" name="Group 13410853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1985" cy="1194435"/>
                          <a:chOff x="-7566" y="31969"/>
                          <a:chExt cx="5870962" cy="1035708"/>
                        </a:xfrm>
                      </wpg:grpSpPr>
                      <wps:wsp>
                        <wps:cNvPr id="1341085316" name="Rectangle: Top Corners Rounded 1341085315"/>
                        <wps:cNvSpPr/>
                        <wps:spPr>
                          <a:xfrm>
                            <a:off x="-7566" y="31969"/>
                            <a:ext cx="1736053" cy="200780"/>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82CA8E" w14:textId="662E93BE" w:rsidR="00D02369" w:rsidRPr="006E07A7" w:rsidRDefault="00D02369" w:rsidP="00D0236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17" name="Rectangle 1341085316"/>
                        <wps:cNvSpPr/>
                        <wps:spPr>
                          <a:xfrm>
                            <a:off x="-7566" y="230219"/>
                            <a:ext cx="5870962" cy="837458"/>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2F44" w14:textId="30351D58" w:rsidR="00D02369" w:rsidRPr="0024405E" w:rsidRDefault="00D02369" w:rsidP="00292FA9">
                              <w:pPr>
                                <w:spacing w:after="0" w:line="276" w:lineRule="auto"/>
                                <w:ind w:left="170"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130C7D" id="Group 1341085314" o:spid="_x0000_s1175" alt="&quot;&quot;" style="position:absolute;left:0;text-align:left;margin-left:0;margin-top:3pt;width:450.55pt;height:94.05pt;z-index:-251658166;mso-position-horizontal-relative:text;mso-position-vertical-relative:text" coordorigin="-75,319" coordsize="58709,10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">
                <v:shape id="Rectangle: Top Corners Rounded 1341085315" o:spid="_x0000_s1176" style="position:absolute;left:-75;top:319;width:17359;height:2008;visibility:visible;mso-wrap-style:square;v-text-anchor:middle" coordsize="1736053,2007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" adj="-11796480,,5400" path="m33464,l1702589,v18482,,33464,14982,33464,33464l1736053,200780r,l,200780r,l,33464c,14982,14982,,33464,xe" fillcolor="#c2a5ec" strokecolor="#c2a5ec" strokeweight="1pt">
                  <v:stroke joinstyle="miter"/>
                  <v:formulas/>
                  <v:path arrowok="t" o:connecttype="custom" o:connectlocs="33464,0;1702589,0;1736053,33464;1736053,200780;1736053,200780;0,200780;0,200780;0,33464;33464,0" o:connectangles="0,0,0,0,0,0,0,0,0" textboxrect="0,0,1736053,200780"/>
                  <v:textbox inset=",0,,0">
                    <w:txbxContent>
                      <w:p w14:paraId="4582CA8E" w14:textId="662E93BE" w:rsidR="00D02369" w:rsidRPr="006E07A7" w:rsidRDefault="00D02369" w:rsidP="00D02369">
                        <w:pPr>
                          <w:spacing w:after="0" w:line="240" w:lineRule="auto"/>
                          <w:rPr>
                            <w:b/>
                            <w:bCs/>
                            <w14:numForm w14:val="lining"/>
                            <w14:numSpacing w14:val="proportional"/>
                          </w:rPr>
                        </w:pPr>
                      </w:p>
                    </w:txbxContent>
                  </v:textbox>
                </v:shape>
                <v:rect id="Rectangle 1341085316" o:spid="_x0000_s1177" style="position:absolute;left:-75;top:2302;width:58708;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" fillcolor="#f2f2f2" strokecolor="#c2a5ec" strokeweight="1pt">
                  <v:textbox inset="2mm,1mm,2mm,1mm">
                    <w:txbxContent>
                      <w:p w14:paraId="61892F44" w14:textId="30351D58" w:rsidR="00D02369" w:rsidRPr="0024405E" w:rsidRDefault="00D02369" w:rsidP="00292FA9">
                        <w:pPr>
                          <w:spacing w:after="0" w:line="276" w:lineRule="auto"/>
                          <w:ind w:left="170" w:right="113"/>
                          <w:rPr>
                            <w:lang w:val="en-US"/>
                          </w:rPr>
                        </w:pPr>
                      </w:p>
                    </w:txbxContent>
                  </v:textbox>
                </v:rect>
              </v:group>
            </w:pict>
          </mc:Fallback>
        </mc:AlternateContent>
      </w:r>
      <w:r w:rsidR="007940B6" w:rsidRPr="006E07A7">
        <w:rPr>
          <w:b/>
          <w:bCs/>
          <w14:numForm w14:val="lining"/>
          <w14:numSpacing w14:val="proportional"/>
        </w:rPr>
        <w:t xml:space="preserve">Recommendation </w:t>
      </w:r>
      <w:r w:rsidR="007940B6">
        <w:rPr>
          <w:b/>
          <w:bCs/>
          <w14:numForm w14:val="lining"/>
          <w14:numSpacing w14:val="proportional"/>
        </w:rPr>
        <w:t>7.11</w:t>
      </w:r>
    </w:p>
    <w:p w14:paraId="4D1C8C08" w14:textId="1E4A7F03" w:rsidR="007940B6" w:rsidRPr="0024405E" w:rsidRDefault="007940B6" w:rsidP="00255A14">
      <w:pPr>
        <w:spacing w:after="0" w:line="240" w:lineRule="auto"/>
        <w:ind w:left="170" w:right="113"/>
        <w:rPr>
          <w:lang w:val="en-US"/>
        </w:rPr>
      </w:pPr>
      <w:r w:rsidRPr="00022996">
        <w:rPr>
          <w:rStyle w:val="normaltextrun"/>
          <w:rFonts w:cs="Arial"/>
        </w:rPr>
        <w:t xml:space="preserve">Supercharge efforts to increase the uptake </w:t>
      </w:r>
      <w:r>
        <w:rPr>
          <w:rStyle w:val="normaltextrun"/>
          <w:rFonts w:cs="Arial"/>
        </w:rPr>
        <w:t xml:space="preserve">and availability </w:t>
      </w:r>
      <w:r w:rsidRPr="00022996">
        <w:rPr>
          <w:rStyle w:val="normaltextrun"/>
          <w:rFonts w:cs="Arial"/>
        </w:rPr>
        <w:t>of STEM education and training</w:t>
      </w:r>
      <w:r>
        <w:rPr>
          <w:rStyle w:val="normaltextrun"/>
          <w:rFonts w:cs="Arial"/>
        </w:rPr>
        <w:t xml:space="preserve"> as a coordinated, whole of government priority</w:t>
      </w:r>
      <w:r w:rsidRPr="00022996">
        <w:rPr>
          <w:rStyle w:val="normaltextrun"/>
          <w:rFonts w:cs="Arial"/>
        </w:rPr>
        <w:t xml:space="preserve">. </w:t>
      </w:r>
      <w:r>
        <w:rPr>
          <w:rStyle w:val="normaltextrun"/>
          <w:rFonts w:cs="Arial"/>
        </w:rPr>
        <w:t xml:space="preserve">This includes supporting programs that inspire young people towards STEM careers and break down barriers to make career paths more accessible. </w:t>
      </w:r>
      <w:r w:rsidRPr="00022996">
        <w:rPr>
          <w:rStyle w:val="normaltextrun"/>
          <w:rFonts w:cs="Arial"/>
        </w:rPr>
        <w:t xml:space="preserve"> It is important that VET, particularly trade qualifications, is supported and communicated as a critical STEM pathway.</w:t>
      </w:r>
    </w:p>
    <w:p w14:paraId="007667B2" w14:textId="77777777" w:rsidR="00E6256B" w:rsidRPr="00E5087D" w:rsidRDefault="00E6256B" w:rsidP="00292FA9">
      <w:pPr>
        <w:pStyle w:val="Heading3"/>
        <w:spacing w:before="480"/>
        <w:rPr>
          <w:rStyle w:val="normaltextrun"/>
          <w:rFonts w:cs="Arial"/>
          <w:b w:val="0"/>
          <w:bCs/>
          <w:szCs w:val="32"/>
        </w:rPr>
      </w:pPr>
      <w:r w:rsidRPr="00E5087D">
        <w:rPr>
          <w:rStyle w:val="normaltextrun"/>
          <w:rFonts w:cs="Arial"/>
          <w:bCs/>
          <w:szCs w:val="32"/>
        </w:rPr>
        <w:t>The trainer, teacher and researcher workforce</w:t>
      </w:r>
    </w:p>
    <w:p w14:paraId="0BC3ECD4" w14:textId="184B40F8" w:rsidR="00246C6B" w:rsidRDefault="41DB092E" w:rsidP="3D562964">
      <w:pPr>
        <w:spacing w:line="257" w:lineRule="auto"/>
        <w:rPr>
          <w:rFonts w:cs="Arial"/>
          <w:spacing w:val="2"/>
          <w14:ligatures w14:val="standard"/>
          <w14:numForm w14:val="lining"/>
          <w14:numSpacing w14:val="proportional"/>
        </w:rPr>
      </w:pPr>
      <w:r w:rsidRPr="003F04CC">
        <w:rPr>
          <w:rFonts w:cs="Arial"/>
          <w:spacing w:val="2"/>
          <w14:ligatures w14:val="standard"/>
          <w14:numForm w14:val="lining"/>
          <w14:numSpacing w14:val="proportional"/>
        </w:rPr>
        <w:t xml:space="preserve">Trainers and teachers are integral </w:t>
      </w:r>
      <w:r w:rsidR="375AD6B8" w:rsidRPr="003F04CC">
        <w:rPr>
          <w:rFonts w:cs="Arial"/>
          <w:spacing w:val="2"/>
          <w14:ligatures w14:val="standard"/>
          <w14:numForm w14:val="lining"/>
          <w14:numSpacing w14:val="proportional"/>
        </w:rPr>
        <w:t>in</w:t>
      </w:r>
      <w:r w:rsidR="7AAD8A0B" w:rsidRPr="003F04CC">
        <w:rPr>
          <w:rFonts w:cs="Arial"/>
          <w:spacing w:val="2"/>
          <w14:ligatures w14:val="standard"/>
          <w14:numForm w14:val="lining"/>
          <w14:numSpacing w14:val="proportional"/>
        </w:rPr>
        <w:t xml:space="preserve"> developing </w:t>
      </w:r>
      <w:r w:rsidRPr="003F04CC">
        <w:rPr>
          <w:rFonts w:cs="Arial"/>
          <w:spacing w:val="2"/>
          <w14:ligatures w14:val="standard"/>
          <w14:numForm w14:val="lining"/>
          <w14:numSpacing w14:val="proportional"/>
        </w:rPr>
        <w:t>a flexible workforce with the skills required by industry to power the clean energy transition. They play a pivotal role in not only linking industry expertise with training delivery, but also offer support, guidance and mentorship</w:t>
      </w:r>
      <w:r w:rsidR="2DBD8B2C" w:rsidRPr="003F04CC">
        <w:rPr>
          <w:rFonts w:cs="Arial"/>
          <w:spacing w:val="2"/>
          <w14:ligatures w14:val="standard"/>
          <w14:numForm w14:val="lining"/>
          <w14:numSpacing w14:val="proportional"/>
        </w:rPr>
        <w:t xml:space="preserve"> to students</w:t>
      </w:r>
      <w:r w:rsidRPr="003F04CC">
        <w:rPr>
          <w:rFonts w:cs="Arial"/>
          <w:spacing w:val="2"/>
          <w14:ligatures w14:val="standard"/>
          <w14:numForm w14:val="lining"/>
          <w14:numSpacing w14:val="proportional"/>
        </w:rPr>
        <w:t xml:space="preserve">. Attracting industry experts into teaching and training roles </w:t>
      </w:r>
      <w:r w:rsidR="3148B28C" w:rsidRPr="003F04CC">
        <w:rPr>
          <w:rFonts w:cs="Arial"/>
          <w:spacing w:val="2"/>
          <w14:ligatures w14:val="standard"/>
          <w14:numForm w14:val="lining"/>
          <w14:numSpacing w14:val="proportional"/>
        </w:rPr>
        <w:t>has been</w:t>
      </w:r>
      <w:r w:rsidRPr="003F04CC">
        <w:rPr>
          <w:rFonts w:cs="Arial"/>
          <w:spacing w:val="2"/>
          <w14:ligatures w14:val="standard"/>
          <w14:numForm w14:val="lining"/>
          <w14:numSpacing w14:val="proportional"/>
        </w:rPr>
        <w:t xml:space="preserve"> recognised as an ongoing challenge</w:t>
      </w:r>
      <w:r w:rsidR="003D50BB" w:rsidRPr="3D562964">
        <w:rPr>
          <w:rStyle w:val="EndnoteReference"/>
          <w:rFonts w:eastAsia="Arial" w:cs="Arial"/>
        </w:rPr>
        <w:endnoteReference w:id="164"/>
      </w:r>
      <w:r w:rsidRPr="003F04CC">
        <w:rPr>
          <w:rFonts w:cs="Arial"/>
          <w:spacing w:val="2"/>
          <w14:ligatures w14:val="standard"/>
          <w14:numForm w14:val="lining"/>
          <w14:numSpacing w14:val="proportional"/>
        </w:rPr>
        <w:t>,</w:t>
      </w:r>
      <w:r w:rsidR="173DE42F" w:rsidRPr="003F04CC">
        <w:rPr>
          <w:rFonts w:cs="Arial"/>
          <w:spacing w:val="2"/>
          <w14:ligatures w14:val="standard"/>
          <w14:numForm w14:val="lining"/>
          <w14:numSpacing w14:val="proportional"/>
        </w:rPr>
        <w:t xml:space="preserve"> with the demand for industry trainers to grow</w:t>
      </w:r>
      <w:r w:rsidR="2060D351" w:rsidRPr="003F04CC">
        <w:rPr>
          <w:rFonts w:cs="Arial"/>
          <w:spacing w:val="2"/>
          <w14:ligatures w14:val="standard"/>
          <w14:numForm w14:val="lining"/>
          <w14:numSpacing w14:val="proportional"/>
        </w:rPr>
        <w:t xml:space="preserve"> exponentially</w:t>
      </w:r>
      <w:r w:rsidR="7CB8AD5E" w:rsidRPr="003F04CC">
        <w:rPr>
          <w:rFonts w:cs="Arial"/>
          <w:spacing w:val="2"/>
          <w14:ligatures w14:val="standard"/>
          <w14:numForm w14:val="lining"/>
          <w14:numSpacing w14:val="proportional"/>
        </w:rPr>
        <w:t xml:space="preserve"> as the transition continues</w:t>
      </w:r>
      <w:r w:rsidRPr="003F04CC">
        <w:rPr>
          <w:rFonts w:cs="Arial"/>
          <w:spacing w:val="2"/>
          <w14:ligatures w14:val="standard"/>
          <w14:numForm w14:val="lining"/>
          <w14:numSpacing w14:val="proportional"/>
        </w:rPr>
        <w:t xml:space="preserve">. </w:t>
      </w:r>
      <w:r w:rsidR="0FD7063E" w:rsidRPr="003F04CC">
        <w:rPr>
          <w:rFonts w:cs="Arial"/>
          <w:spacing w:val="2"/>
          <w14:ligatures w14:val="standard"/>
          <w14:numForm w14:val="lining"/>
          <w14:numSpacing w14:val="proportional"/>
        </w:rPr>
        <w:t xml:space="preserve">In simple terms, the transformation of our workforce will </w:t>
      </w:r>
      <w:r w:rsidR="20C02C8D" w:rsidRPr="003F04CC">
        <w:rPr>
          <w:rFonts w:cs="Arial"/>
          <w:spacing w:val="2"/>
          <w14:ligatures w14:val="standard"/>
          <w14:numForm w14:val="lining"/>
          <w14:numSpacing w14:val="proportional"/>
        </w:rPr>
        <w:t>require the assistance</w:t>
      </w:r>
      <w:r w:rsidR="0FD7063E" w:rsidRPr="003F04CC">
        <w:rPr>
          <w:rFonts w:cs="Arial"/>
          <w:spacing w:val="2"/>
          <w14:ligatures w14:val="standard"/>
          <w14:numForm w14:val="lining"/>
          <w14:numSpacing w14:val="proportional"/>
        </w:rPr>
        <w:t xml:space="preserve"> from</w:t>
      </w:r>
      <w:r w:rsidR="20C02C8D" w:rsidRPr="003F04CC">
        <w:rPr>
          <w:rFonts w:cs="Arial"/>
          <w:spacing w:val="2"/>
          <w14:ligatures w14:val="standard"/>
          <w14:numForm w14:val="lining"/>
          <w14:numSpacing w14:val="proportional"/>
        </w:rPr>
        <w:t xml:space="preserve"> both</w:t>
      </w:r>
      <w:r w:rsidR="0FD7063E" w:rsidRPr="003F04CC">
        <w:rPr>
          <w:rFonts w:cs="Arial"/>
          <w:spacing w:val="2"/>
          <w14:ligatures w14:val="standard"/>
          <w14:numForm w14:val="lining"/>
          <w14:numSpacing w14:val="proportional"/>
        </w:rPr>
        <w:t xml:space="preserve"> teachers and trainers to</w:t>
      </w:r>
      <w:r w:rsidR="532AF7A2" w:rsidRPr="003F04CC">
        <w:rPr>
          <w:rFonts w:cs="Arial"/>
          <w:spacing w:val="2"/>
          <w14:ligatures w14:val="standard"/>
          <w14:numForm w14:val="lining"/>
          <w14:numSpacing w14:val="proportional"/>
        </w:rPr>
        <w:t xml:space="preserve"> effectively</w:t>
      </w:r>
      <w:r w:rsidR="0FD7063E" w:rsidRPr="003F04CC">
        <w:rPr>
          <w:rFonts w:cs="Arial"/>
          <w:spacing w:val="2"/>
          <w14:ligatures w14:val="standard"/>
          <w14:numForm w14:val="lining"/>
          <w14:numSpacing w14:val="proportional"/>
        </w:rPr>
        <w:t xml:space="preserve"> impart the knowledge</w:t>
      </w:r>
      <w:r w:rsidR="20C02C8D" w:rsidRPr="003F04CC">
        <w:rPr>
          <w:rFonts w:cs="Arial"/>
          <w:spacing w:val="2"/>
          <w14:ligatures w14:val="standard"/>
          <w14:numForm w14:val="lining"/>
          <w14:numSpacing w14:val="proportional"/>
        </w:rPr>
        <w:t xml:space="preserve"> and skills onto the next generation </w:t>
      </w:r>
      <w:r w:rsidR="532AF7A2" w:rsidRPr="003F04CC">
        <w:rPr>
          <w:rFonts w:cs="Arial"/>
          <w:spacing w:val="2"/>
          <w14:ligatures w14:val="standard"/>
          <w14:numForm w14:val="lining"/>
          <w14:numSpacing w14:val="proportional"/>
        </w:rPr>
        <w:t>of the workforce.</w:t>
      </w:r>
    </w:p>
    <w:p w14:paraId="5974D614" w14:textId="5D9A0595" w:rsidR="00E6256B" w:rsidRPr="00E5087D" w:rsidRDefault="00E6256B" w:rsidP="00E6256B">
      <w:pPr>
        <w:spacing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Finding trainers to deliver courses is particularly difficult in emerging industries with nascent workforces like clean energy. Due to the high demand for these skills, it can be hard to attract workers from industry to join the teacher and trainer workforce</w:t>
      </w:r>
      <w:r w:rsidR="21B1A45E" w:rsidRPr="00E5087D">
        <w:rPr>
          <w:rFonts w:cs="Arial"/>
          <w:spacing w:val="2"/>
          <w14:ligatures w14:val="standard"/>
          <w14:numForm w14:val="lining"/>
          <w14:numSpacing w14:val="proportional"/>
        </w:rPr>
        <w:t>.</w:t>
      </w:r>
      <w:r w:rsidRPr="00E5087D">
        <w:rPr>
          <w:rFonts w:cs="Arial"/>
          <w:spacing w:val="2"/>
          <w14:ligatures w14:val="standard"/>
          <w14:numForm w14:val="lining"/>
          <w14:numSpacing w14:val="proportional"/>
        </w:rPr>
        <w:t xml:space="preserve"> </w:t>
      </w:r>
      <w:r w:rsidR="6D83E453" w:rsidRPr="00E5087D">
        <w:rPr>
          <w:rFonts w:cs="Arial"/>
          <w:spacing w:val="2"/>
          <w14:ligatures w14:val="standard"/>
          <w14:numForm w14:val="lining"/>
          <w14:numSpacing w14:val="proportional"/>
        </w:rPr>
        <w:t>C</w:t>
      </w:r>
      <w:r w:rsidRPr="00E5087D">
        <w:rPr>
          <w:rFonts w:cs="Arial"/>
          <w:spacing w:val="2"/>
          <w14:ligatures w14:val="standard"/>
          <w14:numForm w14:val="lining"/>
          <w14:numSpacing w14:val="proportional"/>
        </w:rPr>
        <w:t xml:space="preserve">ompetitive behaviours can </w:t>
      </w:r>
      <w:r w:rsidR="1FE1DE1E" w:rsidRPr="00E5087D">
        <w:rPr>
          <w:rFonts w:cs="Arial"/>
          <w:spacing w:val="2"/>
          <w14:ligatures w14:val="standard"/>
          <w14:numForm w14:val="lining"/>
          <w14:numSpacing w14:val="proportional"/>
        </w:rPr>
        <w:t xml:space="preserve">also </w:t>
      </w:r>
      <w:r w:rsidRPr="00E5087D">
        <w:rPr>
          <w:rFonts w:cs="Arial"/>
          <w:spacing w:val="2"/>
          <w14:ligatures w14:val="standard"/>
          <w14:numForm w14:val="lining"/>
          <w14:numSpacing w14:val="proportional"/>
        </w:rPr>
        <w:t>limit the willingness of employers to share staff, facilities and equipment to facilitate on the job learning and assessment. An increased demand for trades training across the board has also put added pressure on RTOs to find new trainers to scale delivery.</w:t>
      </w:r>
    </w:p>
    <w:p w14:paraId="7245A2DE" w14:textId="23A89565" w:rsidR="00E6256B" w:rsidRPr="00E5087D" w:rsidRDefault="00E6256B" w:rsidP="00E6256B">
      <w:pPr>
        <w:spacing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The added requirement to complete the Certificate IV in Training and Assessment can deter experienced tradespeople from moving into a training role, especially if they have not engaged in formal learning themselves for some time. Anecdotal evidence from TAFE practitioners working in the sector suggest</w:t>
      </w:r>
      <w:r w:rsidR="00027A44">
        <w:rPr>
          <w:rFonts w:cs="Arial"/>
          <w:spacing w:val="2"/>
          <w14:ligatures w14:val="standard"/>
          <w14:numForm w14:val="lining"/>
          <w14:numSpacing w14:val="proportional"/>
        </w:rPr>
        <w:t>s</w:t>
      </w:r>
      <w:r w:rsidRPr="00E5087D">
        <w:rPr>
          <w:rFonts w:cs="Arial"/>
          <w:spacing w:val="2"/>
          <w14:ligatures w14:val="standard"/>
          <w14:numForm w14:val="lining"/>
          <w14:numSpacing w14:val="proportional"/>
        </w:rPr>
        <w:t xml:space="preserve"> that the workforce </w:t>
      </w:r>
      <w:r w:rsidR="00027A44">
        <w:rPr>
          <w:rFonts w:cs="Arial"/>
          <w:spacing w:val="2"/>
          <w14:ligatures w14:val="standard"/>
          <w14:numForm w14:val="lining"/>
          <w14:numSpacing w14:val="proportional"/>
        </w:rPr>
        <w:t xml:space="preserve">of trainers </w:t>
      </w:r>
      <w:r w:rsidRPr="00E5087D">
        <w:rPr>
          <w:rFonts w:cs="Arial"/>
          <w:spacing w:val="2"/>
          <w14:ligatures w14:val="standard"/>
          <w14:numForm w14:val="lining"/>
          <w14:numSpacing w14:val="proportional"/>
        </w:rPr>
        <w:t xml:space="preserve">delivering many of these high-demand qualifications is ageing, meaning a large amount of training capacity may soon leave the sector. </w:t>
      </w:r>
    </w:p>
    <w:p w14:paraId="5612DD1F" w14:textId="439EBCA3" w:rsidR="00E6256B" w:rsidRPr="00E5087D" w:rsidRDefault="00E6256B" w:rsidP="00E6256B">
      <w:pPr>
        <w:spacing w:after="120" w:line="276" w:lineRule="auto"/>
        <w:rPr>
          <w:rFonts w:cs="Arial"/>
        </w:rPr>
      </w:pPr>
      <w:r w:rsidRPr="00E5087D">
        <w:rPr>
          <w:rFonts w:cs="Arial"/>
          <w:spacing w:val="2"/>
          <w14:ligatures w14:val="standard"/>
          <w14:numForm w14:val="lining"/>
          <w14:numSpacing w14:val="proportional"/>
        </w:rPr>
        <w:t xml:space="preserve">With limited trainers in Australia, there needs to be greater collaboration and sharing between and within RTOs and industry. Industry also needs to support flexible integration opportunities for trainers to maintain their skill proficiency and familiarity with the latest technologies – a common challenge for RTOs. For electrical trades, the level of supervision an apprentice needs while working is very high because of the safety issues related to working with electricity. This makes it difficult for employers to take on multiple apprentices at once, in contrast to non-trade qualifications or at universities where large numbers of students can be trained simultaneously </w:t>
      </w:r>
      <w:r w:rsidR="456F7FEA" w:rsidRPr="5E604D60">
        <w:rPr>
          <w:rFonts w:cs="Arial"/>
        </w:rPr>
        <w:t>by</w:t>
      </w:r>
      <w:r w:rsidRPr="00E5087D">
        <w:rPr>
          <w:rFonts w:cs="Arial"/>
          <w:spacing w:val="2"/>
          <w14:ligatures w14:val="standard"/>
          <w14:numForm w14:val="lining"/>
          <w14:numSpacing w14:val="proportional"/>
        </w:rPr>
        <w:t xml:space="preserve"> each qualified trainer.</w:t>
      </w:r>
    </w:p>
    <w:p w14:paraId="2CB9C04F" w14:textId="218D5649" w:rsidR="00E6256B" w:rsidRPr="003F04CC" w:rsidRDefault="00E6256B" w:rsidP="003F04CC">
      <w:pPr>
        <w:spacing w:after="120" w:line="276" w:lineRule="auto"/>
        <w:rPr>
          <w:rFonts w:cs="Arial"/>
          <w:spacing w:val="2"/>
          <w14:ligatures w14:val="standard"/>
          <w14:numForm w14:val="lining"/>
          <w14:numSpacing w14:val="proportional"/>
        </w:rPr>
      </w:pPr>
      <w:r w:rsidRPr="003F04CC">
        <w:rPr>
          <w:rFonts w:cs="Arial"/>
          <w:spacing w:val="2"/>
          <w14:ligatures w14:val="standard"/>
          <w14:numForm w14:val="lining"/>
          <w14:numSpacing w14:val="proportional"/>
        </w:rPr>
        <w:t>TAFEs are well aware of this issue, which extends beyond clean energy to many other trades and subject areas, and have trialled various initiatives. For example, TAFE NSW has a suite of initiatives to attract industry professionals into teacher roles, including scholarships to undertake the Certificate IV in Training and Assessment and a “Pay to Learn” program to support and fast-track industry entrants.</w:t>
      </w:r>
    </w:p>
    <w:p w14:paraId="6D136C91" w14:textId="25B2D7BD" w:rsidR="00E6256B" w:rsidRPr="003F04CC" w:rsidRDefault="00E6256B" w:rsidP="003F04CC">
      <w:pPr>
        <w:spacing w:after="120" w:line="276" w:lineRule="auto"/>
        <w:rPr>
          <w:rFonts w:cs="Arial"/>
          <w:spacing w:val="2"/>
          <w14:ligatures w14:val="standard"/>
          <w14:numForm w14:val="lining"/>
          <w14:numSpacing w14:val="proportional"/>
        </w:rPr>
      </w:pPr>
      <w:r w:rsidRPr="003F04CC">
        <w:rPr>
          <w:rFonts w:cs="Arial"/>
          <w:spacing w:val="2"/>
          <w14:ligatures w14:val="standard"/>
          <w14:numForm w14:val="lining"/>
          <w14:numSpacing w14:val="proportional"/>
        </w:rPr>
        <w:t xml:space="preserve">Nationally, the Australian Government has committed to developing a VET Workforce Blueprint to improve the attractiveness of careers in VET and assure a supply of qualified VET teachers, trainers and assessors. </w:t>
      </w:r>
      <w:r w:rsidR="00500A87" w:rsidRPr="003F04CC">
        <w:rPr>
          <w:rFonts w:cs="Arial"/>
          <w:spacing w:val="2"/>
          <w14:ligatures w14:val="standard"/>
          <w14:numForm w14:val="lining"/>
          <w14:numSpacing w14:val="proportional"/>
        </w:rPr>
        <w:t>JSA</w:t>
      </w:r>
      <w:r w:rsidRPr="003F04CC">
        <w:rPr>
          <w:rFonts w:cs="Arial"/>
          <w:spacing w:val="2"/>
          <w14:ligatures w14:val="standard"/>
          <w14:numForm w14:val="lining"/>
          <w14:numSpacing w14:val="proportional"/>
        </w:rPr>
        <w:t xml:space="preserve"> will also be undertaking a study into the VET teacher workforce, in partnership with </w:t>
      </w:r>
      <w:r w:rsidR="00BB0109" w:rsidRPr="003F04CC">
        <w:rPr>
          <w:rFonts w:cs="Arial"/>
          <w:spacing w:val="2"/>
          <w14:ligatures w14:val="standard"/>
          <w14:numForm w14:val="lining"/>
          <w14:numSpacing w14:val="proportional"/>
        </w:rPr>
        <w:t>DEWR</w:t>
      </w:r>
      <w:r w:rsidRPr="003F04CC">
        <w:rPr>
          <w:rFonts w:cs="Arial"/>
          <w:spacing w:val="2"/>
          <w14:ligatures w14:val="standard"/>
          <w14:numForm w14:val="lining"/>
          <w14:numSpacing w14:val="proportional"/>
        </w:rPr>
        <w:t xml:space="preserve"> and the National Centre for Vocational Education Research (NCVER).</w:t>
      </w:r>
    </w:p>
    <w:p w14:paraId="1D38D6A9" w14:textId="77777777" w:rsidR="00E6256B" w:rsidRPr="003F04CC" w:rsidRDefault="00E6256B" w:rsidP="003F04CC">
      <w:pPr>
        <w:spacing w:after="120" w:line="276" w:lineRule="auto"/>
        <w:rPr>
          <w:rFonts w:cs="Arial"/>
          <w:spacing w:val="2"/>
          <w14:ligatures w14:val="standard"/>
          <w14:numForm w14:val="lining"/>
          <w14:numSpacing w14:val="proportional"/>
        </w:rPr>
      </w:pPr>
      <w:r w:rsidRPr="003F04CC">
        <w:rPr>
          <w:rFonts w:cs="Arial"/>
          <w:spacing w:val="2"/>
          <w14:ligatures w14:val="standard"/>
          <w14:numForm w14:val="lining"/>
          <w14:numSpacing w14:val="proportional"/>
        </w:rPr>
        <w:t xml:space="preserve">Training providers, industry and unions all raised the criticality of increasing the number of workplace-based trainers and assessors to make the best use of current industry knowledge and to co-locate training with work that may be taking place far from established TAFE campuses (e.g. solar farm installation and transmission projects in regional and remote Australia). </w:t>
      </w:r>
    </w:p>
    <w:p w14:paraId="288FDF19" w14:textId="77777777" w:rsidR="00E6256B" w:rsidRPr="00E5087D" w:rsidRDefault="00E6256B" w:rsidP="00E6256B">
      <w:pPr>
        <w:spacing w:before="120" w:after="120" w:line="276" w:lineRule="auto"/>
        <w:rPr>
          <w:rFonts w:cs="Arial"/>
          <w14:numForm w14:val="lining"/>
          <w14:numSpacing w14:val="proportional"/>
        </w:rPr>
      </w:pPr>
      <w:r w:rsidRPr="00E5087D">
        <w:rPr>
          <w:rFonts w:cs="Arial"/>
          <w14:numForm w14:val="lining"/>
          <w14:numSpacing w14:val="proportional"/>
        </w:rPr>
        <w:t>However, industry faces barriers in making its experienced workers available to perform training and assessing roles:</w:t>
      </w:r>
    </w:p>
    <w:p w14:paraId="326E836C" w14:textId="589C2203" w:rsidR="00E6256B" w:rsidRPr="00E5087D" w:rsidRDefault="003C144D" w:rsidP="00F25595">
      <w:pPr>
        <w:pStyle w:val="ListParagraph"/>
        <w:numPr>
          <w:ilvl w:val="0"/>
          <w:numId w:val="39"/>
        </w:numPr>
        <w:spacing w:before="120" w:after="120" w:line="276" w:lineRule="auto"/>
        <w:contextualSpacing w:val="0"/>
        <w:rPr>
          <w:rFonts w:cs="Arial"/>
          <w14:numForm w14:val="lining"/>
          <w14:numSpacing w14:val="proportional"/>
        </w:rPr>
      </w:pPr>
      <w:r>
        <w:rPr>
          <w:rFonts w:cs="Arial"/>
          <w14:numForm w14:val="lining"/>
          <w14:numSpacing w14:val="proportional"/>
        </w:rPr>
        <w:t>t</w:t>
      </w:r>
      <w:r w:rsidR="00E6256B" w:rsidRPr="00E5087D">
        <w:rPr>
          <w:rFonts w:cs="Arial"/>
          <w14:numForm w14:val="lining"/>
          <w14:numSpacing w14:val="proportional"/>
        </w:rPr>
        <w:t>raining and assessing activities divert time away from critical project work</w:t>
      </w:r>
    </w:p>
    <w:p w14:paraId="54B488B2" w14:textId="78D1B430" w:rsidR="00E6256B" w:rsidRPr="00E5087D" w:rsidRDefault="003C144D" w:rsidP="00F25595">
      <w:pPr>
        <w:pStyle w:val="ListParagraph"/>
        <w:numPr>
          <w:ilvl w:val="0"/>
          <w:numId w:val="39"/>
        </w:numPr>
        <w:spacing w:before="120" w:after="120" w:line="276" w:lineRule="auto"/>
        <w:contextualSpacing w:val="0"/>
        <w:rPr>
          <w:rFonts w:cs="Arial"/>
          <w14:numForm w14:val="lining"/>
          <w14:numSpacing w14:val="proportional"/>
        </w:rPr>
      </w:pPr>
      <w:r>
        <w:rPr>
          <w:rFonts w:cs="Arial"/>
          <w14:numForm w14:val="lining"/>
          <w14:numSpacing w14:val="proportional"/>
        </w:rPr>
        <w:t>t</w:t>
      </w:r>
      <w:r w:rsidR="00E6256B" w:rsidRPr="00E5087D">
        <w:rPr>
          <w:rFonts w:cs="Arial"/>
          <w14:numForm w14:val="lining"/>
          <w14:numSpacing w14:val="proportional"/>
        </w:rPr>
        <w:t>he time needed to credential workplace trainers and assessors is a further constraint, as well as the availability of training</w:t>
      </w:r>
    </w:p>
    <w:p w14:paraId="2CECF2ED" w14:textId="6AEF8A76" w:rsidR="00E6256B" w:rsidRPr="00E5087D" w:rsidRDefault="003C144D" w:rsidP="00F25595">
      <w:pPr>
        <w:pStyle w:val="ListParagraph"/>
        <w:numPr>
          <w:ilvl w:val="0"/>
          <w:numId w:val="39"/>
        </w:numPr>
        <w:spacing w:before="120" w:after="120" w:line="276" w:lineRule="auto"/>
        <w:contextualSpacing w:val="0"/>
        <w:rPr>
          <w:rFonts w:cs="Arial"/>
          <w14:numForm w14:val="lining"/>
          <w14:numSpacing w14:val="proportional"/>
        </w:rPr>
      </w:pPr>
      <w:r>
        <w:rPr>
          <w:rFonts w:cs="Arial"/>
          <w14:numForm w14:val="lining"/>
          <w14:numSpacing w14:val="proportional"/>
        </w:rPr>
        <w:t>r</w:t>
      </w:r>
      <w:r w:rsidR="00E6256B" w:rsidRPr="00E5087D">
        <w:rPr>
          <w:rFonts w:cs="Arial"/>
          <w14:numForm w14:val="lining"/>
          <w14:numSpacing w14:val="proportional"/>
        </w:rPr>
        <w:t>eward</w:t>
      </w:r>
      <w:r w:rsidR="00137472">
        <w:rPr>
          <w:rFonts w:cs="Arial"/>
          <w14:numForm w14:val="lining"/>
          <w14:numSpacing w14:val="proportional"/>
        </w:rPr>
        <w:t>ing</w:t>
      </w:r>
      <w:r w:rsidR="00E6256B" w:rsidRPr="00E5087D">
        <w:rPr>
          <w:rFonts w:cs="Arial"/>
          <w14:numForm w14:val="lining"/>
          <w14:numSpacing w14:val="proportional"/>
        </w:rPr>
        <w:t xml:space="preserve"> such senior workers for their training activities, when they are already often well remunerated for the work they do </w:t>
      </w:r>
    </w:p>
    <w:p w14:paraId="193034E8" w14:textId="678BB7DF" w:rsidR="00E6256B" w:rsidRPr="00E5087D" w:rsidRDefault="003C144D" w:rsidP="00F25595">
      <w:pPr>
        <w:pStyle w:val="ListParagraph"/>
        <w:numPr>
          <w:ilvl w:val="0"/>
          <w:numId w:val="39"/>
        </w:numPr>
        <w:spacing w:before="120" w:after="240" w:line="276" w:lineRule="auto"/>
        <w:contextualSpacing w:val="0"/>
        <w:rPr>
          <w:rFonts w:cs="Arial"/>
          <w14:numForm w14:val="lining"/>
          <w14:numSpacing w14:val="proportional"/>
        </w:rPr>
      </w:pPr>
      <w:r>
        <w:rPr>
          <w:rFonts w:cs="Arial"/>
          <w14:numForm w14:val="lining"/>
          <w14:numSpacing w14:val="proportional"/>
        </w:rPr>
        <w:t>a</w:t>
      </w:r>
      <w:r w:rsidR="00DA5328">
        <w:rPr>
          <w:rFonts w:cs="Arial"/>
          <w14:numForm w14:val="lining"/>
          <w14:numSpacing w14:val="proportional"/>
        </w:rPr>
        <w:t xml:space="preserve"> </w:t>
      </w:r>
      <w:r w:rsidR="00E6256B" w:rsidRPr="00E5087D">
        <w:rPr>
          <w:rFonts w:cs="Arial"/>
          <w14:numForm w14:val="lining"/>
          <w14:numSpacing w14:val="proportional"/>
        </w:rPr>
        <w:t>preference for proprietary training and reluctance to share their best workers with competitors was also raised</w:t>
      </w:r>
      <w:r w:rsidR="006B1083">
        <w:rPr>
          <w:rFonts w:cs="Arial"/>
          <w14:numForm w14:val="lining"/>
          <w14:numSpacing w14:val="proportional"/>
        </w:rPr>
        <w:t>.</w:t>
      </w:r>
      <w:r w:rsidR="00E6256B" w:rsidRPr="00E5087D">
        <w:rPr>
          <w:rFonts w:cs="Arial"/>
          <w14:numForm w14:val="lining"/>
          <w14:numSpacing w14:val="proportional"/>
        </w:rPr>
        <w:t>  </w:t>
      </w:r>
    </w:p>
    <w:p w14:paraId="696A74B5" w14:textId="2E1A52FB" w:rsidR="00E6256B" w:rsidRPr="003F04CC" w:rsidRDefault="00E6256B" w:rsidP="003F04CC">
      <w:pPr>
        <w:spacing w:after="120" w:line="276" w:lineRule="auto"/>
        <w:rPr>
          <w:rFonts w:cs="Arial"/>
          <w:spacing w:val="2"/>
          <w14:ligatures w14:val="standard"/>
          <w14:numForm w14:val="lining"/>
          <w14:numSpacing w14:val="proportional"/>
        </w:rPr>
      </w:pPr>
      <w:r w:rsidRPr="003F04CC">
        <w:rPr>
          <w:rFonts w:cs="Arial"/>
          <w:spacing w:val="2"/>
          <w14:ligatures w14:val="standard"/>
          <w14:numForm w14:val="lining"/>
          <w14:numSpacing w14:val="proportional"/>
        </w:rPr>
        <w:t>These barriers might be more easily overcome in larger, more established entities such as transmission firms and some examples were provided during consultations. Stakeholders did not perceive that there were teacher and researcher workforce shortages to the same extent in higher education. Australia is able to recruit postdoctoral talent globally and remains an attractive destination. Of more concern is the challenges</w:t>
      </w:r>
      <w:r w:rsidR="004770F8" w:rsidRPr="003F04CC">
        <w:rPr>
          <w:rFonts w:cs="Arial"/>
          <w:spacing w:val="2"/>
          <w14:ligatures w14:val="standard"/>
          <w14:numForm w14:val="lining"/>
          <w14:numSpacing w14:val="proportional"/>
        </w:rPr>
        <w:t xml:space="preserve"> in</w:t>
      </w:r>
      <w:r w:rsidRPr="003F04CC">
        <w:rPr>
          <w:rFonts w:cs="Arial"/>
          <w:spacing w:val="2"/>
          <w14:ligatures w14:val="standard"/>
          <w14:numForm w14:val="lining"/>
          <w14:numSpacing w14:val="proportional"/>
        </w:rPr>
        <w:t xml:space="preserve"> attracting </w:t>
      </w:r>
      <w:r w:rsidR="004770F8" w:rsidRPr="003F04CC">
        <w:rPr>
          <w:rFonts w:cs="Arial"/>
          <w:spacing w:val="2"/>
          <w14:ligatures w14:val="standard"/>
          <w14:numForm w14:val="lining"/>
          <w14:numSpacing w14:val="proportional"/>
        </w:rPr>
        <w:t xml:space="preserve">a </w:t>
      </w:r>
      <w:r w:rsidRPr="003F04CC">
        <w:rPr>
          <w:rFonts w:cs="Arial"/>
          <w:spacing w:val="2"/>
          <w14:ligatures w14:val="standard"/>
          <w14:numForm w14:val="lining"/>
          <w14:numSpacing w14:val="proportional"/>
        </w:rPr>
        <w:t>large number of domestic research students.</w:t>
      </w:r>
    </w:p>
    <w:p w14:paraId="340C2815" w14:textId="76700B4D" w:rsidR="00E6256B" w:rsidRPr="003F04CC" w:rsidRDefault="00E6256B" w:rsidP="003F04CC">
      <w:pPr>
        <w:spacing w:after="120" w:line="276" w:lineRule="auto"/>
        <w:rPr>
          <w:rFonts w:cs="Arial"/>
          <w:spacing w:val="2"/>
          <w14:ligatures w14:val="standard"/>
          <w14:numForm w14:val="lining"/>
          <w14:numSpacing w14:val="proportional"/>
        </w:rPr>
      </w:pPr>
      <w:r w:rsidRPr="003F04CC">
        <w:rPr>
          <w:rFonts w:cs="Arial"/>
          <w:spacing w:val="2"/>
          <w14:ligatures w14:val="standard"/>
          <w14:numForm w14:val="lining"/>
          <w14:numSpacing w14:val="proportional"/>
        </w:rPr>
        <w:t>Universities agreed on the importance of having a future supply of domestic P</w:t>
      </w:r>
      <w:r w:rsidR="00FD0B73" w:rsidRPr="003F04CC">
        <w:rPr>
          <w:rFonts w:cs="Arial"/>
          <w:spacing w:val="2"/>
          <w14:ligatures w14:val="standard"/>
          <w14:numForm w14:val="lining"/>
          <w14:numSpacing w14:val="proportional"/>
        </w:rPr>
        <w:t>h</w:t>
      </w:r>
      <w:r w:rsidRPr="003F04CC">
        <w:rPr>
          <w:rFonts w:cs="Arial"/>
          <w:spacing w:val="2"/>
          <w14:ligatures w14:val="standard"/>
          <w14:numForm w14:val="lining"/>
          <w14:numSpacing w14:val="proportional"/>
        </w:rPr>
        <w:t>D students to support the future requirements of clean-energy skills within the Australian labour market. There has been a reduction in local P</w:t>
      </w:r>
      <w:r w:rsidR="00FD0B73" w:rsidRPr="003F04CC">
        <w:rPr>
          <w:rFonts w:cs="Arial"/>
          <w:spacing w:val="2"/>
          <w14:ligatures w14:val="standard"/>
          <w14:numForm w14:val="lining"/>
          <w14:numSpacing w14:val="proportional"/>
        </w:rPr>
        <w:t>h</w:t>
      </w:r>
      <w:r w:rsidRPr="003F04CC">
        <w:rPr>
          <w:rFonts w:cs="Arial"/>
          <w:spacing w:val="2"/>
          <w14:ligatures w14:val="standard"/>
          <w14:numForm w14:val="lining"/>
          <w14:numSpacing w14:val="proportional"/>
        </w:rPr>
        <w:t xml:space="preserve">D students, which was exacerbated by COVID-19, with the University of South Australia raising </w:t>
      </w:r>
      <w:r w:rsidR="39C5D637" w:rsidRPr="003F04CC">
        <w:rPr>
          <w:rFonts w:cs="Arial"/>
          <w:spacing w:val="2"/>
          <w14:ligatures w14:val="standard"/>
          <w14:numForm w14:val="lining"/>
          <w14:numSpacing w14:val="proportional"/>
        </w:rPr>
        <w:t xml:space="preserve">that </w:t>
      </w:r>
      <w:r w:rsidRPr="003F04CC">
        <w:rPr>
          <w:rFonts w:cs="Arial"/>
          <w:spacing w:val="2"/>
          <w14:ligatures w14:val="standard"/>
          <w14:numForm w14:val="lining"/>
          <w14:numSpacing w14:val="proportional"/>
        </w:rPr>
        <w:t>the lack of</w:t>
      </w:r>
      <w:r w:rsidR="00FD0B73" w:rsidRPr="003F04CC">
        <w:rPr>
          <w:rFonts w:cs="Arial"/>
          <w:spacing w:val="2"/>
          <w14:ligatures w14:val="standard"/>
          <w14:numForm w14:val="lining"/>
          <w14:numSpacing w14:val="proportional"/>
        </w:rPr>
        <w:t xml:space="preserve"> </w:t>
      </w:r>
      <w:r w:rsidRPr="003F04CC">
        <w:rPr>
          <w:rFonts w:cs="Arial"/>
          <w:spacing w:val="2"/>
          <w14:ligatures w14:val="standard"/>
          <w14:numForm w14:val="lining"/>
          <w14:numSpacing w14:val="proportional"/>
        </w:rPr>
        <w:t>domestic student</w:t>
      </w:r>
      <w:r w:rsidR="00FD0B73" w:rsidRPr="003F04CC">
        <w:rPr>
          <w:rFonts w:cs="Arial"/>
          <w:spacing w:val="2"/>
          <w14:ligatures w14:val="standard"/>
          <w14:numForm w14:val="lining"/>
          <w14:numSpacing w14:val="proportional"/>
        </w:rPr>
        <w:t>s</w:t>
      </w:r>
      <w:r w:rsidRPr="003F04CC">
        <w:rPr>
          <w:rFonts w:cs="Arial"/>
          <w:spacing w:val="2"/>
          <w14:ligatures w14:val="standard"/>
          <w14:numForm w14:val="lining"/>
          <w14:numSpacing w14:val="proportional"/>
        </w:rPr>
        <w:t xml:space="preserve"> enrolling in post graduate qualifications </w:t>
      </w:r>
      <w:r w:rsidR="60B42675" w:rsidRPr="003F04CC">
        <w:rPr>
          <w:rFonts w:cs="Arial"/>
          <w:spacing w:val="2"/>
          <w14:ligatures w14:val="standard"/>
          <w14:numForm w14:val="lining"/>
          <w14:numSpacing w14:val="proportional"/>
        </w:rPr>
        <w:t>led</w:t>
      </w:r>
      <w:r w:rsidRPr="003F04CC">
        <w:rPr>
          <w:rFonts w:cs="Arial"/>
          <w:spacing w:val="2"/>
          <w14:ligatures w14:val="standard"/>
          <w14:numForm w14:val="lining"/>
          <w14:numSpacing w14:val="proportional"/>
        </w:rPr>
        <w:t xml:space="preserve"> to universities relying on the international student market for post graduate qualification enrolments.</w:t>
      </w:r>
    </w:p>
    <w:p w14:paraId="6EFD52B1" w14:textId="77777777" w:rsidR="005357D9" w:rsidRDefault="005357D9">
      <w:pPr>
        <w:rPr>
          <w:b/>
          <w:bCs/>
          <w14:numForm w14:val="lining"/>
          <w14:numSpacing w14:val="proportional"/>
        </w:rPr>
      </w:pPr>
      <w:r>
        <w:rPr>
          <w:b/>
          <w:bCs/>
          <w14:numForm w14:val="lining"/>
          <w14:numSpacing w14:val="proportional"/>
        </w:rPr>
        <w:br w:type="page"/>
      </w:r>
    </w:p>
    <w:p w14:paraId="5BC52242" w14:textId="0726FF74" w:rsidR="00292FA9" w:rsidRPr="006E07A7" w:rsidRDefault="005357D9" w:rsidP="005357D9">
      <w:pPr>
        <w:spacing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5" behindDoc="1" locked="0" layoutInCell="1" allowOverlap="1" wp14:anchorId="0BF505C1" wp14:editId="37084BC2">
                <wp:simplePos x="0" y="0"/>
                <wp:positionH relativeFrom="column">
                  <wp:posOffset>7374</wp:posOffset>
                </wp:positionH>
                <wp:positionV relativeFrom="paragraph">
                  <wp:posOffset>-22123</wp:posOffset>
                </wp:positionV>
                <wp:extent cx="5731510" cy="899653"/>
                <wp:effectExtent l="0" t="0" r="21590" b="15240"/>
                <wp:wrapNone/>
                <wp:docPr id="1341085290" name="Group 13410852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99653"/>
                          <a:chOff x="0" y="0"/>
                          <a:chExt cx="5880735" cy="925577"/>
                        </a:xfrm>
                      </wpg:grpSpPr>
                      <wps:wsp>
                        <wps:cNvPr id="1341085291" name="Rectangle: Top Corners Rounded 1341085291"/>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A3B0BD" w14:textId="4AD55D7B" w:rsidR="00D703D4" w:rsidRPr="006E07A7" w:rsidRDefault="00D703D4" w:rsidP="00D703D4">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92" name="Rectangle 1341085292"/>
                        <wps:cNvSpPr/>
                        <wps:spPr>
                          <a:xfrm>
                            <a:off x="0" y="230155"/>
                            <a:ext cx="5880735" cy="695422"/>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775AF" w14:textId="4933407E" w:rsidR="00D703D4" w:rsidRPr="0024405E" w:rsidRDefault="00D703D4" w:rsidP="00D703D4">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BF505C1" id="Group 1341085290" o:spid="_x0000_s1178" alt="&quot;&quot;" style="position:absolute;left:0;text-align:left;margin-left:.6pt;margin-top:-1.75pt;width:451.3pt;height:70.85pt;z-index:-251658165;mso-position-horizontal-relative:text;mso-position-vertical-relative:text;mso-height-relative:margin" coordsize="58807,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">
                <v:shape id="Rectangle: Top Corners Rounded 1341085291" o:spid="_x0000_s1179"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25A3B0BD" w14:textId="4AD55D7B" w:rsidR="00D703D4" w:rsidRPr="006E07A7" w:rsidRDefault="00D703D4" w:rsidP="00D703D4">
                        <w:pPr>
                          <w:spacing w:after="0" w:line="240" w:lineRule="auto"/>
                          <w:rPr>
                            <w:b/>
                            <w:bCs/>
                            <w14:numForm w14:val="lining"/>
                            <w14:numSpacing w14:val="proportional"/>
                          </w:rPr>
                        </w:pPr>
                      </w:p>
                    </w:txbxContent>
                  </v:textbox>
                </v:shape>
                <v:rect id="Rectangle 1341085292" o:spid="_x0000_s1180" style="position:absolute;top:2301;width:58807;height:6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" fillcolor="#f2f2f2" strokecolor="#c2a5ec" strokeweight="1pt">
                  <v:textbox inset="2mm,1mm,2mm,1mm">
                    <w:txbxContent>
                      <w:p w14:paraId="487775AF" w14:textId="4933407E" w:rsidR="00D703D4" w:rsidRPr="0024405E" w:rsidRDefault="00D703D4" w:rsidP="00D703D4">
                        <w:pPr>
                          <w:spacing w:after="0" w:line="276" w:lineRule="auto"/>
                          <w:ind w:left="113" w:right="113"/>
                          <w:rPr>
                            <w:lang w:val="en-US"/>
                          </w:rPr>
                        </w:pPr>
                      </w:p>
                    </w:txbxContent>
                  </v:textbox>
                </v:rect>
              </v:group>
            </w:pict>
          </mc:Fallback>
        </mc:AlternateContent>
      </w:r>
      <w:r w:rsidR="00292FA9" w:rsidRPr="006E07A7">
        <w:rPr>
          <w:b/>
          <w:bCs/>
          <w14:numForm w14:val="lining"/>
          <w14:numSpacing w14:val="proportional"/>
        </w:rPr>
        <w:t xml:space="preserve">Recommendation </w:t>
      </w:r>
      <w:r w:rsidR="00292FA9">
        <w:rPr>
          <w:b/>
          <w:bCs/>
          <w14:numForm w14:val="lining"/>
          <w14:numSpacing w14:val="proportional"/>
        </w:rPr>
        <w:t>7.12</w:t>
      </w:r>
    </w:p>
    <w:p w14:paraId="4E3DF518" w14:textId="13FD3AD7" w:rsidR="00292FA9" w:rsidRPr="0024405E" w:rsidRDefault="00292FA9" w:rsidP="005357D9">
      <w:pPr>
        <w:spacing w:before="200" w:after="0" w:line="240" w:lineRule="auto"/>
        <w:ind w:left="170" w:right="113"/>
        <w:rPr>
          <w:lang w:val="en-US"/>
        </w:rPr>
      </w:pPr>
      <w:r w:rsidRPr="00022DE5">
        <w:rPr>
          <w:rStyle w:val="normaltextrun"/>
          <w:rFonts w:cs="Arial"/>
        </w:rPr>
        <w:t>Work in partnership with industry and education and training providers to deliver upskilling opportunities for the teaching workforce to maintain their skills currency as new technologies emerge.</w:t>
      </w:r>
    </w:p>
    <w:p w14:paraId="696D8C06" w14:textId="6BC3B5F6" w:rsidR="00292FA9" w:rsidRPr="006E07A7" w:rsidRDefault="005357D9" w:rsidP="005357D9">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6" behindDoc="1" locked="0" layoutInCell="1" allowOverlap="1" wp14:anchorId="1246ACF6" wp14:editId="3474A2DC">
                <wp:simplePos x="0" y="0"/>
                <wp:positionH relativeFrom="column">
                  <wp:posOffset>6985</wp:posOffset>
                </wp:positionH>
                <wp:positionV relativeFrom="paragraph">
                  <wp:posOffset>260596</wp:posOffset>
                </wp:positionV>
                <wp:extent cx="5731510" cy="948690"/>
                <wp:effectExtent l="0" t="0" r="21590" b="22860"/>
                <wp:wrapNone/>
                <wp:docPr id="1341085293" name="Group 1341085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48690"/>
                          <a:chOff x="0" y="0"/>
                          <a:chExt cx="5880735" cy="976569"/>
                        </a:xfrm>
                      </wpg:grpSpPr>
                      <wps:wsp>
                        <wps:cNvPr id="1341085294" name="Rectangle: Top Corners Rounded 1341085294"/>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FA8C82" w14:textId="77777777" w:rsidR="005357D9" w:rsidRPr="006E07A7" w:rsidRDefault="005357D9" w:rsidP="005357D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95" name="Rectangle 1341085295"/>
                        <wps:cNvSpPr/>
                        <wps:spPr>
                          <a:xfrm>
                            <a:off x="0" y="230244"/>
                            <a:ext cx="5880735" cy="746325"/>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D5B19" w14:textId="77777777" w:rsidR="005357D9" w:rsidRPr="0024405E" w:rsidRDefault="005357D9" w:rsidP="005357D9">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1246ACF6" id="Group 1341085293" o:spid="_x0000_s1181" alt="&quot;&quot;" style="position:absolute;left:0;text-align:left;margin-left:.55pt;margin-top:20.5pt;width:451.3pt;height:74.7pt;z-index:-251658164;mso-position-horizontal-relative:text;mso-position-vertical-relative:text" coordsize="58807,9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">
                <v:shape id="Rectangle: Top Corners Rounded 1341085294" o:spid="_x0000_s1182"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7EFA8C82" w14:textId="77777777" w:rsidR="005357D9" w:rsidRPr="006E07A7" w:rsidRDefault="005357D9" w:rsidP="005357D9">
                        <w:pPr>
                          <w:spacing w:after="0" w:line="240" w:lineRule="auto"/>
                          <w:rPr>
                            <w:b/>
                            <w:bCs/>
                            <w14:numForm w14:val="lining"/>
                            <w14:numSpacing w14:val="proportional"/>
                          </w:rPr>
                        </w:pPr>
                      </w:p>
                    </w:txbxContent>
                  </v:textbox>
                </v:shape>
                <v:rect id="Rectangle 1341085295" o:spid="_x0000_s1183" style="position:absolute;top:2302;width:58807;height:7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" fillcolor="#f2f2f2" strokecolor="#c2a5ec" strokeweight="1pt">
                  <v:textbox inset="2mm,1mm,2mm,1mm">
                    <w:txbxContent>
                      <w:p w14:paraId="6CED5B19" w14:textId="77777777" w:rsidR="005357D9" w:rsidRPr="0024405E" w:rsidRDefault="005357D9" w:rsidP="005357D9">
                        <w:pPr>
                          <w:spacing w:after="0" w:line="276" w:lineRule="auto"/>
                          <w:ind w:left="113" w:right="113"/>
                          <w:rPr>
                            <w:lang w:val="en-US"/>
                          </w:rPr>
                        </w:pPr>
                      </w:p>
                    </w:txbxContent>
                  </v:textbox>
                </v:rect>
              </v:group>
            </w:pict>
          </mc:Fallback>
        </mc:AlternateContent>
      </w:r>
      <w:r w:rsidR="00292FA9" w:rsidRPr="006E07A7">
        <w:rPr>
          <w:b/>
          <w:bCs/>
          <w14:numForm w14:val="lining"/>
          <w14:numSpacing w14:val="proportional"/>
        </w:rPr>
        <w:t xml:space="preserve">Recommendation </w:t>
      </w:r>
      <w:r w:rsidR="00292FA9">
        <w:rPr>
          <w:b/>
          <w:bCs/>
          <w14:numForm w14:val="lining"/>
          <w14:numSpacing w14:val="proportional"/>
        </w:rPr>
        <w:t>7.13</w:t>
      </w:r>
    </w:p>
    <w:p w14:paraId="2CD3DD24" w14:textId="45E641A7" w:rsidR="00292FA9" w:rsidRPr="0024405E" w:rsidRDefault="00292FA9" w:rsidP="005357D9">
      <w:pPr>
        <w:spacing w:before="200" w:after="0" w:line="240" w:lineRule="auto"/>
        <w:ind w:left="170" w:right="113"/>
        <w:rPr>
          <w:lang w:val="en-US"/>
        </w:rPr>
      </w:pPr>
      <w:r>
        <w:rPr>
          <w:rStyle w:val="normaltextrun"/>
          <w:rFonts w:cs="Arial"/>
        </w:rPr>
        <w:t>Governments should explore</w:t>
      </w:r>
      <w:r w:rsidRPr="00B30B53">
        <w:rPr>
          <w:rStyle w:val="normaltextrun"/>
          <w:rFonts w:cs="Arial"/>
        </w:rPr>
        <w:t xml:space="preserve"> opportunities </w:t>
      </w:r>
      <w:r>
        <w:rPr>
          <w:rStyle w:val="normaltextrun"/>
          <w:rFonts w:cs="Arial"/>
        </w:rPr>
        <w:t>to support and incentivise</w:t>
      </w:r>
      <w:r w:rsidRPr="00B30B53">
        <w:rPr>
          <w:rStyle w:val="normaltextrun"/>
          <w:rFonts w:cs="Arial"/>
        </w:rPr>
        <w:t xml:space="preserve"> experienced electricians and other tradespersons and technicians in critical occupations to become VET teachers and trainers.</w:t>
      </w:r>
    </w:p>
    <w:p w14:paraId="7A93EAF9" w14:textId="6F87D4D8" w:rsidR="00292FA9" w:rsidRPr="006E07A7" w:rsidRDefault="005357D9" w:rsidP="005357D9">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17" behindDoc="1" locked="0" layoutInCell="1" allowOverlap="1" wp14:anchorId="02DFF08E" wp14:editId="1C5C3CB9">
                <wp:simplePos x="0" y="0"/>
                <wp:positionH relativeFrom="column">
                  <wp:posOffset>0</wp:posOffset>
                </wp:positionH>
                <wp:positionV relativeFrom="paragraph">
                  <wp:posOffset>264979</wp:posOffset>
                </wp:positionV>
                <wp:extent cx="5731510" cy="1106129"/>
                <wp:effectExtent l="0" t="0" r="21590" b="18415"/>
                <wp:wrapNone/>
                <wp:docPr id="1341085296" name="Group 13410852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106129"/>
                          <a:chOff x="0" y="0"/>
                          <a:chExt cx="5880735" cy="1138376"/>
                        </a:xfrm>
                      </wpg:grpSpPr>
                      <wps:wsp>
                        <wps:cNvPr id="1341085297" name="Rectangle: Top Corners Rounded 1341085297"/>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F0C207" w14:textId="245561C1" w:rsidR="00B30B53" w:rsidRPr="006E07A7" w:rsidRDefault="00B30B53" w:rsidP="00B30B53">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298" name="Rectangle 1341085298"/>
                        <wps:cNvSpPr/>
                        <wps:spPr>
                          <a:xfrm>
                            <a:off x="0" y="230065"/>
                            <a:ext cx="5880735" cy="908311"/>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C14566" w14:textId="7A40A596" w:rsidR="00B30B53" w:rsidRPr="0024405E" w:rsidRDefault="00B30B53" w:rsidP="00B30B53">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2DFF08E" id="Group 1341085296" o:spid="_x0000_s1184" alt="&quot;&quot;" style="position:absolute;left:0;text-align:left;margin-left:0;margin-top:20.85pt;width:451.3pt;height:87.1pt;z-index:-251658163;mso-position-horizontal-relative:text;mso-position-vertical-relative:text;mso-height-relative:margin" coordsize="58807,11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">
                <v:shape id="Rectangle: Top Corners Rounded 1341085297" o:spid="_x0000_s1185"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65F0C207" w14:textId="245561C1" w:rsidR="00B30B53" w:rsidRPr="006E07A7" w:rsidRDefault="00B30B53" w:rsidP="00B30B53">
                        <w:pPr>
                          <w:spacing w:after="0" w:line="240" w:lineRule="auto"/>
                          <w:rPr>
                            <w:b/>
                            <w:bCs/>
                            <w14:numForm w14:val="lining"/>
                            <w14:numSpacing w14:val="proportional"/>
                          </w:rPr>
                        </w:pPr>
                      </w:p>
                    </w:txbxContent>
                  </v:textbox>
                </v:shape>
                <v:rect id="Rectangle 1341085298" o:spid="_x0000_s1186" style="position:absolute;top:2300;width:58807;height:9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" fillcolor="#f2f2f2" strokecolor="#c2a5ec" strokeweight="1pt">
                  <v:textbox inset="2mm,1mm,2mm,1mm">
                    <w:txbxContent>
                      <w:p w14:paraId="0BC14566" w14:textId="7A40A596" w:rsidR="00B30B53" w:rsidRPr="0024405E" w:rsidRDefault="00B30B53" w:rsidP="00B30B53">
                        <w:pPr>
                          <w:spacing w:after="0" w:line="276" w:lineRule="auto"/>
                          <w:ind w:left="113" w:right="113"/>
                          <w:rPr>
                            <w:lang w:val="en-US"/>
                          </w:rPr>
                        </w:pPr>
                      </w:p>
                    </w:txbxContent>
                  </v:textbox>
                </v:rect>
              </v:group>
            </w:pict>
          </mc:Fallback>
        </mc:AlternateContent>
      </w:r>
      <w:r w:rsidR="00292FA9" w:rsidRPr="006E07A7">
        <w:rPr>
          <w:b/>
          <w:bCs/>
          <w14:numForm w14:val="lining"/>
          <w14:numSpacing w14:val="proportional"/>
        </w:rPr>
        <w:t xml:space="preserve">Recommendation </w:t>
      </w:r>
      <w:r w:rsidR="00292FA9">
        <w:rPr>
          <w:b/>
          <w:bCs/>
          <w14:numForm w14:val="lining"/>
          <w14:numSpacing w14:val="proportional"/>
        </w:rPr>
        <w:t>7.14</w:t>
      </w:r>
    </w:p>
    <w:p w14:paraId="1D1D6939" w14:textId="2E025178" w:rsidR="00292FA9" w:rsidRPr="0024405E" w:rsidRDefault="00292FA9" w:rsidP="005357D9">
      <w:pPr>
        <w:spacing w:before="200" w:after="0" w:line="240" w:lineRule="auto"/>
        <w:ind w:left="170" w:right="113"/>
        <w:rPr>
          <w:lang w:val="en-US"/>
        </w:rPr>
      </w:pPr>
      <w:r>
        <w:rPr>
          <w:rStyle w:val="normaltextrun"/>
          <w:rFonts w:cs="Arial"/>
        </w:rPr>
        <w:t xml:space="preserve">Investigate initiatives to </w:t>
      </w:r>
      <w:r w:rsidRPr="00AB0323">
        <w:rPr>
          <w:rStyle w:val="normaltextrun"/>
          <w:rFonts w:cs="Arial"/>
        </w:rPr>
        <w:t>promo</w:t>
      </w:r>
      <w:r>
        <w:rPr>
          <w:rStyle w:val="normaltextrun"/>
          <w:rFonts w:cs="Arial"/>
        </w:rPr>
        <w:t>te</w:t>
      </w:r>
      <w:r w:rsidRPr="00AB0323">
        <w:rPr>
          <w:rStyle w:val="normaltextrun"/>
          <w:rFonts w:cs="Arial"/>
        </w:rPr>
        <w:t xml:space="preserve"> workplace trainers and assessors embedded in industry, working collaboratively with trainers and teachers based in TAFEs and other RTOs. </w:t>
      </w:r>
      <w:r>
        <w:rPr>
          <w:rStyle w:val="normaltextrun"/>
          <w:rFonts w:cs="Arial"/>
        </w:rPr>
        <w:t xml:space="preserve">Any initiatives </w:t>
      </w:r>
      <w:r w:rsidRPr="00AB0323">
        <w:rPr>
          <w:rStyle w:val="normaltextrun"/>
          <w:rFonts w:cs="Arial"/>
        </w:rPr>
        <w:t>would need to consider how to appropriately reward participating trainers and their employers.</w:t>
      </w:r>
    </w:p>
    <w:p w14:paraId="6D581294" w14:textId="77777777" w:rsidR="00304D92" w:rsidRDefault="00304D92">
      <w:pPr>
        <w:rPr>
          <w:rStyle w:val="normaltextrun"/>
          <w:rFonts w:eastAsiaTheme="majorEastAsia" w:cs="Arial"/>
          <w:b/>
          <w:sz w:val="32"/>
          <w:szCs w:val="24"/>
        </w:rPr>
      </w:pPr>
      <w:r>
        <w:rPr>
          <w:rStyle w:val="normaltextrun"/>
          <w:rFonts w:cs="Arial"/>
        </w:rPr>
        <w:br w:type="page"/>
      </w:r>
    </w:p>
    <w:p w14:paraId="41727F1E" w14:textId="3D688235" w:rsidR="00E6256B" w:rsidRPr="00E5087D" w:rsidRDefault="00E6256B" w:rsidP="00304D92">
      <w:pPr>
        <w:pStyle w:val="Heading3"/>
        <w:spacing w:before="600"/>
        <w:rPr>
          <w:rStyle w:val="normaltextrun"/>
          <w:rFonts w:cs="Arial"/>
          <w:b w:val="0"/>
        </w:rPr>
      </w:pPr>
      <w:r w:rsidRPr="02CAD7A2">
        <w:rPr>
          <w:rStyle w:val="normaltextrun"/>
          <w:rFonts w:cs="Arial"/>
        </w:rPr>
        <w:t>Women in education and training</w:t>
      </w:r>
    </w:p>
    <w:p w14:paraId="747C5DD2" w14:textId="66BB9524" w:rsidR="00DC4F99" w:rsidRPr="00085EF8" w:rsidRDefault="00DC4F99" w:rsidP="00E6256B">
      <w:pPr>
        <w:spacing w:after="0" w:line="276" w:lineRule="auto"/>
        <w:rPr>
          <w:rFonts w:cs="Arial"/>
          <w:spacing w:val="2"/>
          <w14:ligatures w14:val="standard"/>
          <w14:numForm w14:val="lining"/>
          <w14:numSpacing w14:val="proportional"/>
        </w:rPr>
      </w:pPr>
      <w:r w:rsidRPr="00085EF8">
        <w:rPr>
          <w:rFonts w:cs="Arial"/>
          <w:b/>
          <w:spacing w:val="2"/>
          <w14:ligatures w14:val="standard"/>
          <w14:numForm w14:val="lining"/>
          <w14:numSpacing w14:val="proportional"/>
        </w:rPr>
        <w:t xml:space="preserve">Chapter 8 </w:t>
      </w:r>
      <w:r w:rsidRPr="00085EF8">
        <w:rPr>
          <w:rFonts w:cs="Arial"/>
          <w:spacing w:val="2"/>
          <w14:ligatures w14:val="standard"/>
          <w14:numForm w14:val="lining"/>
          <w14:numSpacing w14:val="proportional"/>
        </w:rPr>
        <w:t xml:space="preserve">explores the workplace barriers that women face in the clean energy </w:t>
      </w:r>
      <w:r w:rsidR="00995B73" w:rsidRPr="00085EF8">
        <w:rPr>
          <w:rFonts w:cs="Arial"/>
          <w:spacing w:val="2"/>
          <w14:ligatures w14:val="standard"/>
          <w14:numForm w14:val="lining"/>
          <w14:numSpacing w14:val="proportional"/>
        </w:rPr>
        <w:t>sector</w:t>
      </w:r>
      <w:r w:rsidRPr="00085EF8">
        <w:rPr>
          <w:rFonts w:cs="Arial"/>
          <w:spacing w:val="2"/>
          <w14:ligatures w14:val="standard"/>
          <w14:numForm w14:val="lining"/>
          <w14:numSpacing w14:val="proportional"/>
        </w:rPr>
        <w:t xml:space="preserve"> more broadly.</w:t>
      </w:r>
    </w:p>
    <w:p w14:paraId="0FDC685B" w14:textId="7A1DB92F" w:rsidR="006C02F4" w:rsidRDefault="00E6256B" w:rsidP="00304D92">
      <w:pPr>
        <w:spacing w:before="120" w:after="24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 xml:space="preserve">If Australia is serious about transforming its energy sector, many more women need to be supported into </w:t>
      </w:r>
      <w:r w:rsidR="00476E65">
        <w:rPr>
          <w:rFonts w:cs="Arial"/>
          <w:spacing w:val="2"/>
          <w14:ligatures w14:val="standard"/>
          <w14:numForm w14:val="lining"/>
          <w14:numSpacing w14:val="proportional"/>
        </w:rPr>
        <w:t>th</w:t>
      </w:r>
      <w:r w:rsidR="00922052">
        <w:rPr>
          <w:rFonts w:cs="Arial"/>
          <w:spacing w:val="2"/>
          <w14:ligatures w14:val="standard"/>
          <w14:numForm w14:val="lining"/>
          <w14:numSpacing w14:val="proportional"/>
        </w:rPr>
        <w:t>is</w:t>
      </w:r>
      <w:r w:rsidRPr="00E5087D">
        <w:rPr>
          <w:rFonts w:cs="Arial"/>
          <w:spacing w:val="2"/>
          <w14:ligatures w14:val="standard"/>
          <w14:numForm w14:val="lining"/>
          <w14:numSpacing w14:val="proportional"/>
        </w:rPr>
        <w:t xml:space="preserve"> workforce. Women only represented around 7% of </w:t>
      </w:r>
      <w:r w:rsidR="759BDBEB" w:rsidRPr="00E5087D">
        <w:rPr>
          <w:rFonts w:cs="Arial"/>
          <w:spacing w:val="2"/>
          <w14:ligatures w14:val="standard"/>
          <w14:numForm w14:val="lining"/>
          <w14:numSpacing w14:val="proportional"/>
        </w:rPr>
        <w:t>E</w:t>
      </w:r>
      <w:r w:rsidRPr="00E5087D">
        <w:rPr>
          <w:rFonts w:cs="Arial"/>
          <w:spacing w:val="2"/>
          <w14:ligatures w14:val="standard"/>
          <w14:numForm w14:val="lining"/>
          <w14:numSpacing w14:val="proportional"/>
        </w:rPr>
        <w:t xml:space="preserve">lectrotechnology </w:t>
      </w:r>
      <w:r w:rsidR="6977EBDB" w:rsidRPr="00E5087D">
        <w:rPr>
          <w:rFonts w:cs="Arial"/>
          <w:spacing w:val="2"/>
          <w14:ligatures w14:val="standard"/>
          <w14:numForm w14:val="lining"/>
          <w14:numSpacing w14:val="proportional"/>
        </w:rPr>
        <w:t>E</w:t>
      </w:r>
      <w:r w:rsidRPr="00E5087D">
        <w:rPr>
          <w:rFonts w:cs="Arial"/>
          <w:spacing w:val="2"/>
          <w14:ligatures w14:val="standard"/>
          <w14:numForm w14:val="lining"/>
          <w14:numSpacing w14:val="proportional"/>
        </w:rPr>
        <w:t xml:space="preserve">ngineering commencements in 2021 (Figure </w:t>
      </w:r>
      <w:r w:rsidR="00D11A56">
        <w:rPr>
          <w:rFonts w:cs="Arial"/>
          <w:spacing w:val="2"/>
          <w14:ligatures w14:val="standard"/>
          <w14:numForm w14:val="lining"/>
          <w14:numSpacing w14:val="proportional"/>
        </w:rPr>
        <w:t>7.</w:t>
      </w:r>
      <w:r w:rsidRPr="00E5087D">
        <w:rPr>
          <w:rFonts w:cs="Arial"/>
          <w:spacing w:val="2"/>
          <w14:ligatures w14:val="standard"/>
          <w14:numForm w14:val="lining"/>
          <w14:numSpacing w14:val="proportional"/>
        </w:rPr>
        <w:t xml:space="preserve">1), and under </w:t>
      </w:r>
      <w:r w:rsidR="00F6772B">
        <w:rPr>
          <w:rFonts w:cs="Arial"/>
          <w:spacing w:val="2"/>
          <w14:ligatures w14:val="standard"/>
          <w14:numForm w14:val="lining"/>
          <w14:numSpacing w14:val="proportional"/>
        </w:rPr>
        <w:t>6</w:t>
      </w:r>
      <w:r w:rsidRPr="00E5087D">
        <w:rPr>
          <w:rFonts w:cs="Arial"/>
          <w:spacing w:val="2"/>
          <w14:ligatures w14:val="standard"/>
          <w14:numForm w14:val="lining"/>
          <w14:numSpacing w14:val="proportional"/>
        </w:rPr>
        <w:t xml:space="preserve">% of </w:t>
      </w:r>
      <w:r w:rsidR="604C31A4" w:rsidRPr="00E5087D">
        <w:rPr>
          <w:rFonts w:cs="Arial"/>
          <w:spacing w:val="2"/>
          <w14:ligatures w14:val="standard"/>
          <w14:numForm w14:val="lining"/>
          <w14:numSpacing w14:val="proportional"/>
        </w:rPr>
        <w:t>E</w:t>
      </w:r>
      <w:r w:rsidRPr="00E5087D">
        <w:rPr>
          <w:rFonts w:cs="Arial"/>
          <w:spacing w:val="2"/>
          <w14:ligatures w14:val="standard"/>
          <w14:numForm w14:val="lining"/>
          <w14:numSpacing w14:val="proportional"/>
        </w:rPr>
        <w:t xml:space="preserve">lectrical apprentice </w:t>
      </w:r>
      <w:r w:rsidR="00F6772B">
        <w:rPr>
          <w:rFonts w:cs="Arial"/>
          <w:spacing w:val="2"/>
          <w14:ligatures w14:val="standard"/>
          <w14:numForm w14:val="lining"/>
          <w14:numSpacing w14:val="proportional"/>
        </w:rPr>
        <w:t xml:space="preserve">commencements in 2022 </w:t>
      </w:r>
      <w:r w:rsidRPr="00BB2E09">
        <w:rPr>
          <w:rFonts w:cs="Arial"/>
          <w:spacing w:val="2"/>
          <w14:ligatures w14:val="standard"/>
          <w14:numForm w14:val="lining"/>
          <w14:numSpacing w14:val="proportional"/>
        </w:rPr>
        <w:t xml:space="preserve">(Figure </w:t>
      </w:r>
      <w:r w:rsidR="00D11A56" w:rsidRPr="00BB2E09">
        <w:rPr>
          <w:rFonts w:cs="Arial"/>
          <w:spacing w:val="2"/>
          <w14:ligatures w14:val="standard"/>
          <w14:numForm w14:val="lining"/>
          <w14:numSpacing w14:val="proportional"/>
        </w:rPr>
        <w:t>7.</w:t>
      </w:r>
      <w:r w:rsidRPr="00BB2E09">
        <w:rPr>
          <w:rFonts w:cs="Arial"/>
          <w:spacing w:val="2"/>
          <w14:ligatures w14:val="standard"/>
          <w14:numForm w14:val="lining"/>
          <w14:numSpacing w14:val="proportional"/>
        </w:rPr>
        <w:t>2).</w:t>
      </w:r>
      <w:r w:rsidRPr="00E5087D">
        <w:rPr>
          <w:rFonts w:cs="Arial"/>
          <w:spacing w:val="2"/>
          <w14:ligatures w14:val="standard"/>
          <w14:numForm w14:val="lining"/>
          <w14:numSpacing w14:val="proportional"/>
        </w:rPr>
        <w:t xml:space="preserve"> </w:t>
      </w:r>
      <w:r w:rsidR="00DC4F99">
        <w:rPr>
          <w:rFonts w:cs="Arial"/>
          <w:spacing w:val="2"/>
          <w14:ligatures w14:val="standard"/>
          <w14:numForm w14:val="lining"/>
          <w14:numSpacing w14:val="proportional"/>
        </w:rPr>
        <w:t>For there to be genuine transformational change, w</w:t>
      </w:r>
      <w:r w:rsidRPr="00E5087D">
        <w:rPr>
          <w:rFonts w:cs="Arial"/>
          <w:spacing w:val="2"/>
          <w14:ligatures w14:val="standard"/>
          <w14:numForm w14:val="lining"/>
          <w14:numSpacing w14:val="proportional"/>
        </w:rPr>
        <w:t xml:space="preserve">omen’s participation needs to be front of mind in every aspect of education and training programs and supports. </w:t>
      </w:r>
      <w:r w:rsidR="0084792F">
        <w:rPr>
          <w:rFonts w:cs="Arial"/>
          <w:spacing w:val="2"/>
          <w14:ligatures w14:val="standard"/>
          <w14:numForm w14:val="lining"/>
          <w14:numSpacing w14:val="proportional"/>
        </w:rPr>
        <w:t xml:space="preserve">It also requires a critical mass of women and girls </w:t>
      </w:r>
      <w:r w:rsidR="00B757C7">
        <w:rPr>
          <w:rFonts w:cs="Arial"/>
          <w:spacing w:val="2"/>
          <w14:ligatures w14:val="standard"/>
          <w14:numForm w14:val="lining"/>
          <w14:numSpacing w14:val="proportional"/>
        </w:rPr>
        <w:t>in classrooms, on worksites, as teachers and trainers, and as employers and supervisors.</w:t>
      </w:r>
    </w:p>
    <w:p w14:paraId="2CB99114" w14:textId="3F9D7DA5" w:rsidR="00E6256B" w:rsidRPr="00E5087D" w:rsidRDefault="00E6256B" w:rsidP="006C02F4">
      <w:pPr>
        <w:pBdr>
          <w:top w:val="single" w:sz="6" w:space="5" w:color="A6A6A6" w:themeColor="background1" w:themeShade="A6"/>
        </w:pBdr>
        <w:spacing w:after="0"/>
        <w:rPr>
          <w:rFonts w:cs="Arial"/>
          <w:b/>
          <w:bCs/>
          <w:color w:val="7030A0"/>
        </w:rPr>
      </w:pPr>
      <w:r w:rsidRPr="00E5087D">
        <w:rPr>
          <w:rFonts w:cs="Arial"/>
          <w:b/>
          <w:bCs/>
        </w:rPr>
        <w:t xml:space="preserve">Figure </w:t>
      </w:r>
      <w:r w:rsidR="00D11A56">
        <w:rPr>
          <w:rFonts w:cs="Arial"/>
          <w:b/>
          <w:bCs/>
        </w:rPr>
        <w:t>7.</w:t>
      </w:r>
      <w:r w:rsidRPr="00E5087D">
        <w:rPr>
          <w:rFonts w:cs="Arial"/>
          <w:b/>
          <w:bCs/>
        </w:rPr>
        <w:t xml:space="preserve">1. Female </w:t>
      </w:r>
      <w:r w:rsidR="1D1741EC" w:rsidRPr="2B945E35">
        <w:rPr>
          <w:rFonts w:cs="Arial"/>
          <w:b/>
          <w:bCs/>
        </w:rPr>
        <w:t>E</w:t>
      </w:r>
      <w:r w:rsidRPr="2B945E35">
        <w:rPr>
          <w:rFonts w:cs="Arial"/>
          <w:b/>
          <w:bCs/>
        </w:rPr>
        <w:t xml:space="preserve">lectrotechnology </w:t>
      </w:r>
      <w:r w:rsidR="7A81214B" w:rsidRPr="2B945E35">
        <w:rPr>
          <w:rFonts w:cs="Arial"/>
          <w:b/>
          <w:bCs/>
        </w:rPr>
        <w:t>E</w:t>
      </w:r>
      <w:r w:rsidRPr="2B945E35">
        <w:rPr>
          <w:rFonts w:cs="Arial"/>
          <w:b/>
          <w:bCs/>
        </w:rPr>
        <w:t>ngineering</w:t>
      </w:r>
      <w:r w:rsidRPr="00E5087D">
        <w:rPr>
          <w:rFonts w:cs="Arial"/>
          <w:b/>
          <w:bCs/>
        </w:rPr>
        <w:t xml:space="preserve"> commencements (domestic)</w:t>
      </w:r>
    </w:p>
    <w:p w14:paraId="65FF7864" w14:textId="5DF34C0A" w:rsidR="00E6256B" w:rsidRPr="00E5087D" w:rsidRDefault="007A553F" w:rsidP="00E6256B">
      <w:pPr>
        <w:spacing w:after="0" w:line="276" w:lineRule="auto"/>
        <w:rPr>
          <w:rFonts w:cs="Arial"/>
          <w:spacing w:val="2"/>
          <w14:ligatures w14:val="standard"/>
          <w14:numForm w14:val="lining"/>
          <w14:numSpacing w14:val="proportional"/>
        </w:rPr>
      </w:pPr>
      <w:r w:rsidRPr="00E5087D">
        <w:rPr>
          <w:noProof/>
        </w:rPr>
        <w:drawing>
          <wp:inline distT="0" distB="0" distL="0" distR="0" wp14:anchorId="59B90761" wp14:editId="0B1BD5A6">
            <wp:extent cx="5731510" cy="2737485"/>
            <wp:effectExtent l="0" t="0" r="2540" b="5715"/>
            <wp:docPr id="172" name="Graphic 172" descr="This figure represents the total number and percentagesof females commenced in Electrotechnology Engineering  courses between 2001 and 2021. It shows the number of females decreasing over time, but as the percentage of total enrolments has been increasing over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phic 172" descr="This figure represents the total number and percentagesof females commenced in Electrotechnology Engineering  courses between 2001 and 2021. It shows the number of females decreasing over time, but as the percentage of total enrolments has been increasing over time.&#10;"/>
                    <pic:cNvPicPr/>
                  </pic:nvPicPr>
                  <pic:blipFill>
                    <a:blip r:embed="rId218">
                      <a:extLst>
                        <a:ext uri="{96DAC541-7B7A-43D3-8B79-37D633B846F1}">
                          <asvg:svgBlip xmlns:asvg="http://schemas.microsoft.com/office/drawing/2016/SVG/main" r:embed="rId219"/>
                        </a:ext>
                      </a:extLst>
                    </a:blip>
                    <a:stretch>
                      <a:fillRect/>
                    </a:stretch>
                  </pic:blipFill>
                  <pic:spPr>
                    <a:xfrm>
                      <a:off x="0" y="0"/>
                      <a:ext cx="5731510" cy="2737485"/>
                    </a:xfrm>
                    <a:prstGeom prst="rect">
                      <a:avLst/>
                    </a:prstGeom>
                  </pic:spPr>
                </pic:pic>
              </a:graphicData>
            </a:graphic>
          </wp:inline>
        </w:drawing>
      </w:r>
    </w:p>
    <w:p w14:paraId="14BA8326" w14:textId="77777777" w:rsidR="00E6256B" w:rsidRPr="00E5087D" w:rsidRDefault="00E6256B" w:rsidP="00366F3F">
      <w:pPr>
        <w:spacing w:after="120"/>
        <w:rPr>
          <w:rFonts w:cs="Arial"/>
          <w:sz w:val="18"/>
          <w:szCs w:val="18"/>
        </w:rPr>
      </w:pPr>
      <w:r w:rsidRPr="00E5087D">
        <w:rPr>
          <w:rFonts w:cs="Arial"/>
          <w:sz w:val="18"/>
          <w:szCs w:val="18"/>
        </w:rPr>
        <w:t>Source: Depart</w:t>
      </w:r>
      <w:r w:rsidRPr="00366F3F">
        <w:rPr>
          <w:rFonts w:cs="Arial"/>
          <w:sz w:val="18"/>
          <w:szCs w:val="18"/>
        </w:rPr>
        <w:t xml:space="preserve">ment </w:t>
      </w:r>
      <w:r w:rsidRPr="00E5087D">
        <w:rPr>
          <w:rFonts w:cs="Arial"/>
          <w:sz w:val="18"/>
          <w:szCs w:val="18"/>
        </w:rPr>
        <w:t>of Education commencement data</w:t>
      </w:r>
    </w:p>
    <w:p w14:paraId="65A39D05" w14:textId="1D3A7F82" w:rsidR="00E6256B" w:rsidRPr="00E5087D" w:rsidRDefault="00E6256B" w:rsidP="00DF3D1C">
      <w:pPr>
        <w:pBdr>
          <w:top w:val="single" w:sz="6" w:space="5" w:color="A6A6A6" w:themeColor="background1" w:themeShade="A6"/>
        </w:pBdr>
        <w:spacing w:after="40"/>
        <w:rPr>
          <w:rFonts w:cs="Arial"/>
          <w:b/>
          <w:bCs/>
          <w:color w:val="7030A0"/>
        </w:rPr>
      </w:pPr>
      <w:r w:rsidRPr="00E5087D">
        <w:rPr>
          <w:rFonts w:cs="Arial"/>
          <w:b/>
          <w:bCs/>
        </w:rPr>
        <w:t xml:space="preserve">Figure </w:t>
      </w:r>
      <w:r w:rsidR="00D11A56">
        <w:rPr>
          <w:rFonts w:cs="Arial"/>
          <w:b/>
          <w:bCs/>
        </w:rPr>
        <w:t>7.2</w:t>
      </w:r>
      <w:r w:rsidRPr="00E5087D">
        <w:rPr>
          <w:rFonts w:cs="Arial"/>
          <w:b/>
          <w:bCs/>
        </w:rPr>
        <w:t xml:space="preserve">. </w:t>
      </w:r>
      <w:r w:rsidRPr="00BB2E09">
        <w:rPr>
          <w:rFonts w:cs="Arial"/>
          <w:b/>
          <w:bCs/>
        </w:rPr>
        <w:t xml:space="preserve">Female </w:t>
      </w:r>
      <w:r w:rsidR="00366F3F">
        <w:rPr>
          <w:rFonts w:cs="Arial"/>
          <w:b/>
          <w:bCs/>
        </w:rPr>
        <w:t>electrotechnology</w:t>
      </w:r>
      <w:r w:rsidR="00E85A0B">
        <w:rPr>
          <w:rFonts w:cs="Arial"/>
          <w:b/>
          <w:bCs/>
        </w:rPr>
        <w:t xml:space="preserve"> </w:t>
      </w:r>
      <w:r w:rsidR="00366F3F">
        <w:rPr>
          <w:rFonts w:cs="Arial"/>
          <w:b/>
          <w:bCs/>
        </w:rPr>
        <w:t>apprenticeship</w:t>
      </w:r>
      <w:r w:rsidR="00E85A0B">
        <w:rPr>
          <w:rFonts w:cs="Arial"/>
          <w:b/>
          <w:bCs/>
        </w:rPr>
        <w:t xml:space="preserve"> commencements</w:t>
      </w:r>
      <w:r w:rsidRPr="00BB2E09">
        <w:rPr>
          <w:rFonts w:cs="Arial"/>
          <w:b/>
          <w:bCs/>
        </w:rPr>
        <w:t xml:space="preserve"> </w:t>
      </w:r>
    </w:p>
    <w:p w14:paraId="50CBB337" w14:textId="392E6123" w:rsidR="00E6256B" w:rsidRPr="00E5087D" w:rsidRDefault="00DF3D1C" w:rsidP="00366F3F">
      <w:pPr>
        <w:spacing w:after="240"/>
        <w:rPr>
          <w:rFonts w:cs="Arial"/>
          <w:sz w:val="18"/>
          <w:szCs w:val="18"/>
        </w:rPr>
      </w:pPr>
      <w:r>
        <w:rPr>
          <w:noProof/>
        </w:rPr>
        <w:drawing>
          <wp:inline distT="0" distB="0" distL="0" distR="0" wp14:anchorId="435158C7" wp14:editId="35B4B8C6">
            <wp:extent cx="5473700" cy="2924221"/>
            <wp:effectExtent l="0" t="0" r="0" b="9525"/>
            <wp:docPr id="894486143" name="Graphic 1" descr="This figure represents the total number and percentages of females commenced in Electrical apprenticeships between 2001 and 2021. It shows the total number of females and percentages of total enrolments have been increasing over time, and has accelerated between 2018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86143" name="Graphic 1" descr="This figure represents the total number and percentages of females commenced in Electrical apprenticeships between 2001 and 2021. It shows the total number of females and percentages of total enrolments have been increasing over time, and has accelerated between 2018 and 2021."/>
                    <pic:cNvPicPr/>
                  </pic:nvPicPr>
                  <pic:blipFill rotWithShape="1">
                    <a:blip r:embed="rId220" cstate="screen">
                      <a:extLst>
                        <a:ext uri="{28A0092B-C50C-407E-A947-70E740481C1C}">
                          <a14:useLocalDpi xmlns:a14="http://schemas.microsoft.com/office/drawing/2010/main"/>
                        </a:ext>
                        <a:ext uri="{96DAC541-7B7A-43D3-8B79-37D633B846F1}">
                          <asvg:svgBlip xmlns:asvg="http://schemas.microsoft.com/office/drawing/2016/SVG/main" r:embed="rId221"/>
                        </a:ext>
                      </a:extLst>
                    </a:blip>
                    <a:srcRect t="2209" b="2209"/>
                    <a:stretch/>
                  </pic:blipFill>
                  <pic:spPr bwMode="auto">
                    <a:xfrm>
                      <a:off x="0" y="0"/>
                      <a:ext cx="5489894" cy="2932872"/>
                    </a:xfrm>
                    <a:prstGeom prst="rect">
                      <a:avLst/>
                    </a:prstGeom>
                    <a:ln>
                      <a:noFill/>
                    </a:ln>
                    <a:extLst>
                      <a:ext uri="{53640926-AAD7-44D8-BBD7-CCE9431645EC}">
                        <a14:shadowObscured xmlns:a14="http://schemas.microsoft.com/office/drawing/2010/main"/>
                      </a:ext>
                    </a:extLst>
                  </pic:spPr>
                </pic:pic>
              </a:graphicData>
            </a:graphic>
          </wp:inline>
        </w:drawing>
      </w:r>
      <w:r w:rsidR="50E545A1" w:rsidRPr="00BB2E09">
        <w:rPr>
          <w:rFonts w:cs="Arial"/>
          <w:sz w:val="18"/>
          <w:szCs w:val="18"/>
        </w:rPr>
        <w:t xml:space="preserve">Source: </w:t>
      </w:r>
      <w:r w:rsidR="00E85A0B">
        <w:rPr>
          <w:rFonts w:cs="Arial"/>
          <w:sz w:val="18"/>
          <w:szCs w:val="18"/>
        </w:rPr>
        <w:t>NCVER Apprentices and Trainees December 2022</w:t>
      </w:r>
    </w:p>
    <w:p w14:paraId="5DAAF578" w14:textId="615E2B8B" w:rsidR="00E6256B" w:rsidRPr="00E5087D" w:rsidRDefault="00E6256B" w:rsidP="00B757C7">
      <w:pPr>
        <w:spacing w:before="120" w:after="120" w:line="276" w:lineRule="auto"/>
        <w:rPr>
          <w:rFonts w:cs="Arial"/>
          <w14:numForm w14:val="lining"/>
          <w14:numSpacing w14:val="proportional"/>
        </w:rPr>
      </w:pPr>
      <w:r w:rsidRPr="00E5087D">
        <w:rPr>
          <w:rFonts w:cs="Arial"/>
          <w14:numForm w14:val="lining"/>
          <w14:numSpacing w14:val="proportional"/>
        </w:rPr>
        <w:t xml:space="preserve">Longstanding issues in </w:t>
      </w:r>
      <w:r w:rsidR="001415D1">
        <w:rPr>
          <w:rFonts w:cs="Arial"/>
          <w14:numForm w14:val="lining"/>
          <w14:numSpacing w14:val="proportional"/>
        </w:rPr>
        <w:t>trade occupations</w:t>
      </w:r>
      <w:r w:rsidRPr="00E5087D">
        <w:rPr>
          <w:rFonts w:cs="Arial"/>
          <w14:numForm w14:val="lining"/>
          <w14:numSpacing w14:val="proportional"/>
        </w:rPr>
        <w:t xml:space="preserve"> remain prevalent, such as a gender-segregated workforce, inflexible arrangements, low pay and inadequate support for women. This is despite considerable efforts being made to ensure that the apprenticeship model remains viable and sustainable in the modern work and education landscape. </w:t>
      </w:r>
      <w:r w:rsidR="00B757C7">
        <w:rPr>
          <w:rFonts w:cs="Arial"/>
          <w14:numForm w14:val="lining"/>
          <w14:numSpacing w14:val="proportional"/>
        </w:rPr>
        <w:t>Some</w:t>
      </w:r>
      <w:r w:rsidRPr="00E5087D">
        <w:rPr>
          <w:rFonts w:cs="Arial"/>
          <w14:numForm w14:val="lining"/>
          <w14:numSpacing w14:val="proportional"/>
        </w:rPr>
        <w:t xml:space="preserve"> progress has been made to remove the stigmas women currently face within the workforce, however, more needs to be done </w:t>
      </w:r>
      <w:r w:rsidR="004C2B21">
        <w:rPr>
          <w:rFonts w:cs="Arial"/>
          <w14:numForm w14:val="lining"/>
          <w14:numSpacing w14:val="proportional"/>
        </w:rPr>
        <w:t xml:space="preserve">to </w:t>
      </w:r>
      <w:r w:rsidRPr="00E5087D">
        <w:rPr>
          <w:rFonts w:cs="Arial"/>
          <w14:numForm w14:val="lining"/>
          <w14:numSpacing w14:val="proportional"/>
        </w:rPr>
        <w:t>ensure women are provided equal and flexible opportunities in male-dominated industries</w:t>
      </w:r>
      <w:r w:rsidR="004C2B21">
        <w:rPr>
          <w:rFonts w:cs="Arial"/>
          <w14:numForm w14:val="lining"/>
          <w14:numSpacing w14:val="proportional"/>
        </w:rPr>
        <w:t>, particularly those</w:t>
      </w:r>
      <w:r w:rsidRPr="00E5087D">
        <w:rPr>
          <w:rFonts w:cs="Arial"/>
          <w14:numForm w14:val="lining"/>
          <w14:numSpacing w14:val="proportional"/>
        </w:rPr>
        <w:t xml:space="preserve"> that rely on apprenticeships.</w:t>
      </w:r>
      <w:r w:rsidR="00B757C7">
        <w:rPr>
          <w:rStyle w:val="EndnoteReference"/>
          <w:rFonts w:cs="Arial"/>
          <w14:numForm w14:val="lining"/>
          <w14:numSpacing w14:val="proportional"/>
        </w:rPr>
        <w:endnoteReference w:id="165"/>
      </w:r>
    </w:p>
    <w:p w14:paraId="394D1060" w14:textId="4C27669B" w:rsidR="00BE3D75" w:rsidRPr="00BB2E09" w:rsidRDefault="00BE3D75" w:rsidP="00A65F56">
      <w:pPr>
        <w:spacing w:before="120" w:after="240" w:line="276" w:lineRule="auto"/>
        <w:rPr>
          <w:rFonts w:cs="Arial"/>
          <w14:numForm w14:val="lining"/>
          <w14:numSpacing w14:val="proportional"/>
        </w:rPr>
      </w:pPr>
      <w:r>
        <w:rPr>
          <w:rFonts w:cs="Arial"/>
          <w14:numForm w14:val="lining"/>
          <w14:numSpacing w14:val="proportional"/>
        </w:rPr>
        <w:t>Addressing these barriers is a shared responsibility and requires efforts by governments, employers, industry peaks and education and training providers</w:t>
      </w:r>
      <w:r w:rsidR="00F649B1">
        <w:rPr>
          <w:rFonts w:cs="Arial"/>
          <w14:numForm w14:val="lining"/>
          <w14:numSpacing w14:val="proportional"/>
        </w:rPr>
        <w:t xml:space="preserve">. </w:t>
      </w:r>
      <w:r w:rsidR="00127D31">
        <w:rPr>
          <w:rFonts w:cs="Arial"/>
          <w14:numForm w14:val="lining"/>
          <w14:numSpacing w14:val="proportional"/>
        </w:rPr>
        <w:t xml:space="preserve">Further, existing workers have a </w:t>
      </w:r>
      <w:r w:rsidR="004E4F61">
        <w:rPr>
          <w:rFonts w:cs="Arial"/>
          <w14:numForm w14:val="lining"/>
          <w14:numSpacing w14:val="proportional"/>
        </w:rPr>
        <w:t xml:space="preserve">critical </w:t>
      </w:r>
      <w:r w:rsidR="00127D31">
        <w:rPr>
          <w:rFonts w:cs="Arial"/>
          <w14:numForm w14:val="lining"/>
          <w14:numSpacing w14:val="proportional"/>
        </w:rPr>
        <w:t xml:space="preserve">role to play in embracing and nurturing </w:t>
      </w:r>
      <w:r w:rsidR="004E4F61">
        <w:rPr>
          <w:rFonts w:cs="Arial"/>
          <w14:numForm w14:val="lining"/>
          <w14:numSpacing w14:val="proportional"/>
        </w:rPr>
        <w:t xml:space="preserve">more gender-sensitive, safe and flexible working environments and arrangements. </w:t>
      </w:r>
      <w:r w:rsidR="00F649B1">
        <w:rPr>
          <w:rFonts w:cs="Arial"/>
          <w14:numForm w14:val="lining"/>
          <w14:numSpacing w14:val="proportional"/>
        </w:rPr>
        <w:t xml:space="preserve">Stigmas and </w:t>
      </w:r>
      <w:r w:rsidR="005A121B">
        <w:rPr>
          <w:rFonts w:cs="Arial"/>
          <w14:numForm w14:val="lining"/>
          <w14:numSpacing w14:val="proportional"/>
        </w:rPr>
        <w:t>gendered</w:t>
      </w:r>
      <w:r w:rsidR="00F649B1">
        <w:rPr>
          <w:rFonts w:cs="Arial"/>
          <w14:numForm w14:val="lining"/>
          <w14:numSpacing w14:val="proportional"/>
        </w:rPr>
        <w:t xml:space="preserve"> cultural norms are also driven by people outside of the sector, including family members, teachers and community leaders</w:t>
      </w:r>
      <w:r w:rsidR="005A121B">
        <w:rPr>
          <w:rFonts w:cs="Arial"/>
          <w14:numForm w14:val="lining"/>
          <w14:numSpacing w14:val="proportional"/>
        </w:rPr>
        <w:t xml:space="preserve"> and more work is needed to raise public awareness around the suite of economic opportunities for women in traditional trades occupations</w:t>
      </w:r>
      <w:r w:rsidR="00F649B1">
        <w:rPr>
          <w:rFonts w:cs="Arial"/>
          <w14:numForm w14:val="lining"/>
          <w14:numSpacing w14:val="proportional"/>
        </w:rPr>
        <w:t>.</w:t>
      </w:r>
    </w:p>
    <w:p w14:paraId="26DAE0E3" w14:textId="77777777" w:rsidR="007A553F" w:rsidRPr="00E5087D" w:rsidRDefault="00E6256B" w:rsidP="007A553F">
      <w:pPr>
        <w:pStyle w:val="IntenseQuote"/>
        <w:spacing w:before="240" w:after="120"/>
        <w:ind w:left="680" w:right="680"/>
        <w:rPr>
          <w:color w:val="000000" w:themeColor="text1"/>
        </w:rPr>
      </w:pPr>
      <w:r w:rsidRPr="00E5087D">
        <w:rPr>
          <w:color w:val="000000" w:themeColor="text1"/>
        </w:rPr>
        <w:t xml:space="preserve">Within the trade occupations, women face barriers at all levels – from recruitment through to employment post-apprenticeship. Discrimination, bias and barriers such as perceptions around the need for physical strength to work in trade occupations are consistently used to limit opportunities for young women to enter male-dominated employment. Coupled with parental concerns relating to safety (both physical and emotional) and a lack of female role models, young women are less likely to see a trade apprenticeship as a viable post-school option. </w:t>
      </w:r>
    </w:p>
    <w:p w14:paraId="0297E8A5" w14:textId="6C5C2A97" w:rsidR="00E6256B" w:rsidRPr="00E5087D" w:rsidRDefault="00E6256B" w:rsidP="007A553F">
      <w:pPr>
        <w:pStyle w:val="IntenseQuote"/>
        <w:spacing w:before="120" w:after="120"/>
        <w:ind w:left="680" w:right="680"/>
      </w:pPr>
      <w:r w:rsidRPr="00E5087D">
        <w:t xml:space="preserve">– </w:t>
      </w:r>
      <w:r w:rsidRPr="2D8771F7">
        <w:rPr>
          <w:i w:val="0"/>
        </w:rPr>
        <w:t>Jobs Queensland</w:t>
      </w:r>
      <w:r w:rsidRPr="00E5087D">
        <w:t>.</w:t>
      </w:r>
      <w:r w:rsidRPr="0D0C6639">
        <w:rPr>
          <w:rStyle w:val="EndnoteReference"/>
          <w:rFonts w:cs="Arial"/>
          <w:i w:val="0"/>
        </w:rPr>
        <w:endnoteReference w:id="166"/>
      </w:r>
    </w:p>
    <w:p w14:paraId="7AE86C25" w14:textId="43E161A4" w:rsidR="00F86C56" w:rsidRDefault="00E6256B" w:rsidP="00A65F56">
      <w:pPr>
        <w:spacing w:before="360" w:after="360"/>
        <w:rPr>
          <w:rFonts w:cs="Arial"/>
          <w14:numForm w14:val="lining"/>
          <w14:numSpacing w14:val="proportional"/>
        </w:rPr>
      </w:pPr>
      <w:r w:rsidRPr="00E5087D">
        <w:rPr>
          <w:rFonts w:cs="Arial"/>
          <w14:numForm w14:val="lining"/>
          <w14:numSpacing w14:val="proportional"/>
        </w:rPr>
        <w:t xml:space="preserve">In roundtable discussions, participants cited the need for greater flexibility to be provided for women, alongside affordable and quality childcare </w:t>
      </w:r>
      <w:r w:rsidR="003C48D3">
        <w:rPr>
          <w:rFonts w:cs="Arial"/>
          <w14:numForm w14:val="lining"/>
          <w14:numSpacing w14:val="proportional"/>
        </w:rPr>
        <w:t>which can also impact the workforce participation of women</w:t>
      </w:r>
      <w:r w:rsidRPr="00E5087D">
        <w:rPr>
          <w:rFonts w:cs="Arial"/>
          <w14:numForm w14:val="lining"/>
          <w14:numSpacing w14:val="proportional"/>
        </w:rPr>
        <w:t>. The costs associated with accessing childcare can be a prohibitive and deterring aspect for women seeking to re-enter the workforce.</w:t>
      </w:r>
      <w:r w:rsidR="003D28CF">
        <w:rPr>
          <w:rFonts w:cs="Arial"/>
          <w14:numForm w14:val="lining"/>
          <w14:numSpacing w14:val="proportional"/>
        </w:rPr>
        <w:t xml:space="preserve"> We also heard about the importance of </w:t>
      </w:r>
      <w:r w:rsidR="00E6648B">
        <w:rPr>
          <w:rFonts w:cs="Arial"/>
          <w14:numForm w14:val="lining"/>
          <w14:numSpacing w14:val="proportional"/>
        </w:rPr>
        <w:t xml:space="preserve">having groups of women on worksites and </w:t>
      </w:r>
      <w:r w:rsidR="00AE78B1">
        <w:rPr>
          <w:rFonts w:cs="Arial"/>
          <w14:numForm w14:val="lining"/>
          <w14:numSpacing w14:val="proportional"/>
        </w:rPr>
        <w:t xml:space="preserve">in </w:t>
      </w:r>
      <w:r w:rsidR="00E6648B">
        <w:rPr>
          <w:rFonts w:cs="Arial"/>
          <w14:numForm w14:val="lining"/>
          <w14:numSpacing w14:val="proportional"/>
        </w:rPr>
        <w:t>training facilities</w:t>
      </w:r>
      <w:r w:rsidR="007728F1">
        <w:rPr>
          <w:rFonts w:cs="Arial"/>
          <w14:numForm w14:val="lining"/>
          <w14:numSpacing w14:val="proportional"/>
        </w:rPr>
        <w:t xml:space="preserve"> to </w:t>
      </w:r>
      <w:r w:rsidR="00C25A22">
        <w:rPr>
          <w:rFonts w:cs="Arial"/>
          <w14:numForm w14:val="lining"/>
          <w14:numSpacing w14:val="proportional"/>
        </w:rPr>
        <w:t xml:space="preserve">ensure there is an environment of </w:t>
      </w:r>
      <w:r w:rsidR="007728F1">
        <w:rPr>
          <w:rFonts w:cs="Arial"/>
          <w14:numForm w14:val="lining"/>
          <w14:numSpacing w14:val="proportional"/>
        </w:rPr>
        <w:t>peer support</w:t>
      </w:r>
      <w:r w:rsidR="004C2B21">
        <w:rPr>
          <w:rFonts w:cs="Arial"/>
          <w14:numForm w14:val="lining"/>
          <w14:numSpacing w14:val="proportional"/>
        </w:rPr>
        <w:t xml:space="preserve"> and cultural change</w:t>
      </w:r>
      <w:r w:rsidR="0085691E">
        <w:rPr>
          <w:rFonts w:cs="Arial"/>
          <w14:numForm w14:val="lining"/>
          <w14:numSpacing w14:val="proportional"/>
        </w:rPr>
        <w:t>:</w:t>
      </w:r>
    </w:p>
    <w:p w14:paraId="1AE1226A" w14:textId="00B5E5A5" w:rsidR="00F86C56" w:rsidRDefault="0085691E" w:rsidP="00F86C56">
      <w:pPr>
        <w:pStyle w:val="IntenseQuote"/>
        <w:spacing w:before="120" w:after="120"/>
        <w:ind w:left="680" w:right="680"/>
        <w:rPr>
          <w:color w:val="000000" w:themeColor="text1"/>
        </w:rPr>
      </w:pPr>
      <w:r>
        <w:rPr>
          <w:color w:val="000000" w:themeColor="text1"/>
        </w:rPr>
        <w:t>…</w:t>
      </w:r>
      <w:r w:rsidR="00F86C56" w:rsidRPr="00F86C56">
        <w:rPr>
          <w:color w:val="000000" w:themeColor="text1"/>
        </w:rPr>
        <w:t>when you're trying to change culture on a worksite, particularly, having a group of women together means you get a better result. If, instead of spreading a couple of women really thinly, you say, 'On this project, we're going to have 15 or 20 per cent women,' you really change the culture of the whole worksite, because quite different work practices are adopted.</w:t>
      </w:r>
    </w:p>
    <w:p w14:paraId="0F130081" w14:textId="258C62BA" w:rsidR="00F86C56" w:rsidRDefault="025E6F4C" w:rsidP="00F86C56">
      <w:pPr>
        <w:pStyle w:val="IntenseQuote"/>
        <w:spacing w:before="240" w:after="120"/>
        <w:ind w:left="680" w:right="680"/>
        <w:rPr>
          <w:i w:val="0"/>
          <w:iCs w:val="0"/>
        </w:rPr>
      </w:pPr>
      <w:r w:rsidRPr="2D8771F7">
        <w:rPr>
          <w:i w:val="0"/>
          <w:iCs w:val="0"/>
        </w:rPr>
        <w:t xml:space="preserve">– </w:t>
      </w:r>
      <w:r w:rsidR="00F86C56" w:rsidRPr="3E880473">
        <w:rPr>
          <w:i w:val="0"/>
          <w:iCs w:val="0"/>
        </w:rPr>
        <w:t>Department of Employment and Workplace Relations, senior official.</w:t>
      </w:r>
      <w:r w:rsidR="00F86C56" w:rsidRPr="3E880473">
        <w:rPr>
          <w:rStyle w:val="EndnoteReference"/>
          <w:i w:val="0"/>
          <w:iCs w:val="0"/>
        </w:rPr>
        <w:endnoteReference w:id="167"/>
      </w:r>
    </w:p>
    <w:p w14:paraId="282EEEFC" w14:textId="349FD65A" w:rsidR="00B327BB" w:rsidRDefault="007A67EB" w:rsidP="00A65F56">
      <w:pPr>
        <w:spacing w:before="360" w:after="120" w:line="276" w:lineRule="auto"/>
      </w:pPr>
      <w:r w:rsidRPr="007A67EB">
        <w:t>The importance and effectiveness of group learning</w:t>
      </w:r>
      <w:r w:rsidR="005173EF">
        <w:t xml:space="preserve"> and training opportunities</w:t>
      </w:r>
      <w:r w:rsidRPr="007A67EB">
        <w:t xml:space="preserve"> for female electrical apprentices </w:t>
      </w:r>
      <w:r w:rsidR="00F84A7C">
        <w:t xml:space="preserve">specifically </w:t>
      </w:r>
      <w:r w:rsidRPr="007A67EB">
        <w:t xml:space="preserve">was </w:t>
      </w:r>
      <w:r w:rsidR="00F84A7C">
        <w:t>echoed</w:t>
      </w:r>
      <w:r w:rsidRPr="007A67EB">
        <w:t xml:space="preserve"> by Total Solar Solutions Australia at </w:t>
      </w:r>
      <w:r w:rsidR="004543EB">
        <w:t>the second</w:t>
      </w:r>
      <w:r w:rsidRPr="007A67EB">
        <w:t xml:space="preserve"> Women in Energy national roundtabl</w:t>
      </w:r>
      <w:r w:rsidR="004543EB">
        <w:t>e</w:t>
      </w:r>
      <w:r w:rsidR="00B327BB">
        <w:t>.</w:t>
      </w:r>
      <w:r w:rsidR="00F84A7C">
        <w:t xml:space="preserve"> </w:t>
      </w:r>
    </w:p>
    <w:p w14:paraId="64FDEBFA" w14:textId="77777777" w:rsidR="00102F5C" w:rsidRDefault="00102F5C">
      <w:r>
        <w:br w:type="page"/>
      </w:r>
    </w:p>
    <w:p w14:paraId="22ECE24F" w14:textId="02AD1497" w:rsidR="00DC4F99" w:rsidRDefault="00023671" w:rsidP="00F00838">
      <w:pPr>
        <w:spacing w:before="120" w:after="360" w:line="276" w:lineRule="auto"/>
      </w:pPr>
      <w:r w:rsidRPr="00BB2E09">
        <w:rPr>
          <w:noProof/>
        </w:rPr>
        <mc:AlternateContent>
          <mc:Choice Requires="wpg">
            <w:drawing>
              <wp:anchor distT="0" distB="0" distL="114300" distR="114300" simplePos="0" relativeHeight="251658318" behindDoc="1" locked="0" layoutInCell="1" allowOverlap="1" wp14:anchorId="504D8B12" wp14:editId="4137E281">
                <wp:simplePos x="0" y="0"/>
                <wp:positionH relativeFrom="column">
                  <wp:posOffset>0</wp:posOffset>
                </wp:positionH>
                <wp:positionV relativeFrom="paragraph">
                  <wp:posOffset>1489587</wp:posOffset>
                </wp:positionV>
                <wp:extent cx="5731510" cy="766917"/>
                <wp:effectExtent l="0" t="0" r="21590" b="14605"/>
                <wp:wrapNone/>
                <wp:docPr id="1341085144" name="Group 13410851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66917"/>
                          <a:chOff x="0" y="0"/>
                          <a:chExt cx="5880735" cy="788472"/>
                        </a:xfrm>
                      </wpg:grpSpPr>
                      <wps:wsp>
                        <wps:cNvPr id="1341085190" name="Rectangle: Top Corners Rounded 1341085190"/>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63D075" w14:textId="0CF5A361" w:rsidR="00043F58" w:rsidRPr="006E07A7" w:rsidRDefault="00043F58" w:rsidP="00043F5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794" name="Rectangle 612265794"/>
                        <wps:cNvSpPr/>
                        <wps:spPr>
                          <a:xfrm>
                            <a:off x="0" y="230552"/>
                            <a:ext cx="5880735" cy="557920"/>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5FA11" w14:textId="67A64733" w:rsidR="00043F58" w:rsidRPr="00A90F3C" w:rsidRDefault="00043F58" w:rsidP="00043F58">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04D8B12" id="Group 1341085144" o:spid="_x0000_s1187" alt="&quot;&quot;" style="position:absolute;margin-left:0;margin-top:117.3pt;width:451.3pt;height:60.4pt;z-index:-251658162;mso-position-horizontal-relative:text;mso-position-vertical-relative:text;mso-height-relative:margin" coordsize="58807,7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">
                <v:shape id="Rectangle: Top Corners Rounded 1341085190" o:spid="_x0000_s1188"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663D075" w14:textId="0CF5A361" w:rsidR="00043F58" w:rsidRPr="006E07A7" w:rsidRDefault="00043F58" w:rsidP="00043F58">
                        <w:pPr>
                          <w:spacing w:after="0" w:line="240" w:lineRule="auto"/>
                          <w:rPr>
                            <w:b/>
                            <w:bCs/>
                            <w14:numForm w14:val="lining"/>
                            <w14:numSpacing w14:val="proportional"/>
                          </w:rPr>
                        </w:pPr>
                      </w:p>
                    </w:txbxContent>
                  </v:textbox>
                </v:shape>
                <v:rect id="Rectangle 612265794" o:spid="_x0000_s1189" style="position:absolute;top:2305;width:58807;height:5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" fillcolor="#f2f2f2" strokecolor="#c2a5ec" strokeweight="1pt">
                  <v:textbox inset="2mm,1mm,2mm,1mm">
                    <w:txbxContent>
                      <w:p w14:paraId="6895FA11" w14:textId="67A64733" w:rsidR="00043F58" w:rsidRPr="00A90F3C" w:rsidRDefault="00043F58" w:rsidP="00043F58">
                        <w:pPr>
                          <w:spacing w:after="0" w:line="276" w:lineRule="auto"/>
                          <w:ind w:left="113" w:right="113"/>
                          <w:rPr>
                            <w:lang w:val="en-US"/>
                          </w:rPr>
                        </w:pPr>
                      </w:p>
                    </w:txbxContent>
                  </v:textbox>
                </v:rect>
              </v:group>
            </w:pict>
          </mc:Fallback>
        </mc:AlternateContent>
      </w:r>
      <w:r w:rsidR="00995B73">
        <w:t xml:space="preserve">The Australian Skills Guarantee is </w:t>
      </w:r>
      <w:r w:rsidR="004C2B21">
        <w:t xml:space="preserve">an example </w:t>
      </w:r>
      <w:r w:rsidR="0033200A">
        <w:t xml:space="preserve">of </w:t>
      </w:r>
      <w:r w:rsidR="004C2B21">
        <w:t>how government</w:t>
      </w:r>
      <w:r w:rsidR="0033200A">
        <w:t xml:space="preserve"> investment</w:t>
      </w:r>
      <w:r w:rsidR="004C2B21">
        <w:t xml:space="preserve"> can </w:t>
      </w:r>
      <w:r w:rsidR="0033200A">
        <w:t xml:space="preserve">be </w:t>
      </w:r>
      <w:r w:rsidR="004C2B21">
        <w:t>leverage</w:t>
      </w:r>
      <w:r w:rsidR="0033200A">
        <w:t>d</w:t>
      </w:r>
      <w:r w:rsidR="004C2B21">
        <w:t xml:space="preserve"> </w:t>
      </w:r>
      <w:r w:rsidR="0033200A">
        <w:t>to drive long-term change in the composition of our workforce. The Skills Guarantee will introduce national targets to increase the proportion of women on major projects</w:t>
      </w:r>
      <w:r w:rsidR="03233313">
        <w:t>,</w:t>
      </w:r>
      <w:r w:rsidR="0033200A">
        <w:t xml:space="preserve"> </w:t>
      </w:r>
      <w:r w:rsidR="000540D3">
        <w:t>which will be increased each year.</w:t>
      </w:r>
      <w:r w:rsidR="000617B8">
        <w:t xml:space="preserve"> Similar </w:t>
      </w:r>
      <w:r w:rsidR="00084072">
        <w:t>initiatives are being explored or delivered in states and territories.</w:t>
      </w:r>
      <w:r w:rsidR="000540D3">
        <w:t xml:space="preserve"> </w:t>
      </w:r>
      <w:r w:rsidR="25788724">
        <w:t>NECA</w:t>
      </w:r>
      <w:r w:rsidR="00DA15F5">
        <w:t xml:space="preserve"> has also encouraged government</w:t>
      </w:r>
      <w:r w:rsidR="00156B51">
        <w:t>s</w:t>
      </w:r>
      <w:r w:rsidR="00DA15F5">
        <w:t xml:space="preserve"> to </w:t>
      </w:r>
      <w:r w:rsidR="00156B51">
        <w:t>invest in</w:t>
      </w:r>
      <w:r w:rsidR="00DA15F5">
        <w:t xml:space="preserve"> exemplar </w:t>
      </w:r>
      <w:r w:rsidR="00156B51">
        <w:t>sites, schemes and trials</w:t>
      </w:r>
      <w:r w:rsidR="00DA15F5">
        <w:t xml:space="preserve"> with much higher targets for women </w:t>
      </w:r>
      <w:r w:rsidR="00156B51">
        <w:t>to deliver larger cohorts of female apprentices.</w:t>
      </w:r>
      <w:r w:rsidR="00156B51">
        <w:rPr>
          <w:rStyle w:val="EndnoteReference"/>
        </w:rPr>
        <w:endnoteReference w:id="168"/>
      </w:r>
    </w:p>
    <w:p w14:paraId="0736257F" w14:textId="39AED1A2" w:rsidR="00102F5C" w:rsidRPr="006E07A7" w:rsidRDefault="00102F5C" w:rsidP="00102F5C">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7.15</w:t>
      </w:r>
    </w:p>
    <w:p w14:paraId="710656C7" w14:textId="11DDF887" w:rsidR="00102F5C" w:rsidRPr="00A90F3C" w:rsidRDefault="00023671" w:rsidP="00102F5C">
      <w:pPr>
        <w:spacing w:before="200" w:after="480" w:line="240" w:lineRule="auto"/>
        <w:ind w:left="170" w:right="113"/>
        <w:rPr>
          <w:lang w:val="en-US"/>
        </w:rPr>
      </w:pPr>
      <w:r w:rsidRPr="00BB2E09">
        <w:rPr>
          <w:noProof/>
        </w:rPr>
        <mc:AlternateContent>
          <mc:Choice Requires="wpg">
            <w:drawing>
              <wp:anchor distT="0" distB="0" distL="114300" distR="114300" simplePos="0" relativeHeight="251658319" behindDoc="1" locked="0" layoutInCell="1" allowOverlap="1" wp14:anchorId="31AE9E0D" wp14:editId="45403B83">
                <wp:simplePos x="0" y="0"/>
                <wp:positionH relativeFrom="column">
                  <wp:posOffset>0</wp:posOffset>
                </wp:positionH>
                <wp:positionV relativeFrom="paragraph">
                  <wp:posOffset>721872</wp:posOffset>
                </wp:positionV>
                <wp:extent cx="5731510" cy="781665"/>
                <wp:effectExtent l="0" t="0" r="21590" b="19050"/>
                <wp:wrapNone/>
                <wp:docPr id="612265795" name="Group 612265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81665"/>
                          <a:chOff x="0" y="0"/>
                          <a:chExt cx="5880735" cy="803634"/>
                        </a:xfrm>
                      </wpg:grpSpPr>
                      <wps:wsp>
                        <wps:cNvPr id="612265796" name="Rectangle: Top Corners Rounded 612265796"/>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8ACC05" w14:textId="664C982E" w:rsidR="00DB3931" w:rsidRPr="006E07A7" w:rsidRDefault="00DB3931" w:rsidP="00DB3931">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797" name="Rectangle 612265797"/>
                        <wps:cNvSpPr/>
                        <wps:spPr>
                          <a:xfrm>
                            <a:off x="0" y="230425"/>
                            <a:ext cx="5880735" cy="573209"/>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54EB4" w14:textId="7CC0017B" w:rsidR="00DB3931" w:rsidRPr="00A90F3C" w:rsidRDefault="00DB3931" w:rsidP="00DB3931">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1AE9E0D" id="Group 612265795" o:spid="_x0000_s1190" alt="&quot;&quot;" style="position:absolute;left:0;text-align:left;margin-left:0;margin-top:56.85pt;width:451.3pt;height:61.55pt;z-index:-251658161;mso-position-horizontal-relative:text;mso-position-vertical-relative:text;mso-height-relative:margin" coordsize="58807,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">
                <v:shape id="Rectangle: Top Corners Rounded 612265796" o:spid="_x0000_s1191"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348ACC05" w14:textId="664C982E" w:rsidR="00DB3931" w:rsidRPr="006E07A7" w:rsidRDefault="00DB3931" w:rsidP="00DB3931">
                        <w:pPr>
                          <w:spacing w:after="0" w:line="240" w:lineRule="auto"/>
                          <w:rPr>
                            <w:b/>
                            <w:bCs/>
                            <w14:numForm w14:val="lining"/>
                            <w14:numSpacing w14:val="proportional"/>
                          </w:rPr>
                        </w:pPr>
                      </w:p>
                    </w:txbxContent>
                  </v:textbox>
                </v:shape>
                <v:rect id="Rectangle 612265797" o:spid="_x0000_s1192" style="position:absolute;top:2304;width:58807;height:5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" fillcolor="#f2f2f2" strokecolor="#c2a5ec" strokeweight="1pt">
                  <v:textbox inset="2mm,1mm,2mm,1mm">
                    <w:txbxContent>
                      <w:p w14:paraId="60154EB4" w14:textId="7CC0017B" w:rsidR="00DB3931" w:rsidRPr="00A90F3C" w:rsidRDefault="00DB3931" w:rsidP="00DB3931">
                        <w:pPr>
                          <w:spacing w:after="0" w:line="276" w:lineRule="auto"/>
                          <w:ind w:left="113" w:right="113"/>
                          <w:rPr>
                            <w:lang w:val="en-US"/>
                          </w:rPr>
                        </w:pPr>
                      </w:p>
                    </w:txbxContent>
                  </v:textbox>
                </v:rect>
              </v:group>
            </w:pict>
          </mc:Fallback>
        </mc:AlternateContent>
      </w:r>
      <w:r w:rsidR="00102F5C" w:rsidRPr="00043F58">
        <w:rPr>
          <w:lang w:val="en-US"/>
        </w:rPr>
        <w:t>Ensure financial supports and incentives for women in trades are genuinely at the scale required to generate transformational change in the workforce’s composition and culture.</w:t>
      </w:r>
    </w:p>
    <w:p w14:paraId="23770E9B" w14:textId="611C1B9A" w:rsidR="00102F5C" w:rsidRPr="006E07A7" w:rsidRDefault="00102F5C" w:rsidP="00102F5C">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7.16</w:t>
      </w:r>
    </w:p>
    <w:p w14:paraId="6D05C571" w14:textId="4B72864F" w:rsidR="00102F5C" w:rsidRPr="00A90F3C" w:rsidRDefault="00023671" w:rsidP="00102F5C">
      <w:pPr>
        <w:spacing w:before="200" w:after="480" w:line="240" w:lineRule="auto"/>
        <w:ind w:left="170" w:right="113"/>
        <w:rPr>
          <w:lang w:val="en-US"/>
        </w:rPr>
      </w:pPr>
      <w:r w:rsidRPr="00BB2E09">
        <w:rPr>
          <w:noProof/>
        </w:rPr>
        <mc:AlternateContent>
          <mc:Choice Requires="wpg">
            <w:drawing>
              <wp:anchor distT="0" distB="0" distL="114300" distR="114300" simplePos="0" relativeHeight="251658320" behindDoc="1" locked="0" layoutInCell="1" allowOverlap="1" wp14:anchorId="00FC3201" wp14:editId="5BF52F11">
                <wp:simplePos x="0" y="0"/>
                <wp:positionH relativeFrom="column">
                  <wp:posOffset>0</wp:posOffset>
                </wp:positionH>
                <wp:positionV relativeFrom="paragraph">
                  <wp:posOffset>728591</wp:posOffset>
                </wp:positionV>
                <wp:extent cx="5731510" cy="755015"/>
                <wp:effectExtent l="0" t="0" r="21590" b="26035"/>
                <wp:wrapNone/>
                <wp:docPr id="1087981632" name="Group 1087981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55015"/>
                          <a:chOff x="0" y="0"/>
                          <a:chExt cx="5880735" cy="776644"/>
                        </a:xfrm>
                      </wpg:grpSpPr>
                      <wps:wsp>
                        <wps:cNvPr id="1087981634" name="Rectangle: Top Corners Rounded 1087981633"/>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4E2802" w14:textId="4E09F9DF" w:rsidR="00D633D6" w:rsidRPr="006E07A7" w:rsidRDefault="00D633D6" w:rsidP="00967D1A">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87981635" name="Rectangle 1087981634"/>
                        <wps:cNvSpPr/>
                        <wps:spPr>
                          <a:xfrm>
                            <a:off x="0" y="230578"/>
                            <a:ext cx="5880735" cy="546066"/>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186A2" w14:textId="3FC14F4E" w:rsidR="00D633D6" w:rsidRPr="0024405E" w:rsidRDefault="00D633D6" w:rsidP="00967D1A">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00FC3201" id="Group 1087981632" o:spid="_x0000_s1193" alt="&quot;&quot;" style="position:absolute;left:0;text-align:left;margin-left:0;margin-top:57.35pt;width:451.3pt;height:59.45pt;z-index:-251658160;mso-position-horizontal-relative:text;mso-position-vertical-relative:text" coordsize="58807,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">
                <v:shape id="Rectangle: Top Corners Rounded 1087981633" o:spid="_x0000_s1194"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094E2802" w14:textId="4E09F9DF" w:rsidR="00D633D6" w:rsidRPr="006E07A7" w:rsidRDefault="00D633D6" w:rsidP="00967D1A">
                        <w:pPr>
                          <w:spacing w:after="0" w:line="240" w:lineRule="auto"/>
                          <w:rPr>
                            <w:b/>
                            <w:bCs/>
                            <w14:numForm w14:val="lining"/>
                            <w14:numSpacing w14:val="proportional"/>
                          </w:rPr>
                        </w:pPr>
                      </w:p>
                    </w:txbxContent>
                  </v:textbox>
                </v:shape>
                <v:rect id="Rectangle 1087981634" o:spid="_x0000_s1195" style="position:absolute;top:2305;width:58807;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" fillcolor="#f2f2f2" strokecolor="#c2a5ec" strokeweight="1pt">
                  <v:textbox inset="2mm,1mm,2mm,1mm">
                    <w:txbxContent>
                      <w:p w14:paraId="166186A2" w14:textId="3FC14F4E" w:rsidR="00D633D6" w:rsidRPr="0024405E" w:rsidRDefault="00D633D6" w:rsidP="00967D1A">
                        <w:pPr>
                          <w:spacing w:after="0" w:line="276" w:lineRule="auto"/>
                          <w:ind w:left="113" w:right="113"/>
                          <w:rPr>
                            <w:lang w:val="en-US"/>
                          </w:rPr>
                        </w:pPr>
                      </w:p>
                    </w:txbxContent>
                  </v:textbox>
                </v:rect>
              </v:group>
            </w:pict>
          </mc:Fallback>
        </mc:AlternateContent>
      </w:r>
      <w:r w:rsidR="00102F5C" w:rsidRPr="00DB3931">
        <w:rPr>
          <w:lang w:val="en-US"/>
        </w:rPr>
        <w:t>Explore opportunities to directly support employers to attract, employ, mentor, train and cluster female trade apprentices to increase retention outcomes.</w:t>
      </w:r>
    </w:p>
    <w:p w14:paraId="6FC3AC10" w14:textId="593F8E3D" w:rsidR="00102F5C" w:rsidRPr="006E07A7" w:rsidRDefault="00102F5C" w:rsidP="00102F5C">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7.17</w:t>
      </w:r>
    </w:p>
    <w:p w14:paraId="15985C0C" w14:textId="2101ADE1" w:rsidR="00E6256B" w:rsidRPr="00A65F56" w:rsidRDefault="00102F5C" w:rsidP="00A65F56">
      <w:pPr>
        <w:spacing w:after="0" w:line="240" w:lineRule="auto"/>
        <w:ind w:left="170" w:right="113"/>
        <w:rPr>
          <w:lang w:val="en-US"/>
        </w:rPr>
      </w:pPr>
      <w:r w:rsidRPr="0024405E">
        <w:rPr>
          <w:rStyle w:val="normaltextrun"/>
          <w:rFonts w:cs="Arial"/>
        </w:rPr>
        <w:t>Explore opportunities to provide more support for bridging courses, group learning and study-to-employment pathways</w:t>
      </w:r>
      <w:r>
        <w:rPr>
          <w:rStyle w:val="normaltextrun"/>
          <w:rFonts w:cs="Arial"/>
        </w:rPr>
        <w:t>, particularly for underrepresented cohorts</w:t>
      </w:r>
      <w:r w:rsidRPr="0024405E">
        <w:rPr>
          <w:rStyle w:val="normaltextrun"/>
          <w:rFonts w:cs="Arial"/>
        </w:rPr>
        <w:t>.</w:t>
      </w:r>
    </w:p>
    <w:p w14:paraId="2B5B7C77" w14:textId="77777777" w:rsidR="00E6256B" w:rsidRPr="00E5087D" w:rsidRDefault="00E6256B" w:rsidP="00E6256B">
      <w:pPr>
        <w:rPr>
          <w:rStyle w:val="normaltextrun"/>
          <w:rFonts w:eastAsiaTheme="majorEastAsia" w:cs="Arial"/>
          <w:b/>
          <w:bCs/>
          <w:sz w:val="32"/>
          <w:szCs w:val="32"/>
        </w:rPr>
      </w:pPr>
      <w:r w:rsidRPr="00E5087D">
        <w:rPr>
          <w:rStyle w:val="normaltextrun"/>
          <w:rFonts w:cs="Arial"/>
          <w:b/>
          <w:bCs/>
          <w:sz w:val="32"/>
          <w:szCs w:val="32"/>
        </w:rPr>
        <w:br w:type="page"/>
      </w:r>
    </w:p>
    <w:p w14:paraId="6FC2BCDD" w14:textId="2748BC52" w:rsidR="00E6256B" w:rsidRPr="00E5087D" w:rsidRDefault="00E6256B" w:rsidP="00641B5D">
      <w:pPr>
        <w:pStyle w:val="Heading3"/>
        <w:rPr>
          <w:rStyle w:val="normaltextrun"/>
          <w:rFonts w:cs="Arial"/>
          <w:b w:val="0"/>
          <w:bCs/>
          <w:szCs w:val="32"/>
        </w:rPr>
      </w:pPr>
      <w:r w:rsidRPr="2B945E35">
        <w:rPr>
          <w:rStyle w:val="normaltextrun"/>
          <w:rFonts w:cs="Arial"/>
        </w:rPr>
        <w:t>First Nations education and training</w:t>
      </w:r>
    </w:p>
    <w:p w14:paraId="1CD4701C" w14:textId="07B4EDFE" w:rsidR="00E6256B" w:rsidRPr="00E5087D" w:rsidRDefault="5D3911BD" w:rsidP="00E6256B">
      <w:pPr>
        <w:pStyle w:val="Bodycopy"/>
        <w:spacing w:after="120" w:line="276" w:lineRule="auto"/>
        <w:rPr>
          <w:rFonts w:cs="Arial"/>
        </w:rPr>
      </w:pPr>
      <w:r w:rsidRPr="2B945E35">
        <w:rPr>
          <w:rFonts w:cs="Arial"/>
        </w:rPr>
        <w:t>Between 2016 and 2023</w:t>
      </w:r>
      <w:r w:rsidR="00E6256B" w:rsidRPr="00E5087D">
        <w:rPr>
          <w:rFonts w:cs="Arial"/>
        </w:rPr>
        <w:t xml:space="preserve">, significant progress has been made </w:t>
      </w:r>
      <w:r w:rsidR="00476E65">
        <w:rPr>
          <w:rFonts w:cs="Arial"/>
        </w:rPr>
        <w:t>in</w:t>
      </w:r>
      <w:r w:rsidR="00E6256B" w:rsidRPr="00E5087D">
        <w:rPr>
          <w:rFonts w:cs="Arial"/>
        </w:rPr>
        <w:t xml:space="preserve"> First Nations school attendance, high school completion</w:t>
      </w:r>
      <w:r w:rsidR="2E5F6C48" w:rsidRPr="00E5087D">
        <w:rPr>
          <w:rFonts w:cs="Arial"/>
        </w:rPr>
        <w:t>s,</w:t>
      </w:r>
      <w:r w:rsidR="00E6256B" w:rsidRPr="00E5087D">
        <w:rPr>
          <w:rFonts w:cs="Arial"/>
        </w:rPr>
        <w:t xml:space="preserve"> and completions of non-school qualifications at Certificate level III or above (Closing the Gap Targets 3, 5 &amp; 6), highlighting </w:t>
      </w:r>
      <w:r w:rsidR="00630B87">
        <w:rPr>
          <w:rFonts w:cs="Arial"/>
        </w:rPr>
        <w:t>a</w:t>
      </w:r>
      <w:r w:rsidR="00E6256B" w:rsidRPr="00E5087D">
        <w:rPr>
          <w:rFonts w:cs="Arial"/>
        </w:rPr>
        <w:t xml:space="preserve"> slow, but positive direction of change. However, this progress has not yet translated to improved outcomes in STEM fields, in which First Nations student enrolments and outcomes have remained significantly lower than non-Indigenous students for the past 20 years.</w:t>
      </w:r>
      <w:r w:rsidR="00E6256B" w:rsidRPr="00E5087D">
        <w:rPr>
          <w:rFonts w:cs="Arial"/>
          <w:vertAlign w:val="superscript"/>
        </w:rPr>
        <w:endnoteReference w:id="169"/>
      </w:r>
      <w:r w:rsidR="00E6256B" w:rsidRPr="00E5087D">
        <w:rPr>
          <w:rFonts w:cs="Arial"/>
        </w:rPr>
        <w:t xml:space="preserve"> </w:t>
      </w:r>
    </w:p>
    <w:p w14:paraId="1CDDA589" w14:textId="684EF649" w:rsidR="00E6256B" w:rsidRPr="00E5087D" w:rsidRDefault="00E6256B" w:rsidP="00E6256B">
      <w:pPr>
        <w:pStyle w:val="Bodycopy"/>
        <w:spacing w:after="120" w:line="276" w:lineRule="auto"/>
        <w:rPr>
          <w:rFonts w:eastAsiaTheme="majorEastAsia" w:cs="Arial"/>
        </w:rPr>
      </w:pPr>
      <w:r w:rsidRPr="00E5087D">
        <w:rPr>
          <w:rFonts w:cs="Arial"/>
        </w:rPr>
        <w:t xml:space="preserve">First Nations enrolments in tertiary study are gradually increasing but tend to be concentrated in the broad fields of health, education and liberal arts. This trend is attributed to First Nations students aspiring to work in fields that are perceived to have direct benefits for their communities. Due to the limited incorporation of First Nations knowledge into the STEM curriculum at all levels of education and training, many First Nations students see STEM as unrelated </w:t>
      </w:r>
      <w:r w:rsidR="0099606B">
        <w:rPr>
          <w:rFonts w:cs="Arial"/>
        </w:rPr>
        <w:t>to</w:t>
      </w:r>
      <w:r w:rsidRPr="00E5087D">
        <w:rPr>
          <w:rFonts w:cs="Arial"/>
        </w:rPr>
        <w:t xml:space="preserve"> their culture and communities. Providing students of all ages with more explicit examples of how First Nations knowledge and culture relates to STEM disciplines and careers</w:t>
      </w:r>
      <w:r w:rsidR="00630B87">
        <w:rPr>
          <w:rFonts w:cs="Arial"/>
        </w:rPr>
        <w:t xml:space="preserve"> and</w:t>
      </w:r>
      <w:r w:rsidRPr="00E5087D">
        <w:rPr>
          <w:rFonts w:cs="Arial"/>
        </w:rPr>
        <w:t xml:space="preserve"> expanding our collective national understanding and respect of First Nations culture and knowledge, </w:t>
      </w:r>
      <w:r w:rsidR="00630B87">
        <w:rPr>
          <w:rFonts w:cs="Arial"/>
        </w:rPr>
        <w:t>could</w:t>
      </w:r>
      <w:r w:rsidRPr="00E5087D">
        <w:rPr>
          <w:rFonts w:cs="Arial"/>
        </w:rPr>
        <w:t xml:space="preserve"> pique more interest from First Nations students in pursuing education and employment in these fields.</w:t>
      </w:r>
      <w:r w:rsidRPr="00E5087D">
        <w:rPr>
          <w:rStyle w:val="EndnoteReference"/>
          <w:rFonts w:cs="Arial"/>
        </w:rPr>
        <w:endnoteReference w:id="170"/>
      </w:r>
      <w:r w:rsidRPr="00E5087D">
        <w:rPr>
          <w:rFonts w:cs="Arial"/>
        </w:rPr>
        <w:t xml:space="preserve"> </w:t>
      </w:r>
    </w:p>
    <w:p w14:paraId="7E24378E" w14:textId="650BF7C8" w:rsidR="00E6256B" w:rsidRPr="00E5087D" w:rsidRDefault="00E6256B" w:rsidP="00E6256B">
      <w:pPr>
        <w:spacing w:after="120" w:line="276" w:lineRule="auto"/>
        <w:rPr>
          <w:rFonts w:eastAsia="Calibri" w:cs="Arial"/>
          <w:color w:val="000000"/>
        </w:rPr>
      </w:pPr>
      <w:r w:rsidRPr="00E5087D">
        <w:rPr>
          <w:rFonts w:eastAsia="Calibri" w:cs="Arial"/>
          <w:color w:val="000000"/>
        </w:rPr>
        <w:t xml:space="preserve">Group learning is an effective tool to improve confidence and address the </w:t>
      </w:r>
      <w:r w:rsidR="00A73198">
        <w:rPr>
          <w:rFonts w:eastAsia="Calibri" w:cs="Arial"/>
          <w:color w:val="000000"/>
        </w:rPr>
        <w:t xml:space="preserve">challenges </w:t>
      </w:r>
      <w:r w:rsidRPr="00E5087D">
        <w:rPr>
          <w:rFonts w:eastAsia="Calibri" w:cs="Arial"/>
          <w:color w:val="000000"/>
        </w:rPr>
        <w:t xml:space="preserve">that First Nations students may experience in underrepresented fields and tertiary institutions more generally. CSIRO runs a residential </w:t>
      </w:r>
      <w:r w:rsidRPr="00E5087D">
        <w:rPr>
          <w:rFonts w:eastAsia="Calibri" w:cs="Arial"/>
          <w:i/>
          <w:iCs/>
          <w:color w:val="000000"/>
        </w:rPr>
        <w:t>Aboriginal Summer School for Excellence in Technology and Science</w:t>
      </w:r>
      <w:r w:rsidRPr="00E5087D">
        <w:rPr>
          <w:rFonts w:eastAsia="Calibri" w:cs="Arial"/>
          <w:color w:val="000000"/>
        </w:rPr>
        <w:t xml:space="preserve"> for high school students with an aim of improving student confidence, aspiration and knowledge of STEM career pathways and networks. 79% of participants reported an intention to study in a STEM field at university. </w:t>
      </w:r>
    </w:p>
    <w:p w14:paraId="4E744B08" w14:textId="69F9FE81" w:rsidR="00E6256B" w:rsidRPr="00E5087D" w:rsidRDefault="00E6256B" w:rsidP="00E6256B">
      <w:pPr>
        <w:spacing w:after="120" w:line="276" w:lineRule="auto"/>
        <w:rPr>
          <w:rFonts w:eastAsia="Calibri" w:cs="Arial"/>
          <w:color w:val="000000"/>
        </w:rPr>
      </w:pPr>
      <w:r w:rsidRPr="00E5087D">
        <w:rPr>
          <w:rFonts w:eastAsia="Calibri" w:cs="Arial"/>
          <w:color w:val="000000"/>
        </w:rPr>
        <w:t xml:space="preserve">Some First Nations graduates are unfamiliar with navigating the labour market and benefit from </w:t>
      </w:r>
      <w:r w:rsidR="00AD00FD">
        <w:rPr>
          <w:rFonts w:eastAsia="Calibri" w:cs="Arial"/>
          <w:color w:val="000000"/>
        </w:rPr>
        <w:t xml:space="preserve">bridging </w:t>
      </w:r>
      <w:r w:rsidRPr="00E5087D">
        <w:rPr>
          <w:rFonts w:eastAsia="Calibri" w:cs="Arial"/>
          <w:color w:val="000000"/>
        </w:rPr>
        <w:t xml:space="preserve">programs </w:t>
      </w:r>
      <w:r w:rsidR="00AD00FD">
        <w:rPr>
          <w:rFonts w:eastAsia="Calibri" w:cs="Arial"/>
          <w:color w:val="000000"/>
        </w:rPr>
        <w:t xml:space="preserve">that link </w:t>
      </w:r>
      <w:r w:rsidRPr="00E5087D">
        <w:rPr>
          <w:rFonts w:eastAsia="Calibri" w:cs="Arial"/>
          <w:color w:val="000000"/>
        </w:rPr>
        <w:t xml:space="preserve">education and training with employment opportunities. This is particularly true for students from regional and remote areas and students who are the first in their families, and sometimes </w:t>
      </w:r>
      <w:r w:rsidR="00AD00FD">
        <w:rPr>
          <w:rFonts w:eastAsia="Calibri" w:cs="Arial"/>
          <w:color w:val="000000"/>
        </w:rPr>
        <w:t xml:space="preserve">their </w:t>
      </w:r>
      <w:r w:rsidRPr="00E5087D">
        <w:rPr>
          <w:rFonts w:eastAsia="Calibri" w:cs="Arial"/>
          <w:color w:val="000000"/>
        </w:rPr>
        <w:t xml:space="preserve">communities, to undertake tertiary study. </w:t>
      </w:r>
    </w:p>
    <w:p w14:paraId="5E6F42E7" w14:textId="73E338DE" w:rsidR="00E6256B" w:rsidRPr="00E5087D" w:rsidRDefault="00E6256B" w:rsidP="00E6256B">
      <w:pPr>
        <w:spacing w:after="120" w:line="276" w:lineRule="auto"/>
        <w:rPr>
          <w:rFonts w:cs="Arial"/>
        </w:rPr>
      </w:pPr>
      <w:r w:rsidRPr="00E5087D">
        <w:rPr>
          <w:rFonts w:cs="Arial"/>
        </w:rPr>
        <w:t>CareerTrackers is a national non-profit organisation that supports Aboriginal and Torres Strait Islander university students to intern with organisations</w:t>
      </w:r>
      <w:r w:rsidR="00835A10">
        <w:rPr>
          <w:rFonts w:cs="Arial"/>
        </w:rPr>
        <w:t>,</w:t>
      </w:r>
      <w:r w:rsidRPr="00E5087D">
        <w:rPr>
          <w:rFonts w:cs="Arial"/>
        </w:rPr>
        <w:t xml:space="preserve"> develop their workplace skills and to create employment networks. In the majority of cases</w:t>
      </w:r>
      <w:r w:rsidR="6E677A73" w:rsidRPr="00E5087D">
        <w:rPr>
          <w:rFonts w:cs="Arial"/>
        </w:rPr>
        <w:t>,</w:t>
      </w:r>
      <w:r w:rsidRPr="00E5087D">
        <w:rPr>
          <w:rFonts w:cs="Arial"/>
        </w:rPr>
        <w:t xml:space="preserve"> this experience and exposure to the labour market results in high levels of participant employment, with over 80% securing relevant full-time employment within 3 months of graduating.</w:t>
      </w:r>
      <w:r w:rsidRPr="00E5087D">
        <w:rPr>
          <w:rStyle w:val="EndnoteReference"/>
          <w:rFonts w:cs="Arial"/>
        </w:rPr>
        <w:endnoteReference w:id="171"/>
      </w:r>
      <w:r w:rsidRPr="00E5087D">
        <w:rPr>
          <w:rFonts w:cs="Arial"/>
        </w:rPr>
        <w:t xml:space="preserve"> However, this program is limited to university students and commensurate supports do not exist for First Nations in VET. As many employment opportunities in the clean energy transition will be enabled by VET pathways, there may be benefit in drawing on the success of the CareerTrackers program and developing similar supports for First Nations students in the VET system. </w:t>
      </w:r>
    </w:p>
    <w:p w14:paraId="6D667F51" w14:textId="77777777" w:rsidR="00E6256B" w:rsidRPr="00E5087D" w:rsidRDefault="00E6256B" w:rsidP="00E6256B">
      <w:pPr>
        <w:rPr>
          <w:rFonts w:cs="Arial"/>
        </w:rPr>
      </w:pPr>
      <w:r w:rsidRPr="00E5087D">
        <w:rPr>
          <w:rFonts w:cs="Arial"/>
        </w:rPr>
        <w:br w:type="page"/>
      </w:r>
    </w:p>
    <w:p w14:paraId="102F39BE" w14:textId="44CB04D3" w:rsidR="00E6256B" w:rsidRPr="00E5087D" w:rsidRDefault="00E6256B" w:rsidP="00641B5D">
      <w:pPr>
        <w:pStyle w:val="Heading3"/>
        <w:rPr>
          <w:rStyle w:val="normaltextrun"/>
          <w:rFonts w:cs="Arial"/>
          <w:b w:val="0"/>
          <w:bCs/>
          <w:szCs w:val="32"/>
        </w:rPr>
      </w:pPr>
      <w:r w:rsidRPr="00E5087D">
        <w:rPr>
          <w:rStyle w:val="normaltextrun"/>
          <w:rFonts w:cs="Arial"/>
          <w:bCs/>
          <w:szCs w:val="32"/>
        </w:rPr>
        <w:t>Incentives and supports for apprentices</w:t>
      </w:r>
    </w:p>
    <w:p w14:paraId="7EC6F67A" w14:textId="4FF99CE1" w:rsidR="00E6256B" w:rsidRPr="00E5087D" w:rsidRDefault="00E6256B" w:rsidP="00E6256B">
      <w:pPr>
        <w:spacing w:before="120"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Financial barriers can be a major deterrent for both apprentices and their employers. Several government incentives currently exist for both groups to help ease this burden and encourage more commencements. Financial incentives can also make apprenticeships a more attractive pathway in a highly competitive market for workers and students</w:t>
      </w:r>
      <w:r w:rsidR="00F50D38">
        <w:rPr>
          <w:rFonts w:cs="Arial"/>
          <w:spacing w:val="2"/>
          <w14:ligatures w14:val="standard"/>
          <w14:numForm w14:val="lining"/>
          <w14:numSpacing w14:val="proportional"/>
        </w:rPr>
        <w:t xml:space="preserve">, </w:t>
      </w:r>
      <w:r w:rsidR="00C27E82">
        <w:rPr>
          <w:rFonts w:cs="Arial"/>
          <w:spacing w:val="2"/>
          <w14:ligatures w14:val="standard"/>
          <w14:numForm w14:val="lining"/>
          <w14:numSpacing w14:val="proportional"/>
        </w:rPr>
        <w:t>particularly in their first years when wages are lower.</w:t>
      </w:r>
      <w:r w:rsidR="00755478">
        <w:rPr>
          <w:rFonts w:cs="Arial"/>
          <w:spacing w:val="2"/>
          <w14:ligatures w14:val="standard"/>
          <w14:numForm w14:val="lining"/>
          <w14:numSpacing w14:val="proportional"/>
        </w:rPr>
        <w:t xml:space="preserve"> The current Australian Apprenticeship </w:t>
      </w:r>
      <w:r w:rsidR="00E522AA">
        <w:rPr>
          <w:rFonts w:cs="Arial"/>
          <w:spacing w:val="2"/>
          <w14:ligatures w14:val="standard"/>
          <w14:numForm w14:val="lining"/>
          <w14:numSpacing w14:val="proportional"/>
        </w:rPr>
        <w:t>Incentives</w:t>
      </w:r>
      <w:r w:rsidR="00755478">
        <w:rPr>
          <w:rFonts w:cs="Arial"/>
          <w:spacing w:val="2"/>
          <w14:ligatures w14:val="standard"/>
          <w14:numForm w14:val="lining"/>
          <w14:numSpacing w14:val="proportional"/>
        </w:rPr>
        <w:t xml:space="preserve"> System has only been in place since 2022, and given apprenticeships generally take up to 4 years, </w:t>
      </w:r>
      <w:r w:rsidR="00E522AA">
        <w:rPr>
          <w:rFonts w:cs="Arial"/>
          <w:spacing w:val="2"/>
          <w14:ligatures w14:val="standard"/>
          <w14:numForm w14:val="lining"/>
          <w14:numSpacing w14:val="proportional"/>
        </w:rPr>
        <w:t>the impacts of any changes to these systems can take time to examine.</w:t>
      </w:r>
    </w:p>
    <w:p w14:paraId="31EA98F6" w14:textId="62C5AE4E" w:rsidR="00E6256B" w:rsidRPr="00E5087D" w:rsidRDefault="00E6256B" w:rsidP="00E6256B">
      <w:pPr>
        <w:spacing w:before="120" w:after="12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The New Energy Apprenticeships Program</w:t>
      </w:r>
      <w:r w:rsidR="000A3562">
        <w:rPr>
          <w:rFonts w:cs="Arial"/>
          <w:spacing w:val="2"/>
          <w14:ligatures w14:val="standard"/>
          <w14:numForm w14:val="lining"/>
          <w14:numSpacing w14:val="proportional"/>
        </w:rPr>
        <w:t xml:space="preserve"> (explored in </w:t>
      </w:r>
      <w:r w:rsidR="000A3562" w:rsidRPr="00085EF8">
        <w:rPr>
          <w:rFonts w:cs="Arial"/>
          <w:b/>
          <w:spacing w:val="2"/>
          <w14:ligatures w14:val="standard"/>
          <w14:numForm w14:val="lining"/>
          <w14:numSpacing w14:val="proportional"/>
        </w:rPr>
        <w:t>Chapter 4</w:t>
      </w:r>
      <w:r w:rsidR="000A3562">
        <w:rPr>
          <w:rFonts w:cs="Arial"/>
          <w:spacing w:val="2"/>
          <w14:ligatures w14:val="standard"/>
          <w14:numForm w14:val="lining"/>
          <w14:numSpacing w14:val="proportional"/>
        </w:rPr>
        <w:t>)</w:t>
      </w:r>
      <w:r w:rsidRPr="00E5087D">
        <w:rPr>
          <w:rFonts w:cs="Arial"/>
          <w:spacing w:val="2"/>
          <w14:ligatures w14:val="standard"/>
          <w14:numForm w14:val="lining"/>
          <w14:numSpacing w14:val="proportional"/>
        </w:rPr>
        <w:t xml:space="preserve"> is an example of how financial incentives can be used to target commencements towards areas of skills needs. However, given the newness of some roles, targeted incentives </w:t>
      </w:r>
      <w:r w:rsidR="000A3562">
        <w:rPr>
          <w:rFonts w:cs="Arial"/>
          <w:spacing w:val="2"/>
          <w14:ligatures w14:val="standard"/>
          <w14:numForm w14:val="lining"/>
          <w14:numSpacing w14:val="proportional"/>
        </w:rPr>
        <w:t>also</w:t>
      </w:r>
      <w:r w:rsidRPr="00E5087D">
        <w:rPr>
          <w:rFonts w:cs="Arial"/>
          <w:spacing w:val="2"/>
          <w14:ligatures w14:val="standard"/>
          <w14:numForm w14:val="lining"/>
          <w14:numSpacing w14:val="proportional"/>
        </w:rPr>
        <w:t xml:space="preserve"> need to be flexible enough to cater to a wide range of changing, emerging needs.</w:t>
      </w:r>
    </w:p>
    <w:p w14:paraId="7D3009C1" w14:textId="77777777" w:rsidR="007A553F" w:rsidRPr="00E5087D" w:rsidRDefault="00E6256B" w:rsidP="007A553F">
      <w:pPr>
        <w:pStyle w:val="IntenseQuote"/>
        <w:spacing w:before="240" w:after="120"/>
        <w:ind w:left="737" w:right="737"/>
        <w:rPr>
          <w:color w:val="000000" w:themeColor="text1"/>
        </w:rPr>
      </w:pPr>
      <w:r w:rsidRPr="00E5087D">
        <w:rPr>
          <w:color w:val="000000" w:themeColor="text1"/>
        </w:rPr>
        <w:t xml:space="preserve">“It is not possible to complete the requirements for an electrical license while working on just solar panels alone, so until other technologies emerge, more nuanced policy settings are required to support and encourage enterprises focused on renewable energy generation rather than seeking to identify renewable-only skills as a separate vocation” </w:t>
      </w:r>
    </w:p>
    <w:p w14:paraId="0FFAEBEA" w14:textId="5E075C1D" w:rsidR="00E6256B" w:rsidRPr="00A73198" w:rsidRDefault="00E6256B" w:rsidP="007A553F">
      <w:pPr>
        <w:pStyle w:val="IntenseQuote"/>
        <w:spacing w:before="120" w:after="240"/>
        <w:ind w:left="737" w:right="737"/>
        <w:rPr>
          <w:i w:val="0"/>
          <w:iCs w:val="0"/>
        </w:rPr>
      </w:pPr>
      <w:r w:rsidRPr="20F91CB8">
        <w:rPr>
          <w:i w:val="0"/>
          <w:iCs w:val="0"/>
        </w:rPr>
        <w:t>– N</w:t>
      </w:r>
      <w:r w:rsidR="6ADAC81E" w:rsidRPr="20F91CB8">
        <w:rPr>
          <w:i w:val="0"/>
          <w:iCs w:val="0"/>
        </w:rPr>
        <w:t>ECA</w:t>
      </w:r>
      <w:r w:rsidR="57F02D53" w:rsidRPr="20F91CB8">
        <w:rPr>
          <w:i w:val="0"/>
          <w:iCs w:val="0"/>
        </w:rPr>
        <w:t>.</w:t>
      </w:r>
      <w:r w:rsidRPr="20F91CB8">
        <w:rPr>
          <w:rStyle w:val="EndnoteReference"/>
          <w:i w:val="0"/>
          <w:iCs w:val="0"/>
        </w:rPr>
        <w:endnoteReference w:id="172"/>
      </w:r>
    </w:p>
    <w:p w14:paraId="28391B9E" w14:textId="77777777" w:rsidR="00E6256B" w:rsidRPr="00E5087D" w:rsidRDefault="00E6256B" w:rsidP="00745689">
      <w:pPr>
        <w:spacing w:before="360" w:after="0" w:line="276" w:lineRule="auto"/>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While incentives can make a positive impact, there are several limitations with current approaches that may be limiting their effectiveness:</w:t>
      </w:r>
    </w:p>
    <w:p w14:paraId="31E54B4D" w14:textId="77777777" w:rsidR="00E6256B" w:rsidRPr="00E5087D" w:rsidRDefault="00E6256B" w:rsidP="00F25595">
      <w:pPr>
        <w:pStyle w:val="ListParagraph"/>
        <w:numPr>
          <w:ilvl w:val="0"/>
          <w:numId w:val="40"/>
        </w:numPr>
        <w:spacing w:before="120" w:line="276" w:lineRule="auto"/>
        <w:ind w:left="567"/>
        <w:contextualSpacing w:val="0"/>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 xml:space="preserve">Incentives need to be effectively targeted. Long lists of eligible qualifications and overlapping incentives may reduce the effectiveness of targeted programs and add unnecessary complexity. </w:t>
      </w:r>
    </w:p>
    <w:p w14:paraId="448686B7" w14:textId="1B2131C0" w:rsidR="00E6256B" w:rsidRPr="00E5087D" w:rsidRDefault="00E6256B" w:rsidP="00F25595">
      <w:pPr>
        <w:pStyle w:val="ListParagraph"/>
        <w:numPr>
          <w:ilvl w:val="0"/>
          <w:numId w:val="40"/>
        </w:numPr>
        <w:spacing w:before="120" w:line="276" w:lineRule="auto"/>
        <w:ind w:left="567"/>
        <w:contextualSpacing w:val="0"/>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Apprenticeships are tied to full qualifications</w:t>
      </w:r>
      <w:r w:rsidR="48DF33B8" w:rsidRPr="00E5087D">
        <w:rPr>
          <w:rFonts w:cs="Arial"/>
          <w:spacing w:val="2"/>
          <w14:ligatures w14:val="standard"/>
          <w14:numForm w14:val="lining"/>
          <w14:numSpacing w14:val="proportional"/>
        </w:rPr>
        <w:t>,</w:t>
      </w:r>
      <w:r w:rsidR="00775FCF">
        <w:rPr>
          <w:rFonts w:cs="Arial"/>
          <w:spacing w:val="2"/>
          <w14:ligatures w14:val="standard"/>
          <w14:numForm w14:val="lining"/>
          <w14:numSpacing w14:val="proportional"/>
        </w:rPr>
        <w:t xml:space="preserve"> </w:t>
      </w:r>
      <w:r w:rsidRPr="00E5087D">
        <w:rPr>
          <w:rFonts w:cs="Arial"/>
          <w:spacing w:val="2"/>
          <w14:ligatures w14:val="standard"/>
          <w14:numForm w14:val="lining"/>
          <w14:numSpacing w14:val="proportional"/>
        </w:rPr>
        <w:t>meaning separate incentive arrangements would be required to encourage greater participation in the top-up and post-trade training pathways explored above.</w:t>
      </w:r>
      <w:r w:rsidR="00986B6F">
        <w:rPr>
          <w:rFonts w:cs="Arial"/>
          <w:spacing w:val="2"/>
          <w14:ligatures w14:val="standard"/>
          <w14:numForm w14:val="lining"/>
          <w14:numSpacing w14:val="proportional"/>
        </w:rPr>
        <w:t xml:space="preserve"> This includes </w:t>
      </w:r>
      <w:r w:rsidR="00986B6F" w:rsidRPr="00986B6F">
        <w:rPr>
          <w:rFonts w:cs="Arial"/>
          <w:spacing w:val="2"/>
          <w14:ligatures w14:val="standard"/>
          <w14:numForm w14:val="lining"/>
          <w14:numSpacing w14:val="proportional"/>
        </w:rPr>
        <w:t>short courses, industry accredited training, and training at higher AQF levels</w:t>
      </w:r>
      <w:r w:rsidR="00986B6F">
        <w:rPr>
          <w:rFonts w:cs="Arial"/>
          <w:spacing w:val="2"/>
          <w14:ligatures w14:val="standard"/>
          <w14:numForm w14:val="lining"/>
          <w14:numSpacing w14:val="proportional"/>
        </w:rPr>
        <w:t>.</w:t>
      </w:r>
    </w:p>
    <w:p w14:paraId="77EAE7BA" w14:textId="77777777" w:rsidR="00E6256B" w:rsidRDefault="00E6256B" w:rsidP="00F25595">
      <w:pPr>
        <w:pStyle w:val="ListParagraph"/>
        <w:numPr>
          <w:ilvl w:val="0"/>
          <w:numId w:val="40"/>
        </w:numPr>
        <w:spacing w:before="120" w:line="276" w:lineRule="auto"/>
        <w:ind w:left="567" w:hanging="357"/>
        <w:contextualSpacing w:val="0"/>
        <w:rPr>
          <w:rFonts w:cs="Arial"/>
          <w:spacing w:val="2"/>
          <w14:ligatures w14:val="standard"/>
          <w14:numForm w14:val="lining"/>
          <w14:numSpacing w14:val="proportional"/>
        </w:rPr>
      </w:pPr>
      <w:r w:rsidRPr="00E5087D">
        <w:rPr>
          <w:rFonts w:cs="Arial"/>
          <w:spacing w:val="2"/>
          <w14:ligatures w14:val="standard"/>
          <w14:numForm w14:val="lining"/>
          <w14:numSpacing w14:val="proportional"/>
        </w:rPr>
        <w:t>The Australian Apprenticeships Incentives System can be complex for employers to navigate. While some industries have a high degree of familiarity with the VET system, this may not be the case for emerging industries like in clean energy. Incentives like the New Energy Apprenticeships Program target apprentices, rather than employers, and may not do enough to attract industry to the VET sector.</w:t>
      </w:r>
    </w:p>
    <w:p w14:paraId="0A6A6B17" w14:textId="7E719BBE" w:rsidR="004463D7" w:rsidRPr="006C02F4" w:rsidRDefault="000C6802" w:rsidP="00F25595">
      <w:pPr>
        <w:pStyle w:val="ListParagraph"/>
        <w:numPr>
          <w:ilvl w:val="0"/>
          <w:numId w:val="40"/>
        </w:numPr>
        <w:spacing w:before="120" w:after="240" w:line="276" w:lineRule="auto"/>
        <w:ind w:left="567" w:hanging="357"/>
        <w:contextualSpacing w:val="0"/>
        <w:rPr>
          <w:rFonts w:cs="Arial"/>
          <w:spacing w:val="2"/>
          <w14:ligatures w14:val="standard"/>
          <w14:numForm w14:val="lining"/>
          <w14:numSpacing w14:val="proportional"/>
        </w:rPr>
      </w:pPr>
      <w:r>
        <w:rPr>
          <w:rFonts w:cs="Arial"/>
          <w:spacing w:val="2"/>
          <w14:ligatures w14:val="standard"/>
          <w14:numForm w14:val="lining"/>
          <w14:numSpacing w14:val="proportional"/>
        </w:rPr>
        <w:t xml:space="preserve">Comparatively, </w:t>
      </w:r>
      <w:r w:rsidR="00D02516">
        <w:rPr>
          <w:rFonts w:cs="Arial"/>
          <w:spacing w:val="2"/>
          <w14:ligatures w14:val="standard"/>
          <w14:numForm w14:val="lining"/>
          <w14:numSpacing w14:val="proportional"/>
        </w:rPr>
        <w:t xml:space="preserve">the </w:t>
      </w:r>
      <w:r>
        <w:rPr>
          <w:rFonts w:cs="Arial"/>
          <w:spacing w:val="2"/>
          <w14:ligatures w14:val="standard"/>
          <w14:numForm w14:val="lining"/>
          <w14:numSpacing w14:val="proportional"/>
        </w:rPr>
        <w:t xml:space="preserve">clean energy </w:t>
      </w:r>
      <w:r w:rsidR="00D02516">
        <w:rPr>
          <w:rFonts w:cs="Arial"/>
          <w:spacing w:val="2"/>
          <w14:ligatures w14:val="standard"/>
          <w14:numForm w14:val="lining"/>
          <w14:numSpacing w14:val="proportional"/>
        </w:rPr>
        <w:t xml:space="preserve">sector </w:t>
      </w:r>
      <w:r>
        <w:rPr>
          <w:rFonts w:cs="Arial"/>
          <w:spacing w:val="2"/>
          <w14:ligatures w14:val="standard"/>
          <w14:numForm w14:val="lining"/>
          <w14:numSpacing w14:val="proportional"/>
        </w:rPr>
        <w:t>only employ</w:t>
      </w:r>
      <w:r w:rsidR="00D02516">
        <w:rPr>
          <w:rFonts w:cs="Arial"/>
          <w:spacing w:val="2"/>
          <w14:ligatures w14:val="standard"/>
          <w14:numForm w14:val="lining"/>
          <w14:numSpacing w14:val="proportional"/>
        </w:rPr>
        <w:t>s</w:t>
      </w:r>
      <w:r>
        <w:rPr>
          <w:rFonts w:cs="Arial"/>
          <w:spacing w:val="2"/>
          <w14:ligatures w14:val="standard"/>
          <w14:numForm w14:val="lining"/>
          <w14:numSpacing w14:val="proportional"/>
        </w:rPr>
        <w:t xml:space="preserve"> a small </w:t>
      </w:r>
      <w:r w:rsidR="00137D53">
        <w:rPr>
          <w:rFonts w:cs="Arial"/>
          <w:spacing w:val="2"/>
          <w14:ligatures w14:val="standard"/>
          <w14:numForm w14:val="lining"/>
          <w14:numSpacing w14:val="proportional"/>
        </w:rPr>
        <w:t xml:space="preserve">share </w:t>
      </w:r>
      <w:r>
        <w:rPr>
          <w:rFonts w:cs="Arial"/>
          <w:spacing w:val="2"/>
          <w14:ligatures w14:val="standard"/>
          <w14:numForm w14:val="lining"/>
          <w14:numSpacing w14:val="proportional"/>
        </w:rPr>
        <w:t xml:space="preserve">of </w:t>
      </w:r>
      <w:r w:rsidR="00137D53">
        <w:rPr>
          <w:rFonts w:cs="Arial"/>
          <w:spacing w:val="2"/>
          <w14:ligatures w14:val="standard"/>
          <w14:numForm w14:val="lining"/>
          <w14:numSpacing w14:val="proportional"/>
        </w:rPr>
        <w:t xml:space="preserve">Australia’s </w:t>
      </w:r>
      <w:r>
        <w:rPr>
          <w:rFonts w:cs="Arial"/>
          <w:spacing w:val="2"/>
          <w14:ligatures w14:val="standard"/>
          <w14:numForm w14:val="lining"/>
          <w14:numSpacing w14:val="proportional"/>
        </w:rPr>
        <w:t xml:space="preserve">electrical </w:t>
      </w:r>
      <w:r w:rsidR="00D02516">
        <w:rPr>
          <w:rFonts w:cs="Arial"/>
          <w:spacing w:val="2"/>
          <w14:ligatures w14:val="standard"/>
          <w14:numForm w14:val="lining"/>
          <w14:numSpacing w14:val="proportional"/>
        </w:rPr>
        <w:t xml:space="preserve">trades </w:t>
      </w:r>
      <w:r w:rsidR="00137D53">
        <w:rPr>
          <w:rFonts w:cs="Arial"/>
          <w:spacing w:val="2"/>
          <w14:ligatures w14:val="standard"/>
          <w14:numForm w14:val="lining"/>
          <w14:numSpacing w14:val="proportional"/>
        </w:rPr>
        <w:t xml:space="preserve">and other </w:t>
      </w:r>
      <w:r>
        <w:rPr>
          <w:rFonts w:cs="Arial"/>
          <w:spacing w:val="2"/>
          <w14:ligatures w14:val="standard"/>
          <w14:numForm w14:val="lining"/>
          <w14:numSpacing w14:val="proportional"/>
        </w:rPr>
        <w:t>relevant</w:t>
      </w:r>
      <w:r w:rsidR="00137D53">
        <w:rPr>
          <w:rFonts w:cs="Arial"/>
          <w:spacing w:val="2"/>
          <w14:ligatures w14:val="standard"/>
          <w14:numForm w14:val="lining"/>
          <w14:numSpacing w14:val="proportional"/>
        </w:rPr>
        <w:t xml:space="preserve"> occupations</w:t>
      </w:r>
      <w:r>
        <w:rPr>
          <w:rFonts w:cs="Arial"/>
          <w:spacing w:val="2"/>
          <w14:ligatures w14:val="standard"/>
          <w14:numForm w14:val="lining"/>
          <w14:numSpacing w14:val="proportional"/>
        </w:rPr>
        <w:t>.</w:t>
      </w:r>
      <w:r w:rsidR="0084263F">
        <w:rPr>
          <w:rFonts w:cs="Arial"/>
          <w:spacing w:val="2"/>
          <w14:ligatures w14:val="standard"/>
          <w14:numForm w14:val="lining"/>
          <w14:numSpacing w14:val="proportional"/>
        </w:rPr>
        <w:t xml:space="preserve"> </w:t>
      </w:r>
      <w:r w:rsidR="00257113">
        <w:rPr>
          <w:rFonts w:cs="Arial"/>
          <w:spacing w:val="2"/>
          <w14:ligatures w14:val="standard"/>
          <w14:numForm w14:val="lining"/>
          <w14:numSpacing w14:val="proportional"/>
        </w:rPr>
        <w:t xml:space="preserve">At least in the short-term, a much larger share of </w:t>
      </w:r>
      <w:r w:rsidR="008C205B">
        <w:rPr>
          <w:rFonts w:cs="Arial"/>
          <w:spacing w:val="2"/>
          <w14:ligatures w14:val="standard"/>
          <w14:numForm w14:val="lining"/>
          <w14:numSpacing w14:val="proportional"/>
        </w:rPr>
        <w:t>workers will gain their initial skills</w:t>
      </w:r>
      <w:r w:rsidR="00137D53">
        <w:rPr>
          <w:rFonts w:cs="Arial"/>
          <w:spacing w:val="2"/>
          <w14:ligatures w14:val="standard"/>
          <w14:numForm w14:val="lining"/>
          <w14:numSpacing w14:val="proportional"/>
        </w:rPr>
        <w:t xml:space="preserve"> by</w:t>
      </w:r>
      <w:r w:rsidR="008C205B">
        <w:rPr>
          <w:rFonts w:cs="Arial"/>
          <w:spacing w:val="2"/>
          <w14:ligatures w14:val="standard"/>
          <w14:numForm w14:val="lining"/>
          <w14:numSpacing w14:val="proportional"/>
        </w:rPr>
        <w:t xml:space="preserve"> working in larger, adjacent sectors like construction, mining and manufacturing. </w:t>
      </w:r>
      <w:r w:rsidR="00EB34A7">
        <w:rPr>
          <w:rFonts w:cs="Arial"/>
          <w:spacing w:val="2"/>
          <w14:ligatures w14:val="standard"/>
          <w14:numForm w14:val="lining"/>
          <w14:numSpacing w14:val="proportional"/>
        </w:rPr>
        <w:t>Australia will need to utilise these traditional sectors to help grow the overall pool of qualified workers</w:t>
      </w:r>
      <w:r w:rsidR="00745689">
        <w:rPr>
          <w:rFonts w:cs="Arial"/>
          <w:spacing w:val="2"/>
          <w14:ligatures w14:val="standard"/>
          <w14:numForm w14:val="lining"/>
          <w14:numSpacing w14:val="proportional"/>
        </w:rPr>
        <w:t xml:space="preserve"> at the pace and scale required. </w:t>
      </w:r>
      <w:r w:rsidR="009147CF">
        <w:rPr>
          <w:rFonts w:cs="Arial"/>
          <w:spacing w:val="2"/>
          <w14:ligatures w14:val="standard"/>
          <w14:numForm w14:val="lining"/>
          <w14:numSpacing w14:val="proportional"/>
        </w:rPr>
        <w:t xml:space="preserve">This requires a whole-of-sector approach to incentives, rather </w:t>
      </w:r>
      <w:r w:rsidR="00C27E82" w:rsidRPr="004463D7">
        <w:rPr>
          <w:rFonts w:cs="Arial"/>
          <w:spacing w:val="2"/>
          <w14:ligatures w14:val="standard"/>
          <w14:numForm w14:val="lining"/>
          <w14:numSpacing w14:val="proportional"/>
        </w:rPr>
        <w:t>than bespoke approaches that only target clean energy employers.</w:t>
      </w:r>
    </w:p>
    <w:p w14:paraId="19A33D71" w14:textId="456758AD" w:rsidR="00D17B68" w:rsidRPr="006E07A7" w:rsidRDefault="004463D7" w:rsidP="00D17B68">
      <w:pPr>
        <w:spacing w:after="200"/>
        <w:ind w:left="170" w:right="113"/>
        <w:rPr>
          <w:b/>
          <w:bCs/>
          <w14:numForm w14:val="lining"/>
          <w14:numSpacing w14:val="proportional"/>
        </w:rPr>
      </w:pPr>
      <w:r w:rsidRPr="00BB2E09">
        <w:rPr>
          <w:noProof/>
        </w:rPr>
        <mc:AlternateContent>
          <mc:Choice Requires="wpg">
            <w:drawing>
              <wp:anchor distT="0" distB="0" distL="114300" distR="114300" simplePos="0" relativeHeight="251658321" behindDoc="1" locked="0" layoutInCell="1" allowOverlap="1" wp14:anchorId="12250994" wp14:editId="011C56BC">
                <wp:simplePos x="0" y="0"/>
                <wp:positionH relativeFrom="column">
                  <wp:posOffset>6985</wp:posOffset>
                </wp:positionH>
                <wp:positionV relativeFrom="paragraph">
                  <wp:posOffset>-32139</wp:posOffset>
                </wp:positionV>
                <wp:extent cx="5731510" cy="1087755"/>
                <wp:effectExtent l="0" t="0" r="21590" b="17145"/>
                <wp:wrapNone/>
                <wp:docPr id="1341085299" name="Group 13410852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87755"/>
                          <a:chOff x="0" y="0"/>
                          <a:chExt cx="5880735" cy="1119111"/>
                        </a:xfrm>
                      </wpg:grpSpPr>
                      <wps:wsp>
                        <wps:cNvPr id="1341085300" name="Rectangle: Top Corners Rounded 1341085300"/>
                        <wps:cNvSpPr/>
                        <wps:spPr>
                          <a:xfrm>
                            <a:off x="0" y="0"/>
                            <a:ext cx="1736053" cy="232792"/>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A39F8D" w14:textId="51F3EC04" w:rsidR="004463D7" w:rsidRPr="006E07A7" w:rsidRDefault="004463D7" w:rsidP="004463D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01" name="Rectangle 1341085301"/>
                        <wps:cNvSpPr/>
                        <wps:spPr>
                          <a:xfrm>
                            <a:off x="0" y="230345"/>
                            <a:ext cx="5880735" cy="888766"/>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C9E71" w14:textId="03024D45" w:rsidR="004463D7" w:rsidRPr="00A90F3C" w:rsidRDefault="004463D7" w:rsidP="004463D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12250994" id="Group 1341085299" o:spid="_x0000_s1196" alt="&quot;&quot;" style="position:absolute;left:0;text-align:left;margin-left:.55pt;margin-top:-2.55pt;width:451.3pt;height:85.65pt;z-index:-251658159;mso-position-horizontal-relative:text;mso-position-vertical-relative:text" coordsize="58807,1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">
                <v:shape id="Rectangle: Top Corners Rounded 1341085300" o:spid="_x0000_s1197" style="position:absolute;width:17360;height:2327;visibility:visible;mso-wrap-style:square;v-text-anchor:middle" coordsize="1736053,2327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" adj="-11796480,,5400" path="m38799,l1697254,v21428,,38799,17371,38799,38799l1736053,232792r,l,232792r,l,38799c,17371,17371,,38799,xe" fillcolor="#c2a5ec" strokecolor="#c2a5ec" strokeweight="1pt">
                  <v:stroke joinstyle="miter"/>
                  <v:formulas/>
                  <v:path arrowok="t" o:connecttype="custom" o:connectlocs="38799,0;1697254,0;1736053,38799;1736053,232792;1736053,232792;0,232792;0,232792;0,38799;38799,0" o:connectangles="0,0,0,0,0,0,0,0,0" textboxrect="0,0,1736053,232792"/>
                  <v:textbox inset=",0,,0">
                    <w:txbxContent>
                      <w:p w14:paraId="1FA39F8D" w14:textId="51F3EC04" w:rsidR="004463D7" w:rsidRPr="006E07A7" w:rsidRDefault="004463D7" w:rsidP="004463D7">
                        <w:pPr>
                          <w:spacing w:after="0" w:line="240" w:lineRule="auto"/>
                          <w:rPr>
                            <w:b/>
                            <w:bCs/>
                            <w14:numForm w14:val="lining"/>
                            <w14:numSpacing w14:val="proportional"/>
                          </w:rPr>
                        </w:pPr>
                      </w:p>
                    </w:txbxContent>
                  </v:textbox>
                </v:shape>
                <v:rect id="Rectangle 1341085301" o:spid="_x0000_s1198" style="position:absolute;top:2303;width:58807;height:8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" fillcolor="#f2f2f2" strokecolor="#c2a5ec" strokeweight="1pt">
                  <v:textbox inset="2mm,1mm,2mm,1mm">
                    <w:txbxContent>
                      <w:p w14:paraId="632C9E71" w14:textId="03024D45" w:rsidR="004463D7" w:rsidRPr="00A90F3C" w:rsidRDefault="004463D7" w:rsidP="004463D7">
                        <w:pPr>
                          <w:spacing w:after="0" w:line="276" w:lineRule="auto"/>
                          <w:ind w:left="113" w:right="113"/>
                          <w:rPr>
                            <w:lang w:val="en-US"/>
                          </w:rPr>
                        </w:pPr>
                      </w:p>
                    </w:txbxContent>
                  </v:textbox>
                </v:rect>
              </v:group>
            </w:pict>
          </mc:Fallback>
        </mc:AlternateContent>
      </w:r>
      <w:r w:rsidR="00D17B68" w:rsidRPr="006E07A7">
        <w:rPr>
          <w:b/>
          <w:bCs/>
          <w14:numForm w14:val="lining"/>
          <w14:numSpacing w14:val="proportional"/>
        </w:rPr>
        <w:t xml:space="preserve">Recommendation </w:t>
      </w:r>
      <w:r w:rsidR="00D17B68">
        <w:rPr>
          <w:b/>
          <w:bCs/>
          <w14:numForm w14:val="lining"/>
          <w14:numSpacing w14:val="proportional"/>
        </w:rPr>
        <w:t>7.18</w:t>
      </w:r>
    </w:p>
    <w:p w14:paraId="0A5B0E30" w14:textId="2BA1A6B0" w:rsidR="00D17B68" w:rsidRPr="00A90F3C" w:rsidRDefault="00016293" w:rsidP="00016293">
      <w:pPr>
        <w:spacing w:before="200" w:after="600" w:line="240" w:lineRule="auto"/>
        <w:ind w:left="170" w:right="113"/>
        <w:rPr>
          <w:lang w:val="en-US"/>
        </w:rPr>
      </w:pPr>
      <w:r w:rsidRPr="00BB2E09">
        <w:rPr>
          <w:noProof/>
        </w:rPr>
        <mc:AlternateContent>
          <mc:Choice Requires="wpg">
            <w:drawing>
              <wp:anchor distT="0" distB="0" distL="114300" distR="114300" simplePos="0" relativeHeight="251658322" behindDoc="1" locked="0" layoutInCell="1" allowOverlap="1" wp14:anchorId="32457925" wp14:editId="0DC4F949">
                <wp:simplePos x="0" y="0"/>
                <wp:positionH relativeFrom="column">
                  <wp:posOffset>0</wp:posOffset>
                </wp:positionH>
                <wp:positionV relativeFrom="paragraph">
                  <wp:posOffset>975380</wp:posOffset>
                </wp:positionV>
                <wp:extent cx="5731510" cy="1246240"/>
                <wp:effectExtent l="0" t="0" r="21590" b="11430"/>
                <wp:wrapNone/>
                <wp:docPr id="1341085308" name="Group 1341085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246240"/>
                          <a:chOff x="0" y="0"/>
                          <a:chExt cx="5880735" cy="1043068"/>
                        </a:xfrm>
                      </wpg:grpSpPr>
                      <wps:wsp>
                        <wps:cNvPr id="1341085309" name="Rectangle: Top Corners Rounded 1341085309"/>
                        <wps:cNvSpPr/>
                        <wps:spPr>
                          <a:xfrm>
                            <a:off x="0" y="0"/>
                            <a:ext cx="1736053" cy="189825"/>
                          </a:xfrm>
                          <a:prstGeom prst="round2SameRect">
                            <a:avLst/>
                          </a:prstGeom>
                          <a:solidFill>
                            <a:srgbClr val="C2A5EC"/>
                          </a:solidFill>
                          <a:ln>
                            <a:solidFill>
                              <a:srgbClr val="C2A5EC"/>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AC1A3F" w14:textId="2FABC77B" w:rsidR="004463D7" w:rsidRPr="006E07A7" w:rsidRDefault="004463D7" w:rsidP="004463D7">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310" name="Rectangle 1341085310"/>
                        <wps:cNvSpPr/>
                        <wps:spPr>
                          <a:xfrm>
                            <a:off x="0" y="205636"/>
                            <a:ext cx="5880735" cy="837432"/>
                          </a:xfrm>
                          <a:prstGeom prst="rect">
                            <a:avLst/>
                          </a:prstGeom>
                          <a:solidFill>
                            <a:srgbClr val="F2F2F2"/>
                          </a:solidFill>
                          <a:ln>
                            <a:solidFill>
                              <a:srgbClr val="C2A5E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7B875" w14:textId="212BA9EC" w:rsidR="004463D7" w:rsidRPr="00A90F3C" w:rsidRDefault="004463D7" w:rsidP="004463D7">
                              <w:pPr>
                                <w:spacing w:after="0" w:line="276" w:lineRule="auto"/>
                                <w:ind w:left="113" w:right="113"/>
                                <w:rPr>
                                  <w:lang w:val="en-US"/>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2457925" id="Group 1341085308" o:spid="_x0000_s1199" alt="&quot;&quot;" style="position:absolute;left:0;text-align:left;margin-left:0;margin-top:76.8pt;width:451.3pt;height:98.15pt;z-index:-251658158;mso-position-horizontal-relative:text;mso-position-vertical-relative:text;mso-height-relative:margin" coordsize="58807,10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">
                <v:shape id="Rectangle: Top Corners Rounded 1341085309" o:spid="_x0000_s1200" style="position:absolute;width:17360;height:1898;visibility:visible;mso-wrap-style:square;v-text-anchor:middle" coordsize="1736053,1898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" adj="-11796480,,5400" path="m31638,l1704415,v17473,,31638,14165,31638,31638l1736053,189825r,l,189825r,l,31638c,14165,14165,,31638,xe" fillcolor="#c2a5ec" strokecolor="#c2a5ec" strokeweight="1pt">
                  <v:stroke joinstyle="miter"/>
                  <v:formulas/>
                  <v:path arrowok="t" o:connecttype="custom" o:connectlocs="31638,0;1704415,0;1736053,31638;1736053,189825;1736053,189825;0,189825;0,189825;0,31638;31638,0" o:connectangles="0,0,0,0,0,0,0,0,0" textboxrect="0,0,1736053,189825"/>
                  <v:textbox inset=",0,,0">
                    <w:txbxContent>
                      <w:p w14:paraId="48AC1A3F" w14:textId="2FABC77B" w:rsidR="004463D7" w:rsidRPr="006E07A7" w:rsidRDefault="004463D7" w:rsidP="004463D7">
                        <w:pPr>
                          <w:spacing w:after="0" w:line="240" w:lineRule="auto"/>
                          <w:rPr>
                            <w:b/>
                            <w:bCs/>
                            <w14:numForm w14:val="lining"/>
                            <w14:numSpacing w14:val="proportional"/>
                          </w:rPr>
                        </w:pPr>
                      </w:p>
                    </w:txbxContent>
                  </v:textbox>
                </v:shape>
                <v:rect id="Rectangle 1341085310" o:spid="_x0000_s1201" style="position:absolute;top:2056;width:58807;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" fillcolor="#f2f2f2" strokecolor="#c2a5ec" strokeweight="1pt">
                  <v:textbox inset="2mm,1mm,2mm,1mm">
                    <w:txbxContent>
                      <w:p w14:paraId="0D77B875" w14:textId="212BA9EC" w:rsidR="004463D7" w:rsidRPr="00A90F3C" w:rsidRDefault="004463D7" w:rsidP="004463D7">
                        <w:pPr>
                          <w:spacing w:after="0" w:line="276" w:lineRule="auto"/>
                          <w:ind w:left="113" w:right="113"/>
                          <w:rPr>
                            <w:lang w:val="en-US"/>
                          </w:rPr>
                        </w:pPr>
                      </w:p>
                    </w:txbxContent>
                  </v:textbox>
                </v:rect>
              </v:group>
            </w:pict>
          </mc:Fallback>
        </mc:AlternateContent>
      </w:r>
      <w:r w:rsidR="00D17B68">
        <w:rPr>
          <w:lang w:val="en-US"/>
        </w:rPr>
        <w:t xml:space="preserve">Explore options to expand eligibility of </w:t>
      </w:r>
      <w:r w:rsidR="00D17B68" w:rsidRPr="007310BB">
        <w:rPr>
          <w:lang w:val="en-US"/>
        </w:rPr>
        <w:t>New Energy Apprentices to include employers without current clean energy activity, provided they commit to supporting apprentices to undertake relevant clean energy electives. A whole-of-economy approach would be easier to scale and will ultimately benefit the clean energy sector.</w:t>
      </w:r>
    </w:p>
    <w:p w14:paraId="6C107E64" w14:textId="0C81C0C3" w:rsidR="00D17B68" w:rsidRPr="006E07A7" w:rsidRDefault="00D17B68" w:rsidP="00D17B68">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7.19</w:t>
      </w:r>
    </w:p>
    <w:p w14:paraId="2322740A" w14:textId="65C29AAA" w:rsidR="00D17B68" w:rsidRPr="00A90F3C" w:rsidRDefault="00D17B68" w:rsidP="00D17B68">
      <w:pPr>
        <w:spacing w:after="0" w:line="240" w:lineRule="auto"/>
        <w:ind w:left="170" w:right="113"/>
        <w:rPr>
          <w:lang w:val="en-US"/>
        </w:rPr>
      </w:pPr>
      <w:r w:rsidRPr="00D855F0">
        <w:rPr>
          <w:lang w:val="en-US"/>
        </w:rPr>
        <w:t xml:space="preserve">Financial incentives and supports like the New Energy Apprentices Program </w:t>
      </w:r>
      <w:r>
        <w:rPr>
          <w:lang w:val="en-US"/>
        </w:rPr>
        <w:t>could</w:t>
      </w:r>
      <w:r w:rsidRPr="00D855F0">
        <w:rPr>
          <w:lang w:val="en-US"/>
        </w:rPr>
        <w:t xml:space="preserve"> be replicated or extended to cover critical short courses, including industry accredited training, and training at higher AQF levels, like post-trade qualifications, with an appropriate level of industry-led oversight. Incentives could target current apprentices and workers with existing, relevant qualifications.</w:t>
      </w:r>
    </w:p>
    <w:p w14:paraId="51C7D0F0" w14:textId="77777777" w:rsidR="001A4E0F" w:rsidRDefault="00E6256B">
      <w:pPr>
        <w:rPr>
          <w:color w:val="FF0000"/>
        </w:rPr>
        <w:sectPr w:rsidR="001A4E0F" w:rsidSect="00E6256B">
          <w:headerReference w:type="even" r:id="rId222"/>
          <w:headerReference w:type="default" r:id="rId223"/>
          <w:footerReference w:type="even" r:id="rId224"/>
          <w:footerReference w:type="default" r:id="rId225"/>
          <w:headerReference w:type="first" r:id="rId226"/>
          <w:footerReference w:type="first" r:id="rId227"/>
          <w:endnotePr>
            <w:numFmt w:val="decimal"/>
          </w:endnotePr>
          <w:pgSz w:w="11906" w:h="16838" w:code="9"/>
          <w:pgMar w:top="1440" w:right="1440" w:bottom="1440" w:left="1440" w:header="0" w:footer="709" w:gutter="0"/>
          <w:cols w:space="708"/>
          <w:docGrid w:linePitch="360"/>
        </w:sectPr>
      </w:pPr>
      <w:r w:rsidRPr="00E5087D">
        <w:rPr>
          <w:color w:val="FF0000"/>
        </w:rPr>
        <w:br w:type="page"/>
      </w:r>
    </w:p>
    <w:p w14:paraId="68AEEB76" w14:textId="223AE554" w:rsidR="00E837BC" w:rsidRPr="006A1DF9" w:rsidRDefault="00750802" w:rsidP="00A65F56">
      <w:pPr>
        <w:pStyle w:val="Heading1"/>
        <w:spacing w:before="8520"/>
        <w:ind w:left="283"/>
      </w:pPr>
      <w:bookmarkStart w:id="81" w:name="_Toc146892697"/>
      <w:r>
        <w:rPr>
          <w:bCs/>
          <w:noProof/>
          <w:sz w:val="72"/>
        </w:rPr>
        <w:drawing>
          <wp:anchor distT="0" distB="0" distL="114300" distR="114300" simplePos="0" relativeHeight="251671652" behindDoc="0" locked="0" layoutInCell="1" allowOverlap="1" wp14:anchorId="6E7FBEFD" wp14:editId="1741FA61">
            <wp:simplePos x="0" y="0"/>
            <wp:positionH relativeFrom="column">
              <wp:posOffset>-902855</wp:posOffset>
            </wp:positionH>
            <wp:positionV relativeFrom="paragraph">
              <wp:posOffset>-919472</wp:posOffset>
            </wp:positionV>
            <wp:extent cx="7559675" cy="5431790"/>
            <wp:effectExtent l="0" t="0" r="3175" b="0"/>
            <wp:wrapNone/>
            <wp:docPr id="1548627038"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27038" name="Picture 21">
                      <a:extLst>
                        <a:ext uri="{C183D7F6-B498-43B3-948B-1728B52AA6E4}">
                          <adec:decorative xmlns:adec="http://schemas.microsoft.com/office/drawing/2017/decorative" val="1"/>
                        </a:ext>
                      </a:extLst>
                    </pic:cNvPr>
                    <pic:cNvPicPr>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7559675" cy="5431790"/>
                    </a:xfrm>
                    <a:prstGeom prst="rect">
                      <a:avLst/>
                    </a:prstGeom>
                    <a:noFill/>
                  </pic:spPr>
                </pic:pic>
              </a:graphicData>
            </a:graphic>
          </wp:anchor>
        </w:drawing>
      </w:r>
      <w:r w:rsidR="0089343D" w:rsidRPr="0089343D">
        <w:rPr>
          <w:bCs/>
          <w:noProof/>
          <w:color w:val="441170" w:themeColor="text2"/>
        </w:rPr>
        <mc:AlternateContent>
          <mc:Choice Requires="wps">
            <w:drawing>
              <wp:anchor distT="0" distB="0" distL="114300" distR="114300" simplePos="0" relativeHeight="251658291" behindDoc="1" locked="0" layoutInCell="1" allowOverlap="1" wp14:anchorId="7484C072" wp14:editId="489FED5E">
                <wp:simplePos x="0" y="0"/>
                <wp:positionH relativeFrom="column">
                  <wp:posOffset>-903918</wp:posOffset>
                </wp:positionH>
                <wp:positionV relativeFrom="page">
                  <wp:posOffset>5432425</wp:posOffset>
                </wp:positionV>
                <wp:extent cx="7559675" cy="5259705"/>
                <wp:effectExtent l="0" t="0" r="3175" b="0"/>
                <wp:wrapNone/>
                <wp:docPr id="612265809" name="Freeform: Shape 612265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DBB7FF"/>
                        </a:solidFill>
                      </wps:spPr>
                      <wps:txbx>
                        <w:txbxContent>
                          <w:p w14:paraId="0EE9D82E" w14:textId="77777777" w:rsidR="00053708" w:rsidRDefault="00053708" w:rsidP="00053708">
                            <w:pPr>
                              <w:spacing w:line="240" w:lineRule="auto"/>
                              <w:jc w:val="center"/>
                            </w:pPr>
                          </w:p>
                        </w:txbxContent>
                      </wps:txbx>
                      <wps:bodyPr wrap="square" lIns="0" tIns="0" rIns="0" bIns="0" rtlCol="0">
                        <a:prstTxWarp prst="textNoShape">
                          <a:avLst/>
                        </a:prstTxWarp>
                        <a:noAutofit/>
                      </wps:bodyPr>
                    </wps:wsp>
                  </a:graphicData>
                </a:graphic>
              </wp:anchor>
            </w:drawing>
          </mc:Choice>
          <mc:Fallback>
            <w:pict>
              <v:shape w14:anchorId="7484C072" id="Freeform: Shape 612265809" o:spid="_x0000_s1202" alt="&quot;&quot;" style="position:absolute;left:0;text-align:left;margin-left:-71.15pt;margin-top:427.75pt;width:595.25pt;height:414.15pt;z-index:-251658189;visibility:visible;mso-wrap-style:square;mso-wrap-distance-left:9pt;mso-wrap-distance-top:0;mso-wrap-distance-right:9pt;mso-wrap-distance-bottom:0;mso-position-horizontal:absolute;mso-position-horizontal-relative:text;mso-position-vertical:absolute;mso-position-vertical-relative:page;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" adj="-11796480,,5400" path="m7559992,l,,,5259603r7559992,l7559992,xe" fillcolor="#dbb7ff" stroked="f">
                <v:stroke joinstyle="miter"/>
                <v:formulas/>
                <v:path arrowok="t" o:connecttype="custom" textboxrect="0,0,7560309,5259705"/>
                <v:textbox inset="0,0,0,0">
                  <w:txbxContent>
                    <w:p w14:paraId="0EE9D82E" w14:textId="77777777" w:rsidR="00053708" w:rsidRDefault="00053708" w:rsidP="00053708">
                      <w:pPr>
                        <w:spacing w:line="240" w:lineRule="auto"/>
                        <w:jc w:val="center"/>
                      </w:pPr>
                    </w:p>
                  </w:txbxContent>
                </v:textbox>
                <w10:wrap anchory="page"/>
              </v:shape>
            </w:pict>
          </mc:Fallback>
        </mc:AlternateContent>
      </w:r>
      <w:r w:rsidR="00E837BC" w:rsidRPr="0089343D">
        <w:rPr>
          <w:bCs/>
          <w:sz w:val="72"/>
        </w:rPr>
        <w:t xml:space="preserve">Chapter </w:t>
      </w:r>
      <w:r w:rsidR="00E837BC" w:rsidRPr="0089343D">
        <w:rPr>
          <w:bCs/>
          <w:spacing w:val="-5"/>
          <w:sz w:val="72"/>
        </w:rPr>
        <w:t>8:</w:t>
      </w:r>
      <w:r w:rsidR="00E837BC">
        <w:rPr>
          <w:spacing w:val="-5"/>
          <w:sz w:val="72"/>
        </w:rPr>
        <w:br/>
      </w:r>
      <w:r w:rsidR="00E837BC" w:rsidRPr="00A65F56">
        <w:rPr>
          <w:b w:val="0"/>
          <w:bCs/>
          <w:sz w:val="92"/>
          <w:szCs w:val="92"/>
        </w:rPr>
        <w:t>Workplaces and communities</w:t>
      </w:r>
      <w:bookmarkEnd w:id="81"/>
    </w:p>
    <w:p w14:paraId="198BF6EB" w14:textId="77777777" w:rsidR="00E837BC" w:rsidRPr="00BB2E09" w:rsidRDefault="00E837BC" w:rsidP="00A65F56">
      <w:pPr>
        <w:pStyle w:val="BodyText"/>
        <w:spacing w:before="521"/>
        <w:ind w:left="283" w:right="340"/>
        <w:rPr>
          <w:lang w:val="en-AU"/>
        </w:rPr>
      </w:pPr>
      <w:r w:rsidRPr="00BB2E09">
        <w:rPr>
          <w:lang w:val="en-AU"/>
        </w:rPr>
        <w:t>Explores the changes needed within workplaces, industries and communities.</w:t>
      </w:r>
    </w:p>
    <w:p w14:paraId="7A483288" w14:textId="5299400F" w:rsidR="004463D7" w:rsidRDefault="004463D7">
      <w:pPr>
        <w:rPr>
          <w:rFonts w:eastAsiaTheme="majorEastAsia" w:cstheme="majorBidi"/>
          <w:b/>
          <w:sz w:val="56"/>
          <w:szCs w:val="26"/>
        </w:rPr>
      </w:pPr>
      <w:r>
        <w:br w:type="page"/>
      </w:r>
    </w:p>
    <w:p w14:paraId="08309515" w14:textId="3989E5F8" w:rsidR="00E13239" w:rsidRPr="00E5087D" w:rsidRDefault="00E13239" w:rsidP="00E13239">
      <w:pPr>
        <w:pStyle w:val="Heading2"/>
      </w:pPr>
      <w:bookmarkStart w:id="82" w:name="_Toc146892698"/>
      <w:r w:rsidRPr="00E5087D">
        <w:t>Overview</w:t>
      </w:r>
      <w:bookmarkEnd w:id="82"/>
    </w:p>
    <w:p w14:paraId="4AD3FB01" w14:textId="77777777" w:rsidR="00E13239" w:rsidRPr="00E5087D" w:rsidRDefault="00E13239" w:rsidP="00E13239">
      <w:pPr>
        <w:pStyle w:val="Bodycopy"/>
        <w:spacing w:after="120" w:line="276" w:lineRule="auto"/>
      </w:pPr>
      <w:r w:rsidRPr="00E5087D">
        <w:rPr>
          <w14:numForm w14:val="lining"/>
          <w14:numSpacing w14:val="proportional"/>
        </w:rPr>
        <w:t xml:space="preserve">Historically, Australia’s energy work has been overwhelmingly homogenous, largely populated by non-Indigenous, able-bodied, Australian-born men (see </w:t>
      </w:r>
      <w:r w:rsidRPr="00085EF8">
        <w:rPr>
          <w:b/>
          <w14:numForm w14:val="lining"/>
          <w14:numSpacing w14:val="proportional"/>
        </w:rPr>
        <w:t>Chapter 3</w:t>
      </w:r>
      <w:r w:rsidRPr="00E5087D">
        <w:rPr>
          <w14:numForm w14:val="lining"/>
          <w14:numSpacing w14:val="proportional"/>
        </w:rPr>
        <w:t xml:space="preserve"> for a detailed overview of the demographics of the current workforce). This is also true for key enabling sectors, like construction and mining. However, to grow the energy workforce at the scale and pace required, we need to diversify the workforce and broaden the talent pool. </w:t>
      </w:r>
    </w:p>
    <w:p w14:paraId="41512DEE" w14:textId="77777777" w:rsidR="00E13239" w:rsidRPr="00E5087D" w:rsidRDefault="00E13239" w:rsidP="00E13239">
      <w:pPr>
        <w:pStyle w:val="Bodycopy"/>
        <w:spacing w:after="120" w:line="276" w:lineRule="auto"/>
        <w:rPr>
          <w14:numForm w14:val="lining"/>
          <w14:numSpacing w14:val="proportional"/>
        </w:rPr>
      </w:pPr>
      <w:r w:rsidRPr="00E5087D">
        <w:rPr>
          <w14:numForm w14:val="lining"/>
          <w14:numSpacing w14:val="proportional"/>
        </w:rPr>
        <w:t>Further, there is a moral and economic imperative to ensure that the benefits of the transition are shared with all Australians. This is particularly important for communities impacted by decarbonisation and groups that were excluded and underutilised in traditional energy.</w:t>
      </w:r>
    </w:p>
    <w:p w14:paraId="625BD1C2" w14:textId="77777777" w:rsidR="00E13239" w:rsidRPr="00E5087D" w:rsidRDefault="00E13239" w:rsidP="00E13239">
      <w:pPr>
        <w:spacing w:after="120" w:line="276" w:lineRule="auto"/>
        <w:rPr>
          <w14:numForm w14:val="lining"/>
          <w14:numSpacing w14:val="proportional"/>
        </w:rPr>
      </w:pPr>
      <w:r w:rsidRPr="00E5087D">
        <w:rPr>
          <w14:numForm w14:val="lining"/>
          <w14:numSpacing w14:val="proportional"/>
        </w:rPr>
        <w:t>This chapter explores:</w:t>
      </w:r>
    </w:p>
    <w:p w14:paraId="778AF88F" w14:textId="4C435C50" w:rsidR="00E13239" w:rsidRPr="00E5087D" w:rsidRDefault="00F86BCB" w:rsidP="00F25595">
      <w:pPr>
        <w:pStyle w:val="ListParagraph"/>
        <w:numPr>
          <w:ilvl w:val="0"/>
          <w:numId w:val="44"/>
        </w:numPr>
        <w:spacing w:after="120" w:line="276" w:lineRule="auto"/>
        <w:ind w:left="714" w:hanging="357"/>
        <w:contextualSpacing w:val="0"/>
        <w:rPr>
          <w14:numForm w14:val="lining"/>
          <w14:numSpacing w14:val="proportional"/>
        </w:rPr>
      </w:pPr>
      <w:r>
        <w:rPr>
          <w14:numForm w14:val="lining"/>
          <w14:numSpacing w14:val="proportional"/>
        </w:rPr>
        <w:t>O</w:t>
      </w:r>
      <w:r w:rsidR="00E13239" w:rsidRPr="00E5087D">
        <w:rPr>
          <w14:numForm w14:val="lining"/>
          <w14:numSpacing w14:val="proportional"/>
        </w:rPr>
        <w:t xml:space="preserve">pportunities to attract and involve social cohorts which have previously been excluded and underutilised by the energy sector, specifically: women, First Nations </w:t>
      </w:r>
      <w:r w:rsidR="00AB7909">
        <w:rPr>
          <w14:numForm w14:val="lining"/>
          <w14:numSpacing w14:val="proportional"/>
        </w:rPr>
        <w:t>people</w:t>
      </w:r>
      <w:r w:rsidR="00E13239" w:rsidRPr="00E5087D">
        <w:rPr>
          <w14:numForm w14:val="lining"/>
          <w14:numSpacing w14:val="proportional"/>
        </w:rPr>
        <w:t xml:space="preserve">, people living with disability, and </w:t>
      </w:r>
      <w:r w:rsidR="00B95170" w:rsidRPr="00B95170">
        <w:rPr>
          <w14:numForm w14:val="lining"/>
          <w14:numSpacing w14:val="proportional"/>
        </w:rPr>
        <w:t>CALD</w:t>
      </w:r>
      <w:r w:rsidR="00E13239" w:rsidRPr="00E5087D">
        <w:rPr>
          <w14:numForm w14:val="lining"/>
          <w14:numSpacing w14:val="proportional"/>
        </w:rPr>
        <w:t xml:space="preserve"> Australians. </w:t>
      </w:r>
    </w:p>
    <w:p w14:paraId="296E742C" w14:textId="487DDDA5" w:rsidR="00E13239" w:rsidRPr="00E5087D" w:rsidRDefault="00F86BCB" w:rsidP="00F25595">
      <w:pPr>
        <w:pStyle w:val="ListParagraph"/>
        <w:numPr>
          <w:ilvl w:val="0"/>
          <w:numId w:val="44"/>
        </w:numPr>
        <w:spacing w:after="120" w:line="276" w:lineRule="auto"/>
        <w:ind w:left="714" w:hanging="357"/>
        <w:contextualSpacing w:val="0"/>
        <w:rPr>
          <w14:numForm w14:val="lining"/>
          <w14:numSpacing w14:val="proportional"/>
        </w:rPr>
      </w:pPr>
      <w:r>
        <w:rPr>
          <w14:numForm w14:val="lining"/>
          <w14:numSpacing w14:val="proportional"/>
        </w:rPr>
        <w:t>O</w:t>
      </w:r>
      <w:r w:rsidR="00E13239" w:rsidRPr="00E5087D">
        <w:rPr>
          <w14:numForm w14:val="lining"/>
          <w14:numSpacing w14:val="proportional"/>
        </w:rPr>
        <w:t>ptions to mature the clean energy sector as a means of developing sustainable workforce development practices and culture.</w:t>
      </w:r>
    </w:p>
    <w:p w14:paraId="0D6B76F5" w14:textId="309CB667" w:rsidR="00E13239" w:rsidRPr="00E5087D" w:rsidRDefault="00F86BCB" w:rsidP="00F25595">
      <w:pPr>
        <w:pStyle w:val="ListParagraph"/>
        <w:numPr>
          <w:ilvl w:val="0"/>
          <w:numId w:val="44"/>
        </w:numPr>
        <w:spacing w:after="120" w:line="276" w:lineRule="auto"/>
        <w:ind w:left="714" w:hanging="357"/>
        <w:rPr>
          <w14:numForm w14:val="lining"/>
          <w14:numSpacing w14:val="proportional"/>
        </w:rPr>
      </w:pPr>
      <w:r>
        <w:rPr>
          <w14:numForm w14:val="lining"/>
          <w14:numSpacing w14:val="proportional"/>
        </w:rPr>
        <w:t>C</w:t>
      </w:r>
      <w:r w:rsidR="00E13239" w:rsidRPr="00E5087D">
        <w:rPr>
          <w14:numForm w14:val="lining"/>
          <w14:numSpacing w14:val="proportional"/>
        </w:rPr>
        <w:t>hallenges in hiring and retaining workers, how the sector can become more competitive on remuneration and working conditions</w:t>
      </w:r>
      <w:r w:rsidR="00B53AC2">
        <w:rPr>
          <w14:numForm w14:val="lining"/>
          <w14:numSpacing w14:val="proportional"/>
        </w:rPr>
        <w:t>,</w:t>
      </w:r>
      <w:r w:rsidR="00E13239" w:rsidRPr="00E5087D">
        <w:rPr>
          <w14:numForm w14:val="lining"/>
          <w14:numSpacing w14:val="proportional"/>
        </w:rPr>
        <w:t xml:space="preserve"> best practice support for workers undergoing transition</w:t>
      </w:r>
      <w:r w:rsidR="49B3D5E4" w:rsidRPr="00E5087D">
        <w:rPr>
          <w14:numForm w14:val="lining"/>
          <w14:numSpacing w14:val="proportional"/>
        </w:rPr>
        <w:t>,</w:t>
      </w:r>
      <w:r w:rsidR="00E13239" w:rsidRPr="00E5087D">
        <w:rPr>
          <w14:numForm w14:val="lining"/>
          <w14:numSpacing w14:val="proportional"/>
        </w:rPr>
        <w:t xml:space="preserve"> and opportunities to ensure communities can adapt to change.</w:t>
      </w:r>
    </w:p>
    <w:p w14:paraId="6EBF469B" w14:textId="77777777" w:rsidR="00E13239" w:rsidRPr="00E5087D" w:rsidRDefault="00E13239" w:rsidP="00E13239">
      <w:pPr>
        <w:spacing w:after="120" w:line="276" w:lineRule="auto"/>
        <w:rPr>
          <w:rFonts w:eastAsiaTheme="majorEastAsia" w:cstheme="majorBidi"/>
          <w:b/>
          <w:sz w:val="56"/>
          <w:szCs w:val="32"/>
          <w14:numForm w14:val="lining"/>
          <w14:numSpacing w14:val="proportional"/>
        </w:rPr>
      </w:pPr>
      <w:r w:rsidRPr="00E5087D">
        <w:rPr>
          <w:rFonts w:eastAsiaTheme="majorEastAsia" w:cstheme="majorBidi"/>
          <w:b/>
          <w:sz w:val="56"/>
          <w:szCs w:val="32"/>
          <w14:numForm w14:val="lining"/>
          <w14:numSpacing w14:val="proportional"/>
        </w:rPr>
        <w:br w:type="page"/>
      </w:r>
    </w:p>
    <w:p w14:paraId="3B048B97" w14:textId="77777777" w:rsidR="00E13239" w:rsidRPr="00E5087D" w:rsidRDefault="00E13239" w:rsidP="00E13239">
      <w:pPr>
        <w:pStyle w:val="Heading2"/>
      </w:pPr>
      <w:bookmarkStart w:id="83" w:name="_Toc146892699"/>
      <w:r w:rsidRPr="00E5087D">
        <w:t>8</w:t>
      </w:r>
      <w:r w:rsidRPr="00E5087D">
        <w:rPr>
          <w:smallCaps/>
        </w:rPr>
        <w:t>a</w:t>
      </w:r>
      <w:r w:rsidRPr="00E5087D">
        <w:t xml:space="preserve">. </w:t>
      </w:r>
      <w:r w:rsidRPr="00E5087D">
        <w:rPr>
          <w:b w:val="0"/>
          <w:bCs/>
        </w:rPr>
        <w:t>Participation and attraction</w:t>
      </w:r>
      <w:bookmarkEnd w:id="83"/>
    </w:p>
    <w:p w14:paraId="386BED42" w14:textId="63AB7F5F" w:rsidR="00E13239" w:rsidRPr="00E5087D" w:rsidRDefault="00E13239" w:rsidP="00E13239">
      <w:pPr>
        <w:pStyle w:val="Bodycopy"/>
        <w:spacing w:after="120" w:line="276" w:lineRule="auto"/>
      </w:pPr>
      <w:r w:rsidRPr="00E5087D">
        <w:rPr>
          <w14:numForm w14:val="lining"/>
          <w14:numSpacing w14:val="proportional"/>
        </w:rPr>
        <w:t xml:space="preserve">This section explores opportunities for, and barriers to, full participation in the clean energy sector for women, First Nations </w:t>
      </w:r>
      <w:r w:rsidR="00AB7909">
        <w:rPr>
          <w14:numForm w14:val="lining"/>
          <w14:numSpacing w14:val="proportional"/>
        </w:rPr>
        <w:t>people</w:t>
      </w:r>
      <w:r w:rsidRPr="00E5087D">
        <w:rPr>
          <w14:numForm w14:val="lining"/>
          <w14:numSpacing w14:val="proportional"/>
        </w:rPr>
        <w:t xml:space="preserve">, people with a disability, </w:t>
      </w:r>
      <w:r w:rsidR="00B95170">
        <w:rPr>
          <w14:numForm w14:val="lining"/>
          <w14:numSpacing w14:val="proportional"/>
        </w:rPr>
        <w:t>CALD</w:t>
      </w:r>
      <w:r w:rsidRPr="00E5087D">
        <w:rPr>
          <w14:numForm w14:val="lining"/>
          <w14:numSpacing w14:val="proportional"/>
        </w:rPr>
        <w:t xml:space="preserve"> Australians as well as the intersectional identities between them.</w:t>
      </w:r>
      <w:r w:rsidR="00E40EDC" w:rsidRPr="00E5087D">
        <w:rPr>
          <w14:numForm w14:val="lining"/>
          <w14:numSpacing w14:val="proportional"/>
        </w:rPr>
        <w:t xml:space="preserve"> </w:t>
      </w:r>
      <w:r w:rsidRPr="00E5087D">
        <w:rPr>
          <w14:numForm w14:val="lining"/>
          <w14:numSpacing w14:val="proportional"/>
        </w:rPr>
        <w:t>Whilst some findings and recommendations apply across these cohorts, others are particularly relevant to specific groups.</w:t>
      </w:r>
    </w:p>
    <w:p w14:paraId="1F79C8CE" w14:textId="0278F4F4" w:rsidR="00E13239" w:rsidRPr="00E5087D" w:rsidRDefault="00E13239" w:rsidP="00E13239">
      <w:pPr>
        <w:pStyle w:val="Bodycopy"/>
        <w:spacing w:after="120" w:line="276" w:lineRule="auto"/>
      </w:pPr>
      <w:r w:rsidRPr="00E5087D">
        <w:rPr>
          <w14:numForm w14:val="lining"/>
          <w14:numSpacing w14:val="proportional"/>
        </w:rPr>
        <w:t>There are also important distinctions to be made between absolute and relative barriers</w:t>
      </w:r>
      <w:r w:rsidR="1B349F0E" w:rsidRPr="00E5087D">
        <w:rPr>
          <w14:numForm w14:val="lining"/>
          <w14:numSpacing w14:val="proportional"/>
        </w:rPr>
        <w:t>.</w:t>
      </w:r>
      <w:r w:rsidRPr="00E5087D">
        <w:rPr>
          <w14:numForm w14:val="lining"/>
          <w14:numSpacing w14:val="proportional"/>
        </w:rPr>
        <w:t xml:space="preserve"> </w:t>
      </w:r>
      <w:r w:rsidR="640C64E1" w:rsidRPr="00E5087D">
        <w:rPr>
          <w14:numForm w14:val="lining"/>
          <w14:numSpacing w14:val="proportional"/>
        </w:rPr>
        <w:t>T</w:t>
      </w:r>
      <w:r w:rsidRPr="00E5087D">
        <w:rPr>
          <w14:numForm w14:val="lining"/>
          <w14:numSpacing w14:val="proportional"/>
        </w:rPr>
        <w:t xml:space="preserve">he latter can be addressed by adjusting current policy settings, while the former requires more transformative social and cultural change. </w:t>
      </w:r>
    </w:p>
    <w:p w14:paraId="1E1959C9" w14:textId="6D94C7A5" w:rsidR="00E13239" w:rsidRPr="00E5087D" w:rsidRDefault="00E13239" w:rsidP="00E13239">
      <w:pPr>
        <w:pStyle w:val="Bodycopy"/>
        <w:spacing w:after="120" w:line="276" w:lineRule="auto"/>
        <w:rPr>
          <w14:numForm w14:val="lining"/>
          <w14:numSpacing w14:val="proportional"/>
        </w:rPr>
      </w:pPr>
      <w:r w:rsidRPr="00E5087D">
        <w:rPr>
          <w14:numForm w14:val="lining"/>
          <w14:numSpacing w14:val="proportional"/>
        </w:rPr>
        <w:t>The Australian Government has committed to several key reforms to improve employment opportunities and outcomes for key cohorts and is exploring ways to better support underrepresented groups within existing programs for the entire Australian workforce. This chapter is written in the context of these ongoing reforms and notes that future work should also explore barriers for other underrepresented groups based on sexuality and gender identity as data availability improves.</w:t>
      </w:r>
    </w:p>
    <w:p w14:paraId="4D962A6B" w14:textId="77777777" w:rsidR="00E13239" w:rsidRPr="00E5087D" w:rsidRDefault="00E13239" w:rsidP="00E13239">
      <w:pPr>
        <w:pStyle w:val="Heading3"/>
      </w:pPr>
      <w:r w:rsidRPr="00E5087D">
        <w:t>Gender</w:t>
      </w:r>
    </w:p>
    <w:p w14:paraId="14E61FC5" w14:textId="5DD49E02" w:rsidR="00E13239" w:rsidRPr="00E5087D" w:rsidRDefault="00E13239" w:rsidP="00E13239">
      <w:pPr>
        <w:spacing w:after="60" w:line="276" w:lineRule="auto"/>
      </w:pPr>
      <w:r w:rsidRPr="00E5087D">
        <w:rPr>
          <w:spacing w:val="2"/>
          <w14:ligatures w14:val="standard"/>
          <w14:numForm w14:val="lining"/>
          <w14:numSpacing w14:val="proportional"/>
        </w:rPr>
        <w:t xml:space="preserve">The clean energy sector cannot grow at the scale required without the participation of half of Australia’s population. As explored in </w:t>
      </w:r>
      <w:r w:rsidRPr="00085EF8">
        <w:rPr>
          <w:b/>
          <w:spacing w:val="2"/>
          <w14:ligatures w14:val="standard"/>
          <w14:numForm w14:val="lining"/>
          <w14:numSpacing w14:val="proportional"/>
        </w:rPr>
        <w:t>Chapter 3</w:t>
      </w:r>
      <w:r w:rsidRPr="00E5087D">
        <w:rPr>
          <w:spacing w:val="2"/>
          <w14:ligatures w14:val="standard"/>
          <w14:numForm w14:val="lining"/>
          <w14:numSpacing w14:val="proportional"/>
        </w:rPr>
        <w:t xml:space="preserve">, the clean energy workforce is </w:t>
      </w:r>
      <w:r w:rsidR="00016BF6" w:rsidRPr="00E5087D">
        <w:rPr>
          <w:spacing w:val="2"/>
          <w14:ligatures w14:val="standard"/>
          <w14:numForm w14:val="lining"/>
          <w14:numSpacing w14:val="proportional"/>
        </w:rPr>
        <w:t>p</w:t>
      </w:r>
      <w:r w:rsidR="00016BF6">
        <w:rPr>
          <w:spacing w:val="2"/>
          <w14:ligatures w14:val="standard"/>
          <w14:numForm w14:val="lining"/>
          <w14:numSpacing w14:val="proportional"/>
        </w:rPr>
        <w:t>redominantly male</w:t>
      </w:r>
      <w:r w:rsidR="5FB4620C">
        <w:rPr>
          <w:spacing w:val="2"/>
          <w14:ligatures w14:val="standard"/>
          <w14:numForm w14:val="lining"/>
          <w14:numSpacing w14:val="proportional"/>
        </w:rPr>
        <w:t>,</w:t>
      </w:r>
      <w:r w:rsidRPr="00E5087D">
        <w:rPr>
          <w:spacing w:val="2"/>
          <w14:ligatures w14:val="standard"/>
          <w14:numForm w14:val="lining"/>
          <w14:numSpacing w14:val="proportional"/>
        </w:rPr>
        <w:t xml:space="preserve"> especially amongst the critical occupations for clean energy supply and demand. Little has been done to counter this.</w:t>
      </w:r>
      <w:r w:rsidR="00E35E76">
        <w:rPr>
          <w:spacing w:val="2"/>
          <w14:ligatures w14:val="standard"/>
          <w14:numForm w14:val="lining"/>
          <w14:numSpacing w14:val="proportional"/>
        </w:rPr>
        <w:t xml:space="preserve"> Recent JSA analysis has shown that the majority of occupations in shortage have a substantially gendered workforce, most of which are male dominated</w:t>
      </w:r>
      <w:r w:rsidR="00E67CA2">
        <w:rPr>
          <w:spacing w:val="2"/>
          <w14:ligatures w14:val="standard"/>
          <w14:numForm w14:val="lining"/>
          <w14:numSpacing w14:val="proportional"/>
        </w:rPr>
        <w:t xml:space="preserve"> – this is concerning for the clean energy sector.</w:t>
      </w:r>
      <w:r w:rsidR="00E67CA2">
        <w:rPr>
          <w:rStyle w:val="EndnoteReference"/>
          <w:spacing w:val="2"/>
          <w14:ligatures w14:val="standard"/>
          <w14:numForm w14:val="lining"/>
          <w14:numSpacing w14:val="proportional"/>
        </w:rPr>
        <w:endnoteReference w:id="173"/>
      </w:r>
    </w:p>
    <w:p w14:paraId="5B5D7453" w14:textId="72FF3240" w:rsidR="00E13239" w:rsidRPr="00E5087D" w:rsidRDefault="00E13239" w:rsidP="009B0510">
      <w:pPr>
        <w:spacing w:before="160" w:after="360" w:line="276" w:lineRule="auto"/>
        <w:rPr>
          <w14:numForm w14:val="lining"/>
          <w14:numSpacing w14:val="proportional"/>
        </w:rPr>
      </w:pPr>
      <w:r w:rsidRPr="00E5087D">
        <w:t>T</w:t>
      </w:r>
      <w:r w:rsidRPr="00E5087D">
        <w:rPr>
          <w:spacing w:val="2"/>
          <w14:ligatures w14:val="standard"/>
          <w14:numForm w14:val="lining"/>
          <w14:numSpacing w14:val="proportional"/>
        </w:rPr>
        <w:t xml:space="preserve">he clean energy sector, like the traditional energy sector before it, will </w:t>
      </w:r>
      <w:r w:rsidRPr="00E5087D">
        <w:t>not attract,</w:t>
      </w:r>
      <w:r w:rsidRPr="00E5087D">
        <w:rPr>
          <w:spacing w:val="2"/>
          <w14:ligatures w14:val="standard"/>
          <w14:numForm w14:val="lining"/>
          <w14:numSpacing w14:val="proportional"/>
        </w:rPr>
        <w:t xml:space="preserve"> support </w:t>
      </w:r>
      <w:r w:rsidRPr="00E5087D">
        <w:t xml:space="preserve">or retain </w:t>
      </w:r>
      <w:r w:rsidRPr="00E5087D">
        <w:rPr>
          <w:spacing w:val="2"/>
          <w14:ligatures w14:val="standard"/>
          <w14:numForm w14:val="lining"/>
          <w14:numSpacing w14:val="proportional"/>
        </w:rPr>
        <w:t>women in the workforce</w:t>
      </w:r>
      <w:r w:rsidRPr="00E5087D">
        <w:t xml:space="preserve"> without transformational change and targeted policy reform. </w:t>
      </w:r>
      <w:r w:rsidRPr="00E5087D">
        <w:rPr>
          <w:spacing w:val="2"/>
          <w14:ligatures w14:val="standard"/>
          <w14:numForm w14:val="lining"/>
          <w14:numSpacing w14:val="proportional"/>
        </w:rPr>
        <w:t>Women’s participation needs to be front of mind in every aspect of workforce development, including the provision of career guidance.</w:t>
      </w:r>
    </w:p>
    <w:p w14:paraId="2B4470FD" w14:textId="77777777" w:rsidR="00E13239" w:rsidRPr="00E5087D" w:rsidRDefault="00E13239" w:rsidP="009B0510">
      <w:pPr>
        <w:pStyle w:val="IntenseQuote"/>
        <w:spacing w:before="240" w:after="120"/>
        <w:ind w:left="454" w:right="397"/>
        <w:rPr>
          <w:color w:val="000000" w:themeColor="text1"/>
        </w:rPr>
      </w:pPr>
      <w:r w:rsidRPr="00E5087D">
        <w:rPr>
          <w:color w:val="000000" w:themeColor="text1"/>
        </w:rPr>
        <w:t xml:space="preserve">“Programs to develop the workforce must include both promotion and engagement of women to the sector, AND cultural change of the sector, particularly given the legacy industries that are being drawn upon to build the industry.” </w:t>
      </w:r>
    </w:p>
    <w:p w14:paraId="7BAF75C5" w14:textId="59D751AE" w:rsidR="00E13239" w:rsidRPr="00E5087D" w:rsidRDefault="00E13239" w:rsidP="009B0510">
      <w:pPr>
        <w:pStyle w:val="IntenseQuote"/>
        <w:spacing w:before="120" w:after="240"/>
        <w:ind w:left="454" w:right="397"/>
        <w:rPr>
          <w:i w:val="0"/>
        </w:rPr>
      </w:pPr>
      <w:r w:rsidRPr="00E5087D">
        <w:t xml:space="preserve">– </w:t>
      </w:r>
      <w:r w:rsidRPr="0D0C6639">
        <w:rPr>
          <w:i w:val="0"/>
        </w:rPr>
        <w:t>Women in Adult Vocational Education</w:t>
      </w:r>
      <w:r w:rsidR="23285F73" w:rsidRPr="0D0C6639">
        <w:rPr>
          <w:i w:val="0"/>
          <w:iCs w:val="0"/>
        </w:rPr>
        <w:t>.</w:t>
      </w:r>
      <w:r w:rsidRPr="0D0C6639">
        <w:rPr>
          <w:rStyle w:val="EndnoteReference"/>
          <w:i w:val="0"/>
        </w:rPr>
        <w:endnoteReference w:id="174"/>
      </w:r>
    </w:p>
    <w:p w14:paraId="1545FAEF" w14:textId="77777777" w:rsidR="00E13239" w:rsidRPr="00E5087D" w:rsidRDefault="00E13239" w:rsidP="00E13239">
      <w:pPr>
        <w:rPr>
          <w:b/>
          <w:bCs/>
          <w:spacing w:val="2"/>
          <w14:ligatures w14:val="standard"/>
          <w14:numForm w14:val="lining"/>
          <w14:numSpacing w14:val="proportional"/>
        </w:rPr>
      </w:pPr>
      <w:r w:rsidRPr="00E5087D">
        <w:rPr>
          <w:b/>
          <w:bCs/>
          <w:spacing w:val="2"/>
          <w14:ligatures w14:val="standard"/>
          <w14:numForm w14:val="lining"/>
          <w14:numSpacing w14:val="proportional"/>
        </w:rPr>
        <w:br w:type="page"/>
      </w:r>
    </w:p>
    <w:p w14:paraId="38B859BF" w14:textId="77777777" w:rsidR="00E13239" w:rsidRPr="00E5087D" w:rsidRDefault="00E13239" w:rsidP="00E13239">
      <w:pPr>
        <w:spacing w:before="240" w:after="80" w:line="240" w:lineRule="auto"/>
        <w:rPr>
          <w:b/>
          <w:bCs/>
          <w:spacing w:val="2"/>
          <w:sz w:val="28"/>
          <w:szCs w:val="28"/>
          <w14:ligatures w14:val="standard"/>
          <w14:numForm w14:val="lining"/>
          <w14:numSpacing w14:val="proportional"/>
        </w:rPr>
      </w:pPr>
      <w:r w:rsidRPr="00E5087D">
        <w:rPr>
          <w:b/>
          <w:bCs/>
          <w:spacing w:val="2"/>
          <w:sz w:val="28"/>
          <w:szCs w:val="28"/>
          <w14:ligatures w14:val="standard"/>
          <w14:numForm w14:val="lining"/>
          <w14:numSpacing w14:val="proportional"/>
        </w:rPr>
        <w:t>The ongoing challenges of high gender segregation and unequal pay</w:t>
      </w:r>
    </w:p>
    <w:p w14:paraId="1A33458A" w14:textId="07376A5F" w:rsidR="00E13239" w:rsidRPr="00E5087D" w:rsidRDefault="00E13239" w:rsidP="4E2031F6">
      <w:pPr>
        <w:spacing w:after="120" w:line="276" w:lineRule="auto"/>
        <w:rPr>
          <w:rFonts w:eastAsia="Calibri" w:cs="Times New Roman"/>
        </w:rPr>
      </w:pPr>
      <w:r w:rsidRPr="00E5087D">
        <w:rPr>
          <w:rFonts w:eastAsia="Calibri" w:cs="Times New Roman"/>
          <w:color w:val="000000"/>
          <w14:ligatures w14:val="standardContextual"/>
          <w14:numForm w14:val="lining"/>
          <w14:numSpacing w14:val="proportional"/>
        </w:rPr>
        <w:t>Gender segregation is deeply entrenched across the Australian labour market and is reflective of trends throughout the OECD.</w:t>
      </w:r>
      <w:r w:rsidR="7704E8FF" w:rsidRPr="00E5087D">
        <w:rPr>
          <w:rFonts w:eastAsia="Calibri" w:cs="Times New Roman"/>
          <w:color w:val="000000"/>
          <w14:ligatures w14:val="standardContextual"/>
          <w14:numForm w14:val="lining"/>
          <w14:numSpacing w14:val="proportional"/>
        </w:rPr>
        <w:t xml:space="preserve"> </w:t>
      </w:r>
      <w:r w:rsidR="2FC6905B" w:rsidRPr="00E5087D">
        <w:rPr>
          <w:rFonts w:eastAsia="Calibri" w:cs="Times New Roman"/>
          <w:color w:val="000000"/>
          <w14:ligatures w14:val="standardContextual"/>
          <w14:numForm w14:val="lining"/>
          <w14:numSpacing w14:val="proportional"/>
        </w:rPr>
        <w:t xml:space="preserve">The 2022 </w:t>
      </w:r>
      <w:r w:rsidR="2FC6905B" w:rsidRPr="1165A660">
        <w:rPr>
          <w:rFonts w:eastAsia="Calibri" w:cs="Times New Roman"/>
        </w:rPr>
        <w:t>Workplace Gender Equality Agency Scorecard</w:t>
      </w:r>
      <w:r w:rsidRPr="1165A660">
        <w:rPr>
          <w:rFonts w:eastAsia="Calibri" w:cs="Times New Roman"/>
        </w:rPr>
        <w:t xml:space="preserve"> </w:t>
      </w:r>
      <w:r w:rsidRPr="00E5087D">
        <w:rPr>
          <w:rFonts w:eastAsia="Calibri" w:cs="Times New Roman"/>
          <w:color w:val="000000"/>
          <w14:ligatures w14:val="standardContextual"/>
          <w14:numForm w14:val="lining"/>
          <w14:numSpacing w14:val="proportional"/>
        </w:rPr>
        <w:t xml:space="preserve">revealed </w:t>
      </w:r>
      <w:r w:rsidR="79212621" w:rsidRPr="00E5087D">
        <w:rPr>
          <w:rFonts w:eastAsia="Calibri" w:cs="Times New Roman"/>
          <w:color w:val="000000"/>
          <w14:ligatures w14:val="standardContextual"/>
          <w14:numForm w14:val="lining"/>
          <w14:numSpacing w14:val="proportional"/>
        </w:rPr>
        <w:t xml:space="preserve">that </w:t>
      </w:r>
      <w:r w:rsidR="6DD7503D" w:rsidRPr="00E5087D">
        <w:rPr>
          <w:rFonts w:eastAsia="Calibri" w:cs="Times New Roman"/>
          <w:color w:val="000000"/>
          <w14:ligatures w14:val="standardContextual"/>
          <w14:numForm w14:val="lining"/>
          <w14:numSpacing w14:val="proportional"/>
        </w:rPr>
        <w:t>m</w:t>
      </w:r>
      <w:r w:rsidR="38B09958" w:rsidRPr="6CC894E8">
        <w:rPr>
          <w:rFonts w:eastAsia="Arial" w:cs="Arial"/>
        </w:rPr>
        <w:t>ore than half of all Australians work in an industry dominated by one gender</w:t>
      </w:r>
      <w:r w:rsidR="461B0092" w:rsidRPr="6CC894E8">
        <w:rPr>
          <w:rFonts w:eastAsia="Arial" w:cs="Arial"/>
        </w:rPr>
        <w:t xml:space="preserve"> and that the national gender pay gap (GPG) sits at 22.8%.</w:t>
      </w:r>
      <w:r w:rsidRPr="08FB1684">
        <w:rPr>
          <w:rStyle w:val="EndnoteReference"/>
          <w:rFonts w:eastAsia="Arial" w:cs="Arial"/>
        </w:rPr>
        <w:endnoteReference w:id="175"/>
      </w:r>
      <w:r w:rsidR="461B0092" w:rsidRPr="6CC894E8">
        <w:rPr>
          <w:rFonts w:eastAsia="Arial" w:cs="Arial"/>
        </w:rPr>
        <w:t xml:space="preserve"> T</w:t>
      </w:r>
      <w:r w:rsidR="0885EE32" w:rsidRPr="00E5087D">
        <w:rPr>
          <w:rFonts w:eastAsia="Calibri" w:cs="Times New Roman"/>
          <w:color w:val="000000"/>
          <w14:ligatures w14:val="standardContextual"/>
          <w14:numForm w14:val="lining"/>
          <w14:numSpacing w14:val="proportional"/>
        </w:rPr>
        <w:t xml:space="preserve">he industries and occupations that make up the clean energy workforce are </w:t>
      </w:r>
      <w:r w:rsidR="3ADFD1CB" w:rsidRPr="00E5087D">
        <w:rPr>
          <w:rFonts w:eastAsia="Calibri" w:cs="Times New Roman"/>
          <w:color w:val="000000"/>
          <w14:ligatures w14:val="standardContextual"/>
          <w14:numForm w14:val="lining"/>
          <w14:numSpacing w14:val="proportional"/>
        </w:rPr>
        <w:t>even more s</w:t>
      </w:r>
      <w:r w:rsidR="5DF39F4F" w:rsidRPr="00E5087D">
        <w:rPr>
          <w:rFonts w:eastAsia="Calibri" w:cs="Times New Roman"/>
          <w:color w:val="000000"/>
          <w14:ligatures w14:val="standardContextual"/>
          <w14:numForm w14:val="lining"/>
          <w14:numSpacing w14:val="proportional"/>
        </w:rPr>
        <w:t>egregated</w:t>
      </w:r>
      <w:r w:rsidR="0885EE32" w:rsidRPr="00E5087D">
        <w:rPr>
          <w:rFonts w:eastAsia="Calibri" w:cs="Times New Roman"/>
          <w:color w:val="000000"/>
          <w14:ligatures w14:val="standardContextual"/>
          <w14:numForm w14:val="lining"/>
          <w14:numSpacing w14:val="proportional"/>
        </w:rPr>
        <w:t xml:space="preserve"> </w:t>
      </w:r>
      <w:r w:rsidR="6DF12B48" w:rsidRPr="00E5087D">
        <w:rPr>
          <w:rFonts w:eastAsia="Calibri" w:cs="Times New Roman"/>
          <w:color w:val="000000"/>
          <w14:ligatures w14:val="standardContextual"/>
          <w14:numForm w14:val="lining"/>
          <w14:numSpacing w14:val="proportional"/>
        </w:rPr>
        <w:t>and have persistent gender pay gaps</w:t>
      </w:r>
      <w:r w:rsidR="0885EE32" w:rsidRPr="00E5087D">
        <w:rPr>
          <w:rFonts w:eastAsia="Calibri" w:cs="Times New Roman"/>
          <w:color w:val="000000"/>
          <w14:ligatures w14:val="standardContextual"/>
          <w14:numForm w14:val="lining"/>
          <w14:numSpacing w14:val="proportional"/>
        </w:rPr>
        <w:t>.</w:t>
      </w:r>
      <w:r w:rsidR="67B0917D" w:rsidRPr="00E5087D">
        <w:rPr>
          <w:rFonts w:eastAsia="Calibri" w:cs="Times New Roman"/>
          <w:color w:val="000000"/>
          <w14:ligatures w14:val="standardContextual"/>
          <w14:numForm w14:val="lining"/>
          <w14:numSpacing w14:val="proportional"/>
        </w:rPr>
        <w:t xml:space="preserve"> For example</w:t>
      </w:r>
      <w:r w:rsidR="084F3325" w:rsidRPr="00E5087D">
        <w:rPr>
          <w:rFonts w:eastAsia="Calibri" w:cs="Times New Roman"/>
          <w:color w:val="000000"/>
          <w14:ligatures w14:val="standardContextual"/>
          <w14:numForm w14:val="lining"/>
          <w14:numSpacing w14:val="proportional"/>
        </w:rPr>
        <w:t>,</w:t>
      </w:r>
      <w:r w:rsidR="67B0917D" w:rsidRPr="00E5087D">
        <w:rPr>
          <w:rFonts w:eastAsia="Calibri" w:cs="Times New Roman"/>
          <w:color w:val="000000"/>
          <w14:ligatures w14:val="standardContextual"/>
          <w14:numForm w14:val="lining"/>
          <w14:numSpacing w14:val="proportional"/>
        </w:rPr>
        <w:t xml:space="preserve"> see Table </w:t>
      </w:r>
      <w:r w:rsidR="008E30C0">
        <w:rPr>
          <w:rFonts w:eastAsia="Calibri" w:cs="Times New Roman"/>
          <w:color w:val="000000"/>
          <w14:ligatures w14:val="standardContextual"/>
          <w14:numForm w14:val="lining"/>
          <w14:numSpacing w14:val="proportional"/>
        </w:rPr>
        <w:t>8.1</w:t>
      </w:r>
      <w:r w:rsidR="0742DF4D" w:rsidRPr="00E5087D">
        <w:rPr>
          <w:rFonts w:eastAsia="Calibri" w:cs="Times New Roman"/>
          <w:color w:val="000000"/>
          <w14:ligatures w14:val="standardContextual"/>
          <w14:numForm w14:val="lining"/>
          <w14:numSpacing w14:val="proportional"/>
        </w:rPr>
        <w:t xml:space="preserve"> for industry segregation and gender pay gap levels</w:t>
      </w:r>
      <w:r w:rsidR="115BCE4A" w:rsidRPr="00E5087D">
        <w:rPr>
          <w:rFonts w:eastAsia="Calibri" w:cs="Times New Roman"/>
          <w:color w:val="000000"/>
          <w14:ligatures w14:val="standardContextual"/>
          <w14:numForm w14:val="lining"/>
          <w14:numSpacing w14:val="proportional"/>
        </w:rPr>
        <w:t xml:space="preserve"> by industry</w:t>
      </w:r>
      <w:r w:rsidR="325B431B" w:rsidRPr="00E5087D">
        <w:rPr>
          <w:rFonts w:eastAsia="Calibri" w:cs="Times New Roman"/>
          <w:color w:val="000000"/>
          <w14:ligatures w14:val="standardContextual"/>
          <w14:numForm w14:val="lining"/>
          <w14:numSpacing w14:val="proportional"/>
        </w:rPr>
        <w:t xml:space="preserve">. </w:t>
      </w:r>
    </w:p>
    <w:p w14:paraId="17E5B312" w14:textId="34C8CBAA" w:rsidR="00E13239" w:rsidRPr="00E5087D" w:rsidRDefault="009A0839" w:rsidP="6CC894E8">
      <w:pPr>
        <w:spacing w:after="120" w:line="276" w:lineRule="auto"/>
        <w:rPr>
          <w:rFonts w:eastAsia="Calibri" w:cs="Times New Roman"/>
        </w:rPr>
      </w:pPr>
      <w:r>
        <w:rPr>
          <w:rFonts w:eastAsia="Calibri" w:cs="Times New Roman"/>
          <w:color w:val="000000"/>
          <w14:ligatures w14:val="standardContextual"/>
          <w14:numForm w14:val="lining"/>
          <w14:numSpacing w14:val="proportional"/>
        </w:rPr>
        <w:t xml:space="preserve">As explored in </w:t>
      </w:r>
      <w:r w:rsidRPr="00085EF8">
        <w:rPr>
          <w:rFonts w:eastAsia="Calibri" w:cs="Times New Roman"/>
          <w:b/>
          <w:color w:val="000000"/>
          <w14:ligatures w14:val="standardContextual"/>
          <w14:numForm w14:val="lining"/>
          <w14:numSpacing w14:val="proportional"/>
        </w:rPr>
        <w:t>Chapter 3</w:t>
      </w:r>
      <w:r>
        <w:rPr>
          <w:rFonts w:eastAsia="Calibri" w:cs="Times New Roman"/>
          <w:color w:val="000000"/>
          <w14:ligatures w14:val="standardContextual"/>
          <w14:numForm w14:val="lining"/>
          <w14:numSpacing w14:val="proportional"/>
        </w:rPr>
        <w:t xml:space="preserve">, occupations </w:t>
      </w:r>
      <w:r w:rsidR="611D2A8E" w:rsidRPr="5EEA01AC">
        <w:rPr>
          <w:rFonts w:eastAsia="Calibri" w:cs="Times New Roman"/>
        </w:rPr>
        <w:t xml:space="preserve">key to </w:t>
      </w:r>
      <w:r w:rsidR="44E2A7D8" w:rsidRPr="338E08B0">
        <w:rPr>
          <w:rFonts w:eastAsia="Calibri" w:cs="Times New Roman"/>
        </w:rPr>
        <w:t xml:space="preserve">the clean energy transition are </w:t>
      </w:r>
      <w:r w:rsidR="611D2A8E" w:rsidRPr="5EEA01AC">
        <w:rPr>
          <w:rFonts w:eastAsia="Calibri" w:cs="Times New Roman"/>
        </w:rPr>
        <w:t xml:space="preserve">also </w:t>
      </w:r>
      <w:r w:rsidR="00633BFE">
        <w:rPr>
          <w:rFonts w:eastAsia="Calibri" w:cs="Times New Roman"/>
        </w:rPr>
        <w:t>male dominated</w:t>
      </w:r>
      <w:r w:rsidR="0046393B">
        <w:rPr>
          <w:rFonts w:eastAsia="Calibri" w:cs="Times New Roman"/>
        </w:rPr>
        <w:t>.</w:t>
      </w:r>
      <w:r w:rsidR="000F4563">
        <w:rPr>
          <w:rFonts w:eastAsia="Calibri" w:cs="Times New Roman"/>
        </w:rPr>
        <w:t xml:space="preserve"> T</w:t>
      </w:r>
      <w:r w:rsidR="54A1E7D9" w:rsidRPr="338E08B0">
        <w:rPr>
          <w:rFonts w:eastAsia="Calibri" w:cs="Times New Roman"/>
        </w:rPr>
        <w:t>he</w:t>
      </w:r>
      <w:r w:rsidR="54A1E7D9" w:rsidRPr="4E2031F6">
        <w:rPr>
          <w:rFonts w:eastAsia="Calibri" w:cs="Times New Roman"/>
        </w:rPr>
        <w:t xml:space="preserve"> gender pay gap for these occupations is </w:t>
      </w:r>
      <w:r w:rsidR="5E1C6704" w:rsidRPr="4E2031F6">
        <w:rPr>
          <w:rFonts w:eastAsia="Calibri" w:cs="Times New Roman"/>
        </w:rPr>
        <w:t>at 27.5% f</w:t>
      </w:r>
      <w:r w:rsidR="5765281F" w:rsidRPr="4E2031F6">
        <w:rPr>
          <w:rFonts w:eastAsia="Calibri" w:cs="Times New Roman"/>
        </w:rPr>
        <w:t>or</w:t>
      </w:r>
      <w:r w:rsidR="5E1C6704" w:rsidRPr="4E2031F6">
        <w:rPr>
          <w:rFonts w:eastAsia="Calibri" w:cs="Times New Roman"/>
        </w:rPr>
        <w:t xml:space="preserve"> </w:t>
      </w:r>
      <w:r w:rsidR="54A1E7D9" w:rsidRPr="4E2031F6">
        <w:rPr>
          <w:rFonts w:eastAsia="Calibri" w:cs="Times New Roman"/>
        </w:rPr>
        <w:t>Technicians and Trade Workers</w:t>
      </w:r>
      <w:r w:rsidR="13D221E5" w:rsidRPr="4E2031F6">
        <w:rPr>
          <w:rFonts w:eastAsia="Calibri" w:cs="Times New Roman"/>
        </w:rPr>
        <w:t>,</w:t>
      </w:r>
      <w:r w:rsidR="54A1E7D9" w:rsidRPr="4E2031F6">
        <w:rPr>
          <w:rFonts w:eastAsia="Calibri" w:cs="Times New Roman"/>
        </w:rPr>
        <w:t xml:space="preserve"> at </w:t>
      </w:r>
      <w:r w:rsidR="71B2ED21" w:rsidRPr="4E2031F6">
        <w:rPr>
          <w:rFonts w:eastAsia="Calibri" w:cs="Times New Roman"/>
        </w:rPr>
        <w:t xml:space="preserve">14.9% for </w:t>
      </w:r>
      <w:r w:rsidR="54A1E7D9" w:rsidRPr="4E2031F6">
        <w:rPr>
          <w:rFonts w:eastAsia="Calibri" w:cs="Times New Roman"/>
        </w:rPr>
        <w:t>Labourers a</w:t>
      </w:r>
      <w:r w:rsidR="529B79C0" w:rsidRPr="4E2031F6">
        <w:rPr>
          <w:rFonts w:eastAsia="Calibri" w:cs="Times New Roman"/>
        </w:rPr>
        <w:t xml:space="preserve">nd </w:t>
      </w:r>
      <w:r w:rsidR="709369FA" w:rsidRPr="4E2031F6">
        <w:rPr>
          <w:rFonts w:eastAsia="Calibri" w:cs="Times New Roman"/>
        </w:rPr>
        <w:t xml:space="preserve">13.5% for </w:t>
      </w:r>
      <w:r w:rsidR="54A1E7D9" w:rsidRPr="4E2031F6">
        <w:rPr>
          <w:rFonts w:eastAsia="Calibri" w:cs="Times New Roman"/>
        </w:rPr>
        <w:t>Machinery Operators</w:t>
      </w:r>
      <w:r w:rsidR="12B94B33" w:rsidRPr="4E2031F6">
        <w:rPr>
          <w:rFonts w:eastAsia="Calibri" w:cs="Times New Roman"/>
        </w:rPr>
        <w:t>,</w:t>
      </w:r>
      <w:r w:rsidR="54A1E7D9" w:rsidRPr="4E2031F6">
        <w:rPr>
          <w:rFonts w:eastAsia="Calibri" w:cs="Times New Roman"/>
        </w:rPr>
        <w:t xml:space="preserve"> </w:t>
      </w:r>
      <w:r w:rsidR="7261D43C" w:rsidRPr="4E2031F6">
        <w:rPr>
          <w:rFonts w:eastAsia="Calibri" w:cs="Times New Roman"/>
        </w:rPr>
        <w:t>with</w:t>
      </w:r>
      <w:r w:rsidR="54A1E7D9" w:rsidRPr="4E2031F6">
        <w:rPr>
          <w:rFonts w:eastAsia="Calibri" w:cs="Times New Roman"/>
        </w:rPr>
        <w:t xml:space="preserve"> Drivers at 13.5%.</w:t>
      </w:r>
      <w:r w:rsidR="44E2A7D8" w:rsidRPr="08FB1684">
        <w:rPr>
          <w:rStyle w:val="EndnoteReference"/>
          <w:rFonts w:eastAsia="Calibri" w:cs="Times New Roman"/>
        </w:rPr>
        <w:endnoteReference w:id="176"/>
      </w:r>
      <w:r w:rsidR="54A1E7D9" w:rsidRPr="4E2031F6">
        <w:rPr>
          <w:rFonts w:eastAsia="Calibri" w:cs="Times New Roman"/>
        </w:rPr>
        <w:t xml:space="preserve"> </w:t>
      </w:r>
    </w:p>
    <w:p w14:paraId="4629B01F" w14:textId="2DB98870" w:rsidR="3EACE3E8" w:rsidRDefault="0EC46F72" w:rsidP="00304D92">
      <w:pPr>
        <w:spacing w:after="0" w:line="240" w:lineRule="auto"/>
        <w:rPr>
          <w:rFonts w:eastAsia="Calibri" w:cs="Times New Roman"/>
          <w:b/>
        </w:rPr>
      </w:pPr>
      <w:r w:rsidRPr="00EF6118">
        <w:rPr>
          <w:rFonts w:eastAsia="Calibri" w:cs="Times New Roman"/>
          <w:b/>
        </w:rPr>
        <w:t>T</w:t>
      </w:r>
      <w:r w:rsidRPr="2921A794">
        <w:rPr>
          <w:rFonts w:eastAsia="Calibri" w:cs="Times New Roman"/>
          <w:b/>
        </w:rPr>
        <w:t xml:space="preserve">able </w:t>
      </w:r>
      <w:r w:rsidR="004B1251">
        <w:rPr>
          <w:rFonts w:eastAsia="Calibri" w:cs="Times New Roman"/>
          <w:b/>
        </w:rPr>
        <w:t>8.1.</w:t>
      </w:r>
      <w:r w:rsidRPr="2921A794">
        <w:rPr>
          <w:rFonts w:eastAsia="Calibri" w:cs="Times New Roman"/>
          <w:b/>
        </w:rPr>
        <w:t xml:space="preserve"> Level of Gender Segregation and Gender Pay Gap in Clean Energy Focused Industries</w:t>
      </w:r>
    </w:p>
    <w:tbl>
      <w:tblPr>
        <w:tblW w:w="8718" w:type="dxa"/>
        <w:tblLook w:val="04A0" w:firstRow="1" w:lastRow="0" w:firstColumn="1" w:lastColumn="0" w:noHBand="0" w:noVBand="1"/>
      </w:tblPr>
      <w:tblGrid>
        <w:gridCol w:w="2834"/>
        <w:gridCol w:w="2942"/>
        <w:gridCol w:w="2942"/>
      </w:tblGrid>
      <w:tr w:rsidR="000308CF" w:rsidRPr="007B491D" w14:paraId="21E237B8" w14:textId="77777777" w:rsidTr="008C6764">
        <w:trPr>
          <w:trHeight w:val="329"/>
        </w:trPr>
        <w:tc>
          <w:tcPr>
            <w:tcW w:w="2834" w:type="dxa"/>
            <w:tcBorders>
              <w:top w:val="single" w:sz="4" w:space="0" w:color="auto"/>
              <w:bottom w:val="single" w:sz="4" w:space="0" w:color="auto"/>
            </w:tcBorders>
            <w:shd w:val="clear" w:color="auto" w:fill="6929C4" w:themeFill="accent1"/>
            <w:hideMark/>
          </w:tcPr>
          <w:p w14:paraId="7CE6E530" w14:textId="77777777" w:rsidR="000308CF" w:rsidRPr="00D855F0" w:rsidRDefault="000308CF">
            <w:pPr>
              <w:autoSpaceDE w:val="0"/>
              <w:autoSpaceDN w:val="0"/>
              <w:adjustRightInd w:val="0"/>
              <w:spacing w:before="60" w:after="60" w:line="240" w:lineRule="auto"/>
              <w:jc w:val="center"/>
              <w:rPr>
                <w:rFonts w:cs="Arial"/>
                <w:b/>
                <w:bCs/>
                <w:color w:val="FFFFFF" w:themeColor="background1"/>
                <w:sz w:val="18"/>
                <w:szCs w:val="18"/>
              </w:rPr>
            </w:pPr>
            <w:r w:rsidRPr="00D855F0">
              <w:rPr>
                <w:rFonts w:eastAsia="Calibri" w:cs="Times New Roman"/>
                <w:b/>
                <w:color w:val="FFFFFF" w:themeColor="background1"/>
              </w:rPr>
              <w:t xml:space="preserve">Industry </w:t>
            </w:r>
          </w:p>
        </w:tc>
        <w:tc>
          <w:tcPr>
            <w:tcW w:w="2942" w:type="dxa"/>
            <w:tcBorders>
              <w:top w:val="single" w:sz="4" w:space="0" w:color="auto"/>
              <w:bottom w:val="single" w:sz="4" w:space="0" w:color="auto"/>
            </w:tcBorders>
            <w:shd w:val="clear" w:color="auto" w:fill="6929C4" w:themeFill="accent1"/>
            <w:hideMark/>
          </w:tcPr>
          <w:p w14:paraId="40F36137" w14:textId="77777777" w:rsidR="000308CF" w:rsidRPr="00D855F0" w:rsidRDefault="000308CF">
            <w:pPr>
              <w:autoSpaceDE w:val="0"/>
              <w:autoSpaceDN w:val="0"/>
              <w:adjustRightInd w:val="0"/>
              <w:spacing w:before="60" w:after="60" w:line="240" w:lineRule="auto"/>
              <w:jc w:val="center"/>
              <w:rPr>
                <w:rFonts w:cs="Arial"/>
                <w:b/>
                <w:bCs/>
                <w:color w:val="FFFFFF" w:themeColor="background1"/>
                <w:sz w:val="18"/>
                <w:szCs w:val="18"/>
              </w:rPr>
            </w:pPr>
            <w:r w:rsidRPr="00D855F0">
              <w:rPr>
                <w:rFonts w:eastAsia="Calibri" w:cs="Times New Roman"/>
                <w:b/>
                <w:color w:val="FFFFFF" w:themeColor="background1"/>
              </w:rPr>
              <w:t>Gender Segregation</w:t>
            </w:r>
          </w:p>
        </w:tc>
        <w:tc>
          <w:tcPr>
            <w:tcW w:w="2942" w:type="dxa"/>
            <w:tcBorders>
              <w:top w:val="single" w:sz="4" w:space="0" w:color="auto"/>
              <w:bottom w:val="single" w:sz="4" w:space="0" w:color="auto"/>
            </w:tcBorders>
            <w:shd w:val="clear" w:color="auto" w:fill="6929C4" w:themeFill="accent1"/>
            <w:hideMark/>
          </w:tcPr>
          <w:p w14:paraId="53E561B5" w14:textId="77777777" w:rsidR="000308CF" w:rsidRPr="00D855F0" w:rsidRDefault="000308CF">
            <w:pPr>
              <w:autoSpaceDE w:val="0"/>
              <w:autoSpaceDN w:val="0"/>
              <w:adjustRightInd w:val="0"/>
              <w:spacing w:before="60" w:after="60" w:line="240" w:lineRule="auto"/>
              <w:jc w:val="center"/>
              <w:rPr>
                <w:rFonts w:cs="Arial"/>
                <w:b/>
                <w:bCs/>
                <w:color w:val="FFFFFF" w:themeColor="background1"/>
                <w:sz w:val="18"/>
                <w:szCs w:val="18"/>
              </w:rPr>
            </w:pPr>
            <w:r w:rsidRPr="00D855F0">
              <w:rPr>
                <w:rFonts w:eastAsia="Calibri" w:cs="Times New Roman"/>
                <w:b/>
                <w:color w:val="FFFFFF" w:themeColor="background1"/>
              </w:rPr>
              <w:t>Gender Pay Gap</w:t>
            </w:r>
          </w:p>
        </w:tc>
      </w:tr>
      <w:tr w:rsidR="000308CF" w:rsidRPr="007B491D" w14:paraId="1066A754" w14:textId="77777777" w:rsidTr="00D855F0">
        <w:trPr>
          <w:trHeight w:val="329"/>
        </w:trPr>
        <w:tc>
          <w:tcPr>
            <w:tcW w:w="2834" w:type="dxa"/>
            <w:tcBorders>
              <w:top w:val="single" w:sz="4" w:space="0" w:color="auto"/>
            </w:tcBorders>
            <w:shd w:val="clear" w:color="000000" w:fill="FFFFFF"/>
            <w:vAlign w:val="center"/>
            <w:hideMark/>
          </w:tcPr>
          <w:p w14:paraId="7E8054F2"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Mining</w:t>
            </w:r>
          </w:p>
        </w:tc>
        <w:tc>
          <w:tcPr>
            <w:tcW w:w="2942" w:type="dxa"/>
            <w:tcBorders>
              <w:top w:val="single" w:sz="4" w:space="0" w:color="auto"/>
            </w:tcBorders>
            <w:shd w:val="clear" w:color="000000" w:fill="FFFFFF"/>
            <w:vAlign w:val="center"/>
            <w:hideMark/>
          </w:tcPr>
          <w:p w14:paraId="1C47D694"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80%</w:t>
            </w:r>
          </w:p>
        </w:tc>
        <w:tc>
          <w:tcPr>
            <w:tcW w:w="2942" w:type="dxa"/>
            <w:tcBorders>
              <w:top w:val="single" w:sz="4" w:space="0" w:color="auto"/>
            </w:tcBorders>
            <w:shd w:val="clear" w:color="000000" w:fill="FFFFFF"/>
            <w:vAlign w:val="center"/>
            <w:hideMark/>
          </w:tcPr>
          <w:p w14:paraId="0AFFBF9D"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14.4%</w:t>
            </w:r>
          </w:p>
        </w:tc>
      </w:tr>
      <w:tr w:rsidR="000308CF" w:rsidRPr="007B491D" w14:paraId="6BA8D10F" w14:textId="77777777" w:rsidTr="008C6764">
        <w:trPr>
          <w:trHeight w:val="533"/>
        </w:trPr>
        <w:tc>
          <w:tcPr>
            <w:tcW w:w="2834" w:type="dxa"/>
            <w:shd w:val="clear" w:color="auto" w:fill="E0D1F5" w:themeFill="accent1" w:themeFillTint="33"/>
            <w:vAlign w:val="center"/>
            <w:hideMark/>
          </w:tcPr>
          <w:p w14:paraId="4D2E0B52"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Construction</w:t>
            </w:r>
          </w:p>
        </w:tc>
        <w:tc>
          <w:tcPr>
            <w:tcW w:w="2942" w:type="dxa"/>
            <w:shd w:val="clear" w:color="auto" w:fill="E0D1F5" w:themeFill="accent1" w:themeFillTint="33"/>
            <w:vAlign w:val="center"/>
            <w:hideMark/>
          </w:tcPr>
          <w:p w14:paraId="7A751F67"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Calibri" w:cs="Times New Roman"/>
              </w:rPr>
              <w:t>76%</w:t>
            </w:r>
          </w:p>
        </w:tc>
        <w:tc>
          <w:tcPr>
            <w:tcW w:w="2942" w:type="dxa"/>
            <w:shd w:val="clear" w:color="auto" w:fill="E0D1F5" w:themeFill="accent1" w:themeFillTint="33"/>
            <w:vAlign w:val="center"/>
            <w:hideMark/>
          </w:tcPr>
          <w:p w14:paraId="7A42B1B8"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3EACE3E8">
              <w:rPr>
                <w:rFonts w:eastAsia="Calibri" w:cs="Times New Roman"/>
              </w:rPr>
              <w:t>39%</w:t>
            </w:r>
          </w:p>
        </w:tc>
      </w:tr>
      <w:tr w:rsidR="000308CF" w:rsidRPr="007B491D" w14:paraId="62C284CA" w14:textId="77777777" w:rsidTr="00D855F0">
        <w:trPr>
          <w:trHeight w:val="329"/>
        </w:trPr>
        <w:tc>
          <w:tcPr>
            <w:tcW w:w="2834" w:type="dxa"/>
            <w:tcBorders>
              <w:bottom w:val="single" w:sz="4" w:space="0" w:color="auto"/>
            </w:tcBorders>
            <w:shd w:val="clear" w:color="000000" w:fill="FFFFFF"/>
            <w:vAlign w:val="center"/>
            <w:hideMark/>
          </w:tcPr>
          <w:p w14:paraId="466917F9"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568692F2">
              <w:rPr>
                <w:rFonts w:eastAsia="Arial" w:cs="Arial"/>
              </w:rPr>
              <w:t>Electricity, Gas, Water and Waste Services</w:t>
            </w:r>
          </w:p>
        </w:tc>
        <w:tc>
          <w:tcPr>
            <w:tcW w:w="2942" w:type="dxa"/>
            <w:tcBorders>
              <w:bottom w:val="single" w:sz="4" w:space="0" w:color="auto"/>
            </w:tcBorders>
            <w:shd w:val="clear" w:color="000000" w:fill="FFFFFF"/>
            <w:vAlign w:val="center"/>
            <w:hideMark/>
          </w:tcPr>
          <w:p w14:paraId="48C9781C"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3EACE3E8">
              <w:rPr>
                <w:rFonts w:eastAsia="Calibri" w:cs="Times New Roman"/>
              </w:rPr>
              <w:t>74%</w:t>
            </w:r>
          </w:p>
        </w:tc>
        <w:tc>
          <w:tcPr>
            <w:tcW w:w="2942" w:type="dxa"/>
            <w:tcBorders>
              <w:bottom w:val="single" w:sz="4" w:space="0" w:color="auto"/>
            </w:tcBorders>
            <w:shd w:val="clear" w:color="000000" w:fill="FFFFFF"/>
            <w:vAlign w:val="center"/>
            <w:hideMark/>
          </w:tcPr>
          <w:p w14:paraId="74119D0A" w14:textId="77777777" w:rsidR="000308CF" w:rsidRPr="007B491D" w:rsidRDefault="000308CF" w:rsidP="00D855F0">
            <w:pPr>
              <w:autoSpaceDE w:val="0"/>
              <w:autoSpaceDN w:val="0"/>
              <w:adjustRightInd w:val="0"/>
              <w:spacing w:before="60" w:after="60" w:line="240" w:lineRule="auto"/>
              <w:jc w:val="center"/>
              <w:rPr>
                <w:rFonts w:cs="Arial"/>
                <w:color w:val="000000"/>
                <w:sz w:val="18"/>
                <w:szCs w:val="18"/>
              </w:rPr>
            </w:pPr>
            <w:r w:rsidRPr="3EACE3E8">
              <w:rPr>
                <w:rFonts w:eastAsia="Calibri" w:cs="Times New Roman"/>
              </w:rPr>
              <w:t>15.9%</w:t>
            </w:r>
          </w:p>
        </w:tc>
      </w:tr>
    </w:tbl>
    <w:p w14:paraId="5223539A" w14:textId="44BE2C4E" w:rsidR="3EACE3E8" w:rsidRPr="000308CF" w:rsidRDefault="000308CF" w:rsidP="3EACE3E8">
      <w:pPr>
        <w:spacing w:after="120" w:line="276" w:lineRule="auto"/>
        <w:rPr>
          <w:rFonts w:cs="Arial"/>
          <w:sz w:val="18"/>
          <w:szCs w:val="18"/>
        </w:rPr>
      </w:pPr>
      <w:r w:rsidRPr="000308CF">
        <w:rPr>
          <w:rFonts w:cs="Arial"/>
          <w:sz w:val="18"/>
          <w:szCs w:val="18"/>
        </w:rPr>
        <w:t xml:space="preserve">Source: Workplace Gender Equality Agency </w:t>
      </w:r>
      <w:r w:rsidRPr="00C21837">
        <w:rPr>
          <w:rFonts w:cs="Arial"/>
          <w:i/>
          <w:sz w:val="18"/>
          <w:szCs w:val="18"/>
        </w:rPr>
        <w:t>Australia’s Gender Equality Scorecard</w:t>
      </w:r>
      <w:r w:rsidRPr="000308CF">
        <w:rPr>
          <w:rFonts w:cs="Arial"/>
          <w:sz w:val="18"/>
          <w:szCs w:val="18"/>
        </w:rPr>
        <w:t xml:space="preserve"> 2022</w:t>
      </w:r>
    </w:p>
    <w:p w14:paraId="4A607C6E" w14:textId="2E8F2CC0" w:rsidR="00E13239" w:rsidRDefault="6751CCFF" w:rsidP="00F00838">
      <w:pPr>
        <w:spacing w:before="240" w:after="120" w:line="276" w:lineRule="auto"/>
        <w:rPr>
          <w:rFonts w:eastAsia="Calibri" w:cs="Times New Roman"/>
          <w:color w:val="000000"/>
          <w14:ligatures w14:val="standardContextual"/>
          <w14:numForm w14:val="lining"/>
          <w14:numSpacing w14:val="proportional"/>
        </w:rPr>
      </w:pPr>
      <w:r w:rsidRPr="00E5087D">
        <w:rPr>
          <w:rFonts w:eastAsia="Calibri" w:cs="Times New Roman"/>
          <w:color w:val="000000"/>
          <w14:ligatures w14:val="standardContextual"/>
          <w14:numForm w14:val="lining"/>
          <w14:numSpacing w14:val="proportional"/>
        </w:rPr>
        <w:t xml:space="preserve">Reports from the sector itself also confirm the significant challenge of gender segregation in the industry. The Women in Engineering report reveals that whilst male and female </w:t>
      </w:r>
      <w:r w:rsidR="21A208A1" w:rsidRPr="00E5087D">
        <w:rPr>
          <w:rFonts w:eastAsia="Calibri" w:cs="Times New Roman"/>
          <w:color w:val="000000"/>
          <w14:ligatures w14:val="standardContextual"/>
          <w14:numForm w14:val="lining"/>
          <w14:numSpacing w14:val="proportional"/>
        </w:rPr>
        <w:t>E</w:t>
      </w:r>
      <w:r w:rsidRPr="00E5087D">
        <w:rPr>
          <w:rFonts w:eastAsia="Calibri" w:cs="Times New Roman"/>
          <w:color w:val="000000"/>
          <w14:ligatures w14:val="standardContextual"/>
          <w14:numForm w14:val="lining"/>
          <w14:numSpacing w14:val="proportional"/>
        </w:rPr>
        <w:t>ngineers equally enjoy and take pride in the social value of their work, they have divergent perspectives on workplace culture and the opportunity landscape.</w:t>
      </w:r>
      <w:r w:rsidR="00E13239" w:rsidRPr="00E5087D">
        <w:rPr>
          <w:rStyle w:val="EndnoteReference"/>
          <w:rFonts w:eastAsia="Calibri" w:cs="Times New Roman"/>
          <w:color w:val="000000"/>
          <w14:ligatures w14:val="standardContextual"/>
          <w14:numForm w14:val="lining"/>
          <w14:numSpacing w14:val="proportional"/>
        </w:rPr>
        <w:endnoteReference w:id="177"/>
      </w:r>
      <w:r w:rsidRPr="00E5087D">
        <w:rPr>
          <w:rFonts w:eastAsia="Calibri" w:cs="Times New Roman"/>
          <w:color w:val="000000"/>
          <w14:ligatures w14:val="standardContextual"/>
          <w14:numForm w14:val="lining"/>
          <w14:numSpacing w14:val="proportional"/>
        </w:rPr>
        <w:t xml:space="preserve"> Female </w:t>
      </w:r>
      <w:r w:rsidR="62C5BF9E" w:rsidRPr="00E5087D">
        <w:rPr>
          <w:rFonts w:eastAsia="Calibri" w:cs="Times New Roman"/>
          <w:color w:val="000000"/>
          <w14:ligatures w14:val="standardContextual"/>
          <w14:numForm w14:val="lining"/>
          <w14:numSpacing w14:val="proportional"/>
        </w:rPr>
        <w:t>E</w:t>
      </w:r>
      <w:r w:rsidRPr="00E5087D">
        <w:rPr>
          <w:rFonts w:eastAsia="Calibri" w:cs="Times New Roman"/>
          <w:color w:val="000000"/>
          <w14:ligatures w14:val="standardContextual"/>
          <w14:numForm w14:val="lining"/>
          <w14:numSpacing w14:val="proportional"/>
        </w:rPr>
        <w:t>ngineers are markedly less confident about their career prospects than their male peers from early in their careers</w:t>
      </w:r>
      <w:r w:rsidR="65F4DD35" w:rsidRPr="00E5087D">
        <w:rPr>
          <w:rFonts w:eastAsia="Calibri" w:cs="Times New Roman"/>
          <w:color w:val="000000"/>
          <w14:ligatures w14:val="standardContextual"/>
          <w14:numForm w14:val="lining"/>
          <w14:numSpacing w14:val="proportional"/>
        </w:rPr>
        <w:t xml:space="preserve"> and </w:t>
      </w:r>
      <w:r w:rsidR="1847B351" w:rsidRPr="4E2031F6">
        <w:rPr>
          <w:rFonts w:eastAsia="Arial" w:cs="Arial"/>
        </w:rPr>
        <w:t>earn on</w:t>
      </w:r>
      <w:r w:rsidR="65F4DD35" w:rsidRPr="4E2031F6">
        <w:rPr>
          <w:rFonts w:eastAsia="Arial" w:cs="Arial"/>
        </w:rPr>
        <w:t xml:space="preserve"> average 89</w:t>
      </w:r>
      <w:r w:rsidR="0FB8C33A" w:rsidRPr="4E2031F6">
        <w:rPr>
          <w:rFonts w:eastAsia="Arial" w:cs="Arial"/>
        </w:rPr>
        <w:t>%</w:t>
      </w:r>
      <w:r w:rsidR="65F4DD35" w:rsidRPr="4E2031F6">
        <w:rPr>
          <w:rFonts w:eastAsia="Arial" w:cs="Arial"/>
        </w:rPr>
        <w:t xml:space="preserve"> of their male counterparts</w:t>
      </w:r>
      <w:r w:rsidR="56B3CFF8" w:rsidRPr="55839EB0">
        <w:rPr>
          <w:rFonts w:eastAsia="Calibri" w:cs="Times New Roman"/>
        </w:rPr>
        <w:t>.</w:t>
      </w:r>
      <w:r w:rsidRPr="55839EB0">
        <w:rPr>
          <w:rStyle w:val="EndnoteReference"/>
          <w:rFonts w:eastAsia="Calibri" w:cs="Times New Roman"/>
        </w:rPr>
        <w:endnoteReference w:id="178"/>
      </w:r>
      <w:r w:rsidRPr="00E5087D">
        <w:rPr>
          <w:rFonts w:eastAsia="Calibri" w:cs="Times New Roman"/>
          <w:color w:val="000000"/>
          <w14:ligatures w14:val="standardContextual"/>
          <w14:numForm w14:val="lining"/>
          <w14:numSpacing w14:val="proportional"/>
        </w:rPr>
        <w:t xml:space="preserve"> As is the case in other male-dominated industries, women are severely underrepresented in executive and managerial roles in the energy sector, meaning that overwhelmingly decisions around hiring, working arrangements, remuneration and career progression are made by men. </w:t>
      </w:r>
    </w:p>
    <w:p w14:paraId="0E5E4D92" w14:textId="4434F004" w:rsidR="003D5B12" w:rsidRDefault="00FE1DD5" w:rsidP="00F00838">
      <w:pPr>
        <w:spacing w:before="120" w:after="120" w:line="276" w:lineRule="auto"/>
      </w:pPr>
      <w:r w:rsidRPr="007A67EB">
        <w:t xml:space="preserve">The importance of </w:t>
      </w:r>
      <w:r>
        <w:t>promoting</w:t>
      </w:r>
      <w:r w:rsidR="003D5B12">
        <w:t xml:space="preserve"> gender diversity at all levels of the clean energy workforce</w:t>
      </w:r>
      <w:r>
        <w:t xml:space="preserve"> </w:t>
      </w:r>
      <w:r w:rsidRPr="007A67EB">
        <w:t xml:space="preserve">was </w:t>
      </w:r>
      <w:r>
        <w:t>echoed</w:t>
      </w:r>
      <w:r w:rsidRPr="007A67EB">
        <w:t xml:space="preserve"> by </w:t>
      </w:r>
      <w:r w:rsidR="003636BC">
        <w:t xml:space="preserve">the </w:t>
      </w:r>
      <w:r w:rsidR="002D44B2" w:rsidRPr="002D44B2">
        <w:t>Australian Ambassadors</w:t>
      </w:r>
      <w:r w:rsidR="00971DBD">
        <w:t xml:space="preserve"> to the </w:t>
      </w:r>
      <w:r w:rsidR="00971DBD" w:rsidRPr="00971DBD">
        <w:t>Equality in Energy Transitions Initiative</w:t>
      </w:r>
      <w:r w:rsidR="002D44B2">
        <w:t xml:space="preserve"> </w:t>
      </w:r>
      <w:r w:rsidRPr="007A67EB">
        <w:t xml:space="preserve">at </w:t>
      </w:r>
      <w:r>
        <w:t>the second</w:t>
      </w:r>
      <w:r w:rsidRPr="007A67EB">
        <w:t xml:space="preserve"> Women in Energy national roundtabl</w:t>
      </w:r>
      <w:r>
        <w:t xml:space="preserve">e. </w:t>
      </w:r>
    </w:p>
    <w:p w14:paraId="72927188" w14:textId="72FCCA11" w:rsidR="00E13239" w:rsidRPr="003D5B12" w:rsidRDefault="00E13239" w:rsidP="00F00838">
      <w:pPr>
        <w:spacing w:before="120" w:after="120" w:line="276" w:lineRule="auto"/>
      </w:pPr>
      <w:r w:rsidRPr="00E5087D">
        <w:rPr>
          <w:rFonts w:eastAsia="Arial" w:cs="Arial"/>
          <w14:numForm w14:val="lining"/>
          <w14:numSpacing w14:val="proportional"/>
        </w:rPr>
        <w:t xml:space="preserve">The </w:t>
      </w:r>
      <w:r w:rsidR="00F72FA8">
        <w:rPr>
          <w:rFonts w:cs="Arial"/>
          <w14:numForm w14:val="lining"/>
          <w14:numSpacing w14:val="proportional"/>
        </w:rPr>
        <w:t>CEC</w:t>
      </w:r>
      <w:r w:rsidRPr="00E5087D">
        <w:rPr>
          <w:rFonts w:eastAsia="Arial" w:cs="Arial"/>
          <w14:numForm w14:val="lining"/>
          <w14:numSpacing w14:val="proportional"/>
        </w:rPr>
        <w:t xml:space="preserve"> and the Australian Hydrogen Council </w:t>
      </w:r>
      <w:r w:rsidR="0005652F">
        <w:rPr>
          <w:rFonts w:eastAsia="Arial" w:cs="Arial"/>
          <w14:numForm w14:val="lining"/>
          <w14:numSpacing w14:val="proportional"/>
        </w:rPr>
        <w:t xml:space="preserve">(AHC) </w:t>
      </w:r>
      <w:r w:rsidRPr="00E5087D">
        <w:rPr>
          <w:rFonts w:eastAsia="Arial" w:cs="Arial"/>
          <w14:numForm w14:val="lining"/>
          <w14:numSpacing w14:val="proportional"/>
        </w:rPr>
        <w:t xml:space="preserve">reported that clean energy employers are “more inclusive and compare favourably” than other sectors; however, women are still underrepresented in senior leadership within the clean energy sector. They also identified three workplace failures highlighted by the </w:t>
      </w:r>
      <w:r w:rsidR="003A7202">
        <w:rPr>
          <w14:numForm w14:val="lining"/>
          <w14:numSpacing w14:val="proportional"/>
        </w:rPr>
        <w:t>ETU</w:t>
      </w:r>
      <w:r w:rsidRPr="00E5087D">
        <w:rPr>
          <w:rFonts w:eastAsia="Arial" w:cs="Arial"/>
          <w14:numForm w14:val="lining"/>
          <w14:numSpacing w14:val="proportional"/>
        </w:rPr>
        <w:t xml:space="preserve">, including insufficient amenities (i.e., toilets, sanitary bins and </w:t>
      </w:r>
      <w:r w:rsidRPr="00E5087D">
        <w:rPr>
          <w:rFonts w:eastAsia="Calibri" w:cs="Times New Roman"/>
          <w:color w:val="000000"/>
          <w14:ligatures w14:val="standardContextual"/>
          <w14:numForm w14:val="lining"/>
          <w14:numSpacing w14:val="proportional"/>
        </w:rPr>
        <w:t>breast-feeding facilities</w:t>
      </w:r>
      <w:r w:rsidRPr="00E5087D">
        <w:rPr>
          <w:rFonts w:eastAsia="Arial" w:cs="Arial"/>
          <w14:numForm w14:val="lining"/>
          <w14:numSpacing w14:val="proportional"/>
        </w:rPr>
        <w:t>), inadequate personal protective equipment and a lack of mechanisms to address gender-based workplace discrimination.</w:t>
      </w:r>
      <w:r w:rsidRPr="00E5087D">
        <w:rPr>
          <w:rStyle w:val="EndnoteReference"/>
          <w:rFonts w:eastAsia="Arial" w:cs="Arial"/>
          <w14:numForm w14:val="lining"/>
          <w14:numSpacing w14:val="proportional"/>
        </w:rPr>
        <w:endnoteReference w:id="179"/>
      </w:r>
      <w:r w:rsidRPr="00E5087D">
        <w:rPr>
          <w:rFonts w:eastAsia="Arial" w:cs="Arial"/>
          <w14:numForm w14:val="lining"/>
          <w14:numSpacing w14:val="proportional"/>
        </w:rPr>
        <w:t xml:space="preserve"> </w:t>
      </w:r>
    </w:p>
    <w:p w14:paraId="771A6BFC" w14:textId="7BC20612" w:rsidR="00E13239" w:rsidRPr="00E5087D" w:rsidRDefault="00E13239" w:rsidP="3D562964">
      <w:pPr>
        <w:spacing w:after="120" w:line="276" w:lineRule="auto"/>
        <w:rPr>
          <w:rFonts w:eastAsia="Calibri" w:cs="Times New Roman"/>
        </w:rPr>
      </w:pPr>
      <w:r w:rsidRPr="00E5087D">
        <w:rPr>
          <w:rFonts w:eastAsia="Calibri" w:cs="Times New Roman"/>
          <w:color w:val="000000"/>
          <w14:ligatures w14:val="standardContextual"/>
          <w14:numForm w14:val="lining"/>
          <w14:numSpacing w14:val="proportional"/>
        </w:rPr>
        <w:t xml:space="preserve">Many female </w:t>
      </w:r>
      <w:r w:rsidR="75D0CEB4" w:rsidRPr="3D562964">
        <w:rPr>
          <w:rFonts w:eastAsia="Calibri" w:cs="Times New Roman"/>
        </w:rPr>
        <w:t>E</w:t>
      </w:r>
      <w:r w:rsidRPr="00E5087D">
        <w:rPr>
          <w:rFonts w:eastAsia="Calibri" w:cs="Times New Roman"/>
          <w:color w:val="000000"/>
          <w14:ligatures w14:val="standardContextual"/>
          <w14:numForm w14:val="lining"/>
          <w14:numSpacing w14:val="proportional"/>
        </w:rPr>
        <w:t xml:space="preserve">ngineers report experiencing gender discrimination and bullying in the workplace and do not feel they have equal access to career progression opportunities, salary advancement or mentoring. However, 78% of male </w:t>
      </w:r>
      <w:r w:rsidR="2E6533F3" w:rsidRPr="3D562964">
        <w:rPr>
          <w:rFonts w:eastAsia="Calibri" w:cs="Times New Roman"/>
        </w:rPr>
        <w:t>E</w:t>
      </w:r>
      <w:r w:rsidRPr="00E5087D">
        <w:rPr>
          <w:rFonts w:eastAsia="Calibri" w:cs="Times New Roman"/>
          <w:color w:val="000000"/>
          <w14:ligatures w14:val="standardContextual"/>
          <w14:numForm w14:val="lining"/>
          <w14:numSpacing w14:val="proportional"/>
        </w:rPr>
        <w:t xml:space="preserve">ngineers report that women and men have equal opportunities, highlighting the role of unconscious bias. A 2018 survey by the Australian Gender Equality Council revealed 47% of female </w:t>
      </w:r>
      <w:r w:rsidR="06372A09" w:rsidRPr="3D562964">
        <w:rPr>
          <w:rFonts w:eastAsia="Calibri" w:cs="Times New Roman"/>
        </w:rPr>
        <w:t>E</w:t>
      </w:r>
      <w:r w:rsidRPr="00E5087D">
        <w:rPr>
          <w:rFonts w:eastAsia="Calibri" w:cs="Times New Roman"/>
          <w:color w:val="000000"/>
          <w14:ligatures w14:val="standardContextual"/>
          <w14:numForm w14:val="lining"/>
          <w14:numSpacing w14:val="proportional"/>
        </w:rPr>
        <w:t>ngineers had experienced workplace gender discrimination in the previous three years, including an average gender pay gap of $12,000 among engineering professionals.</w:t>
      </w:r>
      <w:r w:rsidRPr="00E5087D">
        <w:rPr>
          <w:rStyle w:val="EndnoteReference"/>
          <w:rFonts w:eastAsia="Calibri" w:cs="Times New Roman"/>
          <w:color w:val="000000"/>
          <w14:ligatures w14:val="standardContextual"/>
          <w14:numForm w14:val="lining"/>
          <w14:numSpacing w14:val="proportional"/>
        </w:rPr>
        <w:endnoteReference w:id="180"/>
      </w:r>
    </w:p>
    <w:p w14:paraId="57432D6B" w14:textId="177CB5CE" w:rsidR="00E13239" w:rsidRPr="00E5087D" w:rsidRDefault="00E13239" w:rsidP="00E13239">
      <w:pPr>
        <w:spacing w:after="120" w:line="276" w:lineRule="auto"/>
        <w:rPr>
          <w:rFonts w:eastAsia="Arial" w:cs="Arial"/>
        </w:rPr>
      </w:pPr>
      <w:r w:rsidRPr="00E5087D">
        <w:rPr>
          <w:rFonts w:eastAsia="Arial" w:cs="Arial"/>
          <w14:numForm w14:val="lining"/>
          <w14:numSpacing w14:val="proportional"/>
        </w:rPr>
        <w:t xml:space="preserve">The </w:t>
      </w:r>
      <w:r w:rsidR="0032465E">
        <w:rPr>
          <w:rFonts w:eastAsia="Arial" w:cs="Arial"/>
          <w14:numForm w14:val="lining"/>
          <w14:numSpacing w14:val="proportional"/>
        </w:rPr>
        <w:t>EEC</w:t>
      </w:r>
      <w:r w:rsidRPr="00E5087D">
        <w:rPr>
          <w:rFonts w:eastAsia="Arial" w:cs="Arial"/>
          <w14:numForm w14:val="lining"/>
          <w14:numSpacing w14:val="proportional"/>
        </w:rPr>
        <w:t xml:space="preserve"> advised that a lack of diversity across the sector presents challenges in scaling the workforce to transition to clean energy. It suggested that clean energy organisations are working to improve diversity and representation within the sector through practical programs. For instance, the Australian Power Institute runs the ‘POWERful Women Program’, which aims to develop the leadership capabilities of more than 70 women, whether they are early career professionals or experienced technical professionals. The </w:t>
      </w:r>
      <w:r w:rsidR="0032465E">
        <w:rPr>
          <w:rFonts w:eastAsia="Arial" w:cs="Arial"/>
          <w14:numForm w14:val="lining"/>
          <w14:numSpacing w14:val="proportional"/>
        </w:rPr>
        <w:t>EEC</w:t>
      </w:r>
      <w:r w:rsidRPr="00E5087D">
        <w:rPr>
          <w:rFonts w:eastAsia="Arial" w:cs="Arial"/>
          <w14:numForm w14:val="lining"/>
          <w14:numSpacing w14:val="proportional"/>
        </w:rPr>
        <w:t xml:space="preserve"> advised that it is developing an emerging </w:t>
      </w:r>
      <w:r w:rsidR="5CAA710C" w:rsidRPr="00E5087D">
        <w:rPr>
          <w:rFonts w:eastAsia="Arial" w:cs="Arial"/>
          <w14:numForm w14:val="lining"/>
          <w14:numSpacing w14:val="proportional"/>
        </w:rPr>
        <w:t>leaders'</w:t>
      </w:r>
      <w:r w:rsidRPr="00E5087D">
        <w:rPr>
          <w:rFonts w:eastAsia="Arial" w:cs="Arial"/>
          <w14:numForm w14:val="lining"/>
          <w14:numSpacing w14:val="proportional"/>
        </w:rPr>
        <w:t xml:space="preserve"> program, offering more places to women and other underrepresented groups. </w:t>
      </w:r>
      <w:r w:rsidRPr="00E5087D">
        <w:rPr>
          <w:rFonts w:eastAsia="Arial" w:cs="Arial"/>
        </w:rPr>
        <w:t>However, it highlighted that larger scaled programs are needed to bring a broader range of professionals into the workforce.</w:t>
      </w:r>
      <w:r w:rsidRPr="00E5087D">
        <w:rPr>
          <w:rStyle w:val="EndnoteReference"/>
          <w:rFonts w:eastAsia="Arial" w:cs="Arial"/>
          <w14:numForm w14:val="lining"/>
          <w14:numSpacing w14:val="proportional"/>
        </w:rPr>
        <w:endnoteReference w:id="181"/>
      </w:r>
    </w:p>
    <w:p w14:paraId="33609ED1" w14:textId="3265C0C7" w:rsidR="00E13239" w:rsidRPr="00E5087D" w:rsidRDefault="6A4883F2" w:rsidP="00304D92">
      <w:pPr>
        <w:spacing w:before="240" w:after="120" w:line="276" w:lineRule="auto"/>
        <w:rPr>
          <w:rFonts w:eastAsia="Calibri" w:cs="Times New Roman"/>
        </w:rPr>
      </w:pPr>
      <w:r w:rsidRPr="33A3B951">
        <w:rPr>
          <w:rFonts w:eastAsiaTheme="majorEastAsia" w:cstheme="majorBidi"/>
          <w:b/>
          <w:bCs/>
          <w:sz w:val="26"/>
          <w:szCs w:val="26"/>
        </w:rPr>
        <w:t xml:space="preserve">Alarming rates of sexual harassment and low workplace safety for women in energy </w:t>
      </w:r>
    </w:p>
    <w:p w14:paraId="4DBEDBCF" w14:textId="77777777" w:rsidR="00DD6899" w:rsidRDefault="6A4883F2" w:rsidP="00E13239">
      <w:pPr>
        <w:spacing w:after="120" w:line="276" w:lineRule="auto"/>
        <w:rPr>
          <w:rFonts w:eastAsia="Arial" w:cs="Arial"/>
        </w:rPr>
      </w:pPr>
      <w:r w:rsidRPr="00E5087D">
        <w:rPr>
          <w:rFonts w:eastAsia="Calibri" w:cs="Times New Roman"/>
          <w:color w:val="000000"/>
          <w14:ligatures w14:val="standardContextual"/>
          <w14:numForm w14:val="lining"/>
          <w14:numSpacing w14:val="proportional"/>
        </w:rPr>
        <w:t xml:space="preserve">Workplace safety is an absolute barrier to the </w:t>
      </w:r>
      <w:r w:rsidRPr="00E5087D">
        <w:rPr>
          <w14:numForm w14:val="lining"/>
          <w14:numSpacing w14:val="proportional"/>
        </w:rPr>
        <w:t>full participation of women in th</w:t>
      </w:r>
      <w:r w:rsidRPr="00E5087D">
        <w:t>e energy</w:t>
      </w:r>
      <w:r w:rsidR="3907CB2A" w:rsidRPr="00E5087D">
        <w:t xml:space="preserve"> </w:t>
      </w:r>
      <w:r w:rsidRPr="00E5087D">
        <w:rPr>
          <w14:numForm w14:val="lining"/>
          <w14:numSpacing w14:val="proportional"/>
        </w:rPr>
        <w:t>sector</w:t>
      </w:r>
      <w:r w:rsidRPr="00E5087D">
        <w:rPr>
          <w:rFonts w:eastAsia="Calibri" w:cs="Times New Roman"/>
          <w:color w:val="000000"/>
          <w14:ligatures w14:val="standardContextual"/>
          <w14:numForm w14:val="lining"/>
          <w14:numSpacing w14:val="proportional"/>
        </w:rPr>
        <w:t xml:space="preserve">. The Australian labour market </w:t>
      </w:r>
      <w:r w:rsidRPr="00E5087D">
        <w:rPr>
          <w:rFonts w:eastAsia="Calibri" w:cs="Times New Roman"/>
        </w:rPr>
        <w:t>has</w:t>
      </w:r>
      <w:r w:rsidRPr="00E5087D">
        <w:rPr>
          <w:rFonts w:eastAsia="Calibri" w:cs="Times New Roman"/>
          <w:color w:val="000000"/>
          <w14:ligatures w14:val="standardContextual"/>
          <w14:numForm w14:val="lining"/>
          <w14:numSpacing w14:val="proportional"/>
        </w:rPr>
        <w:t xml:space="preserve"> high rates of gender discrimination and sexual harassment across all industries, as captured at length in the Sex Discrimination Commissioner’s </w:t>
      </w:r>
      <w:r w:rsidRPr="3E880473">
        <w:rPr>
          <w:rFonts w:eastAsia="Calibri" w:cs="Times New Roman"/>
          <w:i/>
          <w:iCs/>
          <w:color w:val="000000"/>
          <w14:ligatures w14:val="standardContextual"/>
          <w14:numForm w14:val="lining"/>
          <w14:numSpacing w14:val="proportional"/>
        </w:rPr>
        <w:t xml:space="preserve">Time for Respect </w:t>
      </w:r>
      <w:r w:rsidRPr="00E5087D">
        <w:rPr>
          <w:rFonts w:eastAsia="Calibri" w:cs="Times New Roman"/>
          <w:color w:val="000000"/>
          <w14:ligatures w14:val="standardContextual"/>
          <w14:numForm w14:val="lining"/>
          <w14:numSpacing w14:val="proportional"/>
        </w:rPr>
        <w:t>report.</w:t>
      </w:r>
      <w:r w:rsidR="00E13239" w:rsidRPr="00E5087D">
        <w:rPr>
          <w:rFonts w:eastAsia="Calibri" w:cs="Times New Roman"/>
          <w:color w:val="000000"/>
          <w:vertAlign w:val="superscript"/>
          <w14:ligatures w14:val="standardContextual"/>
          <w14:numForm w14:val="lining"/>
          <w14:numSpacing w14:val="proportional"/>
        </w:rPr>
        <w:endnoteReference w:id="182"/>
      </w:r>
      <w:r w:rsidRPr="00E5087D">
        <w:rPr>
          <w:rFonts w:eastAsia="Calibri" w:cs="Times New Roman"/>
          <w:color w:val="000000"/>
          <w14:ligatures w14:val="standardContextual"/>
          <w14:numForm w14:val="lining"/>
          <w14:numSpacing w14:val="proportional"/>
        </w:rPr>
        <w:t xml:space="preserve"> On average, 41% of women have experienced workplace sexual harassment in the last five years, with 4% of those surviving rape or sexual assault. The situation is starker yet in the energy sector, which boasts the third highest incidence of workplace sexual harassment, with 71% of women having experienced sexual harassment in the last five years.</w:t>
      </w:r>
      <w:r w:rsidR="00E13239" w:rsidRPr="6BAE9FBC">
        <w:rPr>
          <w:rStyle w:val="EndnoteReference"/>
          <w:rFonts w:eastAsia="Arial" w:cs="Arial"/>
        </w:rPr>
        <w:endnoteReference w:id="183"/>
      </w:r>
      <w:r w:rsidR="00E13239" w:rsidRPr="00E5087D">
        <w:rPr>
          <w:rFonts w:eastAsia="Arial" w:cs="Arial"/>
        </w:rPr>
        <w:t xml:space="preserve"> </w:t>
      </w:r>
    </w:p>
    <w:p w14:paraId="4BB01906" w14:textId="2F687F75" w:rsidR="00E13239" w:rsidRPr="00E5087D" w:rsidRDefault="00E13239" w:rsidP="00C872D1">
      <w:pPr>
        <w:spacing w:after="120" w:line="276" w:lineRule="auto"/>
        <w:rPr>
          <w:rFonts w:eastAsia="Arial" w:cs="Arial"/>
        </w:rPr>
      </w:pPr>
      <w:r w:rsidRPr="7BCECA50">
        <w:rPr>
          <w:rFonts w:eastAsia="Arial" w:cs="Arial"/>
        </w:rPr>
        <w:t xml:space="preserve">Indeed, the energy sector has most of the workplace settings that </w:t>
      </w:r>
      <w:r w:rsidR="003538D7">
        <w:rPr>
          <w:rFonts w:eastAsia="Arial" w:cs="Arial"/>
        </w:rPr>
        <w:t xml:space="preserve">create </w:t>
      </w:r>
      <w:r w:rsidRPr="7BCECA50">
        <w:rPr>
          <w:rFonts w:eastAsia="Arial" w:cs="Arial"/>
        </w:rPr>
        <w:t>a higher risk of sexual harassment</w:t>
      </w:r>
      <w:r w:rsidR="003538D7">
        <w:rPr>
          <w:rFonts w:eastAsia="Arial" w:cs="Arial"/>
        </w:rPr>
        <w:t>,</w:t>
      </w:r>
      <w:r w:rsidRPr="7BCECA50">
        <w:rPr>
          <w:rFonts w:eastAsia="Arial" w:cs="Arial"/>
        </w:rPr>
        <w:t xml:space="preserve"> including: </w:t>
      </w:r>
    </w:p>
    <w:p w14:paraId="3DBCC79B"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 xml:space="preserve">male-dominated industries </w:t>
      </w:r>
    </w:p>
    <w:p w14:paraId="0E4269A4"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workplaces with a masculine culture</w:t>
      </w:r>
    </w:p>
    <w:p w14:paraId="24DB745F"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workplaces with a high-level of contact with third parties, including customers, clients or patients</w:t>
      </w:r>
    </w:p>
    <w:p w14:paraId="120C3868" w14:textId="77777777"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 xml:space="preserve">workplaces that are isolated or remote </w:t>
      </w:r>
    </w:p>
    <w:p w14:paraId="79DCA3BA" w14:textId="5709DF1F" w:rsidR="00E13239" w:rsidRPr="00E5087D" w:rsidRDefault="00E13239" w:rsidP="00F25595">
      <w:pPr>
        <w:pStyle w:val="ListParagraph"/>
        <w:numPr>
          <w:ilvl w:val="0"/>
          <w:numId w:val="92"/>
        </w:numPr>
        <w:spacing w:after="120" w:line="276" w:lineRule="auto"/>
        <w:contextualSpacing w:val="0"/>
        <w:rPr>
          <w:rFonts w:eastAsia="Arial" w:cs="Arial"/>
        </w:rPr>
      </w:pPr>
      <w:r w:rsidRPr="00E5087D">
        <w:rPr>
          <w:rFonts w:eastAsia="Arial" w:cs="Arial"/>
        </w:rPr>
        <w:t>workplaces that are organised according to a hierarchical structure</w:t>
      </w:r>
      <w:r w:rsidR="2DB29009" w:rsidRPr="00E5087D">
        <w:rPr>
          <w:rFonts w:eastAsia="Arial" w:cs="Arial"/>
        </w:rPr>
        <w:t>.</w:t>
      </w:r>
      <w:r w:rsidRPr="299F47D1">
        <w:rPr>
          <w:rStyle w:val="EndnoteReference"/>
          <w:rFonts w:eastAsia="Arial" w:cs="Arial"/>
        </w:rPr>
        <w:endnoteReference w:id="184"/>
      </w:r>
    </w:p>
    <w:p w14:paraId="3C8BBADC" w14:textId="7BC90142" w:rsidR="00E13239" w:rsidRPr="00E5087D" w:rsidRDefault="00C67B06" w:rsidP="00C872D1">
      <w:pPr>
        <w:spacing w:before="240" w:after="120" w:line="276" w:lineRule="auto"/>
        <w:rPr>
          <w:rStyle w:val="FootnoteReference"/>
          <w:rFonts w:eastAsia="Calibri" w:cs="Times New Roman"/>
        </w:rPr>
      </w:pPr>
      <w:r>
        <w:rPr>
          <w:rFonts w:eastAsia="Calibri" w:cs="Times New Roman"/>
          <w:color w:val="000000"/>
          <w14:ligatures w14:val="standardContextual"/>
          <w14:numForm w14:val="lining"/>
          <w14:numSpacing w14:val="proportional"/>
        </w:rPr>
        <w:t>D</w:t>
      </w:r>
      <w:r w:rsidRPr="00C67B06">
        <w:rPr>
          <w:rFonts w:eastAsia="Calibri" w:cs="Times New Roman"/>
          <w:color w:val="000000"/>
          <w14:ligatures w14:val="standardContextual"/>
          <w14:numForm w14:val="lining"/>
          <w14:numSpacing w14:val="proportional"/>
        </w:rPr>
        <w:t>espite the high incidence of sexual harassment, employees in the energy and mining sectors were among those least likely to make a formal report or complaint</w:t>
      </w:r>
      <w:r w:rsidR="02A76177" w:rsidRPr="00E5087D">
        <w:rPr>
          <w:rFonts w:eastAsia="Calibri" w:cs="Times New Roman"/>
          <w:color w:val="000000"/>
          <w14:ligatures w14:val="standardContextual"/>
          <w14:numForm w14:val="lining"/>
          <w14:numSpacing w14:val="proportional"/>
        </w:rPr>
        <w:t>.</w:t>
      </w:r>
      <w:r w:rsidR="02A76177" w:rsidRPr="01137767">
        <w:rPr>
          <w:rStyle w:val="EndnoteReference"/>
          <w:rFonts w:eastAsia="Calibri" w:cs="Times New Roman"/>
        </w:rPr>
        <w:endnoteReference w:id="185"/>
      </w:r>
      <w:r w:rsidR="02A76177" w:rsidRPr="00E5087D">
        <w:rPr>
          <w:rFonts w:eastAsia="Calibri" w:cs="Times New Roman"/>
          <w:color w:val="000000"/>
          <w14:ligatures w14:val="standardContextual"/>
          <w14:numForm w14:val="lining"/>
          <w14:numSpacing w14:val="proportional"/>
        </w:rPr>
        <w:t xml:space="preserve"> Further, very few reports result in formal reprimand, and extremely few are externally pursued by unions, courts or </w:t>
      </w:r>
      <w:r w:rsidR="02A76177" w:rsidRPr="00E5087D">
        <w:rPr>
          <w14:numForm w14:val="lining"/>
          <w14:numSpacing w14:val="proportional"/>
        </w:rPr>
        <w:t>anti-discrimination bodies, feeding the notion that there is little point to reporting. Without intervention, t</w:t>
      </w:r>
      <w:r w:rsidR="02A76177" w:rsidRPr="00E5087D">
        <w:rPr>
          <w:rFonts w:eastAsia="Calibri" w:cs="Times New Roman"/>
          <w:color w:val="000000"/>
          <w14:ligatures w14:val="standardContextual"/>
          <w14:numForm w14:val="lining"/>
          <w14:numSpacing w14:val="proportional"/>
        </w:rPr>
        <w:t>here is a major risk that these unsafe work cultures will continue and carry over into the emerging clean energy sector.</w:t>
      </w:r>
      <w:r w:rsidR="138496CB" w:rsidRPr="1058F0F7">
        <w:rPr>
          <w:rFonts w:eastAsia="Calibri" w:cs="Times New Roman"/>
        </w:rPr>
        <w:t xml:space="preserve"> A 2018 survey </w:t>
      </w:r>
      <w:r w:rsidR="54D6972B" w:rsidRPr="1058F0F7">
        <w:rPr>
          <w:rFonts w:eastAsia="Calibri" w:cs="Times New Roman"/>
        </w:rPr>
        <w:t>of women in engineering</w:t>
      </w:r>
      <w:r w:rsidR="138496CB" w:rsidRPr="1058F0F7">
        <w:rPr>
          <w:rFonts w:eastAsia="Calibri" w:cs="Times New Roman"/>
        </w:rPr>
        <w:t xml:space="preserve"> revealed that </w:t>
      </w:r>
      <w:r w:rsidR="138496CB" w:rsidRPr="1058F0F7">
        <w:rPr>
          <w:rFonts w:eastAsia="Arial" w:cs="Arial"/>
        </w:rPr>
        <w:t>47.1% of female respondents reported they had experienced gender discrimination</w:t>
      </w:r>
      <w:r w:rsidR="33C94E04" w:rsidRPr="1058F0F7">
        <w:rPr>
          <w:rFonts w:eastAsia="Arial" w:cs="Arial"/>
        </w:rPr>
        <w:t xml:space="preserve">. </w:t>
      </w:r>
      <w:r w:rsidR="138496CB" w:rsidRPr="1058F0F7">
        <w:rPr>
          <w:rFonts w:eastAsia="Arial" w:cs="Arial"/>
        </w:rPr>
        <w:t>Women were also far more likely to report age discrimination than their male counterparts.</w:t>
      </w:r>
    </w:p>
    <w:p w14:paraId="37F182F6" w14:textId="77777777" w:rsidR="00C872D1" w:rsidRDefault="00C872D1">
      <w:pPr>
        <w:rPr>
          <w14:numForm w14:val="lining"/>
          <w14:numSpacing w14:val="proportional"/>
        </w:rPr>
      </w:pPr>
      <w:r>
        <w:rPr>
          <w14:numForm w14:val="lining"/>
          <w14:numSpacing w14:val="proportional"/>
        </w:rPr>
        <w:br w:type="page"/>
      </w:r>
    </w:p>
    <w:p w14:paraId="266CC69B" w14:textId="7ACEE4D2" w:rsidR="00E13239" w:rsidRDefault="0095566B" w:rsidP="00F00838">
      <w:pPr>
        <w:spacing w:after="240" w:line="276" w:lineRule="auto"/>
        <w:rPr>
          <w14:numForm w14:val="lining"/>
          <w14:numSpacing w14:val="proportional"/>
        </w:rPr>
      </w:pPr>
      <w:r w:rsidRPr="00BB2E09">
        <w:rPr>
          <w:noProof/>
        </w:rPr>
        <mc:AlternateContent>
          <mc:Choice Requires="wpg">
            <w:drawing>
              <wp:anchor distT="0" distB="0" distL="114300" distR="114300" simplePos="0" relativeHeight="251658323" behindDoc="1" locked="0" layoutInCell="1" allowOverlap="1" wp14:anchorId="386D97BF" wp14:editId="03F207F9">
                <wp:simplePos x="0" y="0"/>
                <wp:positionH relativeFrom="column">
                  <wp:posOffset>-10450</wp:posOffset>
                </wp:positionH>
                <wp:positionV relativeFrom="paragraph">
                  <wp:posOffset>2142309</wp:posOffset>
                </wp:positionV>
                <wp:extent cx="5731510" cy="2847701"/>
                <wp:effectExtent l="0" t="0" r="21590" b="10160"/>
                <wp:wrapNone/>
                <wp:docPr id="177" name="Group 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2847701"/>
                          <a:chOff x="0" y="41991"/>
                          <a:chExt cx="5880735" cy="2408206"/>
                        </a:xfrm>
                      </wpg:grpSpPr>
                      <wps:wsp>
                        <wps:cNvPr id="178" name="Rectangle: Top Corners Rounded 178"/>
                        <wps:cNvSpPr/>
                        <wps:spPr>
                          <a:xfrm>
                            <a:off x="0" y="41991"/>
                            <a:ext cx="1833768" cy="190743"/>
                          </a:xfrm>
                          <a:prstGeom prst="round2SameRect">
                            <a:avLst/>
                          </a:prstGeom>
                          <a:solidFill>
                            <a:srgbClr val="E1D2F6"/>
                          </a:solidFill>
                          <a:ln>
                            <a:solidFill>
                              <a:srgbClr val="E1D2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74D778" w14:textId="57631D29"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79" name="Rectangle 179"/>
                        <wps:cNvSpPr/>
                        <wps:spPr>
                          <a:xfrm>
                            <a:off x="0" y="229914"/>
                            <a:ext cx="5880735" cy="2220283"/>
                          </a:xfrm>
                          <a:prstGeom prst="rect">
                            <a:avLst/>
                          </a:prstGeom>
                          <a:solidFill>
                            <a:srgbClr val="F2F2F2"/>
                          </a:solidFill>
                          <a:ln>
                            <a:solidFill>
                              <a:srgbClr val="E1D2F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313F4E" w14:textId="4BC1A775" w:rsidR="00E13239" w:rsidRPr="00312DEB" w:rsidRDefault="00E13239" w:rsidP="00C73CB9">
                              <w:pPr>
                                <w:pStyle w:val="ListParagraph"/>
                                <w:spacing w:after="120"/>
                                <w:ind w:left="284"/>
                                <w:contextualSpacing w:val="0"/>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6D97BF" id="Group 177" o:spid="_x0000_s1203" alt="&quot;&quot;" style="position:absolute;margin-left:-.8pt;margin-top:168.7pt;width:451.3pt;height:224.25pt;z-index:-251658157;mso-position-horizontal-relative:text;mso-position-vertical-relative:text;mso-height-relative:margin" coordorigin=",419" coordsize="58807,2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">
                <v:shape id="Rectangle: Top Corners Rounded 178" o:spid="_x0000_s1204" style="position:absolute;top:419;width:18337;height:1908;visibility:visible;mso-wrap-style:square;v-text-anchor:middle" coordsize="1833768,1907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" adj="-11796480,,5400" path="m31791,l1801977,v17558,,31791,14233,31791,31791l1833768,190743r,l,190743r,l,31791c,14233,14233,,31791,xe" fillcolor="#e1d2f6" strokecolor="#e1d2f6" strokeweight="1pt">
                  <v:stroke joinstyle="miter"/>
                  <v:formulas/>
                  <v:path arrowok="t" o:connecttype="custom" o:connectlocs="31791,0;1801977,0;1833768,31791;1833768,190743;1833768,190743;0,190743;0,190743;0,31791;31791,0" o:connectangles="0,0,0,0,0,0,0,0,0" textboxrect="0,0,1833768,190743"/>
                  <v:textbox inset=",0,,0">
                    <w:txbxContent>
                      <w:p w14:paraId="7C74D778" w14:textId="57631D29" w:rsidR="00E13239" w:rsidRPr="006E07A7" w:rsidRDefault="00E13239" w:rsidP="00E13239">
                        <w:pPr>
                          <w:spacing w:after="0" w:line="240" w:lineRule="auto"/>
                          <w:rPr>
                            <w:b/>
                            <w:bCs/>
                            <w14:numForm w14:val="lining"/>
                            <w14:numSpacing w14:val="proportional"/>
                          </w:rPr>
                        </w:pPr>
                      </w:p>
                    </w:txbxContent>
                  </v:textbox>
                </v:shape>
                <v:rect id="Rectangle 179" o:spid="_x0000_s1205" style="position:absolute;top:2299;width:58807;height:22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" fillcolor="#f2f2f2" strokecolor="#e1d2f6" strokeweight="1pt">
                  <v:textbox inset="2mm,1mm,2mm,1mm">
                    <w:txbxContent>
                      <w:p w14:paraId="60313F4E" w14:textId="4BC1A775" w:rsidR="00E13239" w:rsidRPr="00312DEB" w:rsidRDefault="00E13239" w:rsidP="00C73CB9">
                        <w:pPr>
                          <w:pStyle w:val="ListParagraph"/>
                          <w:spacing w:after="120"/>
                          <w:ind w:left="284"/>
                          <w:contextualSpacing w:val="0"/>
                          <w:rPr>
                            <w:rFonts w:eastAsia="Calibri" w:cs="Times New Roman"/>
                            <w:color w:val="000000"/>
                            <w14:ligatures w14:val="standardContextual"/>
                          </w:rPr>
                        </w:pPr>
                      </w:p>
                    </w:txbxContent>
                  </v:textbox>
                </v:rect>
              </v:group>
            </w:pict>
          </mc:Fallback>
        </mc:AlternateContent>
      </w:r>
      <w:r w:rsidR="00E13239" w:rsidRPr="00E5087D">
        <w:rPr>
          <w14:numForm w14:val="lining"/>
          <w14:numSpacing w14:val="proportional"/>
        </w:rPr>
        <w:t xml:space="preserve">Workplace sexual harassment is primarily caused by imbalances in power and whilst governments have an important role in legislating, enforcing and promoting safe workplaces in Australia, transformative cultural change is also needed. This report supports the findings and reforms that have come out of the Respect@Work: Sexual Harassment National Inquiry Report (2020) by the Australian Human Rights Commission, including the more multifaceted and whole-of-community response needed to </w:t>
      </w:r>
      <w:r w:rsidR="00D855F0" w:rsidRPr="00E5087D">
        <w:rPr>
          <w14:numForm w14:val="lining"/>
          <w14:numSpacing w14:val="proportional"/>
        </w:rPr>
        <w:t>tackle</w:t>
      </w:r>
      <w:r w:rsidR="00E13239" w:rsidRPr="00E5087D">
        <w:rPr>
          <w14:numForm w14:val="lining"/>
          <w14:numSpacing w14:val="proportional"/>
        </w:rPr>
        <w:t xml:space="preserve"> sexual harassment and providing employers with the guidance they need. However, considering the scale of the workforce needed for the transition to clean energy, there should be </w:t>
      </w:r>
      <w:r w:rsidR="009B0510" w:rsidRPr="00E5087D">
        <w:rPr>
          <w14:numForm w14:val="lining"/>
          <w14:numSpacing w14:val="proportional"/>
        </w:rPr>
        <w:t>pre-emptive</w:t>
      </w:r>
      <w:r w:rsidR="00E13239" w:rsidRPr="00E5087D">
        <w:rPr>
          <w14:numForm w14:val="lining"/>
          <w14:numSpacing w14:val="proportional"/>
        </w:rPr>
        <w:t xml:space="preserve">, targeted approaches to ensure workplace safety for women in the sector and an </w:t>
      </w:r>
      <w:r w:rsidR="009B0510" w:rsidRPr="00E5087D">
        <w:rPr>
          <w14:numForm w14:val="lining"/>
          <w14:numSpacing w14:val="proportional"/>
        </w:rPr>
        <w:t>acknowledgement</w:t>
      </w:r>
      <w:r w:rsidR="00E13239" w:rsidRPr="00E5087D">
        <w:rPr>
          <w14:numForm w14:val="lining"/>
          <w14:numSpacing w14:val="proportional"/>
        </w:rPr>
        <w:t xml:space="preserve"> that safe workplaces are ultimately the responsibility of industry (employers and employees) to improve the sector’s culture.</w:t>
      </w:r>
    </w:p>
    <w:p w14:paraId="5442A913" w14:textId="53B281F2" w:rsidR="00C73CB9" w:rsidRDefault="00C73CB9" w:rsidP="00C73CB9">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8.1</w:t>
      </w:r>
    </w:p>
    <w:p w14:paraId="6BB9D193" w14:textId="3DFC6C53" w:rsidR="00C73CB9" w:rsidRDefault="00C73CB9" w:rsidP="00C73CB9">
      <w:pPr>
        <w:spacing w:before="200" w:after="120" w:line="240" w:lineRule="auto"/>
        <w:ind w:left="170" w:right="113"/>
        <w:rPr>
          <w:rFonts w:eastAsia="Calibri" w:cs="Times New Roman"/>
          <w:color w:val="000000"/>
          <w14:ligatures w14:val="standardContextual"/>
        </w:rPr>
      </w:pPr>
      <w:r>
        <w:rPr>
          <w:rFonts w:eastAsia="Calibri" w:cs="Times New Roman"/>
          <w:color w:val="000000"/>
          <w14:ligatures w14:val="standardContextual"/>
        </w:rPr>
        <w:t>A leading priority for the National Energy Workforce Strategy and the Jobs and Skills Councils should be to explore pre-emptive targeted interventions to increase women’s safe and successful participation in the clean energy workforce. This includes measures such as:</w:t>
      </w:r>
    </w:p>
    <w:p w14:paraId="52A9F49B" w14:textId="67491C48"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Targeted recruitment drives and training programs, as well as accountability measures and targets</w:t>
      </w:r>
    </w:p>
    <w:p w14:paraId="5D19B00E" w14:textId="54FBE497"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Employer focused initiatives to promote gender representation in hiring processes and women’s independence and decision making in the workplace</w:t>
      </w:r>
    </w:p>
    <w:p w14:paraId="3D83E972" w14:textId="77777777"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Support for flexible working arrangements, including for apprentices</w:t>
      </w:r>
    </w:p>
    <w:p w14:paraId="089F8486" w14:textId="77777777" w:rsidR="00C73CB9"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Mandating the provision of suitable amenities for all workers</w:t>
      </w:r>
    </w:p>
    <w:p w14:paraId="6AABAE71" w14:textId="6105B339" w:rsidR="00C73CB9" w:rsidRPr="00312DEB" w:rsidRDefault="00C73CB9" w:rsidP="00F25595">
      <w:pPr>
        <w:pStyle w:val="ListParagraph"/>
        <w:numPr>
          <w:ilvl w:val="0"/>
          <w:numId w:val="48"/>
        </w:numPr>
        <w:spacing w:after="120" w:line="240" w:lineRule="auto"/>
        <w:ind w:left="369" w:right="170" w:hanging="142"/>
        <w:contextualSpacing w:val="0"/>
        <w:rPr>
          <w:rFonts w:eastAsia="Calibri" w:cs="Times New Roman"/>
          <w:color w:val="000000"/>
          <w14:ligatures w14:val="standardContextual"/>
        </w:rPr>
      </w:pPr>
      <w:r>
        <w:rPr>
          <w:rFonts w:eastAsia="Calibri" w:cs="Times New Roman"/>
          <w:color w:val="000000"/>
          <w14:ligatures w14:val="standardContextual"/>
        </w:rPr>
        <w:t>Concrete and practical programs to improve the safety, culture and appeal of the sector for women and all underrepresented groups</w:t>
      </w:r>
      <w:r w:rsidR="000A3524">
        <w:rPr>
          <w:rFonts w:eastAsia="Calibri" w:cs="Times New Roman"/>
          <w:color w:val="000000"/>
          <w14:ligatures w14:val="standardContextual"/>
        </w:rPr>
        <w:t>.</w:t>
      </w:r>
    </w:p>
    <w:p w14:paraId="585E73E8" w14:textId="77777777" w:rsidR="00E13239" w:rsidRPr="00E5087D" w:rsidRDefault="00E13239" w:rsidP="00E13239">
      <w:pPr>
        <w:rPr>
          <w:rFonts w:eastAsiaTheme="majorEastAsia" w:cstheme="majorBidi"/>
          <w:b/>
          <w:sz w:val="32"/>
          <w:szCs w:val="26"/>
        </w:rPr>
      </w:pPr>
      <w:r w:rsidRPr="00E5087D">
        <w:br w:type="page"/>
      </w:r>
    </w:p>
    <w:p w14:paraId="3A916FD6" w14:textId="77777777" w:rsidR="00E13239" w:rsidRPr="00E5087D" w:rsidRDefault="00E13239" w:rsidP="00E13239">
      <w:pPr>
        <w:pStyle w:val="Heading3"/>
      </w:pPr>
      <w:r w:rsidRPr="00E5087D">
        <w:t>First Nations</w:t>
      </w:r>
    </w:p>
    <w:p w14:paraId="787C3570" w14:textId="219E5048" w:rsidR="00E13239" w:rsidRPr="00E5087D" w:rsidRDefault="00E13239" w:rsidP="00E13239">
      <w:pPr>
        <w:spacing w:line="276" w:lineRule="auto"/>
        <w:rPr>
          <w14:numForm w14:val="lining"/>
          <w14:numSpacing w14:val="proportional"/>
        </w:rPr>
      </w:pPr>
      <w:r w:rsidRPr="00E5087D">
        <w:rPr>
          <w14:numForm w14:val="lining"/>
          <w14:numSpacing w14:val="proportional"/>
        </w:rPr>
        <w:t xml:space="preserve">Aboriginal and Torres Strait Islander people are the First Nations peoples of Australia, </w:t>
      </w:r>
      <w:r w:rsidR="00B94915">
        <w:rPr>
          <w14:numForm w14:val="lining"/>
          <w14:numSpacing w14:val="proportional"/>
        </w:rPr>
        <w:t>comprising</w:t>
      </w:r>
      <w:r w:rsidRPr="00E5087D">
        <w:rPr>
          <w14:numForm w14:val="lining"/>
          <w14:numSpacing w14:val="proportional"/>
        </w:rPr>
        <w:t xml:space="preserve"> an estimated </w:t>
      </w:r>
      <w:bookmarkStart w:id="84" w:name="_Hlk142556606"/>
      <w:r w:rsidRPr="00E5087D">
        <w:rPr>
          <w14:numForm w14:val="lining"/>
          <w14:numSpacing w14:val="proportional"/>
        </w:rPr>
        <w:t>3.8% of the total population</w:t>
      </w:r>
      <w:bookmarkEnd w:id="84"/>
      <w:r w:rsidRPr="00E5087D">
        <w:rPr>
          <w14:numForm w14:val="lining"/>
          <w14:numSpacing w14:val="proportional"/>
        </w:rPr>
        <w:t>.</w:t>
      </w:r>
      <w:r w:rsidRPr="00E5087D">
        <w:rPr>
          <w:rStyle w:val="EndnoteReference"/>
          <w14:numForm w14:val="lining"/>
          <w14:numSpacing w14:val="proportional"/>
        </w:rPr>
        <w:endnoteReference w:id="186"/>
      </w:r>
      <w:r w:rsidRPr="00E5087D">
        <w:rPr>
          <w14:numForm w14:val="lining"/>
          <w14:numSpacing w14:val="proportional"/>
        </w:rPr>
        <w:t xml:space="preserve">  The National Agreement on Closing the Gap is the primary vehicle through which Australian </w:t>
      </w:r>
      <w:r w:rsidR="00C81D4F">
        <w:rPr>
          <w14:numForm w14:val="lining"/>
          <w14:numSpacing w14:val="proportional"/>
        </w:rPr>
        <w:t>g</w:t>
      </w:r>
      <w:r w:rsidRPr="00E5087D">
        <w:rPr>
          <w14:numForm w14:val="lining"/>
          <w14:numSpacing w14:val="proportional"/>
        </w:rPr>
        <w:t xml:space="preserve">overnments track progress on addressing and reversing socioeconomic disadvantages experienced by First Nations </w:t>
      </w:r>
      <w:r w:rsidR="00AB7909">
        <w:rPr>
          <w14:numForm w14:val="lining"/>
          <w14:numSpacing w14:val="proportional"/>
        </w:rPr>
        <w:t>people</w:t>
      </w:r>
      <w:r w:rsidRPr="00E5087D">
        <w:rPr>
          <w14:numForm w14:val="lining"/>
          <w14:numSpacing w14:val="proportional"/>
        </w:rPr>
        <w:t xml:space="preserve">. For this study and our remit to explore opportunities for, and barriers to, full participation in the clean energy sector for First Nations </w:t>
      </w:r>
      <w:r w:rsidR="00AB7909">
        <w:rPr>
          <w14:numForm w14:val="lining"/>
          <w14:numSpacing w14:val="proportional"/>
        </w:rPr>
        <w:t>people</w:t>
      </w:r>
      <w:r w:rsidRPr="00E5087D">
        <w:rPr>
          <w14:numForm w14:val="lining"/>
          <w14:numSpacing w14:val="proportional"/>
        </w:rPr>
        <w:t xml:space="preserve">, the outcomes and targets that are most front-of-mind are those relating to education and training; (see </w:t>
      </w:r>
      <w:r w:rsidRPr="00085EF8">
        <w:rPr>
          <w:b/>
          <w14:numForm w14:val="lining"/>
          <w14:numSpacing w14:val="proportional"/>
        </w:rPr>
        <w:t>Chapter 7</w:t>
      </w:r>
      <w:r w:rsidRPr="00E5087D">
        <w:rPr>
          <w14:numForm w14:val="lining"/>
          <w14:numSpacing w14:val="proportional"/>
        </w:rPr>
        <w:t xml:space="preserve">), employment; and rights and interests in land and waters. </w:t>
      </w:r>
    </w:p>
    <w:p w14:paraId="501AFB94" w14:textId="34882BFD" w:rsidR="00E13239" w:rsidRPr="00E5087D" w:rsidRDefault="00E13239" w:rsidP="00E13239">
      <w:pPr>
        <w:keepNext/>
        <w:keepLines/>
        <w:spacing w:before="240" w:after="120" w:line="240" w:lineRule="auto"/>
        <w:outlineLvl w:val="2"/>
        <w:rPr>
          <w:rFonts w:eastAsiaTheme="majorEastAsia" w:cstheme="majorBidi"/>
          <w:b/>
          <w:sz w:val="24"/>
          <w:szCs w:val="24"/>
          <w14:numForm w14:val="lining"/>
          <w14:numSpacing w14:val="proportional"/>
        </w:rPr>
      </w:pPr>
      <w:r w:rsidRPr="00E5087D">
        <w:rPr>
          <w:rFonts w:eastAsiaTheme="majorEastAsia" w:cstheme="majorBidi"/>
          <w:b/>
          <w:bCs/>
          <w:sz w:val="24"/>
          <w:szCs w:val="24"/>
          <w14:numForm w14:val="lining"/>
          <w14:numSpacing w14:val="proportional"/>
        </w:rPr>
        <w:t xml:space="preserve">Low First Nations </w:t>
      </w:r>
      <w:r w:rsidR="0C0B61E2" w:rsidRPr="03D1716F">
        <w:rPr>
          <w:rFonts w:eastAsiaTheme="majorEastAsia" w:cstheme="majorBidi"/>
          <w:b/>
          <w:bCs/>
          <w:sz w:val="24"/>
          <w:szCs w:val="24"/>
          <w14:numForm w14:val="lining"/>
          <w14:numSpacing w14:val="proportional"/>
        </w:rPr>
        <w:t>e</w:t>
      </w:r>
      <w:r w:rsidRPr="03D1716F">
        <w:rPr>
          <w:rFonts w:eastAsiaTheme="majorEastAsia" w:cstheme="majorBidi"/>
          <w:b/>
          <w:bCs/>
          <w:sz w:val="24"/>
          <w:szCs w:val="24"/>
          <w14:numForm w14:val="lining"/>
          <w14:numSpacing w14:val="proportional"/>
        </w:rPr>
        <w:t>mployment</w:t>
      </w:r>
      <w:r w:rsidRPr="00E5087D">
        <w:rPr>
          <w:rFonts w:eastAsiaTheme="majorEastAsia" w:cstheme="majorBidi"/>
          <w:b/>
          <w:bCs/>
          <w:sz w:val="24"/>
          <w:szCs w:val="24"/>
          <w14:numForm w14:val="lining"/>
          <w14:numSpacing w14:val="proportional"/>
        </w:rPr>
        <w:t xml:space="preserve"> and large barriers to overcome</w:t>
      </w:r>
    </w:p>
    <w:p w14:paraId="44751C1D" w14:textId="546150A2" w:rsidR="00E13239" w:rsidRPr="00E5087D" w:rsidRDefault="00E13239" w:rsidP="03D1716F">
      <w:pPr>
        <w:spacing w:after="120" w:line="276" w:lineRule="auto"/>
        <w:rPr>
          <w:rFonts w:eastAsia="Arial" w:cs="Arial"/>
        </w:rPr>
      </w:pPr>
      <w:r w:rsidRPr="00E5087D">
        <w:rPr>
          <w:rFonts w:cs="Arial"/>
          <w14:numForm w14:val="lining"/>
          <w14:numSpacing w14:val="proportional"/>
        </w:rPr>
        <w:t xml:space="preserve">Australia has a </w:t>
      </w:r>
      <w:r w:rsidR="00D96798">
        <w:rPr>
          <w:rFonts w:cs="Arial"/>
          <w14:numForm w14:val="lining"/>
          <w14:numSpacing w14:val="proportional"/>
        </w:rPr>
        <w:t xml:space="preserve">long and </w:t>
      </w:r>
      <w:r w:rsidRPr="00E5087D">
        <w:rPr>
          <w:rFonts w:cs="Arial"/>
          <w14:numForm w14:val="lining"/>
          <w14:numSpacing w14:val="proportional"/>
        </w:rPr>
        <w:t xml:space="preserve">complicated history </w:t>
      </w:r>
      <w:r w:rsidR="00345D96">
        <w:rPr>
          <w:rFonts w:cs="Arial"/>
          <w14:numForm w14:val="lining"/>
          <w14:numSpacing w14:val="proportional"/>
        </w:rPr>
        <w:t>of ineffective policy responses to low levels of</w:t>
      </w:r>
      <w:r w:rsidRPr="00E5087D">
        <w:rPr>
          <w:rFonts w:cs="Arial"/>
          <w14:numForm w14:val="lining"/>
          <w14:numSpacing w14:val="proportional"/>
        </w:rPr>
        <w:t xml:space="preserve"> First Nations employment, which has been significantly lower than the non-Indigenous population, less secure and lower paid. </w:t>
      </w:r>
      <w:r w:rsidR="3493B2C9" w:rsidRPr="03D1716F">
        <w:rPr>
          <w:rFonts w:eastAsia="Arial" w:cs="Arial"/>
        </w:rPr>
        <w:t xml:space="preserve">At the most recent census the employment rate for First Nations </w:t>
      </w:r>
      <w:r w:rsidR="00AB7909">
        <w:rPr>
          <w:rFonts w:eastAsia="Arial" w:cs="Arial"/>
        </w:rPr>
        <w:t>people</w:t>
      </w:r>
      <w:r w:rsidR="3493B2C9" w:rsidRPr="03D1716F">
        <w:rPr>
          <w:rFonts w:eastAsia="Arial" w:cs="Arial"/>
        </w:rPr>
        <w:t xml:space="preserve"> aged 15–64 was 52%</w:t>
      </w:r>
      <w:r w:rsidR="003865C3">
        <w:rPr>
          <w:rFonts w:eastAsia="Arial" w:cs="Arial"/>
        </w:rPr>
        <w:t xml:space="preserve"> compared to the population wide employment rate of </w:t>
      </w:r>
      <w:r w:rsidR="003865C3" w:rsidRPr="003865C3">
        <w:rPr>
          <w:rFonts w:eastAsia="Arial" w:cs="Arial"/>
        </w:rPr>
        <w:t>64.5%</w:t>
      </w:r>
      <w:r w:rsidR="3493B2C9" w:rsidRPr="03D1716F">
        <w:rPr>
          <w:rFonts w:eastAsia="Arial" w:cs="Arial"/>
        </w:rPr>
        <w:t>.</w:t>
      </w:r>
      <w:r w:rsidRPr="03D1716F">
        <w:rPr>
          <w:rStyle w:val="EndnoteReference"/>
          <w:rFonts w:eastAsia="Arial" w:cs="Arial"/>
        </w:rPr>
        <w:endnoteReference w:id="187"/>
      </w:r>
      <w:r w:rsidR="2D4151F7" w:rsidRPr="03D1716F">
        <w:rPr>
          <w:rFonts w:eastAsia="Arial" w:cs="Arial"/>
        </w:rPr>
        <w:t xml:space="preserve"> </w:t>
      </w:r>
      <w:r w:rsidR="3493B2C9" w:rsidRPr="03D1716F">
        <w:rPr>
          <w:rFonts w:eastAsia="Arial" w:cs="Arial"/>
        </w:rPr>
        <w:t>Employment provides financial and economic security and has positive flow on effects for the health and wellbeing of individuals and communities. First Nations people are critical to Australia’s workforce and economy, yet continue to face significant structural barriers to work, spurred by poor health outcomes, lower levels of education and training, higher levels of contact with the criminal justice system, and experiences of racism and discrimination that impact hiring, retention and career progression</w:t>
      </w:r>
      <w:r w:rsidR="40D0932F" w:rsidRPr="03D1716F">
        <w:rPr>
          <w:rFonts w:eastAsia="Arial" w:cs="Arial"/>
        </w:rPr>
        <w:t>.</w:t>
      </w:r>
      <w:r w:rsidRPr="03D1716F">
        <w:rPr>
          <w:rStyle w:val="EndnoteReference"/>
          <w:rFonts w:eastAsia="Arial" w:cs="Arial"/>
        </w:rPr>
        <w:endnoteReference w:id="188"/>
      </w:r>
    </w:p>
    <w:p w14:paraId="39A2F9CC" w14:textId="482F88C6" w:rsidR="00E13239" w:rsidRPr="00E5087D" w:rsidRDefault="31A858BF" w:rsidP="03D1716F">
      <w:pPr>
        <w:spacing w:after="120" w:line="276" w:lineRule="auto"/>
        <w:rPr>
          <w:rFonts w:eastAsia="Arial" w:cs="Arial"/>
        </w:rPr>
      </w:pPr>
      <w:r w:rsidRPr="03D1716F">
        <w:rPr>
          <w:rFonts w:eastAsia="Arial" w:cs="Arial"/>
        </w:rPr>
        <w:t>Further, the Gari Yala Report highlights the role of identity strain and cultural load carried by First Nations people and the</w:t>
      </w:r>
      <w:r w:rsidR="00EC4E7F">
        <w:rPr>
          <w:rFonts w:eastAsia="Arial" w:cs="Arial"/>
        </w:rPr>
        <w:t>ir</w:t>
      </w:r>
      <w:r w:rsidRPr="03D1716F">
        <w:rPr>
          <w:rFonts w:eastAsia="Arial" w:cs="Arial"/>
        </w:rPr>
        <w:t xml:space="preserve"> impacts on hiring and retention. The report recommends employers invest in improving the cultural safety of their workplaces and the cultural competence of non-Indigenous staff as a means of improving the wellbeing and retention of First Nations employees.</w:t>
      </w:r>
      <w:r w:rsidR="00E13239" w:rsidRPr="03D1716F">
        <w:rPr>
          <w:rStyle w:val="EndnoteReference"/>
          <w:rFonts w:eastAsia="Arial" w:cs="Arial"/>
        </w:rPr>
        <w:endnoteReference w:id="189"/>
      </w:r>
    </w:p>
    <w:p w14:paraId="36323A34" w14:textId="23BC02AB" w:rsidR="00E13239" w:rsidRPr="00E5087D" w:rsidRDefault="00E13239" w:rsidP="00E13239">
      <w:pPr>
        <w:spacing w:after="120" w:line="276" w:lineRule="auto"/>
        <w:rPr>
          <w:rFonts w:eastAsia="Arial" w:cs="Arial"/>
        </w:rPr>
      </w:pPr>
      <w:r w:rsidRPr="00E5087D">
        <w:rPr>
          <w:rFonts w:cs="Arial"/>
          <w14:numForm w14:val="lining"/>
          <w14:numSpacing w14:val="proportional"/>
        </w:rPr>
        <w:t>The transitioning energy sector, particularly coal mining, has been a major employer of First Nations people, with employment levels at 3.4%</w:t>
      </w:r>
      <w:r w:rsidR="00D41018">
        <w:rPr>
          <w:rFonts w:cs="Arial"/>
          <w14:numForm w14:val="lining"/>
          <w14:numSpacing w14:val="proportional"/>
        </w:rPr>
        <w:t xml:space="preserve"> (above the labour force average of 1.9%)</w:t>
      </w:r>
      <w:r w:rsidRPr="00E5087D">
        <w:rPr>
          <w:rFonts w:cs="Arial"/>
          <w14:numForm w14:val="lining"/>
          <w14:numSpacing w14:val="proportional"/>
        </w:rPr>
        <w:t>.  The clean energy sector is yet to reach these levels, with First Nations employment levels around 1.9%</w:t>
      </w:r>
      <w:r w:rsidR="3930695D" w:rsidRPr="00E5087D">
        <w:rPr>
          <w:rFonts w:cs="Arial"/>
          <w14:numForm w14:val="lining"/>
          <w14:numSpacing w14:val="proportional"/>
        </w:rPr>
        <w:t xml:space="preserve"> </w:t>
      </w:r>
      <w:r w:rsidR="3930695D" w:rsidRPr="03D1716F">
        <w:rPr>
          <w:rFonts w:eastAsia="Arial" w:cs="Arial"/>
        </w:rPr>
        <w:t xml:space="preserve">(See </w:t>
      </w:r>
      <w:r w:rsidR="3930695D" w:rsidRPr="00085EF8">
        <w:rPr>
          <w:rFonts w:eastAsia="Arial" w:cs="Arial"/>
          <w:b/>
        </w:rPr>
        <w:t>Chapter 3</w:t>
      </w:r>
      <w:r w:rsidR="3930695D" w:rsidRPr="03D1716F">
        <w:rPr>
          <w:rFonts w:eastAsia="Arial" w:cs="Arial"/>
        </w:rPr>
        <w:t xml:space="preserve"> for a detailed breakdown of First Nations representation by Clean Energy </w:t>
      </w:r>
      <w:r w:rsidR="094DFBE7" w:rsidRPr="03D1716F">
        <w:rPr>
          <w:rFonts w:eastAsia="Arial" w:cs="Arial"/>
        </w:rPr>
        <w:t xml:space="preserve">overall and the </w:t>
      </w:r>
      <w:r w:rsidR="3930695D" w:rsidRPr="03D1716F">
        <w:rPr>
          <w:rFonts w:eastAsia="Arial" w:cs="Arial"/>
        </w:rPr>
        <w:t>Sub-Segment</w:t>
      </w:r>
      <w:r w:rsidR="454AE495" w:rsidRPr="03D1716F">
        <w:rPr>
          <w:rFonts w:eastAsia="Arial" w:cs="Arial"/>
        </w:rPr>
        <w:t>s</w:t>
      </w:r>
      <w:r w:rsidR="3930695D" w:rsidRPr="03D1716F">
        <w:rPr>
          <w:rFonts w:eastAsia="Arial" w:cs="Arial"/>
        </w:rPr>
        <w:t xml:space="preserve">). </w:t>
      </w:r>
    </w:p>
    <w:p w14:paraId="12B851A1" w14:textId="2118A5A8" w:rsidR="5838DB58" w:rsidRPr="00777D6A" w:rsidRDefault="5838DB58" w:rsidP="00304D92">
      <w:pPr>
        <w:spacing w:before="240" w:after="120" w:line="276" w:lineRule="auto"/>
        <w:rPr>
          <w:rFonts w:eastAsia="Arial" w:cs="Arial"/>
          <w:sz w:val="24"/>
          <w:szCs w:val="24"/>
        </w:rPr>
      </w:pPr>
      <w:r w:rsidRPr="00777D6A">
        <w:rPr>
          <w:rFonts w:eastAsia="Arial" w:cs="Arial"/>
          <w:b/>
          <w:sz w:val="24"/>
          <w:szCs w:val="24"/>
        </w:rPr>
        <w:t xml:space="preserve">Lessons learnt from First </w:t>
      </w:r>
      <w:r w:rsidR="00777D6A" w:rsidRPr="00777D6A">
        <w:rPr>
          <w:rFonts w:eastAsia="Arial" w:cs="Arial"/>
          <w:b/>
          <w:bCs/>
          <w:sz w:val="24"/>
          <w:szCs w:val="24"/>
        </w:rPr>
        <w:t>N</w:t>
      </w:r>
      <w:r w:rsidRPr="00777D6A">
        <w:rPr>
          <w:rFonts w:eastAsia="Arial" w:cs="Arial"/>
          <w:b/>
          <w:bCs/>
          <w:sz w:val="24"/>
          <w:szCs w:val="24"/>
        </w:rPr>
        <w:t>ations</w:t>
      </w:r>
      <w:r w:rsidRPr="00777D6A">
        <w:rPr>
          <w:rFonts w:eastAsia="Arial" w:cs="Arial"/>
          <w:b/>
          <w:sz w:val="24"/>
          <w:szCs w:val="24"/>
        </w:rPr>
        <w:t xml:space="preserve"> participation in </w:t>
      </w:r>
      <w:r w:rsidR="00777D6A">
        <w:rPr>
          <w:rFonts w:eastAsia="Arial" w:cs="Arial"/>
          <w:b/>
          <w:bCs/>
          <w:sz w:val="24"/>
          <w:szCs w:val="24"/>
        </w:rPr>
        <w:t>m</w:t>
      </w:r>
      <w:r w:rsidRPr="00777D6A">
        <w:rPr>
          <w:rFonts w:eastAsia="Arial" w:cs="Arial"/>
          <w:b/>
          <w:bCs/>
          <w:sz w:val="24"/>
          <w:szCs w:val="24"/>
        </w:rPr>
        <w:t>ining</w:t>
      </w:r>
    </w:p>
    <w:p w14:paraId="00DBC590" w14:textId="1E337F53" w:rsidR="29C67287" w:rsidRDefault="29C67287" w:rsidP="03D1716F">
      <w:pPr>
        <w:spacing w:after="120" w:line="276" w:lineRule="auto"/>
        <w:rPr>
          <w:rFonts w:eastAsia="Arial" w:cs="Arial"/>
        </w:rPr>
      </w:pPr>
      <w:r w:rsidRPr="03D1716F">
        <w:rPr>
          <w:rFonts w:eastAsia="Arial" w:cs="Arial"/>
        </w:rPr>
        <w:t xml:space="preserve">There has been some success in the transitioning energy sector and the mining industry in engaging First Nations employees, following a proactive approach to targeted First Nations employment in the early 2000’s. However, </w:t>
      </w:r>
      <w:r w:rsidR="099D1742" w:rsidRPr="03D1716F">
        <w:rPr>
          <w:rFonts w:eastAsia="Arial" w:cs="Arial"/>
        </w:rPr>
        <w:t xml:space="preserve">most </w:t>
      </w:r>
      <w:r w:rsidRPr="03D1716F">
        <w:rPr>
          <w:rFonts w:eastAsia="Arial" w:cs="Arial"/>
        </w:rPr>
        <w:t xml:space="preserve">of this employment has been in lower-paid unskilled or semi-skilled roles, with the majority occupying truck or plant operator positions. Further, First Nations women, who make up approximately 23% of the First Nations workforce in the mining industry, experience compounding racial and gendered </w:t>
      </w:r>
      <w:r w:rsidR="0469CBB9" w:rsidRPr="03D1716F">
        <w:rPr>
          <w:rFonts w:eastAsia="Arial" w:cs="Arial"/>
        </w:rPr>
        <w:t xml:space="preserve">workplace </w:t>
      </w:r>
      <w:r w:rsidRPr="03D1716F">
        <w:rPr>
          <w:rFonts w:eastAsia="Arial" w:cs="Arial"/>
        </w:rPr>
        <w:t>stratification and are similarly concentrated in lower-paid and unskilled or semi-skilled roles, commonly in administration and as cleaners and kitchen staff.</w:t>
      </w:r>
      <w:r w:rsidRPr="03D1716F">
        <w:rPr>
          <w:rStyle w:val="EndnoteReference"/>
          <w:rFonts w:eastAsia="Arial" w:cs="Arial"/>
        </w:rPr>
        <w:endnoteReference w:id="190"/>
      </w:r>
    </w:p>
    <w:p w14:paraId="677046D6" w14:textId="057D6828" w:rsidR="002E4CE8" w:rsidRPr="00ED22A4" w:rsidRDefault="29C67287" w:rsidP="03D1716F">
      <w:pPr>
        <w:spacing w:after="120" w:line="276" w:lineRule="auto"/>
        <w:rPr>
          <w:rFonts w:eastAsia="Arial" w:cs="Arial"/>
        </w:rPr>
      </w:pPr>
      <w:r w:rsidRPr="03D1716F">
        <w:rPr>
          <w:rFonts w:eastAsia="Arial" w:cs="Arial"/>
        </w:rPr>
        <w:t>Whilst this ‘bottom heavy’ approach to targeted workforce participation has had a positive impact</w:t>
      </w:r>
      <w:r w:rsidR="0BCD8A69" w:rsidRPr="03D1716F">
        <w:rPr>
          <w:rFonts w:eastAsia="Arial" w:cs="Arial"/>
        </w:rPr>
        <w:t xml:space="preserve"> on</w:t>
      </w:r>
      <w:r w:rsidRPr="03D1716F">
        <w:rPr>
          <w:rFonts w:eastAsia="Arial" w:cs="Arial"/>
        </w:rPr>
        <w:t xml:space="preserve"> regional and remote employment levels</w:t>
      </w:r>
      <w:r w:rsidR="4BEA94CC" w:rsidRPr="03D1716F">
        <w:rPr>
          <w:rFonts w:eastAsia="Arial" w:cs="Arial"/>
        </w:rPr>
        <w:t>,</w:t>
      </w:r>
      <w:r w:rsidRPr="03D1716F">
        <w:rPr>
          <w:rFonts w:eastAsia="Arial" w:cs="Arial"/>
        </w:rPr>
        <w:t xml:space="preserve"> it has had less of an impact on regional and remote skill growth</w:t>
      </w:r>
      <w:r w:rsidR="2EE5C071" w:rsidRPr="03D1716F">
        <w:rPr>
          <w:rFonts w:eastAsia="Arial" w:cs="Arial"/>
        </w:rPr>
        <w:t xml:space="preserve"> </w:t>
      </w:r>
      <w:r w:rsidR="00F93104">
        <w:rPr>
          <w:rFonts w:eastAsia="Arial" w:cs="Arial"/>
        </w:rPr>
        <w:t>and</w:t>
      </w:r>
      <w:r w:rsidR="2EE5C071" w:rsidRPr="03D1716F">
        <w:rPr>
          <w:rFonts w:eastAsia="Arial" w:cs="Arial"/>
        </w:rPr>
        <w:t xml:space="preserve"> </w:t>
      </w:r>
      <w:r w:rsidRPr="03D1716F">
        <w:rPr>
          <w:rFonts w:eastAsia="Arial" w:cs="Arial"/>
        </w:rPr>
        <w:t>has deprived First Nations employees from occupying highly skilled, professional and senior leadership positions.</w:t>
      </w:r>
      <w:r w:rsidRPr="03D1716F">
        <w:rPr>
          <w:rStyle w:val="EndnoteReference"/>
          <w:rFonts w:eastAsia="Arial" w:cs="Arial"/>
        </w:rPr>
        <w:endnoteReference w:id="191"/>
      </w:r>
      <w:r w:rsidR="00ED22A4">
        <w:rPr>
          <w:rFonts w:eastAsia="Arial" w:cs="Arial"/>
        </w:rPr>
        <w:t xml:space="preserve"> </w:t>
      </w:r>
    </w:p>
    <w:p w14:paraId="057ABE1C" w14:textId="11C67530" w:rsidR="29C67287" w:rsidRDefault="29C67287" w:rsidP="03D1716F">
      <w:pPr>
        <w:spacing w:after="120" w:line="276" w:lineRule="auto"/>
        <w:rPr>
          <w:rFonts w:eastAsia="Arial" w:cs="Arial"/>
        </w:rPr>
      </w:pPr>
      <w:r w:rsidRPr="03D1716F">
        <w:rPr>
          <w:rFonts w:eastAsia="Arial" w:cs="Arial"/>
        </w:rPr>
        <w:t>Industry reports a genuine desire to engage more First Nations employees in higher skilled roles, with initiatives such as Rio Tinto’s ‘Indigenous Leadership Development Program’ and Fortescue’s ‘Leadership and Excellence in Aboriginal People</w:t>
      </w:r>
      <w:r w:rsidR="3F658081" w:rsidRPr="03D1716F">
        <w:rPr>
          <w:rFonts w:eastAsia="Arial" w:cs="Arial"/>
        </w:rPr>
        <w:t xml:space="preserve"> Program</w:t>
      </w:r>
      <w:r w:rsidR="00ED22A4">
        <w:rPr>
          <w:rFonts w:eastAsia="Arial" w:cs="Arial"/>
        </w:rPr>
        <w:t>’</w:t>
      </w:r>
      <w:r w:rsidRPr="03D1716F">
        <w:rPr>
          <w:rFonts w:eastAsia="Arial" w:cs="Arial"/>
        </w:rPr>
        <w:t xml:space="preserve"> (LEAP) but cites the limited supply of suitably qualified First Nations candidates in the regional and remote labour pools</w:t>
      </w:r>
      <w:r w:rsidR="4EE8E2E6" w:rsidRPr="03D1716F">
        <w:rPr>
          <w:rFonts w:eastAsia="Arial" w:cs="Arial"/>
        </w:rPr>
        <w:t xml:space="preserve"> where</w:t>
      </w:r>
      <w:r w:rsidRPr="03D1716F">
        <w:rPr>
          <w:rFonts w:eastAsia="Arial" w:cs="Arial"/>
        </w:rPr>
        <w:t xml:space="preserve"> large</w:t>
      </w:r>
      <w:r w:rsidR="2F90FC8B" w:rsidRPr="03D1716F">
        <w:rPr>
          <w:rFonts w:eastAsia="Arial" w:cs="Arial"/>
        </w:rPr>
        <w:t>-</w:t>
      </w:r>
      <w:r w:rsidRPr="03D1716F">
        <w:rPr>
          <w:rFonts w:eastAsia="Arial" w:cs="Arial"/>
        </w:rPr>
        <w:t>scale energy generation and extractive heavy industry</w:t>
      </w:r>
      <w:r w:rsidR="7FF17FE1" w:rsidRPr="03D1716F">
        <w:rPr>
          <w:rFonts w:eastAsia="Arial" w:cs="Arial"/>
        </w:rPr>
        <w:t xml:space="preserve"> </w:t>
      </w:r>
      <w:r w:rsidR="25E34D31" w:rsidRPr="03D1716F">
        <w:rPr>
          <w:rFonts w:eastAsia="Arial" w:cs="Arial"/>
        </w:rPr>
        <w:t>are</w:t>
      </w:r>
      <w:r w:rsidR="2A78284A" w:rsidRPr="03D1716F">
        <w:rPr>
          <w:rFonts w:eastAsia="Arial" w:cs="Arial"/>
        </w:rPr>
        <w:t xml:space="preserve"> located</w:t>
      </w:r>
      <w:r w:rsidR="7FF17FE1" w:rsidRPr="03D1716F">
        <w:rPr>
          <w:rFonts w:eastAsia="Arial" w:cs="Arial"/>
        </w:rPr>
        <w:t>.</w:t>
      </w:r>
      <w:r w:rsidRPr="03D1716F">
        <w:rPr>
          <w:rStyle w:val="EndnoteReference"/>
          <w:rFonts w:eastAsia="Arial" w:cs="Arial"/>
        </w:rPr>
        <w:endnoteReference w:id="192"/>
      </w:r>
    </w:p>
    <w:p w14:paraId="4D67D767" w14:textId="6927AEF1" w:rsidR="29C67287" w:rsidRDefault="29C67287" w:rsidP="03D1716F">
      <w:pPr>
        <w:spacing w:after="120" w:line="276" w:lineRule="auto"/>
        <w:rPr>
          <w:rFonts w:eastAsia="Arial" w:cs="Arial"/>
          <w:vertAlign w:val="superscript"/>
        </w:rPr>
      </w:pPr>
      <w:r w:rsidRPr="03D1716F">
        <w:rPr>
          <w:rFonts w:eastAsia="Arial" w:cs="Arial"/>
        </w:rPr>
        <w:t xml:space="preserve">CSIRO’s new Indigenous Jobs Map tool, which combines Census, </w:t>
      </w:r>
      <w:r w:rsidR="000E37A4" w:rsidRPr="4AB85293">
        <w:rPr>
          <w:rFonts w:eastAsia="Arial" w:cs="Arial"/>
        </w:rPr>
        <w:t xml:space="preserve">higher </w:t>
      </w:r>
      <w:r w:rsidR="00825C6C" w:rsidRPr="4AB85293">
        <w:rPr>
          <w:rFonts w:eastAsia="Arial" w:cs="Arial"/>
        </w:rPr>
        <w:t>education and</w:t>
      </w:r>
      <w:r w:rsidRPr="03D1716F">
        <w:rPr>
          <w:rFonts w:eastAsia="Arial" w:cs="Arial"/>
        </w:rPr>
        <w:t xml:space="preserve"> </w:t>
      </w:r>
      <w:r w:rsidR="000E37A4" w:rsidRPr="4AB85293">
        <w:rPr>
          <w:rFonts w:eastAsia="Arial" w:cs="Arial"/>
        </w:rPr>
        <w:t>VET</w:t>
      </w:r>
      <w:r w:rsidRPr="03D1716F">
        <w:rPr>
          <w:rFonts w:eastAsia="Arial" w:cs="Arial"/>
        </w:rPr>
        <w:t xml:space="preserve"> data to form a picture o</w:t>
      </w:r>
      <w:r w:rsidR="00825C6C" w:rsidRPr="4AB85293">
        <w:rPr>
          <w:rFonts w:eastAsia="Arial" w:cs="Arial"/>
        </w:rPr>
        <w:t>n</w:t>
      </w:r>
      <w:r w:rsidRPr="03D1716F">
        <w:rPr>
          <w:rFonts w:eastAsia="Arial" w:cs="Arial"/>
        </w:rPr>
        <w:t xml:space="preserve"> the profile of the </w:t>
      </w:r>
      <w:r w:rsidR="003408B1">
        <w:rPr>
          <w14:numForm w14:val="lining"/>
          <w14:numSpacing w14:val="proportional"/>
        </w:rPr>
        <w:t>First Nations</w:t>
      </w:r>
      <w:r w:rsidRPr="03D1716F">
        <w:rPr>
          <w:rFonts w:eastAsia="Arial" w:cs="Arial"/>
        </w:rPr>
        <w:t xml:space="preserve"> workforce, confirms the understanding that highly skilled First Nations employees with Bachelor level and above qualifications in the Engineering and related technologies field are limited.</w:t>
      </w:r>
      <w:r w:rsidRPr="03D1716F">
        <w:rPr>
          <w:rStyle w:val="EndnoteReference"/>
          <w:rFonts w:eastAsia="Arial" w:cs="Arial"/>
        </w:rPr>
        <w:endnoteReference w:id="193"/>
      </w:r>
      <w:r w:rsidR="169C5AFF" w:rsidRPr="03D1716F">
        <w:rPr>
          <w:rFonts w:eastAsia="Arial" w:cs="Arial"/>
        </w:rPr>
        <w:t xml:space="preserve"> </w:t>
      </w:r>
    </w:p>
    <w:p w14:paraId="35E69DEA" w14:textId="4B5342CA" w:rsidR="29C67287" w:rsidRDefault="29C67287" w:rsidP="03D1716F">
      <w:pPr>
        <w:spacing w:after="120" w:line="276" w:lineRule="auto"/>
      </w:pPr>
      <w:r w:rsidRPr="03D1716F">
        <w:rPr>
          <w:rFonts w:eastAsia="Arial" w:cs="Arial"/>
        </w:rPr>
        <w:t xml:space="preserve">A possible solution to this is to complement targeted employment strategies with on-site education and training targets for local, entry-level First Nations employees who may not have had the </w:t>
      </w:r>
      <w:r w:rsidR="00362D94">
        <w:rPr>
          <w:rFonts w:eastAsia="Arial" w:cs="Arial"/>
        </w:rPr>
        <w:t>preference</w:t>
      </w:r>
      <w:r w:rsidRPr="03D1716F">
        <w:rPr>
          <w:rFonts w:eastAsia="Arial" w:cs="Arial"/>
        </w:rPr>
        <w:t xml:space="preserve"> or opportunities and support to pursue education and training opportunities off country.</w:t>
      </w:r>
    </w:p>
    <w:p w14:paraId="76E20131" w14:textId="7A9F00E4" w:rsidR="00E13239" w:rsidRPr="00E5087D" w:rsidRDefault="00E13239" w:rsidP="00304D92">
      <w:pPr>
        <w:spacing w:before="240" w:after="120" w:line="276" w:lineRule="auto"/>
        <w:rPr>
          <w:rFonts w:eastAsia="Arial" w:cs="Arial"/>
        </w:rPr>
      </w:pPr>
      <w:r w:rsidRPr="0452C113">
        <w:rPr>
          <w:rFonts w:eastAsiaTheme="majorEastAsia" w:cstheme="majorBidi"/>
          <w:b/>
          <w:bCs/>
          <w:sz w:val="24"/>
          <w:szCs w:val="24"/>
        </w:rPr>
        <w:t xml:space="preserve">Persistent disconnects between industry and </w:t>
      </w:r>
      <w:r w:rsidR="005B59C0">
        <w:rPr>
          <w:rFonts w:eastAsiaTheme="majorEastAsia" w:cstheme="majorBidi"/>
          <w:b/>
          <w:bCs/>
          <w:sz w:val="24"/>
          <w:szCs w:val="24"/>
        </w:rPr>
        <w:t>F</w:t>
      </w:r>
      <w:r w:rsidRPr="0452C113">
        <w:rPr>
          <w:rFonts w:eastAsiaTheme="majorEastAsia" w:cstheme="majorBidi"/>
          <w:b/>
          <w:bCs/>
          <w:sz w:val="24"/>
          <w:szCs w:val="24"/>
        </w:rPr>
        <w:t xml:space="preserve">irst </w:t>
      </w:r>
      <w:r w:rsidR="005B59C0">
        <w:rPr>
          <w:rFonts w:eastAsiaTheme="majorEastAsia" w:cstheme="majorBidi"/>
          <w:b/>
          <w:bCs/>
          <w:sz w:val="24"/>
          <w:szCs w:val="24"/>
        </w:rPr>
        <w:t>N</w:t>
      </w:r>
      <w:r w:rsidRPr="0452C113">
        <w:rPr>
          <w:rFonts w:eastAsiaTheme="majorEastAsia" w:cstheme="majorBidi"/>
          <w:b/>
          <w:bCs/>
          <w:sz w:val="24"/>
          <w:szCs w:val="24"/>
        </w:rPr>
        <w:t>ation</w:t>
      </w:r>
      <w:r w:rsidR="005B59C0">
        <w:rPr>
          <w:rFonts w:eastAsiaTheme="majorEastAsia" w:cstheme="majorBidi"/>
          <w:b/>
          <w:bCs/>
          <w:sz w:val="24"/>
          <w:szCs w:val="24"/>
        </w:rPr>
        <w:t>s</w:t>
      </w:r>
      <w:r w:rsidRPr="0452C113">
        <w:rPr>
          <w:rFonts w:eastAsiaTheme="majorEastAsia" w:cstheme="majorBidi"/>
          <w:b/>
          <w:bCs/>
          <w:sz w:val="24"/>
          <w:szCs w:val="24"/>
        </w:rPr>
        <w:t xml:space="preserve"> service providers in clean energy</w:t>
      </w:r>
    </w:p>
    <w:p w14:paraId="7E5EA93E" w14:textId="237C330F" w:rsidR="00E13239" w:rsidRPr="00E5087D" w:rsidRDefault="00E13239" w:rsidP="00E13239">
      <w:pPr>
        <w:spacing w:after="120" w:line="276" w:lineRule="auto"/>
        <w:rPr>
          <w:rFonts w:eastAsia="Arial" w:cs="Arial"/>
          <w:vertAlign w:val="superscript"/>
        </w:rPr>
      </w:pPr>
      <w:r w:rsidRPr="00E5087D">
        <w:rPr>
          <w:rFonts w:eastAsia="Arial" w:cs="Arial"/>
          <w14:numForm w14:val="lining"/>
          <w14:numSpacing w14:val="proportional"/>
        </w:rPr>
        <w:t xml:space="preserve">The </w:t>
      </w:r>
      <w:r w:rsidR="00F72FA8">
        <w:rPr>
          <w:rFonts w:cs="Arial"/>
          <w14:numForm w14:val="lining"/>
          <w14:numSpacing w14:val="proportional"/>
        </w:rPr>
        <w:t>CEC</w:t>
      </w:r>
      <w:r w:rsidRPr="00E5087D">
        <w:rPr>
          <w:rFonts w:eastAsia="Arial" w:cs="Arial"/>
          <w14:numForm w14:val="lining"/>
          <w14:numSpacing w14:val="proportional"/>
        </w:rPr>
        <w:t xml:space="preserve"> and the </w:t>
      </w:r>
      <w:r w:rsidR="0005652F">
        <w:rPr>
          <w:rFonts w:eastAsia="Arial" w:cs="Arial"/>
          <w14:numForm w14:val="lining"/>
          <w14:numSpacing w14:val="proportional"/>
        </w:rPr>
        <w:t>AHC</w:t>
      </w:r>
      <w:r w:rsidRPr="00E5087D">
        <w:rPr>
          <w:rFonts w:eastAsia="Arial" w:cs="Arial"/>
          <w14:numForm w14:val="lining"/>
          <w14:numSpacing w14:val="proportional"/>
        </w:rPr>
        <w:t xml:space="preserve"> advised that the employment of </w:t>
      </w:r>
      <w:r w:rsidR="00825C6C" w:rsidRPr="4AB85293">
        <w:rPr>
          <w:rFonts w:eastAsia="Arial" w:cs="Arial"/>
        </w:rPr>
        <w:t xml:space="preserve">First Nations </w:t>
      </w:r>
      <w:r w:rsidR="00AB7909">
        <w:rPr>
          <w:rFonts w:eastAsia="Arial" w:cs="Arial"/>
        </w:rPr>
        <w:t>people</w:t>
      </w:r>
      <w:r w:rsidRPr="00E5087D">
        <w:rPr>
          <w:rFonts w:eastAsia="Arial" w:cs="Arial"/>
          <w14:numForm w14:val="lining"/>
          <w14:numSpacing w14:val="proportional"/>
        </w:rPr>
        <w:t xml:space="preserve"> across the clean energy sector is low. The two councils consider there is a “persistent disconnect” between industry and established dedicated First Nations service providers in recruitment, labour hire and community consultation. Further, they noted that the clean energy industry must compete with other sectors, including the transitioning sector, to attract a limited number of First Nations graduates.</w:t>
      </w:r>
      <w:r w:rsidRPr="00E5087D">
        <w:rPr>
          <w:rStyle w:val="EndnoteReference"/>
          <w:rFonts w:eastAsia="Arial" w:cs="Arial"/>
          <w14:numForm w14:val="lining"/>
          <w14:numSpacing w14:val="proportional"/>
        </w:rPr>
        <w:endnoteReference w:id="194"/>
      </w:r>
      <w:r w:rsidRPr="00E5087D">
        <w:rPr>
          <w:rFonts w:eastAsia="Arial" w:cs="Arial"/>
          <w:vertAlign w:val="superscript"/>
          <w14:numForm w14:val="lining"/>
          <w14:numSpacing w14:val="proportional"/>
        </w:rPr>
        <w:t xml:space="preserve"> </w:t>
      </w:r>
    </w:p>
    <w:p w14:paraId="644D4063" w14:textId="099EBADD" w:rsidR="00E13239" w:rsidRPr="00E5087D" w:rsidRDefault="00E13239" w:rsidP="00304D92">
      <w:pPr>
        <w:spacing w:before="240" w:after="120" w:line="276" w:lineRule="auto"/>
        <w:rPr>
          <w:rFonts w:eastAsiaTheme="majorEastAsia" w:cstheme="majorBidi"/>
          <w:b/>
          <w:bCs/>
          <w:sz w:val="24"/>
          <w:szCs w:val="24"/>
        </w:rPr>
      </w:pPr>
      <w:r w:rsidRPr="00E5087D">
        <w:rPr>
          <w:rFonts w:eastAsiaTheme="majorEastAsia" w:cstheme="majorBidi"/>
          <w:b/>
          <w:bCs/>
          <w:sz w:val="24"/>
          <w:szCs w:val="24"/>
        </w:rPr>
        <w:t>Lifting educational outcomes will take time</w:t>
      </w:r>
    </w:p>
    <w:p w14:paraId="12326233" w14:textId="5389A361" w:rsidR="00E13239" w:rsidRPr="00E5087D" w:rsidRDefault="00E13239" w:rsidP="03D1716F">
      <w:pPr>
        <w:spacing w:after="120" w:line="276" w:lineRule="auto"/>
        <w:rPr>
          <w:rFonts w:cs="Arial"/>
        </w:rPr>
      </w:pPr>
      <w:r w:rsidRPr="00E5087D">
        <w:rPr>
          <w:rFonts w:eastAsia="Calibri" w:cs="Times New Roman"/>
          <w:color w:val="000000"/>
          <w14:ligatures w14:val="standardContextual"/>
          <w14:numForm w14:val="lining"/>
          <w14:numSpacing w14:val="proportional"/>
        </w:rPr>
        <w:t>Growing the supply of First Nations tertiary graduates will take time, but it is critical to ensuring First Nations employment in the clean energy sector does not mimic the trends of the transitioning sector in concentrating First Nations employment at the lower skilled and lower paid operational level of the workforce.</w:t>
      </w:r>
      <w:r w:rsidRPr="00E5087D">
        <w:rPr>
          <w:rStyle w:val="EndnoteReference"/>
          <w:rFonts w:eastAsia="Calibri" w:cs="Times New Roman"/>
          <w:color w:val="000000"/>
          <w14:ligatures w14:val="standardContextual"/>
          <w14:numForm w14:val="lining"/>
          <w14:numSpacing w14:val="proportional"/>
        </w:rPr>
        <w:endnoteReference w:id="195"/>
      </w:r>
      <w:r w:rsidRPr="00E5087D">
        <w:rPr>
          <w:rFonts w:eastAsia="Calibri" w:cs="Times New Roman"/>
          <w:color w:val="000000"/>
          <w14:ligatures w14:val="standardContextual"/>
          <w14:numForm w14:val="lining"/>
          <w14:numSpacing w14:val="proportional"/>
        </w:rPr>
        <w:t xml:space="preserve"> </w:t>
      </w:r>
    </w:p>
    <w:p w14:paraId="39AC3610" w14:textId="52DC312A" w:rsidR="00E13239" w:rsidRPr="00E5087D" w:rsidRDefault="00E13239" w:rsidP="00E13239">
      <w:pPr>
        <w:spacing w:after="120" w:line="276" w:lineRule="auto"/>
        <w:rPr>
          <w:rFonts w:cs="Arial"/>
          <w14:numForm w14:val="lining"/>
          <w14:numSpacing w14:val="proportional"/>
        </w:rPr>
      </w:pPr>
      <w:r w:rsidRPr="00E5087D">
        <w:rPr>
          <w:rFonts w:eastAsia="Calibri" w:cs="Times New Roman"/>
          <w:color w:val="000000"/>
          <w14:ligatures w14:val="standardContextual"/>
          <w14:numForm w14:val="lining"/>
          <w14:numSpacing w14:val="proportional"/>
        </w:rPr>
        <w:t>One category in which First Nations participation is especially critical is the carbon lifecycle workforce, which broadly manages carbon capture, the circular economy, forestry and living biomass. First Nations workforce participation is highest in this category, at 4.4%, and is expected to grow following increased funding for Indigenous Ranger programs in the 2023-24 Budget.</w:t>
      </w:r>
      <w:r w:rsidR="004F251F">
        <w:rPr>
          <w:rStyle w:val="EndnoteReference"/>
          <w:rFonts w:eastAsia="Calibri" w:cs="Times New Roman"/>
          <w:color w:val="000000"/>
          <w14:ligatures w14:val="standardContextual"/>
          <w14:numForm w14:val="lining"/>
          <w14:numSpacing w14:val="proportional"/>
        </w:rPr>
        <w:endnoteReference w:id="196"/>
      </w:r>
      <w:r w:rsidRPr="00E5087D">
        <w:rPr>
          <w:rFonts w:eastAsia="Calibri" w:cs="Times New Roman"/>
          <w:color w:val="000000"/>
          <w14:ligatures w14:val="standardContextual"/>
          <w14:numForm w14:val="lining"/>
          <w14:numSpacing w14:val="proportional"/>
        </w:rPr>
        <w:t xml:space="preserve"> </w:t>
      </w:r>
      <w:r w:rsidRPr="00E5087D">
        <w:rPr>
          <w:rFonts w:cs="Arial"/>
          <w14:numForm w14:val="lining"/>
          <w14:numSpacing w14:val="proportional"/>
        </w:rPr>
        <w:t xml:space="preserve">Indigenous Rangers, by way of the Jobs, Land and Economy Program, the </w:t>
      </w:r>
      <w:r w:rsidRPr="00E5087D">
        <w:rPr>
          <w14:numForm w14:val="lining"/>
          <w14:numSpacing w14:val="proportional"/>
        </w:rPr>
        <w:t>Indigenous Ranger Biosecurity Program</w:t>
      </w:r>
      <w:r w:rsidR="6A24B869" w:rsidRPr="00E5087D">
        <w:rPr>
          <w14:numForm w14:val="lining"/>
          <w14:numSpacing w14:val="proportional"/>
        </w:rPr>
        <w:t>,</w:t>
      </w:r>
      <w:r w:rsidRPr="00E5087D">
        <w:rPr>
          <w:rFonts w:cs="Arial"/>
          <w14:numForm w14:val="lining"/>
          <w14:numSpacing w14:val="proportional"/>
        </w:rPr>
        <w:t xml:space="preserve"> and other formalised Caring for Country programs, operationalise vital cultural knowledge that enables the effective care, preservation and restoration of country. This work is expected to play a critical role in decommissioning heavy industrial activities as mines and other large-scale projects with major impacts on country cease operations.</w:t>
      </w:r>
      <w:r w:rsidRPr="00E5087D">
        <w:rPr>
          <w:rStyle w:val="EndnoteReference"/>
          <w:rFonts w:cs="Arial"/>
          <w14:numForm w14:val="lining"/>
          <w14:numSpacing w14:val="proportional"/>
        </w:rPr>
        <w:endnoteReference w:id="197"/>
      </w:r>
      <w:r w:rsidRPr="00E5087D">
        <w:rPr>
          <w:rFonts w:cs="Arial"/>
          <w14:numForm w14:val="lining"/>
          <w14:numSpacing w14:val="proportional"/>
        </w:rPr>
        <w:t xml:space="preserve"> Growing this workforce also supports progress on Closing the Gap targets 15 and 16, which centre on maintaining connections to country and preserving cultural knowledge. </w:t>
      </w:r>
    </w:p>
    <w:p w14:paraId="4BCDA208" w14:textId="77777777" w:rsidR="00304D92" w:rsidRDefault="00304D92">
      <w:pPr>
        <w:rPr>
          <w:rFonts w:eastAsiaTheme="majorEastAsia" w:cstheme="majorBidi"/>
          <w:b/>
          <w:sz w:val="24"/>
        </w:rPr>
      </w:pPr>
      <w:r>
        <w:rPr>
          <w:rFonts w:eastAsiaTheme="majorEastAsia" w:cstheme="majorBidi"/>
          <w:b/>
          <w:sz w:val="24"/>
        </w:rPr>
        <w:br w:type="page"/>
      </w:r>
    </w:p>
    <w:p w14:paraId="1EA2CAC6" w14:textId="2071E0E6" w:rsidR="00E13239" w:rsidRPr="00E5087D" w:rsidRDefault="00E13239" w:rsidP="00E13239">
      <w:pPr>
        <w:keepNext/>
        <w:keepLines/>
        <w:spacing w:before="240" w:after="120" w:line="240" w:lineRule="auto"/>
        <w:outlineLvl w:val="2"/>
        <w:rPr>
          <w:rFonts w:eastAsiaTheme="majorEastAsia" w:cstheme="majorBidi"/>
          <w:b/>
          <w:sz w:val="24"/>
        </w:rPr>
      </w:pPr>
      <w:r w:rsidRPr="00E5087D">
        <w:rPr>
          <w:rFonts w:eastAsiaTheme="majorEastAsia" w:cstheme="majorBidi"/>
          <w:b/>
          <w:sz w:val="24"/>
        </w:rPr>
        <w:t>Barriers to licensed occupations</w:t>
      </w:r>
    </w:p>
    <w:p w14:paraId="6649C1EE" w14:textId="3F186AFA" w:rsidR="00E13239" w:rsidRPr="00E5087D" w:rsidRDefault="00E13239" w:rsidP="00E13239">
      <w:pPr>
        <w:spacing w:after="120" w:line="276" w:lineRule="auto"/>
      </w:pPr>
      <w:r w:rsidRPr="00E5087D">
        <w:rPr>
          <w:rFonts w:cs="Arial"/>
          <w14:numForm w14:val="lining"/>
          <w14:numSpacing w14:val="proportional"/>
        </w:rPr>
        <w:t xml:space="preserve">The </w:t>
      </w:r>
      <w:bookmarkStart w:id="85" w:name="_Hlk142556640"/>
      <w:r w:rsidRPr="00E5087D">
        <w:rPr>
          <w:rFonts w:cs="Arial"/>
          <w14:numForm w14:val="lining"/>
          <w14:numSpacing w14:val="proportional"/>
        </w:rPr>
        <w:t xml:space="preserve">Australian Law Reform Commission’s </w:t>
      </w:r>
      <w:r w:rsidRPr="3E880473">
        <w:rPr>
          <w:rFonts w:cs="Arial"/>
          <w:i/>
          <w:iCs/>
          <w14:numForm w14:val="lining"/>
          <w14:numSpacing w14:val="proportional"/>
        </w:rPr>
        <w:t>Pathways to Justice–Inquiry into the Incarceration Rate of Aboriginal and Torres Strait Islander Peoples</w:t>
      </w:r>
      <w:r w:rsidRPr="00E5087D">
        <w:rPr>
          <w:rFonts w:cs="Arial"/>
          <w14:numForm w14:val="lining"/>
          <w14:numSpacing w14:val="proportional"/>
        </w:rPr>
        <w:t xml:space="preserve"> </w:t>
      </w:r>
      <w:bookmarkEnd w:id="85"/>
      <w:r w:rsidRPr="00E5087D">
        <w:rPr>
          <w:rFonts w:cs="Arial"/>
          <w14:numForm w14:val="lining"/>
          <w14:numSpacing w14:val="proportional"/>
        </w:rPr>
        <w:t xml:space="preserve">report highlights the overrepresentation of First Nations </w:t>
      </w:r>
      <w:r w:rsidR="00AB7909">
        <w:rPr>
          <w:rFonts w:cs="Arial"/>
          <w14:numForm w14:val="lining"/>
          <w14:numSpacing w14:val="proportional"/>
        </w:rPr>
        <w:t>people</w:t>
      </w:r>
      <w:r w:rsidRPr="00E5087D">
        <w:rPr>
          <w:rFonts w:cs="Arial"/>
          <w14:numForm w14:val="lining"/>
          <w14:numSpacing w14:val="proportional"/>
        </w:rPr>
        <w:t xml:space="preserve"> in the criminal justice and correctional systems. First Nations represent </w:t>
      </w:r>
      <w:r w:rsidRPr="00E5087D">
        <w:rPr>
          <w14:numForm w14:val="lining"/>
          <w14:numSpacing w14:val="proportional"/>
        </w:rPr>
        <w:t>3.8% of the total population, yet they form 27% of the total national prison population, and that rate is increasing.</w:t>
      </w:r>
      <w:r w:rsidRPr="00E5087D">
        <w:rPr>
          <w:rStyle w:val="EndnoteReference"/>
          <w14:numForm w14:val="lining"/>
          <w14:numSpacing w14:val="proportional"/>
        </w:rPr>
        <w:endnoteReference w:id="198"/>
      </w:r>
      <w:r w:rsidRPr="00E5087D">
        <w:rPr>
          <w14:numForm w14:val="lining"/>
          <w14:numSpacing w14:val="proportional"/>
        </w:rPr>
        <w:t xml:space="preserve"> </w:t>
      </w:r>
    </w:p>
    <w:p w14:paraId="36A1A38C" w14:textId="63DB6815" w:rsidR="00E13239" w:rsidRPr="00E5087D" w:rsidRDefault="00E13239" w:rsidP="00E13239">
      <w:pPr>
        <w:spacing w:after="120" w:line="276" w:lineRule="auto"/>
        <w:rPr>
          <w:rFonts w:cs="Arial"/>
          <w14:numForm w14:val="lining"/>
          <w14:numSpacing w14:val="proportional"/>
        </w:rPr>
      </w:pPr>
      <w:r w:rsidRPr="00E5087D">
        <w:rPr>
          <w14:numForm w14:val="lining"/>
          <w14:numSpacing w14:val="proportional"/>
        </w:rPr>
        <w:t xml:space="preserve">Criminal records are shown to be a strong deterrent to employers regardless of conviction details. Thus, the overrepresentation of First Nations people in the criminal justice and correctional systems contributes to an overrepresentation of </w:t>
      </w:r>
      <w:r w:rsidR="0009125B">
        <w:rPr>
          <w14:numForm w14:val="lining"/>
          <w14:numSpacing w14:val="proportional"/>
        </w:rPr>
        <w:t>First Nations</w:t>
      </w:r>
      <w:r w:rsidRPr="00E5087D">
        <w:rPr>
          <w14:numForm w14:val="lining"/>
          <w14:numSpacing w14:val="proportional"/>
        </w:rPr>
        <w:t xml:space="preserve"> people experiencing unemployment more broadly.</w:t>
      </w:r>
      <w:r w:rsidRPr="00E5087D">
        <w:rPr>
          <w:rStyle w:val="EndnoteReference"/>
          <w14:numForm w14:val="lining"/>
          <w14:numSpacing w14:val="proportional"/>
        </w:rPr>
        <w:endnoteReference w:id="199"/>
      </w:r>
    </w:p>
    <w:p w14:paraId="720C14C3" w14:textId="09FA725B" w:rsidR="00E13239" w:rsidRPr="00E5087D" w:rsidRDefault="00E13239" w:rsidP="00E13239">
      <w:pPr>
        <w:spacing w:after="120" w:line="276" w:lineRule="auto"/>
      </w:pPr>
      <w:r w:rsidRPr="00E5087D">
        <w:rPr>
          <w14:numForm w14:val="lining"/>
          <w14:numSpacing w14:val="proportional"/>
        </w:rPr>
        <w:t xml:space="preserve">Further, this is an absolute barrier to entering a range of licensed occupations in the clean energy sector, including </w:t>
      </w:r>
      <w:r w:rsidR="526475CE" w:rsidRPr="00E5087D">
        <w:rPr>
          <w14:numForm w14:val="lining"/>
          <w14:numSpacing w14:val="proportional"/>
        </w:rPr>
        <w:t>e</w:t>
      </w:r>
      <w:r w:rsidRPr="00E5087D">
        <w:rPr>
          <w14:numForm w14:val="lining"/>
          <w14:numSpacing w14:val="proportional"/>
        </w:rPr>
        <w:t>lectrician and several engineering occupations. The disproportionate conviction rate for minor traffic and driving offences also limits opportunities in various occupations requiring regular or heavy vehicle licen</w:t>
      </w:r>
      <w:r w:rsidR="42A6EA29" w:rsidRPr="00E5087D">
        <w:rPr>
          <w14:numForm w14:val="lining"/>
          <w14:numSpacing w14:val="proportional"/>
        </w:rPr>
        <w:t>c</w:t>
      </w:r>
      <w:r w:rsidRPr="00E5087D">
        <w:rPr>
          <w14:numForm w14:val="lining"/>
          <w14:numSpacing w14:val="proportional"/>
        </w:rPr>
        <w:t>es, as well as limit</w:t>
      </w:r>
      <w:r w:rsidR="044E50C6" w:rsidRPr="00E5087D">
        <w:rPr>
          <w14:numForm w14:val="lining"/>
          <w14:numSpacing w14:val="proportional"/>
        </w:rPr>
        <w:t>ing</w:t>
      </w:r>
      <w:r w:rsidRPr="00E5087D">
        <w:rPr>
          <w14:numForm w14:val="lining"/>
          <w14:numSpacing w14:val="proportional"/>
        </w:rPr>
        <w:t xml:space="preserve"> First Nations peoples’ ability to travel to and from work. </w:t>
      </w:r>
      <w:r w:rsidR="4136ED99" w:rsidRPr="00E5087D">
        <w:rPr>
          <w14:numForm w14:val="lining"/>
          <w14:numSpacing w14:val="proportional"/>
        </w:rPr>
        <w:t>G</w:t>
      </w:r>
      <w:r w:rsidRPr="00E5087D">
        <w:rPr>
          <w14:numForm w14:val="lining"/>
          <w14:numSpacing w14:val="proportional"/>
        </w:rPr>
        <w:t>overnments</w:t>
      </w:r>
      <w:r w:rsidR="2DA9A824" w:rsidRPr="00E5087D">
        <w:rPr>
          <w14:numForm w14:val="lining"/>
          <w14:numSpacing w14:val="proportional"/>
        </w:rPr>
        <w:t>, employers and industry should</w:t>
      </w:r>
      <w:r w:rsidRPr="00E5087D">
        <w:rPr>
          <w14:numForm w14:val="lining"/>
          <w14:numSpacing w14:val="proportional"/>
        </w:rPr>
        <w:t xml:space="preserve"> explore </w:t>
      </w:r>
      <w:r w:rsidR="5BA94437" w:rsidRPr="00E5087D">
        <w:rPr>
          <w14:numForm w14:val="lining"/>
          <w14:numSpacing w14:val="proportional"/>
        </w:rPr>
        <w:t xml:space="preserve">adjusting eligibility </w:t>
      </w:r>
      <w:r w:rsidR="2174D489" w:rsidRPr="00E5087D">
        <w:rPr>
          <w14:numForm w14:val="lining"/>
          <w14:numSpacing w14:val="proportional"/>
        </w:rPr>
        <w:t>requirements</w:t>
      </w:r>
      <w:r w:rsidR="5BA94437" w:rsidRPr="00E5087D">
        <w:rPr>
          <w14:numForm w14:val="lining"/>
          <w14:numSpacing w14:val="proportional"/>
        </w:rPr>
        <w:t xml:space="preserve"> for licenced occupations in favour of</w:t>
      </w:r>
      <w:r w:rsidRPr="00E5087D">
        <w:rPr>
          <w14:numForm w14:val="lining"/>
          <w14:numSpacing w14:val="proportional"/>
        </w:rPr>
        <w:t xml:space="preserve"> where </w:t>
      </w:r>
      <w:r w:rsidR="00DB7325">
        <w:rPr>
          <w14:numForm w14:val="lining"/>
          <w14:numSpacing w14:val="proportional"/>
        </w:rPr>
        <w:t>F</w:t>
      </w:r>
      <w:r w:rsidRPr="00E5087D">
        <w:rPr>
          <w14:numForm w14:val="lining"/>
          <w14:numSpacing w14:val="proportional"/>
        </w:rPr>
        <w:t xml:space="preserve">irst </w:t>
      </w:r>
      <w:r w:rsidR="00DB7325">
        <w:rPr>
          <w14:numForm w14:val="lining"/>
          <w14:numSpacing w14:val="proportional"/>
        </w:rPr>
        <w:t>N</w:t>
      </w:r>
      <w:r w:rsidRPr="00E5087D">
        <w:rPr>
          <w14:numForm w14:val="lining"/>
          <w14:numSpacing w14:val="proportional"/>
        </w:rPr>
        <w:t xml:space="preserve">ations peoples hold </w:t>
      </w:r>
      <w:r w:rsidR="5FC3A349" w:rsidRPr="00E5087D">
        <w:rPr>
          <w14:numForm w14:val="lining"/>
          <w14:numSpacing w14:val="proportional"/>
        </w:rPr>
        <w:t xml:space="preserve">or are working towards the qualifications that need them. </w:t>
      </w:r>
    </w:p>
    <w:p w14:paraId="5485740D" w14:textId="3A3706D5" w:rsidR="00E13239" w:rsidRPr="00E5087D" w:rsidRDefault="00E13239" w:rsidP="00E13239">
      <w:pPr>
        <w:keepNext/>
        <w:keepLines/>
        <w:spacing w:before="240" w:after="120" w:line="240" w:lineRule="auto"/>
        <w:outlineLvl w:val="2"/>
        <w:rPr>
          <w:rFonts w:eastAsiaTheme="majorEastAsia" w:cstheme="majorBidi"/>
          <w:b/>
          <w:bCs/>
          <w:sz w:val="24"/>
          <w:szCs w:val="24"/>
        </w:rPr>
      </w:pPr>
      <w:r w:rsidRPr="00E5087D">
        <w:rPr>
          <w:rFonts w:eastAsiaTheme="majorEastAsia" w:cstheme="majorBidi"/>
          <w:b/>
          <w:bCs/>
          <w:sz w:val="24"/>
          <w:szCs w:val="24"/>
        </w:rPr>
        <w:t xml:space="preserve">Commercial land interests have trumped </w:t>
      </w:r>
      <w:r w:rsidR="009D4AFA">
        <w:rPr>
          <w:rFonts w:eastAsiaTheme="majorEastAsia" w:cstheme="majorBidi"/>
          <w:b/>
          <w:bCs/>
          <w:sz w:val="24"/>
          <w:szCs w:val="24"/>
        </w:rPr>
        <w:t>N</w:t>
      </w:r>
      <w:r w:rsidRPr="00E5087D">
        <w:rPr>
          <w:rFonts w:eastAsiaTheme="majorEastAsia" w:cstheme="majorBidi"/>
          <w:b/>
          <w:bCs/>
          <w:sz w:val="24"/>
          <w:szCs w:val="24"/>
        </w:rPr>
        <w:t xml:space="preserve">ative </w:t>
      </w:r>
      <w:r w:rsidR="009D4AFA">
        <w:rPr>
          <w:rFonts w:eastAsiaTheme="majorEastAsia" w:cstheme="majorBidi"/>
          <w:b/>
          <w:bCs/>
          <w:sz w:val="24"/>
          <w:szCs w:val="24"/>
        </w:rPr>
        <w:t>Ti</w:t>
      </w:r>
      <w:r w:rsidRPr="00E5087D">
        <w:rPr>
          <w:rFonts w:eastAsiaTheme="majorEastAsia" w:cstheme="majorBidi"/>
          <w:b/>
          <w:bCs/>
          <w:sz w:val="24"/>
          <w:szCs w:val="24"/>
        </w:rPr>
        <w:t xml:space="preserve">tle </w:t>
      </w:r>
    </w:p>
    <w:p w14:paraId="1EC1F044" w14:textId="44F7D510" w:rsidR="00E13239" w:rsidRPr="00E5087D" w:rsidRDefault="00E13239" w:rsidP="00E13239">
      <w:pPr>
        <w:spacing w:after="120" w:line="276" w:lineRule="auto"/>
        <w:rPr>
          <w:rFonts w:cs="Arial"/>
        </w:rPr>
      </w:pPr>
      <w:r w:rsidRPr="00E5087D">
        <w:rPr>
          <w:rFonts w:cs="Arial"/>
        </w:rPr>
        <w:t xml:space="preserve">Land held under Native Title, Aboriginal Land Rights and other land stewardship determinations are the largest communally held assets in many First Nations communities but have not been leveraged to benefit First Nations </w:t>
      </w:r>
      <w:r w:rsidR="00AB7909">
        <w:rPr>
          <w:rFonts w:cs="Arial"/>
        </w:rPr>
        <w:t>people</w:t>
      </w:r>
      <w:r w:rsidRPr="00E5087D">
        <w:rPr>
          <w:rFonts w:cs="Arial"/>
        </w:rPr>
        <w:t xml:space="preserve">. This is likely due to the relative weakness of these rights in legal practice and the deliberate exclusion of sub-surface resource rights. </w:t>
      </w:r>
    </w:p>
    <w:p w14:paraId="112B1681" w14:textId="3308DA5F" w:rsidR="00E13239" w:rsidRPr="00E5087D" w:rsidRDefault="00E13239" w:rsidP="00E13239">
      <w:pPr>
        <w:spacing w:after="120" w:line="276" w:lineRule="auto"/>
        <w:rPr>
          <w:rFonts w:cs="Arial"/>
        </w:rPr>
      </w:pPr>
      <w:r w:rsidRPr="00E5087D">
        <w:rPr>
          <w:rFonts w:cs="Arial"/>
        </w:rPr>
        <w:t xml:space="preserve">Closing the Gap sets a </w:t>
      </w:r>
      <w:r w:rsidR="00B3436B">
        <w:rPr>
          <w:rFonts w:cs="Arial"/>
        </w:rPr>
        <w:t>target of a</w:t>
      </w:r>
      <w:r w:rsidRPr="00E5087D">
        <w:rPr>
          <w:rFonts w:cs="Arial"/>
        </w:rPr>
        <w:t xml:space="preserve"> 15% increase in Australia’s land </w:t>
      </w:r>
      <w:r w:rsidR="00B3436B">
        <w:rPr>
          <w:rFonts w:cs="Arial"/>
        </w:rPr>
        <w:t xml:space="preserve">and seas </w:t>
      </w:r>
      <w:r w:rsidRPr="00E5087D">
        <w:rPr>
          <w:rFonts w:cs="Arial"/>
        </w:rPr>
        <w:t>being subject to First Nations people’s legal rights or interests by 2030</w:t>
      </w:r>
      <w:r w:rsidR="00B3436B">
        <w:rPr>
          <w:rFonts w:cs="Arial"/>
        </w:rPr>
        <w:t>. The land target</w:t>
      </w:r>
      <w:r w:rsidRPr="00E5087D">
        <w:rPr>
          <w:rFonts w:cs="Arial"/>
        </w:rPr>
        <w:t xml:space="preserve"> is currently on track</w:t>
      </w:r>
      <w:r w:rsidR="00B3436B">
        <w:rPr>
          <w:rFonts w:cs="Arial"/>
        </w:rPr>
        <w:t xml:space="preserve"> to be met</w:t>
      </w:r>
      <w:r w:rsidRPr="00E5087D">
        <w:rPr>
          <w:rFonts w:cs="Arial"/>
        </w:rPr>
        <w:t>.</w:t>
      </w:r>
      <w:r w:rsidRPr="666E5F89">
        <w:rPr>
          <w:rStyle w:val="EndnoteReference"/>
          <w:rFonts w:cs="Arial"/>
        </w:rPr>
        <w:endnoteReference w:id="200"/>
      </w:r>
      <w:r w:rsidRPr="00E5087D">
        <w:rPr>
          <w:rFonts w:cs="Arial"/>
        </w:rPr>
        <w:t xml:space="preserve"> However, the sea country target is not</w:t>
      </w:r>
      <w:r w:rsidR="320E030A" w:rsidRPr="666E5F89">
        <w:rPr>
          <w:rFonts w:cs="Arial"/>
        </w:rPr>
        <w:t xml:space="preserve"> and there are clear examples in clean energy where</w:t>
      </w:r>
      <w:r w:rsidRPr="00E5087D">
        <w:rPr>
          <w:rFonts w:cs="Arial"/>
        </w:rPr>
        <w:t xml:space="preserve"> commercial land interests </w:t>
      </w:r>
      <w:r w:rsidR="41FC8627" w:rsidRPr="666E5F89">
        <w:rPr>
          <w:rFonts w:cs="Arial"/>
        </w:rPr>
        <w:t>continue to trump</w:t>
      </w:r>
      <w:r w:rsidRPr="00E5087D">
        <w:rPr>
          <w:rFonts w:cs="Arial"/>
        </w:rPr>
        <w:t xml:space="preserve"> Native Title</w:t>
      </w:r>
      <w:r w:rsidR="6BAA8731" w:rsidRPr="666E5F89">
        <w:rPr>
          <w:rFonts w:cs="Arial"/>
        </w:rPr>
        <w:t>.</w:t>
      </w:r>
      <w:r w:rsidR="00945AF0">
        <w:rPr>
          <w:rFonts w:cs="Arial"/>
        </w:rPr>
        <w:t xml:space="preserve"> </w:t>
      </w:r>
      <w:r w:rsidR="20F4DEA0" w:rsidRPr="666E5F89">
        <w:rPr>
          <w:rFonts w:cs="Arial"/>
        </w:rPr>
        <w:t xml:space="preserve">For example, </w:t>
      </w:r>
      <w:r w:rsidR="005609DF">
        <w:rPr>
          <w:rFonts w:cs="Arial"/>
        </w:rPr>
        <w:t xml:space="preserve">it has been raised by </w:t>
      </w:r>
      <w:r w:rsidR="00AF290F">
        <w:rPr>
          <w:rFonts w:cs="Arial"/>
        </w:rPr>
        <w:t xml:space="preserve">First Nations </w:t>
      </w:r>
      <w:r w:rsidR="009E5B8D">
        <w:rPr>
          <w:rFonts w:cs="Arial"/>
        </w:rPr>
        <w:t>community organisations that</w:t>
      </w:r>
      <w:r w:rsidR="20F4DEA0" w:rsidRPr="666E5F89">
        <w:rPr>
          <w:rFonts w:cs="Arial"/>
        </w:rPr>
        <w:t xml:space="preserve"> </w:t>
      </w:r>
      <w:r w:rsidRPr="00E5087D">
        <w:rPr>
          <w:rFonts w:cs="Arial"/>
        </w:rPr>
        <w:t xml:space="preserve">the Western Australian </w:t>
      </w:r>
      <w:r w:rsidR="702164CE" w:rsidRPr="666E5F89">
        <w:rPr>
          <w:rFonts w:cs="Arial"/>
        </w:rPr>
        <w:t>G</w:t>
      </w:r>
      <w:r w:rsidRPr="666E5F89">
        <w:rPr>
          <w:rFonts w:cs="Arial"/>
        </w:rPr>
        <w:t>overnment’s</w:t>
      </w:r>
      <w:r w:rsidRPr="00E5087D">
        <w:rPr>
          <w:rFonts w:cs="Arial"/>
        </w:rPr>
        <w:t xml:space="preserve"> allocation of land in the Pilbara to major industrial players for hydrogen and ammonia development </w:t>
      </w:r>
      <w:r w:rsidR="00FB0C71">
        <w:rPr>
          <w:rFonts w:cs="Arial"/>
        </w:rPr>
        <w:t>prior to</w:t>
      </w:r>
      <w:r w:rsidRPr="00E5087D">
        <w:rPr>
          <w:rFonts w:cs="Arial"/>
        </w:rPr>
        <w:t xml:space="preserve"> seeking </w:t>
      </w:r>
      <w:r w:rsidR="00814237">
        <w:rPr>
          <w:rFonts w:cs="Arial"/>
        </w:rPr>
        <w:t xml:space="preserve">the </w:t>
      </w:r>
      <w:r w:rsidRPr="00E5087D">
        <w:rPr>
          <w:rFonts w:cs="Arial"/>
        </w:rPr>
        <w:t>informed consent of the Ngarluma Aboriginal Corporation.</w:t>
      </w:r>
      <w:r w:rsidRPr="00FE1555">
        <w:rPr>
          <w:rStyle w:val="EndnoteReference"/>
          <w:rFonts w:eastAsia="Arial" w:cs="Arial"/>
        </w:rPr>
        <w:endnoteReference w:id="201"/>
      </w:r>
      <w:r w:rsidR="009E5B8D" w:rsidRPr="00FE1555">
        <w:rPr>
          <w:rFonts w:cs="Arial"/>
        </w:rPr>
        <w:t xml:space="preserve"> </w:t>
      </w:r>
      <w:r w:rsidR="009E5B8D">
        <w:rPr>
          <w:rFonts w:cs="Arial"/>
        </w:rPr>
        <w:t xml:space="preserve">This example highlights the limitations of the </w:t>
      </w:r>
      <w:r w:rsidR="00FB0C71">
        <w:rPr>
          <w:rFonts w:cs="Arial"/>
        </w:rPr>
        <w:t>current Native Title legislation</w:t>
      </w:r>
      <w:r w:rsidR="00096FDA">
        <w:rPr>
          <w:rFonts w:cs="Arial"/>
        </w:rPr>
        <w:t xml:space="preserve"> in adhering to the free, prior and informed consent (FPIC) principles of </w:t>
      </w:r>
      <w:r w:rsidR="00096FDA" w:rsidRPr="00096FDA">
        <w:rPr>
          <w:rFonts w:cs="Arial"/>
        </w:rPr>
        <w:t>the U</w:t>
      </w:r>
      <w:r w:rsidR="00BC12B3">
        <w:rPr>
          <w:rFonts w:cs="Arial"/>
        </w:rPr>
        <w:t xml:space="preserve">nited </w:t>
      </w:r>
      <w:r w:rsidR="00096FDA" w:rsidRPr="00096FDA">
        <w:rPr>
          <w:rFonts w:cs="Arial"/>
        </w:rPr>
        <w:t>N</w:t>
      </w:r>
      <w:r w:rsidR="00BC12B3">
        <w:rPr>
          <w:rFonts w:cs="Arial"/>
        </w:rPr>
        <w:t>ations</w:t>
      </w:r>
      <w:r w:rsidR="00096FDA" w:rsidRPr="00096FDA">
        <w:rPr>
          <w:rFonts w:cs="Arial"/>
        </w:rPr>
        <w:t xml:space="preserve"> Declaration on the Rights of Indigenous Peoples</w:t>
      </w:r>
      <w:r w:rsidR="00BC12B3">
        <w:rPr>
          <w:rFonts w:cs="Arial"/>
        </w:rPr>
        <w:t>.</w:t>
      </w:r>
    </w:p>
    <w:p w14:paraId="3D0B1660" w14:textId="1B947A4B" w:rsidR="00E13239" w:rsidRPr="00E5087D" w:rsidRDefault="00E13239" w:rsidP="00E13239">
      <w:pPr>
        <w:spacing w:after="120" w:line="276" w:lineRule="auto"/>
        <w:rPr>
          <w:rFonts w:eastAsia="Arial" w:cs="Arial"/>
        </w:rPr>
      </w:pPr>
      <w:r w:rsidRPr="00E5087D">
        <w:rPr>
          <w:rFonts w:cs="Arial"/>
        </w:rPr>
        <w:t>Ensuring that First Nation</w:t>
      </w:r>
      <w:r w:rsidR="00CF649E">
        <w:rPr>
          <w:rFonts w:cs="Arial"/>
        </w:rPr>
        <w:t>s</w:t>
      </w:r>
      <w:r w:rsidRPr="00E5087D">
        <w:rPr>
          <w:rFonts w:cs="Arial"/>
        </w:rPr>
        <w:t xml:space="preserve"> communities are well positioned to have a controlling stake in clean energy on their land provides a genuine opportunity to address the high levels of unemployment and related poverty and welfare dependence that is a structural reality in remote Australia.</w:t>
      </w:r>
    </w:p>
    <w:p w14:paraId="03F046CA" w14:textId="346E38DF" w:rsidR="00E13239" w:rsidRPr="00E5087D" w:rsidRDefault="00E13239" w:rsidP="00A66E98">
      <w:pPr>
        <w:spacing w:after="120" w:line="276" w:lineRule="auto"/>
        <w:rPr>
          <w:rFonts w:cs="Arial"/>
        </w:rPr>
      </w:pPr>
      <w:r w:rsidRPr="00E5087D">
        <w:rPr>
          <w:rFonts w:cs="Arial"/>
        </w:rPr>
        <w:t>The Commonwealth Indigenous Procurement Policy (IPP) sets targets for First Nations employment and the volume and value of contracts to be awarded to Indigenous enterprises. The government has a role in nurturing and incentivising First Nations communities’ economic development and entrepreneurialism and extending clean energy developments on lands under Native Title in consultation with local Traditional Owners.</w:t>
      </w:r>
      <w:r w:rsidRPr="00E5087D">
        <w:rPr>
          <w:rStyle w:val="EndnoteReference"/>
          <w:rFonts w:cs="Arial"/>
          <w14:numForm w14:val="lining"/>
          <w14:numSpacing w14:val="proportional"/>
        </w:rPr>
        <w:endnoteReference w:id="202"/>
      </w:r>
    </w:p>
    <w:p w14:paraId="29A8C35F" w14:textId="16FDBD49" w:rsidR="00A66E98" w:rsidRDefault="00A66E98">
      <w:pPr>
        <w:rPr>
          <w:b/>
          <w:bCs/>
        </w:rPr>
      </w:pPr>
      <w:r>
        <w:rPr>
          <w:b/>
          <w:bCs/>
        </w:rPr>
        <w:br w:type="page"/>
      </w:r>
    </w:p>
    <w:p w14:paraId="1CE54800" w14:textId="051DEE5D" w:rsidR="00E13239" w:rsidRPr="00E5087D" w:rsidRDefault="00E13239" w:rsidP="00D855F0">
      <w:pPr>
        <w:keepNext/>
        <w:keepLines/>
        <w:spacing w:before="360" w:after="120" w:line="240" w:lineRule="auto"/>
        <w:outlineLvl w:val="2"/>
        <w:rPr>
          <w:rFonts w:eastAsiaTheme="majorEastAsia" w:cstheme="majorBidi"/>
          <w:b/>
          <w:sz w:val="24"/>
          <w:szCs w:val="24"/>
          <w14:numForm w14:val="lining"/>
          <w14:numSpacing w14:val="proportional"/>
        </w:rPr>
      </w:pPr>
      <w:r w:rsidRPr="0452C113">
        <w:rPr>
          <w:rFonts w:eastAsiaTheme="majorEastAsia" w:cstheme="majorBidi"/>
          <w:b/>
          <w:bCs/>
          <w:sz w:val="24"/>
          <w:szCs w:val="24"/>
          <w14:numForm w14:val="lining"/>
          <w14:numSpacing w14:val="proportional"/>
        </w:rPr>
        <w:t xml:space="preserve">Canadian Success Stories for </w:t>
      </w:r>
      <w:r w:rsidRPr="00E5087D">
        <w:rPr>
          <w:rFonts w:eastAsiaTheme="majorEastAsia" w:cstheme="majorBidi"/>
          <w:b/>
          <w:sz w:val="24"/>
          <w:szCs w:val="24"/>
          <w14:numForm w14:val="lining"/>
          <w14:numSpacing w14:val="proportional"/>
        </w:rPr>
        <w:t>First Nations Clean Energy Strategy</w:t>
      </w:r>
    </w:p>
    <w:p w14:paraId="2307F075" w14:textId="7E837E0D" w:rsidR="00E13239" w:rsidRPr="00E5087D" w:rsidRDefault="00E13239" w:rsidP="00E13239">
      <w:pPr>
        <w:spacing w:after="120" w:line="276" w:lineRule="auto"/>
        <w:rPr>
          <w:rFonts w:cs="Arial"/>
          <w14:numForm w14:val="lining"/>
          <w14:numSpacing w14:val="proportional"/>
        </w:rPr>
      </w:pPr>
      <w:r w:rsidRPr="00E5087D">
        <w:rPr>
          <w:rFonts w:cs="Arial"/>
          <w14:numForm w14:val="lining"/>
          <w14:numSpacing w14:val="proportional"/>
        </w:rPr>
        <w:t xml:space="preserve">Over the course of this study, JSA has participated in the First Nations Clean Energy Strategy Roundtable Discussions, as part of the Commonwealth's National Energy Transformation Partnership. This strategy is working to ensure First Nations people have a say in energy policies and programs in the transition to net-zero </w:t>
      </w:r>
      <w:r w:rsidR="009B0510" w:rsidRPr="00E5087D">
        <w:rPr>
          <w:rFonts w:cs="Arial"/>
          <w14:numForm w14:val="lining"/>
          <w14:numSpacing w14:val="proportional"/>
        </w:rPr>
        <w:t>and help</w:t>
      </w:r>
      <w:r w:rsidRPr="00E5087D">
        <w:rPr>
          <w:rFonts w:cs="Arial"/>
          <w14:numForm w14:val="lining"/>
          <w14:numSpacing w14:val="proportional"/>
        </w:rPr>
        <w:t xml:space="preserve"> identify priority reforms and areas for future investment.</w:t>
      </w:r>
      <w:r w:rsidRPr="00E5087D">
        <w:rPr>
          <w:rStyle w:val="EndnoteReference"/>
          <w:rFonts w:cs="Arial"/>
          <w14:numForm w14:val="lining"/>
          <w14:numSpacing w14:val="proportional"/>
        </w:rPr>
        <w:endnoteReference w:id="203"/>
      </w:r>
      <w:r w:rsidRPr="00E5087D">
        <w:rPr>
          <w:rFonts w:cs="Arial"/>
          <w14:numForm w14:val="lining"/>
          <w14:numSpacing w14:val="proportional"/>
        </w:rPr>
        <w:t xml:space="preserve"> </w:t>
      </w:r>
    </w:p>
    <w:p w14:paraId="357CA642" w14:textId="5B38E535" w:rsidR="0D5D30A3" w:rsidRDefault="0D5D30A3" w:rsidP="00AE495D">
      <w:pPr>
        <w:spacing w:after="120" w:line="276" w:lineRule="auto"/>
        <w:rPr>
          <w:rFonts w:eastAsia="Arial" w:cs="Arial"/>
        </w:rPr>
      </w:pPr>
      <w:r w:rsidRPr="03D1716F">
        <w:rPr>
          <w:rFonts w:eastAsia="Arial" w:cs="Arial"/>
        </w:rPr>
        <w:t xml:space="preserve">The strategy draws heavily from the success of First Nations communities in Canada owning and operating large-scale renewable energy projects. Canada and Australia have very different colonial histories and </w:t>
      </w:r>
      <w:r w:rsidR="541DADEF" w:rsidRPr="03D1716F">
        <w:rPr>
          <w:rFonts w:eastAsia="Arial" w:cs="Arial"/>
        </w:rPr>
        <w:t>thus</w:t>
      </w:r>
      <w:r w:rsidRPr="03D1716F">
        <w:rPr>
          <w:rFonts w:eastAsia="Arial" w:cs="Arial"/>
        </w:rPr>
        <w:t xml:space="preserve"> different approaches to both Indigenous relations and land rights. Land rights are critical to </w:t>
      </w:r>
      <w:r w:rsidR="00DB7325">
        <w:rPr>
          <w:rFonts w:eastAsia="Arial" w:cs="Arial"/>
        </w:rPr>
        <w:t>I</w:t>
      </w:r>
      <w:r w:rsidRPr="03D1716F">
        <w:rPr>
          <w:rFonts w:eastAsia="Arial" w:cs="Arial"/>
        </w:rPr>
        <w:t>ndigenous development, not just in coverage, but legal strength.</w:t>
      </w:r>
      <w:r w:rsidRPr="03D1716F">
        <w:rPr>
          <w:rStyle w:val="EndnoteReference"/>
          <w:rFonts w:eastAsia="Arial" w:cs="Arial"/>
        </w:rPr>
        <w:endnoteReference w:id="204"/>
      </w:r>
      <w:r w:rsidRPr="03D1716F">
        <w:rPr>
          <w:rFonts w:eastAsia="Arial" w:cs="Arial"/>
        </w:rPr>
        <w:t xml:space="preserve"> In contrast with the interplay between land stewardship and energy developments in Australia</w:t>
      </w:r>
      <w:r w:rsidR="22A6AA49" w:rsidRPr="03D1716F">
        <w:rPr>
          <w:rFonts w:eastAsia="Arial" w:cs="Arial"/>
        </w:rPr>
        <w:t>,</w:t>
      </w:r>
      <w:r w:rsidRPr="03D1716F">
        <w:rPr>
          <w:rFonts w:eastAsia="Arial" w:cs="Arial"/>
        </w:rPr>
        <w:t xml:space="preserve"> First Nations </w:t>
      </w:r>
      <w:r w:rsidR="00E20044">
        <w:rPr>
          <w:rFonts w:eastAsia="Arial" w:cs="Arial"/>
        </w:rPr>
        <w:t>people</w:t>
      </w:r>
      <w:r w:rsidRPr="03D1716F">
        <w:rPr>
          <w:rFonts w:eastAsia="Arial" w:cs="Arial"/>
        </w:rPr>
        <w:t xml:space="preserve"> and Inuit populations in Canada, who hold around 6.3% of the total landmass,</w:t>
      </w:r>
      <w:r w:rsidR="00AE495D">
        <w:rPr>
          <w:rFonts w:eastAsia="Arial" w:cs="Arial"/>
        </w:rPr>
        <w:t xml:space="preserve"> </w:t>
      </w:r>
      <w:r w:rsidRPr="03D1716F">
        <w:rPr>
          <w:rFonts w:eastAsia="Arial" w:cs="Arial"/>
        </w:rPr>
        <w:t xml:space="preserve">have been able to leverage and develop these natural assets to become the second largest clean energy asset owners and partners in the country. </w:t>
      </w:r>
    </w:p>
    <w:p w14:paraId="3612F22C" w14:textId="2AF3BB0F" w:rsidR="00AE495D" w:rsidRDefault="0D5D30A3" w:rsidP="3D562964">
      <w:pPr>
        <w:spacing w:after="120" w:line="276" w:lineRule="auto"/>
        <w:rPr>
          <w:rFonts w:eastAsia="Arial" w:cs="Arial"/>
        </w:rPr>
      </w:pPr>
      <w:r w:rsidRPr="3D562964">
        <w:rPr>
          <w:rFonts w:eastAsia="Arial" w:cs="Arial"/>
        </w:rPr>
        <w:t>This progress has been supported by longstanding project ownership targets for the First Nations on whose lands the projects were proposed over the last 20 years</w:t>
      </w:r>
      <w:r w:rsidR="7F1503C1" w:rsidRPr="3D562964">
        <w:rPr>
          <w:rFonts w:eastAsia="Arial" w:cs="Arial"/>
        </w:rPr>
        <w:t>,</w:t>
      </w:r>
      <w:r w:rsidRPr="3D562964">
        <w:rPr>
          <w:rFonts w:eastAsia="Arial" w:cs="Arial"/>
        </w:rPr>
        <w:t xml:space="preserve"> </w:t>
      </w:r>
      <w:r w:rsidR="7FD9E2DC" w:rsidRPr="3D562964">
        <w:rPr>
          <w:rFonts w:eastAsia="Arial" w:cs="Arial"/>
        </w:rPr>
        <w:t>with</w:t>
      </w:r>
      <w:r w:rsidRPr="3D562964">
        <w:rPr>
          <w:rFonts w:eastAsia="Arial" w:cs="Arial"/>
        </w:rPr>
        <w:t xml:space="preserve"> adequate seed funding and ongoing funding from Federal, Provincial and Territory governments. These projects have led to community training and local job creation, reduced greenhouse gas emissions, advanced gender equity, materially improved economic stability and cultural and linguistic preservation.</w:t>
      </w:r>
    </w:p>
    <w:p w14:paraId="3B30B021" w14:textId="5B3616ED" w:rsidR="0D5D30A3" w:rsidRDefault="00351F59" w:rsidP="00351F59">
      <w:pPr>
        <w:spacing w:after="480" w:line="276" w:lineRule="auto"/>
        <w:rPr>
          <w:rFonts w:eastAsia="Arial" w:cs="Arial"/>
        </w:rPr>
      </w:pPr>
      <w:r w:rsidRPr="00BB2E09">
        <w:rPr>
          <w:noProof/>
        </w:rPr>
        <mc:AlternateContent>
          <mc:Choice Requires="wpg">
            <w:drawing>
              <wp:anchor distT="0" distB="0" distL="114300" distR="114300" simplePos="0" relativeHeight="251658324" behindDoc="1" locked="0" layoutInCell="1" allowOverlap="1" wp14:anchorId="3CB9D4D5" wp14:editId="55AFB19E">
                <wp:simplePos x="0" y="0"/>
                <wp:positionH relativeFrom="column">
                  <wp:posOffset>31115</wp:posOffset>
                </wp:positionH>
                <wp:positionV relativeFrom="paragraph">
                  <wp:posOffset>1014730</wp:posOffset>
                </wp:positionV>
                <wp:extent cx="5731510" cy="681487"/>
                <wp:effectExtent l="0" t="0" r="21590" b="23495"/>
                <wp:wrapNone/>
                <wp:docPr id="180" name="Group 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681487"/>
                          <a:chOff x="0" y="0"/>
                          <a:chExt cx="5880735" cy="699887"/>
                        </a:xfrm>
                      </wpg:grpSpPr>
                      <wps:wsp>
                        <wps:cNvPr id="181" name="Rectangle: Top Corners Rounded 181"/>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FE50EBC" w14:textId="2215537D"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2" name="Rectangle 182"/>
                        <wps:cNvSpPr/>
                        <wps:spPr>
                          <a:xfrm>
                            <a:off x="0" y="230025"/>
                            <a:ext cx="5880735" cy="46986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29CC6" w14:textId="0B3A77EE"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3CB9D4D5" id="Group 180" o:spid="_x0000_s1206" alt="&quot;&quot;" style="position:absolute;margin-left:2.45pt;margin-top:79.9pt;width:451.3pt;height:53.65pt;z-index:-251658156;mso-position-horizontal-relative:text;mso-position-vertical-relative:text" coordsize="58807,6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">
                <v:shape id="Rectangle: Top Corners Rounded 181" o:spid="_x0000_s1207"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3FE50EBC" w14:textId="2215537D" w:rsidR="00E13239" w:rsidRPr="006E07A7" w:rsidRDefault="00E13239" w:rsidP="00E13239">
                        <w:pPr>
                          <w:spacing w:after="0" w:line="240" w:lineRule="auto"/>
                          <w:rPr>
                            <w:b/>
                            <w:bCs/>
                            <w14:numForm w14:val="lining"/>
                            <w14:numSpacing w14:val="proportional"/>
                          </w:rPr>
                        </w:pPr>
                      </w:p>
                    </w:txbxContent>
                  </v:textbox>
                </v:shape>
                <v:rect id="Rectangle 182" o:spid="_x0000_s1208" style="position:absolute;top:2300;width:58807;height:4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" fillcolor="#f2f2f2" strokecolor="#e0d1f5 [660]" strokeweight="1pt">
                  <v:textbox inset="2mm,1mm,2mm,1mm">
                    <w:txbxContent>
                      <w:p w14:paraId="48029CC6" w14:textId="0B3A77EE"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0D5D30A3" w:rsidRPr="03D1716F">
        <w:rPr>
          <w:rFonts w:eastAsia="Arial" w:cs="Arial"/>
        </w:rPr>
        <w:t>The First Nations Clean Energy Strategy will be developed through to the end of 2024 and is slated to produce recommendations for actions, policies and programs that the Federal Government can implement to ensure that First Nations people benefit from the energy transformation.</w:t>
      </w:r>
    </w:p>
    <w:p w14:paraId="2166715B" w14:textId="12325641" w:rsidR="00351F59" w:rsidRPr="006E07A7" w:rsidRDefault="00351F59" w:rsidP="00351F59">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8.2</w:t>
      </w:r>
    </w:p>
    <w:p w14:paraId="5D179ABC" w14:textId="646D48D4" w:rsidR="00351F59" w:rsidRPr="00290C33" w:rsidRDefault="00351F59" w:rsidP="00351F59">
      <w:pPr>
        <w:spacing w:after="0" w:line="240" w:lineRule="auto"/>
        <w:ind w:left="170" w:right="113"/>
        <w:rPr>
          <w:rFonts w:eastAsia="Calibri" w:cs="Times New Roman"/>
          <w:color w:val="000000"/>
          <w14:ligatures w14:val="standardContextual"/>
        </w:rPr>
      </w:pPr>
      <w:r>
        <w:rPr>
          <w:rFonts w:eastAsia="Calibri" w:cs="Times New Roman"/>
          <w:color w:val="000000"/>
          <w14:ligatures w14:val="standardContextual"/>
        </w:rPr>
        <w:t xml:space="preserve">Consider expanding the Indigenous Ranger and Caring for Country programs across all states and territories where there is no existing equivalent. </w:t>
      </w:r>
    </w:p>
    <w:p w14:paraId="34163D3B" w14:textId="2A409FFC" w:rsidR="00351F59" w:rsidRPr="006E07A7" w:rsidRDefault="00351F59" w:rsidP="00351F59">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25" behindDoc="1" locked="0" layoutInCell="1" allowOverlap="1" wp14:anchorId="294D4EAD" wp14:editId="503DDCA1">
                <wp:simplePos x="0" y="0"/>
                <wp:positionH relativeFrom="column">
                  <wp:posOffset>31750</wp:posOffset>
                </wp:positionH>
                <wp:positionV relativeFrom="paragraph">
                  <wp:posOffset>273685</wp:posOffset>
                </wp:positionV>
                <wp:extent cx="5731512" cy="1016066"/>
                <wp:effectExtent l="0" t="0" r="21590" b="12700"/>
                <wp:wrapNone/>
                <wp:docPr id="184" name="Group 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2" cy="1016066"/>
                          <a:chOff x="-2" y="0"/>
                          <a:chExt cx="5880737" cy="1043500"/>
                        </a:xfrm>
                      </wpg:grpSpPr>
                      <wps:wsp>
                        <wps:cNvPr id="185" name="Rectangle: Top Corners Rounded 185"/>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5C2FAD" w14:textId="7AEEBEAF"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6" name="Rectangle 186"/>
                        <wps:cNvSpPr/>
                        <wps:spPr>
                          <a:xfrm>
                            <a:off x="0" y="230116"/>
                            <a:ext cx="5880735" cy="813384"/>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DECAF" w14:textId="7B845AB4"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294D4EAD" id="Group 184" o:spid="_x0000_s1209" alt="&quot;&quot;" style="position:absolute;left:0;text-align:left;margin-left:2.5pt;margin-top:21.55pt;width:451.3pt;height:80pt;z-index:-251658155;mso-position-horizontal-relative:text;mso-position-vertical-relative:text" coordorigin="" coordsize="58807,10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">
                <v:shape id="Rectangle: Top Corners Rounded 185" o:spid="_x0000_s1210"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265C2FAD" w14:textId="7AEEBEAF" w:rsidR="00E13239" w:rsidRPr="006E07A7" w:rsidRDefault="00E13239" w:rsidP="00E13239">
                        <w:pPr>
                          <w:spacing w:after="0" w:line="240" w:lineRule="auto"/>
                          <w:rPr>
                            <w:b/>
                            <w:bCs/>
                            <w14:numForm w14:val="lining"/>
                            <w14:numSpacing w14:val="proportional"/>
                          </w:rPr>
                        </w:pPr>
                      </w:p>
                    </w:txbxContent>
                  </v:textbox>
                </v:shape>
                <v:rect id="Rectangle 186" o:spid="_x0000_s1211" style="position:absolute;top:2301;width:58807;height:8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" fillcolor="#f2f2f2" strokecolor="#e0d1f5 [660]" strokeweight="1pt">
                  <v:textbox inset="2mm,1mm,2mm,1mm">
                    <w:txbxContent>
                      <w:p w14:paraId="772DECAF" w14:textId="7B845AB4"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8.3</w:t>
      </w:r>
    </w:p>
    <w:p w14:paraId="1F98B57C" w14:textId="12CBEA41" w:rsidR="00351F59" w:rsidRPr="00290C33" w:rsidRDefault="00351F59" w:rsidP="00351F59">
      <w:pPr>
        <w:spacing w:before="200" w:after="0" w:line="240" w:lineRule="auto"/>
        <w:ind w:left="170" w:right="113"/>
        <w:rPr>
          <w:rFonts w:eastAsia="Calibri" w:cs="Times New Roman"/>
          <w:color w:val="000000"/>
          <w14:ligatures w14:val="standardContextual"/>
        </w:rPr>
      </w:pPr>
      <w:r>
        <w:rPr>
          <w:rFonts w:eastAsia="Calibri" w:cs="Times New Roman"/>
          <w:color w:val="000000"/>
          <w14:ligatures w14:val="standardContextual"/>
        </w:rPr>
        <w:t>Through the First Nations Clean Energy Strategy, explore employment, training and general education targets for clean energy developments on lands under Aboriginal Land Rights, Native title and other land stewardship arrangements in consultation with local Traditional Owners.</w:t>
      </w:r>
    </w:p>
    <w:p w14:paraId="6A1F1A39" w14:textId="69286C43" w:rsidR="00351F59" w:rsidRPr="006E07A7" w:rsidRDefault="00D02C39" w:rsidP="00351F59">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26" behindDoc="1" locked="0" layoutInCell="1" allowOverlap="1" wp14:anchorId="67FB4ADF" wp14:editId="7045EB58">
                <wp:simplePos x="0" y="0"/>
                <wp:positionH relativeFrom="column">
                  <wp:posOffset>31750</wp:posOffset>
                </wp:positionH>
                <wp:positionV relativeFrom="paragraph">
                  <wp:posOffset>276225</wp:posOffset>
                </wp:positionV>
                <wp:extent cx="5731510" cy="838819"/>
                <wp:effectExtent l="0" t="0" r="21590" b="19050"/>
                <wp:wrapNone/>
                <wp:docPr id="187" name="Group 1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38819"/>
                          <a:chOff x="0" y="74264"/>
                          <a:chExt cx="5880735" cy="576033"/>
                        </a:xfrm>
                      </wpg:grpSpPr>
                      <wps:wsp>
                        <wps:cNvPr id="188" name="Rectangle: Top Corners Rounded 188"/>
                        <wps:cNvSpPr/>
                        <wps:spPr>
                          <a:xfrm>
                            <a:off x="0" y="74264"/>
                            <a:ext cx="1736053" cy="155748"/>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6142A8" w14:textId="361BF8A8"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89" name="Rectangle 189"/>
                        <wps:cNvSpPr/>
                        <wps:spPr>
                          <a:xfrm>
                            <a:off x="0" y="230025"/>
                            <a:ext cx="5880735" cy="42027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2481F" w14:textId="5061C7BE"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67FB4ADF" id="Group 187" o:spid="_x0000_s1212" alt="&quot;&quot;" style="position:absolute;left:0;text-align:left;margin-left:2.5pt;margin-top:21.75pt;width:451.3pt;height:66.05pt;z-index:-251658154;mso-position-horizontal-relative:text;mso-position-vertical-relative:text" coordorigin=",742" coordsize="58807,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">
                <v:shape id="Rectangle: Top Corners Rounded 188" o:spid="_x0000_s1213" style="position:absolute;top:742;width:17360;height:1558;visibility:visible;mso-wrap-style:square;v-text-anchor:middle" coordsize="1736053,1557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" adj="-11796480,,5400" path="m25959,l1710094,v14337,,25959,11622,25959,25959l1736053,155748r,l,155748r,l,25959c,11622,11622,,25959,xe" fillcolor="#e0d1f5 [660]" strokecolor="#e0d1f5 [660]" strokeweight="1pt">
                  <v:stroke joinstyle="miter"/>
                  <v:formulas/>
                  <v:path arrowok="t" o:connecttype="custom" o:connectlocs="25959,0;1710094,0;1736053,25959;1736053,155748;1736053,155748;0,155748;0,155748;0,25959;25959,0" o:connectangles="0,0,0,0,0,0,0,0,0" textboxrect="0,0,1736053,155748"/>
                  <v:textbox inset=",0,,0">
                    <w:txbxContent>
                      <w:p w14:paraId="596142A8" w14:textId="361BF8A8" w:rsidR="00E13239" w:rsidRPr="006E07A7" w:rsidRDefault="00E13239" w:rsidP="00E13239">
                        <w:pPr>
                          <w:spacing w:after="0" w:line="240" w:lineRule="auto"/>
                          <w:rPr>
                            <w:b/>
                            <w:bCs/>
                            <w14:numForm w14:val="lining"/>
                            <w14:numSpacing w14:val="proportional"/>
                          </w:rPr>
                        </w:pPr>
                      </w:p>
                    </w:txbxContent>
                  </v:textbox>
                </v:shape>
                <v:rect id="Rectangle 189" o:spid="_x0000_s1214" style="position:absolute;top:2300;width:58807;height:4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" fillcolor="#f2f2f2" strokecolor="#e0d1f5 [660]" strokeweight="1pt">
                  <v:textbox inset="2mm,1mm,2mm,1mm">
                    <w:txbxContent>
                      <w:p w14:paraId="57C2481F" w14:textId="5061C7BE"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00351F59" w:rsidRPr="006E07A7">
        <w:rPr>
          <w:b/>
          <w:bCs/>
          <w14:numForm w14:val="lining"/>
          <w14:numSpacing w14:val="proportional"/>
        </w:rPr>
        <w:t xml:space="preserve">Recommendation </w:t>
      </w:r>
      <w:r w:rsidR="00351F59">
        <w:rPr>
          <w:b/>
          <w:bCs/>
          <w14:numForm w14:val="lining"/>
          <w14:numSpacing w14:val="proportional"/>
        </w:rPr>
        <w:t>8.4</w:t>
      </w:r>
    </w:p>
    <w:p w14:paraId="0E20F512" w14:textId="327184B2" w:rsidR="00351F59" w:rsidRPr="00A65F56" w:rsidRDefault="00351F59" w:rsidP="00A65F56">
      <w:pPr>
        <w:spacing w:after="0" w:line="240" w:lineRule="auto"/>
        <w:ind w:left="170" w:right="113"/>
        <w:rPr>
          <w:rFonts w:eastAsia="Calibri" w:cs="Times New Roman"/>
          <w:color w:val="000000"/>
          <w14:ligatures w14:val="standardContextual"/>
        </w:rPr>
      </w:pPr>
      <w:r>
        <w:rPr>
          <w:rFonts w:eastAsia="Calibri" w:cs="Times New Roman"/>
          <w:color w:val="000000"/>
          <w14:ligatures w14:val="standardContextual"/>
        </w:rPr>
        <w:t>Explore opportunities for greater take-up of the Commonwealth Indigenous Procurement Policy targets, including Mandatory Minimum Indigenous Participation Requirements, for clean energy supply chains.</w:t>
      </w:r>
    </w:p>
    <w:p w14:paraId="156FBED8" w14:textId="77777777" w:rsidR="00E13239" w:rsidRPr="00E5087D" w:rsidRDefault="00E13239" w:rsidP="00E13239">
      <w:pPr>
        <w:rPr>
          <w:rFonts w:eastAsiaTheme="majorEastAsia" w:cstheme="majorBidi"/>
          <w:b/>
          <w:sz w:val="32"/>
          <w:szCs w:val="26"/>
        </w:rPr>
      </w:pPr>
      <w:r w:rsidRPr="00E5087D">
        <w:br w:type="page"/>
      </w:r>
    </w:p>
    <w:p w14:paraId="7AF92521" w14:textId="7E237BAD" w:rsidR="00E13239" w:rsidRPr="00E5087D" w:rsidRDefault="00E13239" w:rsidP="00E13239">
      <w:pPr>
        <w:pStyle w:val="Heading3"/>
      </w:pPr>
      <w:r w:rsidRPr="00E5087D">
        <w:t>People with disability</w:t>
      </w:r>
    </w:p>
    <w:p w14:paraId="431259D3" w14:textId="02BA4F18" w:rsidR="00E13239" w:rsidRPr="00E5087D" w:rsidRDefault="00E13239" w:rsidP="00E13239">
      <w:pPr>
        <w:spacing w:after="120" w:line="276" w:lineRule="auto"/>
      </w:pPr>
      <w:r w:rsidRPr="00E5087D">
        <w:rPr>
          <w14:numForm w14:val="lining"/>
          <w14:numSpacing w14:val="proportional"/>
        </w:rPr>
        <w:t>People with disability face multiple barriers to employment and are particularly underrepresented in the clean energy workforce.</w:t>
      </w:r>
      <w:r w:rsidR="009B0510" w:rsidRPr="00E5087D">
        <w:rPr>
          <w14:numForm w14:val="lining"/>
          <w14:numSpacing w14:val="proportional"/>
        </w:rPr>
        <w:t xml:space="preserve"> </w:t>
      </w:r>
      <w:r w:rsidRPr="03D1716F">
        <w:t>From a whole of population perspective</w:t>
      </w:r>
      <w:r w:rsidR="0CDD1511" w:rsidRPr="03D1716F">
        <w:t>,</w:t>
      </w:r>
      <w:r w:rsidRPr="03D1716F">
        <w:t xml:space="preserve">18% of Australians are living </w:t>
      </w:r>
      <w:r w:rsidR="00755478" w:rsidRPr="03D1716F">
        <w:t>with disability</w:t>
      </w:r>
      <w:r w:rsidRPr="03D1716F">
        <w:t xml:space="preserve"> and </w:t>
      </w:r>
      <w:r w:rsidR="0CDD1511" w:rsidRPr="03D1716F">
        <w:t xml:space="preserve">almost </w:t>
      </w:r>
      <w:r w:rsidR="2B53138F" w:rsidRPr="03D1716F">
        <w:t xml:space="preserve">half of working age people </w:t>
      </w:r>
      <w:r w:rsidRPr="03D1716F">
        <w:t xml:space="preserve">living </w:t>
      </w:r>
      <w:r w:rsidR="009A182A" w:rsidRPr="03D1716F">
        <w:t>with disability</w:t>
      </w:r>
      <w:r w:rsidRPr="03D1716F">
        <w:t xml:space="preserve"> are employed</w:t>
      </w:r>
      <w:r w:rsidR="2B53138F" w:rsidRPr="03D1716F">
        <w:t xml:space="preserve"> (</w:t>
      </w:r>
      <w:r w:rsidR="01851848">
        <w:t>48%</w:t>
      </w:r>
      <w:r w:rsidR="139CBD23">
        <w:t>)</w:t>
      </w:r>
      <w:r w:rsidR="020C56C6">
        <w:t xml:space="preserve">. In contrast, </w:t>
      </w:r>
      <w:r w:rsidR="66B8B417">
        <w:t xml:space="preserve">80% of people </w:t>
      </w:r>
      <w:r w:rsidR="05C29824">
        <w:t xml:space="preserve">of working age </w:t>
      </w:r>
      <w:r w:rsidR="00755478">
        <w:t>without disability</w:t>
      </w:r>
      <w:r w:rsidR="20D8E105">
        <w:t xml:space="preserve"> are employed</w:t>
      </w:r>
      <w:r w:rsidR="66B8B417">
        <w:t>.</w:t>
      </w:r>
      <w:r w:rsidRPr="03D1716F">
        <w:rPr>
          <w:rStyle w:val="EndnoteReference"/>
        </w:rPr>
        <w:endnoteReference w:id="205"/>
      </w:r>
      <w:r w:rsidRPr="00E5087D">
        <w:t xml:space="preserve"> </w:t>
      </w:r>
      <w:r w:rsidRPr="00E5087D">
        <w:rPr>
          <w14:numForm w14:val="lining"/>
          <w14:numSpacing w14:val="proportional"/>
        </w:rPr>
        <w:t>A recent survey</w:t>
      </w:r>
      <w:r w:rsidRPr="00E5087D">
        <w:rPr>
          <w:rStyle w:val="FootnoteReference"/>
          <w14:numForm w14:val="lining"/>
          <w14:numSpacing w14:val="proportional"/>
        </w:rPr>
        <w:footnoteReference w:id="5"/>
      </w:r>
      <w:r w:rsidRPr="00E5087D">
        <w:rPr>
          <w14:numForm w14:val="lining"/>
          <w14:numSpacing w14:val="proportional"/>
        </w:rPr>
        <w:t xml:space="preserve"> by the </w:t>
      </w:r>
      <w:r w:rsidR="00F72FA8">
        <w:rPr>
          <w:rFonts w:cs="Arial"/>
          <w14:numForm w14:val="lining"/>
          <w14:numSpacing w14:val="proportional"/>
        </w:rPr>
        <w:t>CEC</w:t>
      </w:r>
      <w:r w:rsidRPr="00E5087D">
        <w:rPr>
          <w14:numForm w14:val="lining"/>
          <w14:numSpacing w14:val="proportional"/>
        </w:rPr>
        <w:t xml:space="preserve"> revealed that people with disability account for only 3% of the Australian clean energy workforce.</w:t>
      </w:r>
      <w:r w:rsidRPr="00E5087D">
        <w:rPr>
          <w:rStyle w:val="EndnoteReference"/>
          <w14:numForm w14:val="lining"/>
          <w14:numSpacing w14:val="proportional"/>
        </w:rPr>
        <w:endnoteReference w:id="206"/>
      </w:r>
      <w:r w:rsidRPr="00E5087D">
        <w:rPr>
          <w14:numForm w14:val="lining"/>
          <w14:numSpacing w14:val="proportional"/>
        </w:rPr>
        <w:t xml:space="preserve"> </w:t>
      </w:r>
    </w:p>
    <w:p w14:paraId="320CD0CA" w14:textId="22CA75F4" w:rsidR="00E13239" w:rsidRPr="00E5087D" w:rsidRDefault="00E13239" w:rsidP="00E13239">
      <w:pPr>
        <w:spacing w:after="120" w:line="276" w:lineRule="auto"/>
        <w:rPr>
          <w:rFonts w:cs="Arial"/>
          <w:color w:val="000000"/>
          <w14:numForm w14:val="lining"/>
          <w14:numSpacing w14:val="proportional"/>
        </w:rPr>
      </w:pPr>
      <w:r w:rsidRPr="00E5087D">
        <w:rPr>
          <w:rFonts w:cs="Arial"/>
          <w:color w:val="000000"/>
          <w14:numForm w14:val="lining"/>
          <w14:numSpacing w14:val="proportional"/>
        </w:rPr>
        <w:t>The Disability Royal Commission uncovered many employment barriers for people living with disability, such as employer prejudices, lack of career progression opportunities, and lack of transition support from school to employment, including career guidance. There are many people with disability successfully working in occupations that require post-school qualifications; however, many people are also missing out on further education opportunities, such as apprenticeships, due to perceived limitations and lack of awareness when making a career decision at school.</w:t>
      </w:r>
      <w:r w:rsidR="0016448E">
        <w:rPr>
          <w:rStyle w:val="EndnoteReference"/>
          <w:rFonts w:cs="Arial"/>
          <w:color w:val="000000"/>
          <w14:numForm w14:val="lining"/>
          <w14:numSpacing w14:val="proportional"/>
        </w:rPr>
        <w:endnoteReference w:id="207"/>
      </w:r>
      <w:r w:rsidRPr="00E5087D">
        <w:rPr>
          <w:rFonts w:cs="Arial"/>
          <w:color w:val="000000"/>
          <w14:numForm w14:val="lining"/>
          <w14:numSpacing w14:val="proportional"/>
        </w:rPr>
        <w:t xml:space="preserve"> </w:t>
      </w:r>
    </w:p>
    <w:p w14:paraId="30B2A6C2" w14:textId="77777777" w:rsidR="00E13239" w:rsidRPr="00E5087D" w:rsidRDefault="00E13239" w:rsidP="00E13239">
      <w:pPr>
        <w:spacing w:after="120" w:line="276" w:lineRule="auto"/>
        <w:rPr>
          <w14:numForm w14:val="lining"/>
          <w14:numSpacing w14:val="proportional"/>
        </w:rPr>
      </w:pPr>
      <w:r w:rsidRPr="00E5087D">
        <w:rPr>
          <w:rFonts w:cs="Arial"/>
          <w:color w:val="000000"/>
          <w14:numForm w14:val="lining"/>
          <w14:numSpacing w14:val="proportional"/>
        </w:rPr>
        <w:t xml:space="preserve">The </w:t>
      </w:r>
      <w:r w:rsidRPr="00E5087D">
        <w:rPr>
          <w14:numForm w14:val="lining"/>
          <w14:numSpacing w14:val="proportional"/>
        </w:rPr>
        <w:t>Australian Government provides a range of support to address these barriers, including:</w:t>
      </w:r>
    </w:p>
    <w:p w14:paraId="50B41DFE"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Australian Disability Clearinghouse on Education and Training — information to support students with disability in post-secondary education</w:t>
      </w:r>
    </w:p>
    <w:p w14:paraId="28EF77FC"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Apprenticeships support — financial assistance and wrap-around support</w:t>
      </w:r>
    </w:p>
    <w:p w14:paraId="05DAC8CE"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Employment Assistance Fund — financial support to enable workplace adjustment and access specialist services</w:t>
      </w:r>
    </w:p>
    <w:p w14:paraId="35563A8A"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JobAccess — a national workplace and employment information hub. Services include telephone advice and National Disability Recruitment Coordinator</w:t>
      </w:r>
    </w:p>
    <w:p w14:paraId="48108059" w14:textId="77777777" w:rsidR="00E13239" w:rsidRPr="00E5087D" w:rsidRDefault="00E13239" w:rsidP="00F25595">
      <w:pPr>
        <w:pStyle w:val="ListParagraph"/>
        <w:numPr>
          <w:ilvl w:val="0"/>
          <w:numId w:val="41"/>
        </w:numPr>
        <w:spacing w:after="120" w:line="276" w:lineRule="auto"/>
        <w:ind w:left="567" w:hanging="357"/>
        <w:contextualSpacing w:val="0"/>
        <w:rPr>
          <w14:numForm w14:val="lining"/>
          <w14:numSpacing w14:val="proportional"/>
        </w:rPr>
      </w:pPr>
      <w:r w:rsidRPr="00E5087D">
        <w:rPr>
          <w14:numForm w14:val="lining"/>
          <w14:numSpacing w14:val="proportional"/>
        </w:rPr>
        <w:t>Disability Employment Services and Australian Disability Enterprises, and</w:t>
      </w:r>
    </w:p>
    <w:p w14:paraId="3C18A35C" w14:textId="7D114577" w:rsidR="00E13239" w:rsidRPr="009A182A" w:rsidRDefault="00E13239" w:rsidP="00F25595">
      <w:pPr>
        <w:pStyle w:val="ListParagraph"/>
        <w:numPr>
          <w:ilvl w:val="0"/>
          <w:numId w:val="41"/>
        </w:numPr>
        <w:spacing w:after="240" w:line="276" w:lineRule="auto"/>
        <w:ind w:left="567" w:hanging="357"/>
      </w:pPr>
      <w:r w:rsidRPr="00E5087D">
        <w:rPr>
          <w14:numForm w14:val="lining"/>
          <w14:numSpacing w14:val="proportional"/>
        </w:rPr>
        <w:t>Aurora Neurodiversity Program — work experience opportunities in the APS for people who are neurodivergent, recognising skills they can bring to work.</w:t>
      </w:r>
    </w:p>
    <w:p w14:paraId="7F5E3641" w14:textId="379FDFF2" w:rsidR="009A182A" w:rsidRDefault="00484621" w:rsidP="0052568C">
      <w:pPr>
        <w:spacing w:after="360" w:line="276" w:lineRule="auto"/>
      </w:pPr>
      <w:r w:rsidRPr="00BB2E09">
        <w:rPr>
          <w:noProof/>
        </w:rPr>
        <mc:AlternateContent>
          <mc:Choice Requires="wpg">
            <w:drawing>
              <wp:anchor distT="0" distB="0" distL="114300" distR="114300" simplePos="0" relativeHeight="251658327" behindDoc="1" locked="0" layoutInCell="1" allowOverlap="1" wp14:anchorId="384F21DF" wp14:editId="4E5D8A44">
                <wp:simplePos x="0" y="0"/>
                <wp:positionH relativeFrom="column">
                  <wp:posOffset>0</wp:posOffset>
                </wp:positionH>
                <wp:positionV relativeFrom="paragraph">
                  <wp:posOffset>930662</wp:posOffset>
                </wp:positionV>
                <wp:extent cx="5731512" cy="1059366"/>
                <wp:effectExtent l="0" t="0" r="21590" b="26670"/>
                <wp:wrapNone/>
                <wp:docPr id="190" name="Group 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2" cy="1059366"/>
                          <a:chOff x="-2" y="0"/>
                          <a:chExt cx="5880737" cy="1087415"/>
                        </a:xfrm>
                      </wpg:grpSpPr>
                      <wps:wsp>
                        <wps:cNvPr id="191" name="Rectangle: Top Corners Rounded 191"/>
                        <wps:cNvSpPr/>
                        <wps:spPr>
                          <a:xfrm>
                            <a:off x="-2" y="0"/>
                            <a:ext cx="1736053" cy="230412"/>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61A412" w14:textId="5E541C72"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60" name="Rectangle 572856960"/>
                        <wps:cNvSpPr/>
                        <wps:spPr>
                          <a:xfrm>
                            <a:off x="0" y="230197"/>
                            <a:ext cx="5880735" cy="857218"/>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84AB1" w14:textId="578972FF"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4F21DF" id="Group 190" o:spid="_x0000_s1215" alt="&quot;&quot;" style="position:absolute;margin-left:0;margin-top:73.3pt;width:451.3pt;height:83.4pt;z-index:-251658153;mso-position-horizontal-relative:text;mso-position-vertical-relative:text;mso-height-relative:margin" coordorigin="" coordsize="58807,10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">
                <v:shape id="Rectangle: Top Corners Rounded 191" o:spid="_x0000_s1216" style="position:absolute;width:17360;height:2304;visibility:visible;mso-wrap-style:square;v-text-anchor:middle" coordsize="1736053,230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" adj="-11796480,,5400" path="m38403,l1697650,v21209,,38403,17194,38403,38403l1736053,230412r,l,230412r,l,38403c,17194,17194,,38403,xe" fillcolor="#e0d1f5 [660]" strokecolor="#e0d1f5 [660]" strokeweight="1pt">
                  <v:stroke joinstyle="miter"/>
                  <v:formulas/>
                  <v:path arrowok="t" o:connecttype="custom" o:connectlocs="38403,0;1697650,0;1736053,38403;1736053,230412;1736053,230412;0,230412;0,230412;0,38403;38403,0" o:connectangles="0,0,0,0,0,0,0,0,0" textboxrect="0,0,1736053,230412"/>
                  <v:textbox inset=",0,,0">
                    <w:txbxContent>
                      <w:p w14:paraId="3C61A412" w14:textId="5E541C72" w:rsidR="00E13239" w:rsidRPr="006E07A7" w:rsidRDefault="00E13239" w:rsidP="00E13239">
                        <w:pPr>
                          <w:spacing w:after="0" w:line="240" w:lineRule="auto"/>
                          <w:rPr>
                            <w:b/>
                            <w:bCs/>
                            <w14:numForm w14:val="lining"/>
                            <w14:numSpacing w14:val="proportional"/>
                          </w:rPr>
                        </w:pPr>
                      </w:p>
                    </w:txbxContent>
                  </v:textbox>
                </v:shape>
                <v:rect id="Rectangle 572856960" o:spid="_x0000_s1217" style="position:absolute;top:2301;width:58807;height:8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" fillcolor="#f2f2f2" strokecolor="#e0d1f5 [660]" strokeweight="1pt">
                  <v:textbox inset="2mm,1mm,2mm,1mm">
                    <w:txbxContent>
                      <w:p w14:paraId="17E84AB1" w14:textId="578972FF"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009A182A">
        <w:t>There is limited understanding within government, industry and education and training of accessible career options within clean energy for people with disability.</w:t>
      </w:r>
      <w:r w:rsidR="0052568C">
        <w:t xml:space="preserve"> If this understanding could be improved, all stakeholders could better tailor their policies, </w:t>
      </w:r>
      <w:r w:rsidR="001C610B">
        <w:t>supports and communication.</w:t>
      </w:r>
    </w:p>
    <w:p w14:paraId="252E2681" w14:textId="27F4C972" w:rsidR="00484621" w:rsidRPr="006E07A7" w:rsidRDefault="00484621" w:rsidP="00484621">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8.5</w:t>
      </w:r>
    </w:p>
    <w:p w14:paraId="779B8AF1" w14:textId="6C8835C4" w:rsidR="00484621" w:rsidRPr="00A65F56" w:rsidRDefault="00484621" w:rsidP="00A65F56">
      <w:pPr>
        <w:spacing w:before="200" w:after="0" w:line="240" w:lineRule="auto"/>
        <w:ind w:left="170" w:right="113"/>
        <w:rPr>
          <w:rFonts w:eastAsia="Calibri" w:cs="Times New Roman"/>
          <w:color w:val="000000"/>
          <w14:ligatures w14:val="standardContextual"/>
        </w:rPr>
      </w:pPr>
      <w:r>
        <w:t>Government to</w:t>
      </w:r>
      <w:r w:rsidRPr="0036600D">
        <w:t xml:space="preserve"> collaborate with clean energy employers and disability support organisations to identify suitable career options for people </w:t>
      </w:r>
      <w:r>
        <w:t xml:space="preserve">with </w:t>
      </w:r>
      <w:r w:rsidRPr="0036600D">
        <w:t>disability, in alignment with a commitment to diversity and inclusion within the clean energy sector especially in the regions.</w:t>
      </w:r>
    </w:p>
    <w:p w14:paraId="6D6DFA85" w14:textId="1AA2DCFF" w:rsidR="00E13239" w:rsidRPr="00E5087D" w:rsidRDefault="00E13239" w:rsidP="00E13239">
      <w:pPr>
        <w:pStyle w:val="Heading3"/>
      </w:pPr>
      <w:r w:rsidRPr="00E5087D">
        <w:t>Migrants</w:t>
      </w:r>
    </w:p>
    <w:p w14:paraId="49BB9AB5" w14:textId="4CDF6F76" w:rsidR="00E13239" w:rsidRPr="00E5087D" w:rsidRDefault="00E13239" w:rsidP="009B0510">
      <w:pPr>
        <w:spacing w:before="240" w:after="120" w:line="276" w:lineRule="auto"/>
        <w:rPr>
          <w:rFonts w:eastAsiaTheme="majorEastAsia" w:cstheme="majorBidi"/>
          <w:b/>
          <w:bCs/>
          <w:sz w:val="24"/>
          <w:szCs w:val="24"/>
        </w:rPr>
      </w:pPr>
      <w:r w:rsidRPr="00E5087D">
        <w:rPr>
          <w:rFonts w:eastAsiaTheme="majorEastAsia" w:cstheme="majorBidi"/>
          <w:b/>
          <w:bCs/>
          <w:sz w:val="24"/>
          <w:szCs w:val="24"/>
        </w:rPr>
        <w:t>Undervalued international qualifications, training and skills</w:t>
      </w:r>
    </w:p>
    <w:p w14:paraId="3D2AF4CF" w14:textId="5F3C27F9" w:rsidR="00E13239" w:rsidRPr="00E5087D" w:rsidRDefault="00E13239" w:rsidP="00E13239">
      <w:pPr>
        <w:spacing w:after="120" w:line="276" w:lineRule="auto"/>
        <w:rPr>
          <w:color w:val="auto"/>
          <w14:numForm w14:val="lining"/>
          <w14:numSpacing w14:val="proportional"/>
        </w:rPr>
      </w:pPr>
      <w:r w:rsidRPr="00E5087D">
        <w:rPr>
          <w:color w:val="auto"/>
          <w14:numForm w14:val="lining"/>
          <w14:numSpacing w14:val="proportional"/>
        </w:rPr>
        <w:t xml:space="preserve">Engineers Australia highlighted that migrant </w:t>
      </w:r>
      <w:r w:rsidR="7818B960" w:rsidRPr="00E5087D">
        <w:rPr>
          <w:color w:val="auto"/>
          <w14:numForm w14:val="lining"/>
          <w14:numSpacing w14:val="proportional"/>
        </w:rPr>
        <w:t>E</w:t>
      </w:r>
      <w:r w:rsidRPr="00E5087D">
        <w:rPr>
          <w:color w:val="auto"/>
          <w14:numForm w14:val="lining"/>
          <w14:numSpacing w14:val="proportional"/>
        </w:rPr>
        <w:t xml:space="preserve">ngineers experience a lack of local work experience and an undervaluing of their </w:t>
      </w:r>
      <w:r w:rsidR="00BD3085">
        <w:rPr>
          <w:color w:val="auto"/>
          <w14:numForm w14:val="lining"/>
          <w14:numSpacing w14:val="proportional"/>
        </w:rPr>
        <w:t>home</w:t>
      </w:r>
      <w:r w:rsidRPr="00E5087D">
        <w:rPr>
          <w:color w:val="auto"/>
          <w14:numForm w14:val="lining"/>
          <w14:numSpacing w14:val="proportional"/>
        </w:rPr>
        <w:t xml:space="preserve"> qualifications. As a result, overseas-born </w:t>
      </w:r>
      <w:r w:rsidR="7F2FD4D4" w:rsidRPr="00E5087D">
        <w:rPr>
          <w:color w:val="auto"/>
          <w14:numForm w14:val="lining"/>
          <w14:numSpacing w14:val="proportional"/>
        </w:rPr>
        <w:t>E</w:t>
      </w:r>
      <w:r w:rsidRPr="00E5087D">
        <w:rPr>
          <w:color w:val="auto"/>
          <w14:numForm w14:val="lining"/>
          <w14:numSpacing w14:val="proportional"/>
        </w:rPr>
        <w:t>ngineers are significantly more likely to be unemployed or underemployed (i.e. employed in roles at a more junior level</w:t>
      </w:r>
      <w:r w:rsidR="00F83E91">
        <w:rPr>
          <w:color w:val="auto"/>
          <w14:numForm w14:val="lining"/>
          <w14:numSpacing w14:val="proportional"/>
        </w:rPr>
        <w:t xml:space="preserve"> than their skills and experience warrant</w:t>
      </w:r>
      <w:r w:rsidRPr="00E5087D">
        <w:rPr>
          <w:color w:val="auto"/>
          <w14:numForm w14:val="lining"/>
          <w14:numSpacing w14:val="proportional"/>
        </w:rPr>
        <w:t>).</w:t>
      </w:r>
      <w:r w:rsidR="00687F8A">
        <w:rPr>
          <w:rStyle w:val="EndnoteReference"/>
          <w:color w:val="auto"/>
          <w14:numForm w14:val="lining"/>
          <w14:numSpacing w14:val="proportional"/>
        </w:rPr>
        <w:endnoteReference w:id="208"/>
      </w:r>
      <w:r w:rsidRPr="00E5087D">
        <w:rPr>
          <w:color w:val="auto"/>
          <w14:numForm w14:val="lining"/>
          <w14:numSpacing w14:val="proportional"/>
        </w:rPr>
        <w:t xml:space="preserve"> </w:t>
      </w:r>
      <w:r w:rsidR="002F292A" w:rsidRPr="002F292A">
        <w:rPr>
          <w:color w:val="auto"/>
          <w14:numForm w14:val="lining"/>
          <w14:numSpacing w14:val="proportional"/>
        </w:rPr>
        <w:t>In this context, Engineers Australia suggested an immediate solution to the potential skills gaps in engineering</w:t>
      </w:r>
      <w:r w:rsidR="003D2B03">
        <w:rPr>
          <w:color w:val="auto"/>
          <w14:numForm w14:val="lining"/>
          <w14:numSpacing w14:val="proportional"/>
        </w:rPr>
        <w:t xml:space="preserve"> was needed</w:t>
      </w:r>
      <w:r w:rsidR="00085EF8">
        <w:rPr>
          <w:color w:val="auto"/>
          <w14:numForm w14:val="lining"/>
          <w14:numSpacing w14:val="proportional"/>
        </w:rPr>
        <w:t xml:space="preserve">, </w:t>
      </w:r>
      <w:r w:rsidR="002F292A" w:rsidRPr="002F292A">
        <w:rPr>
          <w:color w:val="auto"/>
          <w14:numForm w14:val="lining"/>
          <w14:numSpacing w14:val="proportional"/>
        </w:rPr>
        <w:t>highlight</w:t>
      </w:r>
      <w:r w:rsidR="00085EF8">
        <w:rPr>
          <w:color w:val="auto"/>
          <w14:numForm w14:val="lining"/>
          <w14:numSpacing w14:val="proportional"/>
        </w:rPr>
        <w:t>ing</w:t>
      </w:r>
      <w:r w:rsidR="002F292A" w:rsidRPr="002F292A">
        <w:rPr>
          <w:color w:val="auto"/>
          <w14:numForm w14:val="lining"/>
          <w14:numSpacing w14:val="proportional"/>
        </w:rPr>
        <w:t xml:space="preserve"> that overseas-born </w:t>
      </w:r>
      <w:r w:rsidR="009675FA">
        <w:rPr>
          <w:color w:val="auto"/>
          <w14:numForm w14:val="lining"/>
          <w14:numSpacing w14:val="proportional"/>
        </w:rPr>
        <w:t>e</w:t>
      </w:r>
      <w:r w:rsidR="002F292A" w:rsidRPr="002F292A">
        <w:rPr>
          <w:color w:val="auto"/>
          <w14:numForm w14:val="lining"/>
          <w14:numSpacing w14:val="proportional"/>
        </w:rPr>
        <w:t>ngineers are more likely to be underutilised compared to their Australian-born counterparts, representing a missed opportunity for Australia.</w:t>
      </w:r>
      <w:r w:rsidR="0037427D" w:rsidRPr="0123754C">
        <w:rPr>
          <w:color w:val="auto"/>
        </w:rPr>
        <w:t xml:space="preserve"> Census data indicates </w:t>
      </w:r>
      <w:r w:rsidR="001856CA">
        <w:rPr>
          <w:color w:val="auto"/>
        </w:rPr>
        <w:t>that</w:t>
      </w:r>
      <w:r w:rsidR="00D11BAE" w:rsidRPr="0123754C">
        <w:rPr>
          <w:color w:val="auto"/>
        </w:rPr>
        <w:t xml:space="preserve"> between 45</w:t>
      </w:r>
      <w:r w:rsidR="001856CA">
        <w:rPr>
          <w:color w:val="auto"/>
        </w:rPr>
        <w:t xml:space="preserve"> and </w:t>
      </w:r>
      <w:r w:rsidR="00D11BAE" w:rsidRPr="6E339D3A">
        <w:rPr>
          <w:color w:val="auto"/>
        </w:rPr>
        <w:t xml:space="preserve">50% </w:t>
      </w:r>
      <w:r w:rsidR="001856CA">
        <w:rPr>
          <w:color w:val="auto"/>
        </w:rPr>
        <w:t>of engineers are born overseas</w:t>
      </w:r>
      <w:r w:rsidR="00D11BAE" w:rsidRPr="0123754C">
        <w:rPr>
          <w:color w:val="auto"/>
        </w:rPr>
        <w:t xml:space="preserve"> for particular engineering occupations (See Figure 3.8 in Chapter 3 for occupation specific analysis). </w:t>
      </w:r>
    </w:p>
    <w:p w14:paraId="73F1ADB2" w14:textId="5D72A87F" w:rsidR="00A308D8" w:rsidRDefault="00E13239" w:rsidP="00E13239">
      <w:pPr>
        <w:spacing w:after="120" w:line="276" w:lineRule="auto"/>
        <w:rPr>
          <w:color w:val="auto"/>
          <w14:numForm w14:val="lining"/>
          <w14:numSpacing w14:val="proportional"/>
        </w:rPr>
      </w:pPr>
      <w:r w:rsidRPr="00E5087D">
        <w:rPr>
          <w:color w:val="auto"/>
          <w14:numForm w14:val="lining"/>
          <w14:numSpacing w14:val="proportional"/>
        </w:rPr>
        <w:t xml:space="preserve">JSA analysis shows that </w:t>
      </w:r>
      <w:r w:rsidR="00392402" w:rsidRPr="00BB2E09">
        <w:rPr>
          <w:color w:val="auto"/>
          <w14:numForm w14:val="lining"/>
          <w14:numSpacing w14:val="proportional"/>
        </w:rPr>
        <w:t>a</w:t>
      </w:r>
      <w:r w:rsidR="00441ADB">
        <w:rPr>
          <w:color w:val="auto"/>
          <w14:numForm w14:val="lining"/>
          <w14:numSpacing w14:val="proportional"/>
        </w:rPr>
        <w:t xml:space="preserve"> high</w:t>
      </w:r>
      <w:r w:rsidRPr="00E5087D">
        <w:rPr>
          <w:color w:val="auto"/>
          <w14:numForm w14:val="lining"/>
          <w14:numSpacing w14:val="proportional"/>
        </w:rPr>
        <w:t xml:space="preserve"> proportion of non-</w:t>
      </w:r>
      <w:r w:rsidR="00441ADB">
        <w:rPr>
          <w:color w:val="auto"/>
          <w14:numForm w14:val="lining"/>
          <w14:numSpacing w14:val="proportional"/>
        </w:rPr>
        <w:t>citizens with</w:t>
      </w:r>
      <w:r w:rsidRPr="00E5087D">
        <w:rPr>
          <w:color w:val="auto"/>
          <w14:numForm w14:val="lining"/>
          <w14:numSpacing w14:val="proportional"/>
        </w:rPr>
        <w:t xml:space="preserve"> </w:t>
      </w:r>
      <w:r w:rsidR="56AFF22D" w:rsidRPr="00E5087D">
        <w:rPr>
          <w:color w:val="auto"/>
          <w14:numForm w14:val="lining"/>
          <w14:numSpacing w14:val="proportional"/>
        </w:rPr>
        <w:t>E</w:t>
      </w:r>
      <w:r w:rsidRPr="00E5087D">
        <w:rPr>
          <w:color w:val="auto"/>
          <w14:numForm w14:val="lining"/>
          <w14:numSpacing w14:val="proportional"/>
        </w:rPr>
        <w:t xml:space="preserve">lectrical </w:t>
      </w:r>
      <w:r w:rsidR="577CB10A" w:rsidRPr="00E5087D">
        <w:rPr>
          <w:color w:val="auto"/>
          <w14:numForm w14:val="lining"/>
          <w14:numSpacing w14:val="proportional"/>
        </w:rPr>
        <w:t>E</w:t>
      </w:r>
      <w:r w:rsidRPr="00E5087D">
        <w:rPr>
          <w:color w:val="auto"/>
          <w14:numForm w14:val="lining"/>
          <w14:numSpacing w14:val="proportional"/>
        </w:rPr>
        <w:t xml:space="preserve">ngineer </w:t>
      </w:r>
      <w:r w:rsidR="00441ADB">
        <w:rPr>
          <w:color w:val="auto"/>
          <w14:numForm w14:val="lining"/>
          <w14:numSpacing w14:val="proportional"/>
        </w:rPr>
        <w:t>degrees are</w:t>
      </w:r>
      <w:r w:rsidRPr="00BB2E09">
        <w:rPr>
          <w:color w:val="auto"/>
          <w14:numForm w14:val="lining"/>
          <w14:numSpacing w14:val="proportional"/>
        </w:rPr>
        <w:t xml:space="preserve"> </w:t>
      </w:r>
      <w:r w:rsidRPr="00E5087D">
        <w:rPr>
          <w:color w:val="auto"/>
          <w14:numForm w14:val="lining"/>
          <w14:numSpacing w14:val="proportional"/>
        </w:rPr>
        <w:t xml:space="preserve">working in lower skilled jobs (Figure </w:t>
      </w:r>
      <w:r w:rsidR="009B0B67">
        <w:rPr>
          <w:color w:val="auto"/>
          <w14:numForm w14:val="lining"/>
          <w14:numSpacing w14:val="proportional"/>
        </w:rPr>
        <w:t>8.</w:t>
      </w:r>
      <w:r w:rsidR="00B01302">
        <w:rPr>
          <w:color w:val="auto"/>
          <w14:numForm w14:val="lining"/>
          <w14:numSpacing w14:val="proportional"/>
        </w:rPr>
        <w:t>1</w:t>
      </w:r>
      <w:r w:rsidRPr="00E5087D">
        <w:rPr>
          <w:color w:val="auto"/>
          <w14:numForm w14:val="lining"/>
          <w14:numSpacing w14:val="proportional"/>
        </w:rPr>
        <w:t xml:space="preserve">), indicating there is a large </w:t>
      </w:r>
      <w:r w:rsidR="003A1EF6">
        <w:rPr>
          <w:color w:val="auto"/>
          <w14:numForm w14:val="lining"/>
          <w14:numSpacing w14:val="proportional"/>
        </w:rPr>
        <w:t>potential</w:t>
      </w:r>
      <w:r w:rsidRPr="00E5087D">
        <w:rPr>
          <w:color w:val="auto"/>
          <w14:numForm w14:val="lining"/>
          <w14:numSpacing w14:val="proportional"/>
        </w:rPr>
        <w:t xml:space="preserve"> untapped pool of migrants in Australia</w:t>
      </w:r>
      <w:r w:rsidR="003A1EF6">
        <w:rPr>
          <w:color w:val="auto"/>
          <w14:numForm w14:val="lining"/>
          <w14:numSpacing w14:val="proportional"/>
        </w:rPr>
        <w:t>, while recognising the</w:t>
      </w:r>
      <w:r w:rsidR="002D6A77">
        <w:rPr>
          <w:color w:val="auto"/>
          <w14:numForm w14:val="lining"/>
          <w14:numSpacing w14:val="proportional"/>
        </w:rPr>
        <w:t xml:space="preserve">ir </w:t>
      </w:r>
      <w:r w:rsidR="003A1EF6">
        <w:rPr>
          <w:color w:val="auto"/>
          <w14:numForm w14:val="lining"/>
          <w14:numSpacing w14:val="proportional"/>
        </w:rPr>
        <w:t>skills</w:t>
      </w:r>
      <w:r w:rsidR="002D6A77">
        <w:rPr>
          <w:color w:val="auto"/>
          <w14:numForm w14:val="lining"/>
          <w14:numSpacing w14:val="proportional"/>
        </w:rPr>
        <w:t xml:space="preserve"> and qualifications</w:t>
      </w:r>
      <w:r w:rsidR="003A1EF6">
        <w:rPr>
          <w:color w:val="auto"/>
          <w14:numForm w14:val="lining"/>
          <w14:numSpacing w14:val="proportional"/>
        </w:rPr>
        <w:t xml:space="preserve"> may not </w:t>
      </w:r>
      <w:r w:rsidR="002D6A77">
        <w:rPr>
          <w:color w:val="auto"/>
          <w14:numForm w14:val="lining"/>
          <w14:numSpacing w14:val="proportional"/>
        </w:rPr>
        <w:t>be commensurate with</w:t>
      </w:r>
      <w:r w:rsidR="003A1EF6">
        <w:rPr>
          <w:color w:val="auto"/>
          <w14:numForm w14:val="lining"/>
          <w14:numSpacing w14:val="proportional"/>
        </w:rPr>
        <w:t xml:space="preserve"> Australian standard</w:t>
      </w:r>
      <w:r w:rsidR="002D6A77">
        <w:rPr>
          <w:color w:val="auto"/>
          <w14:numForm w14:val="lining"/>
          <w14:numSpacing w14:val="proportional"/>
        </w:rPr>
        <w:t>s</w:t>
      </w:r>
      <w:r w:rsidRPr="00E5087D">
        <w:rPr>
          <w:color w:val="auto"/>
          <w14:numForm w14:val="lining"/>
          <w14:numSpacing w14:val="proportional"/>
        </w:rPr>
        <w:t xml:space="preserve">. </w:t>
      </w:r>
    </w:p>
    <w:p w14:paraId="33FE87FC" w14:textId="152BB8FE" w:rsidR="00E13239" w:rsidRPr="00E5087D" w:rsidRDefault="00E13239" w:rsidP="00027F24">
      <w:pPr>
        <w:spacing w:after="240" w:line="276" w:lineRule="auto"/>
        <w:rPr>
          <w:color w:val="auto"/>
          <w14:numForm w14:val="lining"/>
          <w14:numSpacing w14:val="proportional"/>
        </w:rPr>
      </w:pPr>
      <w:r w:rsidRPr="00E5087D">
        <w:rPr>
          <w:color w:val="auto"/>
          <w14:numForm w14:val="lining"/>
          <w14:numSpacing w14:val="proportional"/>
        </w:rPr>
        <w:t xml:space="preserve">Despite holding Australian </w:t>
      </w:r>
      <w:r w:rsidR="00BF3722">
        <w:rPr>
          <w:color w:val="auto"/>
          <w14:numForm w14:val="lining"/>
          <w14:numSpacing w14:val="proportional"/>
        </w:rPr>
        <w:t>higher education</w:t>
      </w:r>
      <w:r w:rsidRPr="00E5087D">
        <w:rPr>
          <w:color w:val="auto"/>
          <w14:numForm w14:val="lining"/>
          <w14:numSpacing w14:val="proportional"/>
        </w:rPr>
        <w:t xml:space="preserve"> qualifications, international students can also face difficulties finding skilled employment due to </w:t>
      </w:r>
      <w:r w:rsidR="005F3801">
        <w:rPr>
          <w:color w:val="auto"/>
          <w14:numForm w14:val="lining"/>
          <w14:numSpacing w14:val="proportional"/>
        </w:rPr>
        <w:t xml:space="preserve">low English proficiency, poor employability skills and </w:t>
      </w:r>
      <w:r w:rsidRPr="00E5087D">
        <w:rPr>
          <w:color w:val="auto"/>
          <w14:numForm w14:val="lining"/>
          <w14:numSpacing w14:val="proportional"/>
        </w:rPr>
        <w:t>a lack of local work experience, which underscores the importance of embedding real industry experience in education and training programs to ensure graduates are experienced and connected after their studies.</w:t>
      </w:r>
      <w:r w:rsidR="005F3801">
        <w:rPr>
          <w:rStyle w:val="EndnoteReference"/>
          <w:color w:val="auto"/>
          <w14:numForm w14:val="lining"/>
          <w14:numSpacing w14:val="proportional"/>
        </w:rPr>
        <w:endnoteReference w:id="209"/>
      </w:r>
    </w:p>
    <w:p w14:paraId="46B39FC5" w14:textId="5F014DA1" w:rsidR="00E13239" w:rsidRPr="00E5087D" w:rsidRDefault="00E13239" w:rsidP="00027F24">
      <w:pPr>
        <w:pBdr>
          <w:top w:val="single" w:sz="4" w:space="5" w:color="BFBFBF" w:themeColor="background1" w:themeShade="BF"/>
        </w:pBdr>
        <w:spacing w:before="120" w:after="80" w:line="276" w:lineRule="auto"/>
        <w:rPr>
          <w:b/>
          <w:bCs/>
          <w:color w:val="auto"/>
        </w:rPr>
      </w:pPr>
      <w:r w:rsidRPr="00E5087D">
        <w:rPr>
          <w:b/>
          <w:bCs/>
          <w:color w:val="auto"/>
        </w:rPr>
        <w:t xml:space="preserve">Figure </w:t>
      </w:r>
      <w:r w:rsidR="009B0B67">
        <w:rPr>
          <w:b/>
          <w:bCs/>
          <w:color w:val="auto"/>
        </w:rPr>
        <w:t>8.</w:t>
      </w:r>
      <w:r w:rsidR="00B01302">
        <w:rPr>
          <w:b/>
          <w:bCs/>
          <w:color w:val="auto"/>
        </w:rPr>
        <w:t>1</w:t>
      </w:r>
      <w:r w:rsidRPr="00E5087D">
        <w:rPr>
          <w:b/>
          <w:bCs/>
          <w:color w:val="auto"/>
        </w:rPr>
        <w:t>. Electrical Engineering degree holders by skill level of current job</w:t>
      </w:r>
    </w:p>
    <w:p w14:paraId="74051E82" w14:textId="7486DC29" w:rsidR="00E13239" w:rsidRPr="00E5087D" w:rsidRDefault="00C06258" w:rsidP="00E13239">
      <w:pPr>
        <w:spacing w:after="0" w:line="276" w:lineRule="auto"/>
        <w:rPr>
          <w:color w:val="auto"/>
        </w:rPr>
      </w:pPr>
      <w:r>
        <w:rPr>
          <w:noProof/>
        </w:rPr>
        <w:drawing>
          <wp:inline distT="0" distB="0" distL="0" distR="0" wp14:anchorId="2E6F5D2C" wp14:editId="2394D9F2">
            <wp:extent cx="5731510" cy="2488936"/>
            <wp:effectExtent l="0" t="0" r="2540" b="0"/>
            <wp:docPr id="1087981684" name="Graphic 1087981684" descr="This figure represents the percentages of Electrical engineering degree holders by skill level for Australian citizens and non-Australian citizens using  ABS Census of Population and Housing, 2021 data. It shows that there a higher proportion of non-Australian citizens Electrical engineering degree holders who doing low skilled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1684" name="Graphic 1087981684" descr="This figure represents the percentages of Electrical engineering degree holders by skill level for Australian citizens and non-Australian citizens using  ABS Census of Population and Housing, 2021 data. It shows that there a higher proportion of non-Australian citizens Electrical engineering degree holders who doing low skilled jobs."/>
                    <pic:cNvPicPr/>
                  </pic:nvPicPr>
                  <pic:blipFill rotWithShape="1">
                    <a:blip r:embed="rId229" cstate="screen">
                      <a:extLst>
                        <a:ext uri="{28A0092B-C50C-407E-A947-70E740481C1C}">
                          <a14:useLocalDpi xmlns:a14="http://schemas.microsoft.com/office/drawing/2010/main"/>
                        </a:ext>
                        <a:ext uri="{96DAC541-7B7A-43D3-8B79-37D633B846F1}">
                          <asvg:svgBlip xmlns:asvg="http://schemas.microsoft.com/office/drawing/2016/SVG/main" r:embed="rId230"/>
                        </a:ext>
                      </a:extLst>
                    </a:blip>
                    <a:srcRect t="6297"/>
                    <a:stretch/>
                  </pic:blipFill>
                  <pic:spPr bwMode="auto">
                    <a:xfrm>
                      <a:off x="0" y="0"/>
                      <a:ext cx="5731510" cy="2488936"/>
                    </a:xfrm>
                    <a:prstGeom prst="rect">
                      <a:avLst/>
                    </a:prstGeom>
                    <a:ln>
                      <a:noFill/>
                    </a:ln>
                    <a:extLst>
                      <a:ext uri="{53640926-AAD7-44D8-BBD7-CCE9431645EC}">
                        <a14:shadowObscured xmlns:a14="http://schemas.microsoft.com/office/drawing/2010/main"/>
                      </a:ext>
                    </a:extLst>
                  </pic:spPr>
                </pic:pic>
              </a:graphicData>
            </a:graphic>
          </wp:inline>
        </w:drawing>
      </w:r>
    </w:p>
    <w:p w14:paraId="0370482F" w14:textId="0FABFEFE" w:rsidR="00E13239" w:rsidRDefault="00E13239" w:rsidP="00E13239">
      <w:pPr>
        <w:spacing w:after="120" w:line="276" w:lineRule="auto"/>
        <w:rPr>
          <w:color w:val="auto"/>
          <w:sz w:val="18"/>
          <w:szCs w:val="18"/>
        </w:rPr>
      </w:pPr>
      <w:r w:rsidRPr="00E5087D">
        <w:rPr>
          <w:color w:val="auto"/>
          <w:sz w:val="18"/>
          <w:szCs w:val="18"/>
        </w:rPr>
        <w:t xml:space="preserve">Source: ABS </w:t>
      </w:r>
      <w:r w:rsidR="005B10B8">
        <w:rPr>
          <w:color w:val="auto"/>
          <w:sz w:val="18"/>
          <w:szCs w:val="18"/>
        </w:rPr>
        <w:t>Census of Population</w:t>
      </w:r>
      <w:r w:rsidRPr="00E5087D">
        <w:rPr>
          <w:color w:val="auto"/>
          <w:sz w:val="18"/>
          <w:szCs w:val="18"/>
        </w:rPr>
        <w:t xml:space="preserve"> and </w:t>
      </w:r>
      <w:r w:rsidR="005B10B8">
        <w:rPr>
          <w:color w:val="auto"/>
          <w:sz w:val="18"/>
          <w:szCs w:val="18"/>
        </w:rPr>
        <w:t>Housing</w:t>
      </w:r>
      <w:r w:rsidRPr="00BB2E09">
        <w:rPr>
          <w:color w:val="auto"/>
          <w:sz w:val="18"/>
          <w:szCs w:val="18"/>
        </w:rPr>
        <w:t xml:space="preserve"> 202</w:t>
      </w:r>
      <w:r w:rsidR="005B10B8">
        <w:rPr>
          <w:color w:val="auto"/>
          <w:sz w:val="18"/>
          <w:szCs w:val="18"/>
        </w:rPr>
        <w:t>1</w:t>
      </w:r>
      <w:r w:rsidRPr="00E5087D">
        <w:rPr>
          <w:color w:val="auto"/>
          <w:sz w:val="18"/>
          <w:szCs w:val="18"/>
        </w:rPr>
        <w:t xml:space="preserve">, JSA analysis. </w:t>
      </w:r>
      <w:r w:rsidR="00A05878">
        <w:rPr>
          <w:color w:val="auto"/>
          <w:sz w:val="18"/>
          <w:szCs w:val="18"/>
        </w:rPr>
        <w:t xml:space="preserve">Highest level of education is bachelor </w:t>
      </w:r>
      <w:r w:rsidR="005B10B8">
        <w:rPr>
          <w:color w:val="auto"/>
          <w:sz w:val="18"/>
          <w:szCs w:val="18"/>
        </w:rPr>
        <w:t>degree</w:t>
      </w:r>
      <w:r w:rsidR="00A05878">
        <w:rPr>
          <w:color w:val="auto"/>
          <w:sz w:val="18"/>
          <w:szCs w:val="18"/>
        </w:rPr>
        <w:t xml:space="preserve"> or higher.</w:t>
      </w:r>
    </w:p>
    <w:p w14:paraId="242F2D88" w14:textId="0960B390" w:rsidR="00A1671A" w:rsidRPr="006E07A7" w:rsidRDefault="00A1671A" w:rsidP="00A1671A">
      <w:pPr>
        <w:spacing w:before="60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28" behindDoc="1" locked="0" layoutInCell="1" allowOverlap="1" wp14:anchorId="26E16BA1" wp14:editId="77D3326A">
                <wp:simplePos x="0" y="0"/>
                <wp:positionH relativeFrom="column">
                  <wp:posOffset>-8890</wp:posOffset>
                </wp:positionH>
                <wp:positionV relativeFrom="paragraph">
                  <wp:posOffset>285190</wp:posOffset>
                </wp:positionV>
                <wp:extent cx="5731510" cy="733647"/>
                <wp:effectExtent l="0" t="0" r="21590" b="22860"/>
                <wp:wrapNone/>
                <wp:docPr id="612265829" name="Group 612265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733647"/>
                          <a:chOff x="-2" y="0"/>
                          <a:chExt cx="5880737" cy="932522"/>
                        </a:xfrm>
                      </wpg:grpSpPr>
                      <wps:wsp>
                        <wps:cNvPr id="612265830" name="Rectangle: Top Corners Rounded 612265830"/>
                        <wps:cNvSpPr/>
                        <wps:spPr>
                          <a:xfrm>
                            <a:off x="-2" y="0"/>
                            <a:ext cx="1736053" cy="230412"/>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099EAA" w14:textId="09EB18A9" w:rsidR="002A332B" w:rsidRPr="006E07A7" w:rsidRDefault="002A332B" w:rsidP="002A332B">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31" name="Rectangle 612265831"/>
                        <wps:cNvSpPr/>
                        <wps:spPr>
                          <a:xfrm>
                            <a:off x="0" y="230412"/>
                            <a:ext cx="5880735" cy="702110"/>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8CD9A" w14:textId="318210D9" w:rsidR="002A332B" w:rsidRPr="00290C33" w:rsidRDefault="002A332B" w:rsidP="002A332B">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6E16BA1" id="Group 612265829" o:spid="_x0000_s1218" alt="&quot;&quot;" style="position:absolute;left:0;text-align:left;margin-left:-.7pt;margin-top:22.45pt;width:451.3pt;height:57.75pt;z-index:-251658152;mso-position-horizontal-relative:text;mso-position-vertical-relative:text;mso-height-relative:margin" coordorigin="" coordsize="58807,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">
                <v:shape id="Rectangle: Top Corners Rounded 612265830" o:spid="_x0000_s1219" style="position:absolute;width:17360;height:2304;visibility:visible;mso-wrap-style:square;v-text-anchor:middle" coordsize="1736053,230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" adj="-11796480,,5400" path="m38403,l1697650,v21209,,38403,17194,38403,38403l1736053,230412r,l,230412r,l,38403c,17194,17194,,38403,xe" fillcolor="#e0d1f5 [660]" strokecolor="#e0d1f5 [660]" strokeweight="1pt">
                  <v:stroke joinstyle="miter"/>
                  <v:formulas/>
                  <v:path arrowok="t" o:connecttype="custom" o:connectlocs="38403,0;1697650,0;1736053,38403;1736053,230412;1736053,230412;0,230412;0,230412;0,38403;38403,0" o:connectangles="0,0,0,0,0,0,0,0,0" textboxrect="0,0,1736053,230412"/>
                  <v:textbox inset=",0,,0">
                    <w:txbxContent>
                      <w:p w14:paraId="6B099EAA" w14:textId="09EB18A9" w:rsidR="002A332B" w:rsidRPr="006E07A7" w:rsidRDefault="002A332B" w:rsidP="002A332B">
                        <w:pPr>
                          <w:spacing w:after="0" w:line="240" w:lineRule="auto"/>
                          <w:rPr>
                            <w:b/>
                            <w:bCs/>
                            <w14:numForm w14:val="lining"/>
                            <w14:numSpacing w14:val="proportional"/>
                          </w:rPr>
                        </w:pPr>
                      </w:p>
                    </w:txbxContent>
                  </v:textbox>
                </v:shape>
                <v:rect id="Rectangle 612265831" o:spid="_x0000_s1220" style="position:absolute;top:2304;width:58807;height:7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" fillcolor="#f2f2f2" strokecolor="#e0d1f5 [660]" strokeweight="1pt">
                  <v:textbox inset="2mm,1mm,2mm,1mm">
                    <w:txbxContent>
                      <w:p w14:paraId="6B18CD9A" w14:textId="318210D9" w:rsidR="002A332B" w:rsidRPr="00290C33" w:rsidRDefault="002A332B" w:rsidP="002A332B">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8.6</w:t>
      </w:r>
    </w:p>
    <w:p w14:paraId="65CD3317" w14:textId="4A0AA330" w:rsidR="00A1671A" w:rsidRPr="00290C33" w:rsidRDefault="00A1671A" w:rsidP="00A1671A">
      <w:pPr>
        <w:spacing w:after="0" w:line="240" w:lineRule="auto"/>
        <w:ind w:left="170" w:right="113"/>
        <w:rPr>
          <w:rFonts w:eastAsia="Calibri" w:cs="Times New Roman"/>
          <w:color w:val="000000"/>
          <w14:ligatures w14:val="standardContextual"/>
        </w:rPr>
      </w:pPr>
      <w:r>
        <w:t xml:space="preserve">Explore opportunities to retain international students </w:t>
      </w:r>
      <w:r w:rsidRPr="005F3801">
        <w:t>completing studies in areas of</w:t>
      </w:r>
      <w:r>
        <w:t xml:space="preserve"> skills </w:t>
      </w:r>
      <w:r w:rsidRPr="005F3801">
        <w:t>needs in Australia</w:t>
      </w:r>
      <w:r w:rsidR="00D364CC">
        <w:t>.</w:t>
      </w:r>
    </w:p>
    <w:p w14:paraId="058DD65F" w14:textId="2F1919F3" w:rsidR="00E13239" w:rsidRPr="00E5087D" w:rsidRDefault="00E13239" w:rsidP="00E13239">
      <w:pPr>
        <w:spacing w:before="240" w:after="120" w:line="276" w:lineRule="auto"/>
        <w:rPr>
          <w:color w:val="auto"/>
        </w:rPr>
      </w:pPr>
      <w:r w:rsidRPr="00E5087D">
        <w:rPr>
          <w:rFonts w:eastAsiaTheme="majorEastAsia" w:cstheme="majorBidi"/>
          <w:b/>
          <w:bCs/>
          <w:sz w:val="24"/>
          <w:szCs w:val="24"/>
        </w:rPr>
        <w:t>Institutionalised racism is a factor</w:t>
      </w:r>
      <w:r w:rsidRPr="00E5087D">
        <w:rPr>
          <w:color w:val="auto"/>
        </w:rPr>
        <w:t xml:space="preserve"> </w:t>
      </w:r>
    </w:p>
    <w:p w14:paraId="60162C6B" w14:textId="5F6F1296" w:rsidR="00E13239" w:rsidRPr="00485B0A" w:rsidRDefault="70006235" w:rsidP="3D562964">
      <w:pPr>
        <w:spacing w:before="120" w:after="120" w:line="276" w:lineRule="auto"/>
        <w:rPr>
          <w:rFonts w:eastAsiaTheme="minorEastAsia"/>
          <w:color w:val="auto"/>
        </w:rPr>
      </w:pPr>
      <w:r w:rsidRPr="00485B0A">
        <w:rPr>
          <w:color w:val="auto"/>
        </w:rPr>
        <w:t>The Diversity Council Australia's (DCA) Racism at Work survey revealed the extent and variety of racial discrimination experienced and witnessed in Australian workplaces, showing that nearly nine in ten respondents saw racism as a problem in their workplace.</w:t>
      </w:r>
      <w:r w:rsidR="00E13239" w:rsidRPr="00485B0A">
        <w:rPr>
          <w:rStyle w:val="EndnoteReference"/>
          <w:color w:val="auto"/>
        </w:rPr>
        <w:endnoteReference w:id="210"/>
      </w:r>
      <w:r w:rsidR="4C2D237A" w:rsidRPr="00485B0A">
        <w:rPr>
          <w:rStyle w:val="EndnoteReference"/>
          <w:color w:val="auto"/>
        </w:rPr>
        <w:t xml:space="preserve"> </w:t>
      </w:r>
      <w:r w:rsidR="4C2D237A" w:rsidRPr="3E880473">
        <w:rPr>
          <w:rFonts w:eastAsiaTheme="minorEastAsia"/>
        </w:rPr>
        <w:t>These experiences encompass both structural and interpersonal discrimination</w:t>
      </w:r>
      <w:r w:rsidR="4C2D237A" w:rsidRPr="3E880473">
        <w:rPr>
          <w:rFonts w:eastAsiaTheme="minorEastAsia"/>
          <w:color w:val="auto"/>
        </w:rPr>
        <w:t xml:space="preserve"> and vary depending on religion, language, accent, skin colour and migrant status. The DCA report also found that </w:t>
      </w:r>
      <w:r w:rsidR="09B42850" w:rsidRPr="3E880473">
        <w:rPr>
          <w:rFonts w:eastAsiaTheme="minorEastAsia"/>
          <w:color w:val="auto"/>
        </w:rPr>
        <w:t>a major barrier to combatting institutionalised racism is th</w:t>
      </w:r>
      <w:r w:rsidR="010A2478" w:rsidRPr="3E880473">
        <w:rPr>
          <w:rFonts w:eastAsiaTheme="minorEastAsia"/>
          <w:color w:val="auto"/>
        </w:rPr>
        <w:t xml:space="preserve">e Anglo-Celtic and Europe background of senior leadership in Australia’s organisations and </w:t>
      </w:r>
      <w:r w:rsidR="2E649FAD" w:rsidRPr="3E880473">
        <w:rPr>
          <w:rFonts w:eastAsiaTheme="minorEastAsia"/>
          <w:color w:val="auto"/>
        </w:rPr>
        <w:t>institutions</w:t>
      </w:r>
      <w:r w:rsidR="57809571" w:rsidRPr="3E880473">
        <w:rPr>
          <w:rFonts w:eastAsiaTheme="minorEastAsia"/>
          <w:color w:val="auto"/>
        </w:rPr>
        <w:t>,</w:t>
      </w:r>
      <w:r w:rsidR="2E649FAD" w:rsidRPr="3E880473">
        <w:rPr>
          <w:rFonts w:eastAsiaTheme="minorEastAsia"/>
          <w:color w:val="auto"/>
        </w:rPr>
        <w:t xml:space="preserve"> which sits at 95%.</w:t>
      </w:r>
      <w:r w:rsidRPr="3E880473">
        <w:rPr>
          <w:rStyle w:val="EndnoteReference"/>
          <w:rFonts w:eastAsiaTheme="minorEastAsia"/>
          <w:color w:val="auto"/>
        </w:rPr>
        <w:endnoteReference w:id="211"/>
      </w:r>
      <w:r w:rsidR="2E649FAD" w:rsidRPr="3E880473">
        <w:rPr>
          <w:rFonts w:eastAsiaTheme="minorEastAsia"/>
          <w:color w:val="auto"/>
        </w:rPr>
        <w:t xml:space="preserve"> </w:t>
      </w:r>
    </w:p>
    <w:p w14:paraId="67060089" w14:textId="5176AC0E" w:rsidR="00E13239" w:rsidRPr="00E5087D" w:rsidRDefault="2E649FAD" w:rsidP="00A65F56">
      <w:pPr>
        <w:spacing w:before="120" w:after="120" w:line="276" w:lineRule="auto"/>
        <w:rPr>
          <w:rFonts w:eastAsiaTheme="majorEastAsia" w:cstheme="majorBidi"/>
          <w:b/>
          <w:sz w:val="56"/>
          <w:szCs w:val="32"/>
          <w14:numForm w14:val="lining"/>
          <w14:numSpacing w14:val="proportional"/>
        </w:rPr>
      </w:pPr>
      <w:r w:rsidRPr="00485B0A">
        <w:rPr>
          <w:color w:val="auto"/>
        </w:rPr>
        <w:t>More targeted research in the clean energy sector suggests that the incidence of racial discrimination may be lower in the emerging clean energy workforce than the transitioning energy sector and adjacent mining industry</w:t>
      </w:r>
      <w:r w:rsidR="2BF7075F" w:rsidRPr="00485B0A">
        <w:rPr>
          <w:color w:val="auto"/>
        </w:rPr>
        <w:t xml:space="preserve">. </w:t>
      </w:r>
      <w:r w:rsidR="7C037BCA" w:rsidRPr="00485B0A">
        <w:rPr>
          <w:color w:val="auto"/>
        </w:rPr>
        <w:t>In a 2021 survey</w:t>
      </w:r>
      <w:r w:rsidR="5D914116" w:rsidRPr="00485B0A">
        <w:rPr>
          <w:color w:val="auto"/>
        </w:rPr>
        <w:t xml:space="preserve"> </w:t>
      </w:r>
      <w:r w:rsidR="7C037BCA" w:rsidRPr="00485B0A">
        <w:rPr>
          <w:color w:val="auto"/>
        </w:rPr>
        <w:t>o</w:t>
      </w:r>
      <w:r w:rsidR="2BF7075F" w:rsidRPr="00485B0A">
        <w:rPr>
          <w:color w:val="auto"/>
        </w:rPr>
        <w:t>nly</w:t>
      </w:r>
      <w:r w:rsidRPr="00485B0A">
        <w:rPr>
          <w:color w:val="auto"/>
        </w:rPr>
        <w:t xml:space="preserve"> 4% of clean energy employees report</w:t>
      </w:r>
      <w:r w:rsidR="00B21916" w:rsidRPr="00485B0A">
        <w:rPr>
          <w:color w:val="auto"/>
        </w:rPr>
        <w:t>ed</w:t>
      </w:r>
      <w:r w:rsidRPr="00485B0A">
        <w:rPr>
          <w:color w:val="auto"/>
        </w:rPr>
        <w:t xml:space="preserve"> experiences of racism at work in the </w:t>
      </w:r>
      <w:r w:rsidR="00F72FA8">
        <w:rPr>
          <w:rFonts w:cs="Arial"/>
          <w14:numForm w14:val="lining"/>
          <w14:numSpacing w14:val="proportional"/>
        </w:rPr>
        <w:t>CEC</w:t>
      </w:r>
      <w:r w:rsidRPr="00485B0A">
        <w:rPr>
          <w:color w:val="auto"/>
        </w:rPr>
        <w:t>’s Empowering Everyone survey</w:t>
      </w:r>
      <w:r w:rsidR="478E0D6A" w:rsidRPr="00485B0A">
        <w:rPr>
          <w:color w:val="auto"/>
        </w:rPr>
        <w:t>.</w:t>
      </w:r>
      <w:r w:rsidR="70006235" w:rsidRPr="00485B0A">
        <w:rPr>
          <w:rStyle w:val="EndnoteReference"/>
          <w:color w:val="auto"/>
        </w:rPr>
        <w:endnoteReference w:id="212"/>
      </w:r>
      <w:r w:rsidR="478E0D6A" w:rsidRPr="00485B0A">
        <w:rPr>
          <w:color w:val="auto"/>
        </w:rPr>
        <w:t xml:space="preserve"> Whereas</w:t>
      </w:r>
      <w:r w:rsidRPr="00485B0A">
        <w:rPr>
          <w:color w:val="auto"/>
        </w:rPr>
        <w:t xml:space="preserve"> 10.9% of Australian-born and 15.1% of foreign-born Rio Tinto employees in Australia report</w:t>
      </w:r>
      <w:r w:rsidR="565BE07F" w:rsidRPr="00485B0A">
        <w:rPr>
          <w:color w:val="auto"/>
        </w:rPr>
        <w:t>ed</w:t>
      </w:r>
      <w:r w:rsidRPr="00485B0A">
        <w:rPr>
          <w:color w:val="auto"/>
        </w:rPr>
        <w:t xml:space="preserve"> experiencing direct racism at work</w:t>
      </w:r>
      <w:r w:rsidR="57940BC1" w:rsidRPr="00485B0A">
        <w:rPr>
          <w:color w:val="auto"/>
        </w:rPr>
        <w:t xml:space="preserve"> in a 2022 survey.</w:t>
      </w:r>
      <w:r w:rsidR="70006235" w:rsidRPr="00485B0A">
        <w:rPr>
          <w:rStyle w:val="EndnoteReference"/>
          <w:color w:val="auto"/>
        </w:rPr>
        <w:endnoteReference w:id="213"/>
      </w:r>
      <w:r w:rsidR="00485B0A">
        <w:rPr>
          <w:color w:val="auto"/>
        </w:rPr>
        <w:t xml:space="preserve"> </w:t>
      </w:r>
      <w:r w:rsidR="7E736136" w:rsidRPr="00485B0A">
        <w:rPr>
          <w:color w:val="auto"/>
        </w:rPr>
        <w:t xml:space="preserve">The </w:t>
      </w:r>
      <w:r w:rsidR="4E3473ED" w:rsidRPr="00485B0A">
        <w:rPr>
          <w:color w:val="auto"/>
        </w:rPr>
        <w:t>N</w:t>
      </w:r>
      <w:r w:rsidR="7E736136" w:rsidRPr="00485B0A">
        <w:rPr>
          <w:color w:val="auto"/>
        </w:rPr>
        <w:t xml:space="preserve">ational </w:t>
      </w:r>
      <w:r w:rsidR="460F0DC3" w:rsidRPr="00485B0A">
        <w:rPr>
          <w:color w:val="auto"/>
        </w:rPr>
        <w:t>E</w:t>
      </w:r>
      <w:r w:rsidR="7E736136" w:rsidRPr="00485B0A">
        <w:rPr>
          <w:color w:val="auto"/>
        </w:rPr>
        <w:t xml:space="preserve">nergy </w:t>
      </w:r>
      <w:r w:rsidR="670CC389" w:rsidRPr="00485B0A">
        <w:rPr>
          <w:color w:val="auto"/>
        </w:rPr>
        <w:t>W</w:t>
      </w:r>
      <w:r w:rsidR="7E736136" w:rsidRPr="00485B0A">
        <w:rPr>
          <w:color w:val="auto"/>
        </w:rPr>
        <w:t xml:space="preserve">orkforce </w:t>
      </w:r>
      <w:r w:rsidR="1964102B" w:rsidRPr="00485B0A">
        <w:rPr>
          <w:color w:val="auto"/>
        </w:rPr>
        <w:t>S</w:t>
      </w:r>
      <w:r w:rsidR="7E736136" w:rsidRPr="00485B0A">
        <w:rPr>
          <w:color w:val="auto"/>
        </w:rPr>
        <w:t xml:space="preserve">trategy should </w:t>
      </w:r>
      <w:r w:rsidR="556BF472" w:rsidRPr="00485B0A">
        <w:rPr>
          <w:color w:val="auto"/>
        </w:rPr>
        <w:t>prioritise</w:t>
      </w:r>
      <w:r w:rsidR="7E736136" w:rsidRPr="00485B0A">
        <w:rPr>
          <w:color w:val="auto"/>
        </w:rPr>
        <w:t xml:space="preserve"> initiatives to promote more diverse leaders in clean energy to combat institutionalised rac</w:t>
      </w:r>
      <w:r w:rsidR="071CD0C3" w:rsidRPr="00485B0A">
        <w:rPr>
          <w:color w:val="auto"/>
        </w:rPr>
        <w:t>ism in the sector.</w:t>
      </w:r>
      <w:r w:rsidR="00E13239" w:rsidRPr="00E5087D">
        <w:rPr>
          <w14:numForm w14:val="lining"/>
          <w14:numSpacing w14:val="proportional"/>
        </w:rPr>
        <w:br w:type="page"/>
      </w:r>
    </w:p>
    <w:p w14:paraId="4BBFFACD" w14:textId="700ABD1D" w:rsidR="00E13239" w:rsidRPr="00E5087D" w:rsidRDefault="00E13239" w:rsidP="00E13239">
      <w:pPr>
        <w:pStyle w:val="Heading2"/>
        <w:rPr>
          <w:b w:val="0"/>
          <w:bCs/>
        </w:rPr>
      </w:pPr>
      <w:bookmarkStart w:id="86" w:name="_Toc146892700"/>
      <w:r w:rsidRPr="00E5087D">
        <w:t>8</w:t>
      </w:r>
      <w:r w:rsidRPr="00E5087D">
        <w:rPr>
          <w:smallCaps/>
        </w:rPr>
        <w:t>b</w:t>
      </w:r>
      <w:r w:rsidRPr="00E5087D">
        <w:t>.</w:t>
      </w:r>
      <w:r w:rsidRPr="00E5087D">
        <w:rPr>
          <w:b w:val="0"/>
          <w:bCs/>
        </w:rPr>
        <w:t xml:space="preserve"> Maturing the clean energy sector</w:t>
      </w:r>
      <w:bookmarkEnd w:id="86"/>
    </w:p>
    <w:p w14:paraId="2EFFAA8D" w14:textId="487E8D8B" w:rsidR="00E13239" w:rsidRPr="00E5087D" w:rsidRDefault="00E13239" w:rsidP="3D562964">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Our study identified the </w:t>
      </w:r>
      <w:bookmarkStart w:id="87" w:name="_Hlk142653423"/>
      <w:r w:rsidRPr="00E5087D">
        <w:rPr>
          <w:rFonts w:eastAsia="Arial" w:cs="Arial"/>
          <w14:numForm w14:val="lining"/>
          <w14:numSpacing w14:val="proportional"/>
        </w:rPr>
        <w:t>nascent nature of the clean energy sector</w:t>
      </w:r>
      <w:r w:rsidR="7A26A9B8" w:rsidRPr="00E5087D">
        <w:rPr>
          <w:rFonts w:eastAsia="Arial" w:cs="Arial"/>
          <w14:numForm w14:val="lining"/>
          <w14:numSpacing w14:val="proportional"/>
        </w:rPr>
        <w:t>,</w:t>
      </w:r>
      <w:r w:rsidRPr="00E5087D">
        <w:rPr>
          <w:rFonts w:eastAsia="Arial" w:cs="Arial"/>
          <w14:numForm w14:val="lining"/>
          <w14:numSpacing w14:val="proportional"/>
        </w:rPr>
        <w:t xml:space="preserve"> particularly in solar and wind installation and operation</w:t>
      </w:r>
      <w:r w:rsidR="5E408B07" w:rsidRPr="00E5087D">
        <w:rPr>
          <w:rFonts w:eastAsia="Arial" w:cs="Arial"/>
          <w14:numForm w14:val="lining"/>
          <w14:numSpacing w14:val="proportional"/>
        </w:rPr>
        <w:t>,</w:t>
      </w:r>
      <w:r w:rsidRPr="00E5087D">
        <w:rPr>
          <w:rFonts w:eastAsia="Arial" w:cs="Arial"/>
          <w14:numForm w14:val="lining"/>
          <w14:numSpacing w14:val="proportional"/>
        </w:rPr>
        <w:t xml:space="preserve"> as a barrier to developing and embedding a sustainable workforce development approach. </w:t>
      </w:r>
      <w:bookmarkEnd w:id="87"/>
      <w:r w:rsidRPr="00E5087D">
        <w:rPr>
          <w:rFonts w:eastAsia="Arial" w:cs="Arial"/>
          <w14:numForm w14:val="lining"/>
          <w14:numSpacing w14:val="proportional"/>
        </w:rPr>
        <w:t xml:space="preserve">Stakeholder submissions and roundtable contributions identified that young firms (or firms with only a short period operating in </w:t>
      </w:r>
      <w:r w:rsidR="004C796A">
        <w:rPr>
          <w:rFonts w:eastAsia="Arial" w:cs="Arial"/>
          <w14:numForm w14:val="lining"/>
          <w14:numSpacing w14:val="proportional"/>
        </w:rPr>
        <w:t>Australia</w:t>
      </w:r>
      <w:r w:rsidRPr="00E5087D">
        <w:rPr>
          <w:rFonts w:eastAsia="Arial" w:cs="Arial"/>
          <w14:numForm w14:val="lining"/>
          <w14:numSpacing w14:val="proportional"/>
        </w:rPr>
        <w:t xml:space="preserve">) installing and operating solar and wind do not have established processes and cultures to promote introductory and ongoing training and development. For example: </w:t>
      </w:r>
    </w:p>
    <w:p w14:paraId="213EB93E" w14:textId="77777777" w:rsidR="00E13239" w:rsidRPr="00E5087D" w:rsidRDefault="00E13239" w:rsidP="00F25595">
      <w:pPr>
        <w:pStyle w:val="ListParagraph"/>
        <w:numPr>
          <w:ilvl w:val="0"/>
          <w:numId w:val="42"/>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Engagements (especially in the construction phase) are project-based, despite the long pipeline of planned and approved projects. This limits the engagement of apprentices, whose training duration may extend beyond a particular project’s life.</w:t>
      </w:r>
    </w:p>
    <w:p w14:paraId="7E554714" w14:textId="77777777" w:rsidR="00E13239" w:rsidRPr="00E5087D" w:rsidRDefault="00E13239" w:rsidP="00F25595">
      <w:pPr>
        <w:pStyle w:val="ListParagraph"/>
        <w:numPr>
          <w:ilvl w:val="0"/>
          <w:numId w:val="42"/>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Business models (including tendering based on the lowest cost and reliance on venture capital) may be focused on short-term returns, removing any incentive to invest in long-term staff development.</w:t>
      </w:r>
    </w:p>
    <w:p w14:paraId="2894B604" w14:textId="11E801E8" w:rsidR="00E13239" w:rsidRPr="00E5087D" w:rsidRDefault="00E13239" w:rsidP="00F25595">
      <w:pPr>
        <w:pStyle w:val="ListParagraph"/>
        <w:numPr>
          <w:ilvl w:val="0"/>
          <w:numId w:val="42"/>
        </w:numPr>
        <w:spacing w:after="80" w:line="276" w:lineRule="auto"/>
        <w:ind w:left="567" w:hanging="357"/>
        <w:rPr>
          <w:rFonts w:eastAsia="Arial" w:cs="Arial"/>
          <w14:numForm w14:val="lining"/>
          <w14:numSpacing w14:val="proportional"/>
        </w:rPr>
      </w:pPr>
      <w:r w:rsidRPr="00E5087D">
        <w:rPr>
          <w:rFonts w:eastAsia="Arial" w:cs="Arial"/>
          <w14:numForm w14:val="lining"/>
          <w14:numSpacing w14:val="proportional"/>
        </w:rPr>
        <w:t>Enterprise agreements are rarely used, which could provide more opportunities for workers to access regular training and career development.</w:t>
      </w:r>
    </w:p>
    <w:p w14:paraId="6C1772B8" w14:textId="77777777" w:rsidR="00E13239" w:rsidRPr="00E5087D" w:rsidRDefault="00E13239" w:rsidP="00F25595">
      <w:pPr>
        <w:pStyle w:val="ListParagraph"/>
        <w:numPr>
          <w:ilvl w:val="0"/>
          <w:numId w:val="42"/>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The sector is rapidly growing, meaning the landscape is constantly evolving, and there is intensive competition between firms (including as a result of proprietary technologies), reducing incentives to collaborate on promoting career opportunities in the sectors.</w:t>
      </w:r>
    </w:p>
    <w:p w14:paraId="5A98F0AE" w14:textId="36A83EF3" w:rsidR="00E13239" w:rsidRPr="00E5087D" w:rsidRDefault="00E13239" w:rsidP="009B0510">
      <w:pPr>
        <w:spacing w:before="120" w:after="120" w:line="276" w:lineRule="auto"/>
        <w:rPr>
          <w:rFonts w:eastAsia="Arial" w:cs="Arial"/>
        </w:rPr>
      </w:pPr>
      <w:r w:rsidRPr="00E5087D">
        <w:rPr>
          <w:rFonts w:eastAsia="Arial" w:cs="Arial"/>
          <w14:numForm w14:val="lining"/>
          <w14:numSpacing w14:val="proportional"/>
        </w:rPr>
        <w:t>These behaviours not only hinder progress but negatively impact employers within the sector. The consequence is lower apprenticeship training rates and reluctance to invest in accredited training for workers and make experienced workers available as workplace trainers or assessors (see</w:t>
      </w:r>
      <w:r w:rsidR="00267096">
        <w:rPr>
          <w:rFonts w:eastAsia="Arial" w:cs="Arial"/>
          <w14:numForm w14:val="lining"/>
          <w14:numSpacing w14:val="proportional"/>
        </w:rPr>
        <w:t xml:space="preserve"> </w:t>
      </w:r>
      <w:r w:rsidR="0050081E">
        <w:rPr>
          <w:rFonts w:eastAsia="Arial" w:cs="Arial"/>
          <w:b/>
          <w:bCs/>
          <w14:numForm w14:val="lining"/>
          <w14:numSpacing w14:val="proportional"/>
        </w:rPr>
        <w:t>C</w:t>
      </w:r>
      <w:r w:rsidR="00267096" w:rsidRPr="00C21E18">
        <w:rPr>
          <w:rFonts w:eastAsia="Arial" w:cs="Arial"/>
          <w:b/>
          <w:bCs/>
          <w14:numForm w14:val="lining"/>
          <w14:numSpacing w14:val="proportional"/>
        </w:rPr>
        <w:t>hapter</w:t>
      </w:r>
      <w:r w:rsidR="0050081E" w:rsidRPr="00C21E18">
        <w:rPr>
          <w:rFonts w:eastAsia="Arial" w:cs="Arial"/>
          <w:b/>
          <w:bCs/>
          <w14:numForm w14:val="lining"/>
          <w14:numSpacing w14:val="proportional"/>
        </w:rPr>
        <w:t>s</w:t>
      </w:r>
      <w:r w:rsidR="00267096" w:rsidRPr="00C21E18">
        <w:rPr>
          <w:rFonts w:eastAsia="Arial" w:cs="Arial"/>
          <w:b/>
          <w14:numForm w14:val="lining"/>
          <w14:numSpacing w14:val="proportional"/>
        </w:rPr>
        <w:t xml:space="preserve"> 4 and 7</w:t>
      </w:r>
      <w:r w:rsidRPr="00E5087D">
        <w:rPr>
          <w:rFonts w:eastAsia="Arial" w:cs="Arial"/>
          <w14:numForm w14:val="lining"/>
          <w14:numSpacing w14:val="proportional"/>
        </w:rPr>
        <w:t>).</w:t>
      </w:r>
    </w:p>
    <w:p w14:paraId="38563C85" w14:textId="77777777" w:rsidR="00E13239" w:rsidRPr="00E5087D" w:rsidRDefault="00E13239" w:rsidP="00E13239">
      <w:pPr>
        <w:spacing w:after="120" w:line="276" w:lineRule="auto"/>
        <w:rPr>
          <w:rFonts w:eastAsia="Arial" w:cs="Arial"/>
        </w:rPr>
      </w:pPr>
      <w:r w:rsidRPr="00E5087D">
        <w:rPr>
          <w:rFonts w:eastAsia="Arial" w:cs="Arial"/>
        </w:rPr>
        <w:t>There can be a higher degree of variability and project-based work in clean energy, unlike traditional energy employment. For example, large-scale solar farms are a project-based industry where businesses may lack certainty while waiting to win contracts, secure finance or gain approvals. Workforce needs are also typically front-ended (during construction phases), meaning there are fewer long-term employment opportunities. These challenges can make it unsustainable for employers to commit to hiring and retaining apprentices under the traditional model.</w:t>
      </w:r>
    </w:p>
    <w:p w14:paraId="2AB8940D" w14:textId="70566883" w:rsidR="003E5180" w:rsidRDefault="00E13239" w:rsidP="00164789">
      <w:pPr>
        <w:spacing w:after="120" w:line="276" w:lineRule="auto"/>
        <w:rPr>
          <w:rFonts w:eastAsia="Arial" w:cs="Arial"/>
          <w14:numForm w14:val="lining"/>
          <w14:numSpacing w14:val="proportional"/>
        </w:rPr>
      </w:pPr>
      <w:r w:rsidRPr="00E5087D">
        <w:rPr>
          <w:rFonts w:eastAsia="Arial" w:cs="Arial"/>
          <w14:numForm w14:val="lining"/>
          <w14:numSpacing w14:val="proportional"/>
        </w:rPr>
        <w:t>Workers can experience challenges transitioning from one project to another. Potential solutions could be standardising qualifications and training</w:t>
      </w:r>
      <w:r w:rsidR="126A0F09" w:rsidRPr="00E5087D">
        <w:rPr>
          <w:rFonts w:eastAsia="Arial" w:cs="Arial"/>
          <w14:numForm w14:val="lining"/>
          <w14:numSpacing w14:val="proportional"/>
        </w:rPr>
        <w:t>,</w:t>
      </w:r>
      <w:r w:rsidRPr="00E5087D">
        <w:rPr>
          <w:rFonts w:eastAsia="Arial" w:cs="Arial"/>
          <w14:numForm w14:val="lining"/>
          <w14:numSpacing w14:val="proportional"/>
        </w:rPr>
        <w:t xml:space="preserve"> as well as the introduction of transferable leave entitlements. In addition, the clean energy sector struggles to compete with established industries regarding salaries and entitlements.</w:t>
      </w:r>
    </w:p>
    <w:p w14:paraId="308F05BA" w14:textId="77777777" w:rsidR="004E051B" w:rsidRDefault="003E5180" w:rsidP="3D562964">
      <w:pPr>
        <w:pStyle w:val="pf0"/>
        <w:spacing w:before="0" w:beforeAutospacing="0" w:after="0" w:afterAutospacing="0" w:line="276" w:lineRule="auto"/>
        <w:rPr>
          <w:rFonts w:ascii="Arial" w:eastAsia="Arial" w:hAnsi="Arial" w:cs="Arial"/>
          <w:color w:val="000000" w:themeColor="text1"/>
          <w:sz w:val="22"/>
          <w:szCs w:val="22"/>
          <w:lang w:eastAsia="en-US"/>
          <w14:numForm w14:val="lining"/>
          <w14:numSpacing w14:val="proportional"/>
        </w:rPr>
      </w:pPr>
      <w:r w:rsidRPr="003E5180">
        <w:rPr>
          <w:rFonts w:ascii="Arial" w:eastAsia="Arial" w:hAnsi="Arial" w:cs="Arial"/>
          <w:color w:val="000000" w:themeColor="text1"/>
          <w:sz w:val="22"/>
          <w:szCs w:val="22"/>
          <w:lang w:eastAsia="en-US"/>
          <w14:numForm w14:val="lining"/>
          <w14:numSpacing w14:val="proportional"/>
        </w:rPr>
        <w:t>Knowledge sharing and collaboration are critical components of the global effort to decarbonise. Study tours provide governments, industry, workers and experts with an opportunity to share knowledge and gain insights and exposure to emerging technologies and training methodologies that are not yet available in the local context. This practice has long been a common feature of developments in the clean energy sector, particularly within and among European nations.</w:t>
      </w:r>
      <w:r>
        <w:rPr>
          <w:rStyle w:val="EndnoteReference"/>
          <w:rFonts w:ascii="Arial" w:eastAsia="Arial" w:hAnsi="Arial" w:cs="Arial"/>
          <w:color w:val="000000" w:themeColor="text1"/>
          <w:sz w:val="22"/>
          <w:szCs w:val="22"/>
          <w:lang w:eastAsia="en-US"/>
          <w14:numForm w14:val="lining"/>
          <w14:numSpacing w14:val="proportional"/>
        </w:rPr>
        <w:endnoteReference w:id="214"/>
      </w:r>
      <w:r w:rsidRPr="003E5180">
        <w:rPr>
          <w:rFonts w:ascii="Arial" w:eastAsia="Arial" w:hAnsi="Arial" w:cs="Arial"/>
          <w:color w:val="000000" w:themeColor="text1"/>
          <w:sz w:val="22"/>
          <w:szCs w:val="22"/>
          <w:lang w:eastAsia="en-US"/>
          <w14:numForm w14:val="lining"/>
          <w14:numSpacing w14:val="proportional"/>
        </w:rPr>
        <w:t xml:space="preserve"> Australian delegations have also successfully engaged with international partners on study tours to support the development of our domestic clean energy sector and nurture trade relations in this space. Recent examples of this include Australian delegations to </w:t>
      </w:r>
      <w:r w:rsidR="00681D71">
        <w:rPr>
          <w:rFonts w:ascii="Arial" w:eastAsia="Arial" w:hAnsi="Arial" w:cs="Arial"/>
          <w:color w:val="000000" w:themeColor="text1"/>
          <w:sz w:val="22"/>
          <w:szCs w:val="22"/>
          <w:lang w:eastAsia="en-US"/>
          <w14:numForm w14:val="lining"/>
          <w14:numSpacing w14:val="proportional"/>
        </w:rPr>
        <w:t>vi</w:t>
      </w:r>
      <w:r w:rsidR="000B1B60">
        <w:rPr>
          <w:rFonts w:ascii="Arial" w:eastAsia="Arial" w:hAnsi="Arial" w:cs="Arial"/>
          <w:color w:val="000000" w:themeColor="text1"/>
          <w:sz w:val="22"/>
          <w:szCs w:val="22"/>
          <w:lang w:eastAsia="en-US"/>
          <w14:numForm w14:val="lining"/>
          <w14:numSpacing w14:val="proportional"/>
        </w:rPr>
        <w:t>sit</w:t>
      </w:r>
      <w:r w:rsidRPr="003E5180">
        <w:rPr>
          <w:rFonts w:ascii="Arial" w:eastAsia="Arial" w:hAnsi="Arial" w:cs="Arial"/>
          <w:color w:val="000000" w:themeColor="text1"/>
          <w:sz w:val="22"/>
          <w:szCs w:val="22"/>
          <w:lang w:eastAsia="en-US"/>
          <w14:numForm w14:val="lining"/>
          <w14:numSpacing w14:val="proportional"/>
        </w:rPr>
        <w:t xml:space="preserve"> Danish offshore wind </w:t>
      </w:r>
      <w:r w:rsidR="000B1B60">
        <w:rPr>
          <w:rFonts w:ascii="Arial" w:eastAsia="Arial" w:hAnsi="Arial" w:cs="Arial"/>
          <w:color w:val="000000" w:themeColor="text1"/>
          <w:sz w:val="22"/>
          <w:szCs w:val="22"/>
          <w:lang w:eastAsia="en-US"/>
          <w14:numForm w14:val="lining"/>
          <w14:numSpacing w14:val="proportional"/>
        </w:rPr>
        <w:t>sites</w:t>
      </w:r>
      <w:r w:rsidRPr="003E5180">
        <w:rPr>
          <w:rFonts w:ascii="Arial" w:eastAsia="Arial" w:hAnsi="Arial" w:cs="Arial"/>
          <w:color w:val="000000" w:themeColor="text1"/>
          <w:sz w:val="22"/>
          <w:szCs w:val="22"/>
          <w:lang w:eastAsia="en-US"/>
          <w14:numForm w14:val="lining"/>
          <w14:numSpacing w14:val="proportional"/>
        </w:rPr>
        <w:t xml:space="preserve"> and </w:t>
      </w:r>
      <w:r w:rsidR="000B1B60">
        <w:rPr>
          <w:rFonts w:ascii="Arial" w:eastAsia="Arial" w:hAnsi="Arial" w:cs="Arial"/>
          <w:color w:val="000000" w:themeColor="text1"/>
          <w:sz w:val="22"/>
          <w:szCs w:val="22"/>
          <w:lang w:eastAsia="en-US"/>
          <w14:numForm w14:val="lining"/>
          <w14:numSpacing w14:val="proportional"/>
        </w:rPr>
        <w:t xml:space="preserve">meet with </w:t>
      </w:r>
      <w:r w:rsidRPr="003E5180">
        <w:rPr>
          <w:rFonts w:ascii="Arial" w:eastAsia="Arial" w:hAnsi="Arial" w:cs="Arial"/>
          <w:color w:val="000000" w:themeColor="text1"/>
          <w:sz w:val="22"/>
          <w:szCs w:val="22"/>
          <w:lang w:eastAsia="en-US"/>
          <w14:numForm w14:val="lining"/>
          <w14:numSpacing w14:val="proportional"/>
        </w:rPr>
        <w:t>German energy efficiency and transition experts.</w:t>
      </w:r>
      <w:r>
        <w:rPr>
          <w:rStyle w:val="EndnoteReference"/>
          <w:rFonts w:ascii="Arial" w:eastAsia="Arial" w:hAnsi="Arial" w:cs="Arial"/>
          <w:color w:val="000000" w:themeColor="text1"/>
          <w:sz w:val="22"/>
          <w:szCs w:val="22"/>
          <w:lang w:eastAsia="en-US"/>
          <w14:numForm w14:val="lining"/>
          <w14:numSpacing w14:val="proportional"/>
        </w:rPr>
        <w:endnoteReference w:id="215"/>
      </w:r>
      <w:r w:rsidR="002A7B65" w:rsidRPr="003E5180">
        <w:rPr>
          <w:rFonts w:ascii="Arial" w:eastAsia="Arial" w:hAnsi="Arial" w:cs="Arial"/>
          <w:color w:val="000000" w:themeColor="text1"/>
          <w:sz w:val="22"/>
          <w:szCs w:val="22"/>
          <w:lang w:eastAsia="en-US"/>
          <w14:numForm w14:val="lining"/>
          <w14:numSpacing w14:val="proportional"/>
        </w:rPr>
        <w:t xml:space="preserve"> </w:t>
      </w:r>
    </w:p>
    <w:p w14:paraId="24C196CE" w14:textId="629F8B54" w:rsidR="003E5180" w:rsidRDefault="00FA34A8" w:rsidP="004E051B">
      <w:pPr>
        <w:pStyle w:val="pf0"/>
        <w:spacing w:before="120" w:beforeAutospacing="0" w:after="360" w:afterAutospacing="0" w:line="276" w:lineRule="auto"/>
        <w:rPr>
          <w:rFonts w:ascii="Arial" w:eastAsia="Arial" w:hAnsi="Arial" w:cs="Arial"/>
          <w:color w:val="000000" w:themeColor="text1"/>
          <w:sz w:val="22"/>
          <w:szCs w:val="22"/>
          <w:lang w:eastAsia="en-US"/>
          <w14:numForm w14:val="lining"/>
          <w14:numSpacing w14:val="proportional"/>
        </w:rPr>
      </w:pPr>
      <w:r w:rsidRPr="00BB2E09">
        <w:rPr>
          <w:noProof/>
        </w:rPr>
        <mc:AlternateContent>
          <mc:Choice Requires="wpg">
            <w:drawing>
              <wp:anchor distT="0" distB="0" distL="114300" distR="114300" simplePos="0" relativeHeight="251658329" behindDoc="1" locked="0" layoutInCell="1" allowOverlap="1" wp14:anchorId="704597F9" wp14:editId="46852151">
                <wp:simplePos x="0" y="0"/>
                <wp:positionH relativeFrom="margin">
                  <wp:posOffset>17145</wp:posOffset>
                </wp:positionH>
                <wp:positionV relativeFrom="paragraph">
                  <wp:posOffset>1381885</wp:posOffset>
                </wp:positionV>
                <wp:extent cx="5731510" cy="1051560"/>
                <wp:effectExtent l="0" t="0" r="21590" b="15240"/>
                <wp:wrapNone/>
                <wp:docPr id="612265832" name="Group 6122658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51560"/>
                          <a:chOff x="0" y="0"/>
                          <a:chExt cx="5880735" cy="1079950"/>
                        </a:xfrm>
                      </wpg:grpSpPr>
                      <wps:wsp>
                        <wps:cNvPr id="612265833" name="Rectangle: Top Corners Rounded 612265833"/>
                        <wps:cNvSpPr/>
                        <wps:spPr>
                          <a:xfrm>
                            <a:off x="0" y="0"/>
                            <a:ext cx="1708245"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2ED417" w14:textId="73CA4D4D"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34" name="Rectangle 612265834"/>
                        <wps:cNvSpPr/>
                        <wps:spPr>
                          <a:xfrm>
                            <a:off x="0" y="230027"/>
                            <a:ext cx="5880735" cy="849923"/>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D177CD" w14:textId="7958B839"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704597F9" id="Group 612265832" o:spid="_x0000_s1221" alt="&quot;&quot;" style="position:absolute;margin-left:1.35pt;margin-top:108.8pt;width:451.3pt;height:82.8pt;z-index:-251658151;mso-position-horizontal-relative:margin;mso-position-vertical-relative:text" coordsize="58807,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">
                <v:shape id="Rectangle: Top Corners Rounded 612265833" o:spid="_x0000_s1222" style="position:absolute;width:17082;height:2327;visibility:visible;mso-wrap-style:square;v-text-anchor:middle" coordsize="1708245,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" adj="-11796480,,5400" path="m38799,l1669446,v21428,,38799,17371,38799,38799l1708245,232791r,l,232791r,l,38799c,17371,17371,,38799,xe" fillcolor="#e0d1f5 [660]" strokecolor="#e0d1f5 [660]" strokeweight="1pt">
                  <v:stroke joinstyle="miter"/>
                  <v:formulas/>
                  <v:path arrowok="t" o:connecttype="custom" o:connectlocs="38799,0;1669446,0;1708245,38799;1708245,232791;1708245,232791;0,232791;0,232791;0,38799;38799,0" o:connectangles="0,0,0,0,0,0,0,0,0" textboxrect="0,0,1708245,232791"/>
                  <v:textbox inset=",0,,0">
                    <w:txbxContent>
                      <w:p w14:paraId="6D2ED417" w14:textId="73CA4D4D" w:rsidR="00E13239" w:rsidRPr="006E07A7" w:rsidRDefault="00E13239" w:rsidP="00E13239">
                        <w:pPr>
                          <w:spacing w:after="0" w:line="240" w:lineRule="auto"/>
                          <w:rPr>
                            <w:b/>
                            <w:bCs/>
                            <w14:numForm w14:val="lining"/>
                            <w14:numSpacing w14:val="proportional"/>
                          </w:rPr>
                        </w:pPr>
                      </w:p>
                    </w:txbxContent>
                  </v:textbox>
                </v:shape>
                <v:rect id="Rectangle 612265834" o:spid="_x0000_s1223" style="position:absolute;top:2300;width:58807;height:8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" fillcolor="#f2f2f2" strokecolor="#e0d1f5 [660]" strokeweight="1pt">
                  <v:textbox inset="2mm,1mm,2mm,1mm">
                    <w:txbxContent>
                      <w:p w14:paraId="59D177CD" w14:textId="7958B839" w:rsidR="00E13239" w:rsidRPr="00290C33" w:rsidRDefault="00E13239" w:rsidP="00E13239">
                        <w:pPr>
                          <w:spacing w:after="0" w:line="240" w:lineRule="auto"/>
                          <w:rPr>
                            <w:rFonts w:eastAsia="Calibri" w:cs="Times New Roman"/>
                            <w:color w:val="000000"/>
                            <w14:ligatures w14:val="standardContextual"/>
                          </w:rPr>
                        </w:pPr>
                      </w:p>
                    </w:txbxContent>
                  </v:textbox>
                </v:rect>
                <w10:wrap anchorx="margin"/>
              </v:group>
            </w:pict>
          </mc:Fallback>
        </mc:AlternateContent>
      </w:r>
      <w:r w:rsidR="003E5180" w:rsidRPr="003E5180">
        <w:rPr>
          <w:rFonts w:ascii="Arial" w:eastAsia="Arial" w:hAnsi="Arial" w:cs="Arial"/>
          <w:color w:val="000000" w:themeColor="text1"/>
          <w:sz w:val="22"/>
          <w:szCs w:val="22"/>
          <w:lang w:eastAsia="en-US"/>
          <w14:numForm w14:val="lining"/>
          <w14:numSpacing w14:val="proportional"/>
        </w:rPr>
        <w:t xml:space="preserve">International literature affirms the value of clean energy study tours in supporting collaborative relations and raising political and social awareness </w:t>
      </w:r>
      <w:r w:rsidR="4A6F3752" w:rsidRPr="003E5180">
        <w:rPr>
          <w:rFonts w:ascii="Arial" w:eastAsia="Arial" w:hAnsi="Arial" w:cs="Arial"/>
          <w:color w:val="000000" w:themeColor="text1"/>
          <w:sz w:val="22"/>
          <w:szCs w:val="22"/>
          <w:lang w:eastAsia="en-US"/>
          <w14:numForm w14:val="lining"/>
          <w14:numSpacing w14:val="proportional"/>
        </w:rPr>
        <w:t>on</w:t>
      </w:r>
      <w:r w:rsidR="003E5180" w:rsidRPr="003E5180">
        <w:rPr>
          <w:rFonts w:ascii="Arial" w:eastAsia="Arial" w:hAnsi="Arial" w:cs="Arial"/>
          <w:color w:val="000000" w:themeColor="text1"/>
          <w:sz w:val="22"/>
          <w:szCs w:val="22"/>
          <w:lang w:eastAsia="en-US"/>
          <w14:numForm w14:val="lining"/>
          <w14:numSpacing w14:val="proportional"/>
        </w:rPr>
        <w:t xml:space="preserve"> the value of exploring innovative solutions to </w:t>
      </w:r>
      <w:r w:rsidR="13389373" w:rsidRPr="3D562964">
        <w:rPr>
          <w:rFonts w:ascii="Arial" w:eastAsia="Arial" w:hAnsi="Arial" w:cs="Arial"/>
          <w:color w:val="000000" w:themeColor="text1"/>
          <w:sz w:val="22"/>
          <w:szCs w:val="22"/>
          <w:lang w:eastAsia="en-US"/>
        </w:rPr>
        <w:t>energy</w:t>
      </w:r>
      <w:r w:rsidR="0F383D2C" w:rsidRPr="3D562964">
        <w:rPr>
          <w:rFonts w:ascii="Arial" w:eastAsia="Arial" w:hAnsi="Arial" w:cs="Arial"/>
          <w:color w:val="000000" w:themeColor="text1"/>
          <w:sz w:val="22"/>
          <w:szCs w:val="22"/>
          <w:lang w:eastAsia="en-US"/>
        </w:rPr>
        <w:t xml:space="preserve"> </w:t>
      </w:r>
      <w:r w:rsidR="13389373" w:rsidRPr="3D562964">
        <w:rPr>
          <w:rFonts w:ascii="Arial" w:eastAsia="Arial" w:hAnsi="Arial" w:cs="Arial"/>
          <w:color w:val="000000" w:themeColor="text1"/>
          <w:sz w:val="22"/>
          <w:szCs w:val="22"/>
          <w:lang w:eastAsia="en-US"/>
        </w:rPr>
        <w:t>transition</w:t>
      </w:r>
      <w:r w:rsidR="003E5180" w:rsidRPr="003E5180">
        <w:rPr>
          <w:rFonts w:ascii="Arial" w:eastAsia="Arial" w:hAnsi="Arial" w:cs="Arial"/>
          <w:color w:val="000000" w:themeColor="text1"/>
          <w:sz w:val="22"/>
          <w:szCs w:val="22"/>
          <w:lang w:eastAsia="en-US"/>
          <w14:numForm w14:val="lining"/>
          <w14:numSpacing w14:val="proportional"/>
        </w:rPr>
        <w:t xml:space="preserve"> challenges. However, in order to get the most out of these activities, it is strongly recommended that future delegations work to include more workers and experts, who are ultimately best positioned to operationalise both the practical and specialist knowledge and skills imparted.</w:t>
      </w:r>
      <w:r w:rsidR="003E5180">
        <w:rPr>
          <w:rStyle w:val="EndnoteReference"/>
          <w:rFonts w:ascii="Arial" w:eastAsia="Arial" w:hAnsi="Arial" w:cs="Arial"/>
          <w:color w:val="000000" w:themeColor="text1"/>
          <w:sz w:val="22"/>
          <w:szCs w:val="22"/>
          <w:lang w:eastAsia="en-US"/>
          <w14:numForm w14:val="lining"/>
          <w14:numSpacing w14:val="proportional"/>
        </w:rPr>
        <w:endnoteReference w:id="216"/>
      </w:r>
    </w:p>
    <w:p w14:paraId="403070F1" w14:textId="3D209074" w:rsidR="004E051B" w:rsidRPr="006E07A7" w:rsidRDefault="004E051B" w:rsidP="004E051B">
      <w:pPr>
        <w:spacing w:after="20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8.7</w:t>
      </w:r>
    </w:p>
    <w:p w14:paraId="5BA049BB" w14:textId="1E8025ED" w:rsidR="004E051B" w:rsidRPr="00290C33" w:rsidRDefault="004E051B" w:rsidP="004E051B">
      <w:pPr>
        <w:spacing w:after="0" w:line="240" w:lineRule="auto"/>
        <w:ind w:left="170" w:right="113"/>
        <w:rPr>
          <w:rFonts w:eastAsia="Calibri" w:cs="Times New Roman"/>
          <w:color w:val="000000"/>
          <w14:ligatures w14:val="standardContextual"/>
        </w:rPr>
      </w:pPr>
      <w:r w:rsidRPr="00E042E7">
        <w:rPr>
          <w:rFonts w:eastAsia="Arial" w:cs="Arial"/>
          <w:lang w:val="en-US"/>
        </w:rPr>
        <w:t>The Australian Government should consider facilitating a 'Clean Energy Study Tour' program with industry. This could allow selected participants to visit international firms to observe and learn from diverse technologies and training methodologies and then integrate this knowledge int</w:t>
      </w:r>
      <w:r>
        <w:rPr>
          <w:rFonts w:eastAsia="Arial" w:cs="Arial"/>
          <w:lang w:val="en-US"/>
        </w:rPr>
        <w:t>o</w:t>
      </w:r>
      <w:r w:rsidRPr="00E042E7">
        <w:rPr>
          <w:rFonts w:eastAsia="Arial" w:cs="Arial"/>
          <w:lang w:val="en-US"/>
        </w:rPr>
        <w:t xml:space="preserve"> </w:t>
      </w:r>
      <w:r>
        <w:rPr>
          <w:rFonts w:eastAsia="Arial" w:cs="Arial"/>
          <w:lang w:val="en-US"/>
        </w:rPr>
        <w:t>th</w:t>
      </w:r>
      <w:r w:rsidRPr="00E042E7">
        <w:rPr>
          <w:rFonts w:eastAsia="Arial" w:cs="Arial"/>
          <w:lang w:val="en-US"/>
        </w:rPr>
        <w:t xml:space="preserve">e </w:t>
      </w:r>
      <w:r>
        <w:rPr>
          <w:rFonts w:eastAsia="Arial" w:cs="Arial"/>
          <w:lang w:val="en-US"/>
        </w:rPr>
        <w:t>Australian</w:t>
      </w:r>
      <w:r w:rsidRPr="00E042E7">
        <w:rPr>
          <w:rFonts w:eastAsia="Arial" w:cs="Arial"/>
          <w:lang w:val="en-US"/>
        </w:rPr>
        <w:t xml:space="preserve"> clean energy sector</w:t>
      </w:r>
      <w:r w:rsidR="00CB08A0">
        <w:rPr>
          <w:rFonts w:eastAsia="Arial" w:cs="Arial"/>
          <w:lang w:val="en-US"/>
        </w:rPr>
        <w:t>.</w:t>
      </w:r>
    </w:p>
    <w:p w14:paraId="6EC41FC0" w14:textId="1B5D3AA5" w:rsidR="009B0510" w:rsidRPr="00E5087D" w:rsidRDefault="009B0510" w:rsidP="00164789">
      <w:pPr>
        <w:spacing w:after="120" w:line="276" w:lineRule="auto"/>
        <w:rPr>
          <w:rFonts w:eastAsia="Arial" w:cs="Arial"/>
          <w:highlight w:val="yellow"/>
        </w:rPr>
      </w:pPr>
      <w:r w:rsidRPr="00E5087D">
        <w:rPr>
          <w:rFonts w:eastAsia="Arial" w:cs="Arial"/>
          <w:highlight w:val="yellow"/>
        </w:rPr>
        <w:br w:type="page"/>
      </w:r>
    </w:p>
    <w:p w14:paraId="4D2F462D" w14:textId="77777777" w:rsidR="00E13239" w:rsidRPr="00E5087D" w:rsidRDefault="00E13239" w:rsidP="00E13239">
      <w:pPr>
        <w:pStyle w:val="Heading3"/>
      </w:pPr>
      <w:r w:rsidRPr="00E5087D">
        <w:t>Stimulating a training culture</w:t>
      </w:r>
    </w:p>
    <w:p w14:paraId="29A404B1" w14:textId="3B449A9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Fundamentally, this study highlights the need to increase the number of apprenticeships </w:t>
      </w:r>
      <w:r w:rsidR="00304D92" w:rsidRPr="00E5087D">
        <w:rPr>
          <w:rFonts w:eastAsia="Arial" w:cs="Arial"/>
          <w14:numForm w14:val="lining"/>
          <w14:numSpacing w14:val="proportional"/>
        </w:rPr>
        <w:t>across the</w:t>
      </w:r>
      <w:r w:rsidRPr="00E5087D">
        <w:rPr>
          <w:rFonts w:eastAsia="Arial" w:cs="Arial"/>
          <w14:numForm w14:val="lining"/>
          <w14:numSpacing w14:val="proportional"/>
        </w:rPr>
        <w:t xml:space="preserve"> most relevant trades: </w:t>
      </w:r>
      <w:r w:rsidR="17873E19" w:rsidRPr="00E5087D">
        <w:rPr>
          <w:rFonts w:eastAsia="Arial" w:cs="Arial"/>
          <w14:numForm w14:val="lining"/>
          <w14:numSpacing w14:val="proportional"/>
        </w:rPr>
        <w:t>E</w:t>
      </w:r>
      <w:r w:rsidRPr="00E5087D">
        <w:rPr>
          <w:rFonts w:eastAsia="Arial" w:cs="Arial"/>
          <w14:numForm w14:val="lining"/>
          <w14:numSpacing w14:val="proportional"/>
        </w:rPr>
        <w:t>lectro-</w:t>
      </w:r>
      <w:r w:rsidR="15BB7690" w:rsidRPr="00E5087D">
        <w:rPr>
          <w:rFonts w:eastAsia="Arial" w:cs="Arial"/>
          <w14:numForm w14:val="lining"/>
          <w14:numSpacing w14:val="proportional"/>
        </w:rPr>
        <w:t>T</w:t>
      </w:r>
      <w:r w:rsidRPr="00E5087D">
        <w:rPr>
          <w:rFonts w:eastAsia="Arial" w:cs="Arial"/>
          <w14:numForm w14:val="lining"/>
          <w14:numSpacing w14:val="proportional"/>
        </w:rPr>
        <w:t xml:space="preserve">echnology and </w:t>
      </w:r>
      <w:r w:rsidR="717376BB" w:rsidRPr="00E5087D">
        <w:rPr>
          <w:rFonts w:eastAsia="Arial" w:cs="Arial"/>
          <w14:numForm w14:val="lining"/>
          <w14:numSpacing w14:val="proportional"/>
        </w:rPr>
        <w:t>E</w:t>
      </w:r>
      <w:r w:rsidRPr="00E5087D">
        <w:rPr>
          <w:rFonts w:eastAsia="Arial" w:cs="Arial"/>
          <w14:numForm w14:val="lining"/>
          <w14:numSpacing w14:val="proportional"/>
        </w:rPr>
        <w:t xml:space="preserve">lectrical </w:t>
      </w:r>
      <w:r w:rsidR="4F9BC05A" w:rsidRPr="00E5087D">
        <w:rPr>
          <w:rFonts w:eastAsia="Arial" w:cs="Arial"/>
          <w14:numForm w14:val="lining"/>
          <w14:numSpacing w14:val="proportional"/>
        </w:rPr>
        <w:t>D</w:t>
      </w:r>
      <w:r w:rsidRPr="00E5087D">
        <w:rPr>
          <w:rFonts w:eastAsia="Arial" w:cs="Arial"/>
          <w14:numForm w14:val="lining"/>
          <w14:numSpacing w14:val="proportional"/>
        </w:rPr>
        <w:t xml:space="preserve">istribution and </w:t>
      </w:r>
      <w:r w:rsidR="37889E9E" w:rsidRPr="00E5087D">
        <w:rPr>
          <w:rFonts w:eastAsia="Arial" w:cs="Arial"/>
          <w14:numForm w14:val="lining"/>
          <w14:numSpacing w14:val="proportional"/>
        </w:rPr>
        <w:t>T</w:t>
      </w:r>
      <w:r w:rsidRPr="00E5087D">
        <w:rPr>
          <w:rFonts w:eastAsia="Arial" w:cs="Arial"/>
          <w14:numForm w14:val="lining"/>
          <w14:numSpacing w14:val="proportional"/>
        </w:rPr>
        <w:t>ransmission. Yet the starkest examples of underinvestment in apprenticeship training during this study have been observed in the transmission and distribution sector, which crosses over into the broader network long reliant on coal-fired power</w:t>
      </w:r>
      <w:r w:rsidR="009F2D51">
        <w:rPr>
          <w:rFonts w:eastAsia="Arial" w:cs="Arial"/>
          <w14:numForm w14:val="lining"/>
          <w14:numSpacing w14:val="proportional"/>
        </w:rPr>
        <w:t xml:space="preserve"> (Figure 8.</w:t>
      </w:r>
      <w:r w:rsidR="00B01302">
        <w:rPr>
          <w:rFonts w:eastAsia="Arial" w:cs="Arial"/>
          <w14:numForm w14:val="lining"/>
          <w14:numSpacing w14:val="proportional"/>
        </w:rPr>
        <w:t>2</w:t>
      </w:r>
      <w:r w:rsidR="009F2D51">
        <w:rPr>
          <w:rFonts w:eastAsia="Arial" w:cs="Arial"/>
          <w14:numForm w14:val="lining"/>
          <w14:numSpacing w14:val="proportional"/>
        </w:rPr>
        <w:t>)</w:t>
      </w:r>
      <w:r w:rsidRPr="00E5087D">
        <w:rPr>
          <w:rFonts w:eastAsia="Arial" w:cs="Arial"/>
          <w14:numForm w14:val="lining"/>
          <w14:numSpacing w14:val="proportional"/>
        </w:rPr>
        <w:t xml:space="preserve">. </w:t>
      </w:r>
    </w:p>
    <w:p w14:paraId="1454B3B3" w14:textId="77777777" w:rsidR="00E13239" w:rsidRPr="00E5087D" w:rsidRDefault="00E13239" w:rsidP="00E13239">
      <w:pPr>
        <w:spacing w:after="120" w:line="276" w:lineRule="auto"/>
        <w:rPr>
          <w:spacing w:val="2"/>
          <w14:ligatures w14:val="standard"/>
          <w14:numForm w14:val="lining"/>
          <w14:numSpacing w14:val="proportional"/>
        </w:rPr>
      </w:pPr>
      <w:r w:rsidRPr="00E5087D">
        <w:rPr>
          <w:spacing w:val="2"/>
          <w14:ligatures w14:val="standard"/>
          <w14:numForm w14:val="lining"/>
          <w14:numSpacing w14:val="proportional"/>
        </w:rPr>
        <w:t>For electrical trades, the level of supervision an apprentice needs while working is very high because of the safety issues related to working with electricity. This can make it difficult for employers to take on multiple apprentices at once, in contrast to non-trade qualifications or at universities where large numbers of students can be trained simultaneously for each qualified trainer.</w:t>
      </w:r>
    </w:p>
    <w:p w14:paraId="107E92C0" w14:textId="5F8DD458" w:rsidR="00E13239" w:rsidRPr="00E5087D" w:rsidRDefault="00E13239" w:rsidP="00E13239">
      <w:pPr>
        <w:spacing w:after="0" w:line="276" w:lineRule="auto"/>
        <w:rPr>
          <w:rFonts w:eastAsia="Arial" w:cs="Arial"/>
          <w14:numForm w14:val="lining"/>
          <w14:numSpacing w14:val="proportional"/>
        </w:rPr>
      </w:pPr>
      <w:r w:rsidRPr="00E5087D">
        <w:rPr>
          <w:rFonts w:eastAsia="Arial" w:cs="Arial"/>
          <w14:numForm w14:val="lining"/>
          <w14:numSpacing w14:val="proportional"/>
        </w:rPr>
        <w:t>Declines in apprenticeship training rates among electricity generation and transmission entities were observed as far back as the 1990s, with a number of causes suggested including privatisation and the adoption of profit-maximising corporate structures for those entities that remained government-owned</w:t>
      </w:r>
      <w:r w:rsidR="00C67B06">
        <w:rPr>
          <w:rFonts w:eastAsia="Arial" w:cs="Arial"/>
          <w14:numForm w14:val="lining"/>
          <w14:numSpacing w14:val="proportional"/>
        </w:rPr>
        <w:t>.</w:t>
      </w:r>
      <w:r w:rsidRPr="00E5087D">
        <w:rPr>
          <w:rStyle w:val="EndnoteReference"/>
          <w:rFonts w:eastAsia="Arial" w:cs="Arial"/>
          <w14:numForm w14:val="lining"/>
          <w14:numSpacing w14:val="proportional"/>
        </w:rPr>
        <w:endnoteReference w:id="217"/>
      </w:r>
      <w:r w:rsidRPr="00E5087D">
        <w:rPr>
          <w:rFonts w:eastAsia="Arial" w:cs="Arial"/>
          <w14:numForm w14:val="lining"/>
          <w14:numSpacing w14:val="proportional"/>
        </w:rPr>
        <w:t xml:space="preserve"> However, the substantial pipeline of new transmission projects necessitates a more sustainable view.</w:t>
      </w:r>
    </w:p>
    <w:p w14:paraId="62D0967B" w14:textId="77777777" w:rsidR="00E13239" w:rsidRPr="00E5087D" w:rsidRDefault="00E13239" w:rsidP="00E13239">
      <w:pPr>
        <w:pBdr>
          <w:bottom w:val="single" w:sz="4" w:space="1" w:color="BFBFBF" w:themeColor="background1" w:themeShade="BF"/>
        </w:pBdr>
        <w:spacing w:after="0" w:line="276" w:lineRule="auto"/>
        <w:rPr>
          <w:rFonts w:eastAsia="Arial" w:cs="Arial"/>
          <w:sz w:val="18"/>
          <w:szCs w:val="18"/>
          <w14:numForm w14:val="lining"/>
          <w14:numSpacing w14:val="proportional"/>
        </w:rPr>
      </w:pPr>
    </w:p>
    <w:p w14:paraId="7729D881" w14:textId="22EE48E3" w:rsidR="00E13239" w:rsidRPr="00E5087D" w:rsidRDefault="00E13239" w:rsidP="00E13239">
      <w:pPr>
        <w:spacing w:before="120" w:after="0" w:line="276" w:lineRule="auto"/>
        <w:rPr>
          <w:rFonts w:eastAsia="Arial" w:cs="Arial"/>
          <w:b/>
          <w:bCs/>
          <w14:numForm w14:val="lining"/>
          <w14:numSpacing w14:val="proportional"/>
        </w:rPr>
      </w:pPr>
      <w:r w:rsidRPr="00E5087D">
        <w:rPr>
          <w:rFonts w:eastAsia="Arial" w:cs="Arial"/>
          <w:b/>
          <w:bCs/>
          <w14:numForm w14:val="lining"/>
          <w14:numSpacing w14:val="proportional"/>
        </w:rPr>
        <w:t xml:space="preserve">Figure </w:t>
      </w:r>
      <w:r w:rsidR="00DA6203">
        <w:rPr>
          <w:rFonts w:eastAsia="Arial" w:cs="Arial"/>
          <w:b/>
          <w:bCs/>
          <w14:numForm w14:val="lining"/>
          <w14:numSpacing w14:val="proportional"/>
        </w:rPr>
        <w:t>8.</w:t>
      </w:r>
      <w:r w:rsidR="00B01302">
        <w:rPr>
          <w:rFonts w:eastAsia="Arial" w:cs="Arial"/>
          <w:b/>
          <w:bCs/>
          <w14:numForm w14:val="lining"/>
          <w14:numSpacing w14:val="proportional"/>
        </w:rPr>
        <w:t>2</w:t>
      </w:r>
      <w:r w:rsidRPr="00E5087D">
        <w:rPr>
          <w:rFonts w:eastAsia="Arial" w:cs="Arial"/>
          <w:b/>
          <w:bCs/>
          <w14:numForm w14:val="lining"/>
          <w14:numSpacing w14:val="proportional"/>
        </w:rPr>
        <w:t>. In-training apprentices as a proportion of total employment, by industry</w:t>
      </w:r>
    </w:p>
    <w:p w14:paraId="1B63B551" w14:textId="71754458" w:rsidR="00E13239" w:rsidRPr="00E5087D" w:rsidRDefault="00993D21" w:rsidP="00E13239">
      <w:pPr>
        <w:spacing w:after="120" w:line="276" w:lineRule="auto"/>
        <w:rPr>
          <w:rFonts w:eastAsia="Arial" w:cs="Arial"/>
          <w14:numForm w14:val="lining"/>
          <w14:numSpacing w14:val="proportional"/>
        </w:rPr>
      </w:pPr>
      <w:r w:rsidRPr="00E5087D">
        <w:rPr>
          <w:noProof/>
        </w:rPr>
        <w:drawing>
          <wp:inline distT="0" distB="0" distL="0" distR="0" wp14:anchorId="3ACBE3B9" wp14:editId="7DB991F1">
            <wp:extent cx="5731510" cy="2724150"/>
            <wp:effectExtent l="0" t="0" r="2540" b="0"/>
            <wp:docPr id="1341085121" name="Graphic 1341085121" descr="This figure represents the percentages of In-training apprentices to total employment by industry based on ABS Census of Population and Housing, 2021 data. It shows that Air Conditioning and Heating Services had the highest proportion followed by Electrical Servi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85121" name="Graphic 1341085121" descr="This figure represents the percentages of In-training apprentices to total employment by industry based on ABS Census of Population and Housing, 2021 data. It shows that Air Conditioning and Heating Services had the highest proportion followed by Electrical Services. &#10;"/>
                    <pic:cNvPicPr/>
                  </pic:nvPicPr>
                  <pic:blipFill>
                    <a:blip r:embed="rId231">
                      <a:extLst>
                        <a:ext uri="{96DAC541-7B7A-43D3-8B79-37D633B846F1}">
                          <asvg:svgBlip xmlns:asvg="http://schemas.microsoft.com/office/drawing/2016/SVG/main" r:embed="rId232"/>
                        </a:ext>
                      </a:extLst>
                    </a:blip>
                    <a:stretch>
                      <a:fillRect/>
                    </a:stretch>
                  </pic:blipFill>
                  <pic:spPr>
                    <a:xfrm>
                      <a:off x="0" y="0"/>
                      <a:ext cx="5731510" cy="2724150"/>
                    </a:xfrm>
                    <a:prstGeom prst="rect">
                      <a:avLst/>
                    </a:prstGeom>
                  </pic:spPr>
                </pic:pic>
              </a:graphicData>
            </a:graphic>
          </wp:inline>
        </w:drawing>
      </w:r>
    </w:p>
    <w:p w14:paraId="5B2F9FFE" w14:textId="77777777" w:rsidR="00E13239" w:rsidRPr="00E5087D" w:rsidRDefault="00E13239" w:rsidP="00E13239">
      <w:pPr>
        <w:spacing w:after="120" w:line="276" w:lineRule="auto"/>
        <w:rPr>
          <w:rFonts w:eastAsia="Arial" w:cs="Arial"/>
          <w:sz w:val="18"/>
          <w:szCs w:val="18"/>
          <w14:numForm w14:val="lining"/>
          <w14:numSpacing w14:val="proportional"/>
        </w:rPr>
      </w:pPr>
      <w:r w:rsidRPr="00E5087D">
        <w:rPr>
          <w:rFonts w:eastAsia="Arial" w:cs="Arial"/>
          <w:sz w:val="18"/>
          <w:szCs w:val="18"/>
          <w14:numForm w14:val="lining"/>
          <w14:numSpacing w14:val="proportional"/>
        </w:rPr>
        <w:t>Source: NCVER Apprentices and trainees July-September 2021; ABS Census of Population and Housing, 2021</w:t>
      </w:r>
    </w:p>
    <w:p w14:paraId="4DF54E83" w14:textId="2EA8E657" w:rsidR="00304D92" w:rsidRDefault="00E13239" w:rsidP="00747ECE">
      <w:pPr>
        <w:spacing w:before="240" w:after="120" w:line="276" w:lineRule="auto"/>
        <w:rPr>
          <w:rFonts w:eastAsia="Arial" w:cs="Arial"/>
          <w14:numForm w14:val="lining"/>
          <w14:numSpacing w14:val="proportional"/>
        </w:rPr>
      </w:pPr>
      <w:r w:rsidRPr="00E5087D">
        <w:rPr>
          <w:rFonts w:eastAsia="Arial" w:cs="Arial"/>
          <w14:numForm w14:val="lining"/>
          <w14:numSpacing w14:val="proportional"/>
        </w:rPr>
        <w:t>Firms can choose to invest in the longer-term development of their workforce. The three publicly-owned electricity firms in Queensland – Energex, Ergon and Powerlink – have commit</w:t>
      </w:r>
      <w:r w:rsidR="48AE7172" w:rsidRPr="00E5087D">
        <w:rPr>
          <w:rFonts w:eastAsia="Arial" w:cs="Arial"/>
          <w14:numForm w14:val="lining"/>
          <w14:numSpacing w14:val="proportional"/>
        </w:rPr>
        <w:t>ments</w:t>
      </w:r>
      <w:r w:rsidRPr="00E5087D">
        <w:rPr>
          <w:rFonts w:eastAsia="Arial" w:cs="Arial"/>
          <w14:numForm w14:val="lining"/>
          <w14:numSpacing w14:val="proportional"/>
        </w:rPr>
        <w:t xml:space="preserve"> </w:t>
      </w:r>
      <w:r w:rsidR="70326D54" w:rsidRPr="00E5087D">
        <w:rPr>
          <w:rFonts w:eastAsia="Arial" w:cs="Arial"/>
          <w14:numForm w14:val="lining"/>
          <w14:numSpacing w14:val="proportional"/>
        </w:rPr>
        <w:t>included in</w:t>
      </w:r>
      <w:r w:rsidRPr="00E5087D">
        <w:rPr>
          <w:rFonts w:eastAsia="Arial" w:cs="Arial"/>
          <w14:numForm w14:val="lining"/>
          <w14:numSpacing w14:val="proportional"/>
        </w:rPr>
        <w:t xml:space="preserve"> enterprise agreements to establish a minimum number of at least 700 in-training apprentices at any one time. This commitment is enforceable through the Fair Work Commission. The</w:t>
      </w:r>
      <w:r w:rsidR="4BAC8466" w:rsidRPr="00E5087D">
        <w:rPr>
          <w:rFonts w:eastAsia="Arial" w:cs="Arial"/>
          <w14:numForm w14:val="lining"/>
          <w14:numSpacing w14:val="proportional"/>
        </w:rPr>
        <w:t>se</w:t>
      </w:r>
      <w:r w:rsidRPr="00E5087D">
        <w:rPr>
          <w:rFonts w:eastAsia="Arial" w:cs="Arial"/>
          <w14:numForm w14:val="lining"/>
          <w14:numSpacing w14:val="proportional"/>
        </w:rPr>
        <w:t xml:space="preserve"> entities have also committed to increasing that number by 10% a year for the next ten years. In contrast, the study heard of other transmission agencies that in recent years have not had any apprentices in training, opting instead to rely on migrant labour.</w:t>
      </w:r>
      <w:r w:rsidR="00304D92">
        <w:rPr>
          <w:rFonts w:eastAsia="Arial" w:cs="Arial"/>
          <w14:numForm w14:val="lining"/>
          <w14:numSpacing w14:val="proportional"/>
        </w:rPr>
        <w:br w:type="page"/>
      </w:r>
    </w:p>
    <w:p w14:paraId="5ED7519E" w14:textId="34132D58" w:rsidR="00EF3F42" w:rsidRDefault="00EF3F42" w:rsidP="00B61664">
      <w:pPr>
        <w:spacing w:after="120" w:line="276" w:lineRule="auto"/>
        <w:rPr>
          <w:rFonts w:eastAsia="Arial" w:cs="Arial"/>
          <w14:numForm w14:val="lining"/>
          <w14:numSpacing w14:val="proportional"/>
        </w:rPr>
      </w:pPr>
      <w:r w:rsidRPr="00EF3F42">
        <w:rPr>
          <w:rFonts w:eastAsia="Arial" w:cs="Arial"/>
          <w14:numForm w14:val="lining"/>
          <w14:numSpacing w14:val="proportional"/>
        </w:rPr>
        <w:t>Implementing such a hard mechanism across the entire energy sector and related industries is unlikely to be feasible or desirable in the short-term. However, providing more visibility on the variable investment firms are making in apprenticeship training would be a worthwhile next step. Improving reporting, accountability and transparency by publishing apprenticeship commencement and completion numbers was outlines as one of the six priority reform areas of the ILO’s ‘A framework for quality apprenticeships’ report.</w:t>
      </w:r>
    </w:p>
    <w:p w14:paraId="6931B3D4" w14:textId="4951B69C" w:rsidR="003E5180" w:rsidRDefault="003E5180" w:rsidP="00304D92">
      <w:pPr>
        <w:spacing w:after="240" w:line="276" w:lineRule="auto"/>
        <w:rPr>
          <w:rFonts w:eastAsia="Arial" w:cs="Arial"/>
          <w14:numForm w14:val="lining"/>
          <w14:numSpacing w14:val="proportional"/>
        </w:rPr>
      </w:pPr>
      <w:r w:rsidRPr="003E5180">
        <w:rPr>
          <w:rFonts w:eastAsia="Arial" w:cs="Arial"/>
          <w14:numForm w14:val="lining"/>
          <w14:numSpacing w14:val="proportional"/>
        </w:rPr>
        <w:t xml:space="preserve">Improving reporting, accountability and transparency by publishing apprenticeship commencement and completion numbers was outlined as one of six priority reform areas of the ILO's </w:t>
      </w:r>
      <w:r w:rsidRPr="3E880473">
        <w:rPr>
          <w:rFonts w:eastAsia="Arial" w:cs="Arial"/>
          <w:i/>
          <w:iCs/>
          <w14:numForm w14:val="lining"/>
          <w14:numSpacing w14:val="proportional"/>
        </w:rPr>
        <w:t>A framework for quality apprenticeships</w:t>
      </w:r>
      <w:r w:rsidRPr="003E5180">
        <w:rPr>
          <w:rFonts w:eastAsia="Arial" w:cs="Arial"/>
          <w14:numForm w14:val="lining"/>
          <w14:numSpacing w14:val="proportional"/>
        </w:rPr>
        <w:t xml:space="preserve"> report.</w:t>
      </w:r>
      <w:r>
        <w:rPr>
          <w:rStyle w:val="EndnoteReference"/>
          <w:rFonts w:eastAsia="Arial" w:cs="Arial"/>
          <w14:numForm w14:val="lining"/>
          <w14:numSpacing w14:val="proportional"/>
        </w:rPr>
        <w:endnoteReference w:id="218"/>
      </w:r>
    </w:p>
    <w:p w14:paraId="276A3D3F" w14:textId="4031037F" w:rsidR="00000A8F" w:rsidRPr="006E07A7" w:rsidRDefault="00000A8F" w:rsidP="00000A8F">
      <w:pPr>
        <w:spacing w:before="36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0" behindDoc="1" locked="0" layoutInCell="1" allowOverlap="1" wp14:anchorId="6552A680" wp14:editId="6C893F67">
                <wp:simplePos x="0" y="0"/>
                <wp:positionH relativeFrom="column">
                  <wp:posOffset>0</wp:posOffset>
                </wp:positionH>
                <wp:positionV relativeFrom="paragraph">
                  <wp:posOffset>27711</wp:posOffset>
                </wp:positionV>
                <wp:extent cx="5731510" cy="1221698"/>
                <wp:effectExtent l="0" t="0" r="21590" b="17145"/>
                <wp:wrapNone/>
                <wp:docPr id="612265835" name="Group 6122658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221698"/>
                          <a:chOff x="0" y="0"/>
                          <a:chExt cx="5880735" cy="1254604"/>
                        </a:xfrm>
                      </wpg:grpSpPr>
                      <wps:wsp>
                        <wps:cNvPr id="612265836" name="Rectangle: Top Corners Rounded 612265836"/>
                        <wps:cNvSpPr/>
                        <wps:spPr>
                          <a:xfrm>
                            <a:off x="0" y="0"/>
                            <a:ext cx="1752500"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CD5D84" w14:textId="62E905B0"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37" name="Rectangle 612265837"/>
                        <wps:cNvSpPr/>
                        <wps:spPr>
                          <a:xfrm>
                            <a:off x="0" y="230202"/>
                            <a:ext cx="5880735" cy="102440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57E2E" w14:textId="2465E71E"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552A680" id="Group 612265835" o:spid="_x0000_s1224" alt="&quot;&quot;" style="position:absolute;left:0;text-align:left;margin-left:0;margin-top:2.2pt;width:451.3pt;height:96.2pt;z-index:-251658150;mso-position-horizontal-relative:text;mso-position-vertical-relative:text;mso-height-relative:margin" coordsize="58807,1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">
                <v:shape id="Rectangle: Top Corners Rounded 612265836" o:spid="_x0000_s1225" style="position:absolute;width:17525;height:2327;visibility:visible;mso-wrap-style:square;v-text-anchor:middle" coordsize="1752500,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" adj="-11796480,,5400" path="m38799,l1713701,v21428,,38799,17371,38799,38799l1752500,232791r,l,232791r,l,38799c,17371,17371,,38799,xe" fillcolor="#e0d1f5 [660]" strokecolor="#e0d1f5 [660]" strokeweight="1pt">
                  <v:stroke joinstyle="miter"/>
                  <v:formulas/>
                  <v:path arrowok="t" o:connecttype="custom" o:connectlocs="38799,0;1713701,0;1752500,38799;1752500,232791;1752500,232791;0,232791;0,232791;0,38799;38799,0" o:connectangles="0,0,0,0,0,0,0,0,0" textboxrect="0,0,1752500,232791"/>
                  <v:textbox inset=",0,,0">
                    <w:txbxContent>
                      <w:p w14:paraId="65CD5D84" w14:textId="62E905B0" w:rsidR="00E13239" w:rsidRPr="006E07A7" w:rsidRDefault="00E13239" w:rsidP="00E13239">
                        <w:pPr>
                          <w:spacing w:after="0" w:line="240" w:lineRule="auto"/>
                          <w:rPr>
                            <w:b/>
                            <w:bCs/>
                            <w14:numForm w14:val="lining"/>
                            <w14:numSpacing w14:val="proportional"/>
                          </w:rPr>
                        </w:pPr>
                      </w:p>
                    </w:txbxContent>
                  </v:textbox>
                </v:shape>
                <v:rect id="Rectangle 612265837" o:spid="_x0000_s1226" style="position:absolute;top:2302;width:58807;height:10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" fillcolor="#f2f2f2" strokecolor="#e0d1f5 [660]" strokeweight="1pt">
                  <v:textbox inset="2mm,1mm,2mm,1mm">
                    <w:txbxContent>
                      <w:p w14:paraId="3FB57E2E" w14:textId="2465E71E"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Recommendation</w:t>
      </w:r>
      <w:r>
        <w:rPr>
          <w:b/>
          <w:bCs/>
          <w14:numForm w14:val="lining"/>
          <w14:numSpacing w14:val="proportional"/>
        </w:rPr>
        <w:t xml:space="preserve"> 8.8</w:t>
      </w:r>
    </w:p>
    <w:p w14:paraId="74602A7C" w14:textId="4386B851" w:rsidR="00000A8F" w:rsidRPr="00290C33" w:rsidRDefault="00000A8F" w:rsidP="00747ECE">
      <w:pPr>
        <w:spacing w:after="360" w:line="240" w:lineRule="auto"/>
        <w:ind w:left="170" w:right="113"/>
        <w:rPr>
          <w:rFonts w:eastAsia="Calibri" w:cs="Times New Roman"/>
          <w:color w:val="000000"/>
          <w14:ligatures w14:val="standardContextual"/>
        </w:rPr>
      </w:pPr>
      <w:r w:rsidRPr="000B6B3D">
        <w:rPr>
          <w:rFonts w:eastAsia="Arial" w:cs="Arial"/>
        </w:rPr>
        <w:t xml:space="preserve">Consider establishing a reporting mechanism for large firms to publicly report their apprenticeship numbers (and ratio of apprentices to total employees). Such a scheme would perform a similar function to gender reporting by the Workplace Gender Equality Agency or the Safeguard Mechanism but would ideally draw on data already collected by agencies like </w:t>
      </w:r>
      <w:r>
        <w:rPr>
          <w:rFonts w:eastAsia="Arial" w:cs="Arial"/>
        </w:rPr>
        <w:t xml:space="preserve">the </w:t>
      </w:r>
      <w:r w:rsidRPr="000B6B3D">
        <w:rPr>
          <w:rFonts w:eastAsia="Arial" w:cs="Arial"/>
        </w:rPr>
        <w:t>NCVER.</w:t>
      </w:r>
    </w:p>
    <w:p w14:paraId="564B34C2" w14:textId="21E04CAC" w:rsidR="00480871" w:rsidRPr="006E07A7" w:rsidRDefault="00480871" w:rsidP="00480871">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1" behindDoc="1" locked="0" layoutInCell="1" allowOverlap="1" wp14:anchorId="24872BF5" wp14:editId="5DA16DC4">
                <wp:simplePos x="0" y="0"/>
                <wp:positionH relativeFrom="column">
                  <wp:posOffset>0</wp:posOffset>
                </wp:positionH>
                <wp:positionV relativeFrom="paragraph">
                  <wp:posOffset>56320</wp:posOffset>
                </wp:positionV>
                <wp:extent cx="5731512" cy="921895"/>
                <wp:effectExtent l="0" t="0" r="21590" b="12065"/>
                <wp:wrapNone/>
                <wp:docPr id="612265838" name="Group 6122658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2" cy="921895"/>
                          <a:chOff x="-2" y="0"/>
                          <a:chExt cx="5880737" cy="946725"/>
                        </a:xfrm>
                      </wpg:grpSpPr>
                      <wps:wsp>
                        <wps:cNvPr id="612265839" name="Rectangle: Top Corners Rounded 612265839"/>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386DAD" w14:textId="78D674C9"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40" name="Rectangle 612265840"/>
                        <wps:cNvSpPr/>
                        <wps:spPr>
                          <a:xfrm>
                            <a:off x="0" y="229939"/>
                            <a:ext cx="5880735" cy="716786"/>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A411E5" w14:textId="49045479"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4872BF5" id="Group 612265838" o:spid="_x0000_s1227" alt="&quot;&quot;" style="position:absolute;left:0;text-align:left;margin-left:0;margin-top:4.45pt;width:451.3pt;height:72.6pt;z-index:-251658149;mso-position-horizontal-relative:text;mso-position-vertical-relative:text;mso-height-relative:margin" coordorigin="" coordsize="58807,9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">
                <v:shape id="Rectangle: Top Corners Rounded 612265839" o:spid="_x0000_s1228"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67386DAD" w14:textId="78D674C9" w:rsidR="00E13239" w:rsidRPr="006E07A7" w:rsidRDefault="00E13239" w:rsidP="00E13239">
                        <w:pPr>
                          <w:spacing w:after="0" w:line="240" w:lineRule="auto"/>
                          <w:rPr>
                            <w:b/>
                            <w:bCs/>
                            <w14:numForm w14:val="lining"/>
                            <w14:numSpacing w14:val="proportional"/>
                          </w:rPr>
                        </w:pPr>
                      </w:p>
                    </w:txbxContent>
                  </v:textbox>
                </v:shape>
                <v:rect id="Rectangle 612265840" o:spid="_x0000_s1229" style="position:absolute;top:2299;width:58807;height:7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" fillcolor="#f2f2f2" strokecolor="#e0d1f5 [660]" strokeweight="1pt">
                  <v:textbox inset="2mm,1mm,2mm,1mm">
                    <w:txbxContent>
                      <w:p w14:paraId="40A411E5" w14:textId="49045479"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8.9</w:t>
      </w:r>
    </w:p>
    <w:p w14:paraId="4629705C" w14:textId="21F93C3A" w:rsidR="00480871" w:rsidRPr="00290C33" w:rsidRDefault="00480871" w:rsidP="00480871">
      <w:pPr>
        <w:spacing w:after="0" w:line="240" w:lineRule="auto"/>
        <w:ind w:left="170" w:right="113"/>
        <w:rPr>
          <w:rFonts w:eastAsia="Calibri" w:cs="Times New Roman"/>
          <w:color w:val="000000"/>
          <w14:ligatures w14:val="standardContextual"/>
        </w:rPr>
      </w:pPr>
      <w:r>
        <w:rPr>
          <w:rFonts w:eastAsia="Arial" w:cs="Arial"/>
        </w:rPr>
        <w:t>Continue to sponsor and promote reporting on apprenticeship training and completion rates by industry and employer size, to inform strategies to increase rates where appropriate.</w:t>
      </w:r>
    </w:p>
    <w:p w14:paraId="169CB6E0" w14:textId="174317AD" w:rsidR="000E1111" w:rsidRDefault="00E13239" w:rsidP="00747ECE">
      <w:pPr>
        <w:spacing w:before="480" w:after="120" w:line="276" w:lineRule="auto"/>
        <w:rPr>
          <w:rFonts w:eastAsia="Arial" w:cs="Arial"/>
          <w14:numForm w14:val="lining"/>
          <w14:numSpacing w14:val="proportional"/>
        </w:rPr>
      </w:pPr>
      <w:r w:rsidRPr="00E5087D">
        <w:rPr>
          <w:rFonts w:eastAsia="Arial" w:cs="Arial"/>
          <w14:numForm w14:val="lining"/>
          <w14:numSpacing w14:val="proportional"/>
        </w:rPr>
        <w:t xml:space="preserve">One means of stimulating a training culture, and sustainable workplace conditions more broadly, is leveraging the influence of government procurement and financing. This can be done to set standards regarding apprenticeship uptake, workplace gender equality, and secure employment. This is </w:t>
      </w:r>
      <w:r w:rsidR="000F2759">
        <w:rPr>
          <w:rFonts w:eastAsia="Arial" w:cs="Arial"/>
          <w14:numForm w14:val="lining"/>
          <w14:numSpacing w14:val="proportional"/>
        </w:rPr>
        <w:t>consistent with</w:t>
      </w:r>
      <w:r w:rsidRPr="00E5087D">
        <w:rPr>
          <w:rFonts w:eastAsia="Arial" w:cs="Arial"/>
          <w14:numForm w14:val="lining"/>
          <w14:numSpacing w14:val="proportional"/>
        </w:rPr>
        <w:t xml:space="preserve"> the Australian Skills Guarantee, which will introduce new national targets to ensure one in 10 workers on Australian Government funded major projects is an apprentice, trainee or paid cadet. The </w:t>
      </w:r>
      <w:r w:rsidR="4B0385CB" w:rsidRPr="00E5087D">
        <w:rPr>
          <w:rFonts w:eastAsia="Arial" w:cs="Arial"/>
          <w14:numForm w14:val="lining"/>
          <w14:numSpacing w14:val="proportional"/>
        </w:rPr>
        <w:t xml:space="preserve">Australian </w:t>
      </w:r>
      <w:r w:rsidRPr="00E5087D">
        <w:rPr>
          <w:rFonts w:eastAsia="Arial" w:cs="Arial"/>
          <w14:numForm w14:val="lining"/>
          <w14:numSpacing w14:val="proportional"/>
        </w:rPr>
        <w:t xml:space="preserve">Skills Guarantee will also introduce national targets for women to increase the proportion of women working on major projects and drive long term sustainable change to reduce gender segregation in the apprenticeship system. </w:t>
      </w:r>
    </w:p>
    <w:p w14:paraId="2AA89E7D" w14:textId="04FA3011" w:rsidR="00E13239" w:rsidRDefault="00600743" w:rsidP="000E1111">
      <w:pPr>
        <w:spacing w:before="120" w:after="240" w:line="276" w:lineRule="auto"/>
        <w:rPr>
          <w:rFonts w:eastAsia="Arial" w:cs="Arial"/>
          <w14:numForm w14:val="lining"/>
          <w14:numSpacing w14:val="proportional"/>
        </w:rPr>
      </w:pPr>
      <w:r>
        <w:rPr>
          <w:rFonts w:eastAsia="Arial" w:cs="Arial"/>
          <w14:numForm w14:val="lining"/>
          <w14:numSpacing w14:val="proportional"/>
        </w:rPr>
        <w:t>Consideration could also be given to past performance of training activity, inclusive employment, and completions in the assessment of procurements and</w:t>
      </w:r>
      <w:r w:rsidR="000F2759">
        <w:rPr>
          <w:rFonts w:eastAsia="Arial" w:cs="Arial"/>
          <w14:numForm w14:val="lining"/>
          <w14:numSpacing w14:val="proportional"/>
        </w:rPr>
        <w:t xml:space="preserve"> grants</w:t>
      </w:r>
      <w:r>
        <w:rPr>
          <w:rFonts w:eastAsia="Arial" w:cs="Arial"/>
          <w14:numForm w14:val="lining"/>
          <w14:numSpacing w14:val="proportional"/>
        </w:rPr>
        <w:t xml:space="preserve">. This </w:t>
      </w:r>
      <w:r w:rsidR="000F6013">
        <w:rPr>
          <w:rFonts w:eastAsia="Arial" w:cs="Arial"/>
          <w14:numForm w14:val="lining"/>
          <w14:numSpacing w14:val="proportional"/>
        </w:rPr>
        <w:t>could</w:t>
      </w:r>
      <w:r>
        <w:rPr>
          <w:rFonts w:eastAsia="Arial" w:cs="Arial"/>
          <w14:numForm w14:val="lining"/>
          <w14:numSpacing w14:val="proportional"/>
        </w:rPr>
        <w:t xml:space="preserve"> help ensure that</w:t>
      </w:r>
      <w:r w:rsidR="0074679A">
        <w:rPr>
          <w:rFonts w:eastAsia="Arial" w:cs="Arial"/>
          <w14:numForm w14:val="lining"/>
          <w14:numSpacing w14:val="proportional"/>
        </w:rPr>
        <w:t xml:space="preserve"> </w:t>
      </w:r>
      <w:r>
        <w:rPr>
          <w:rFonts w:eastAsia="Arial" w:cs="Arial"/>
          <w14:numForm w14:val="lining"/>
          <w14:numSpacing w14:val="proportional"/>
        </w:rPr>
        <w:t>employers are committed to retaining and supporting apprentices through to completion</w:t>
      </w:r>
      <w:r w:rsidR="000F6013">
        <w:rPr>
          <w:rFonts w:eastAsia="Arial" w:cs="Arial"/>
          <w14:numForm w14:val="lining"/>
          <w14:numSpacing w14:val="proportional"/>
        </w:rPr>
        <w:t>, particularly on projects that are shorter than a full 4-year apprenticeship</w:t>
      </w:r>
      <w:r>
        <w:rPr>
          <w:rFonts w:eastAsia="Arial" w:cs="Arial"/>
          <w14:numForm w14:val="lining"/>
          <w14:numSpacing w14:val="proportional"/>
        </w:rPr>
        <w:t>.</w:t>
      </w:r>
    </w:p>
    <w:p w14:paraId="6FB30B7A" w14:textId="24D0FFB7" w:rsidR="00346D78" w:rsidRPr="006E07A7" w:rsidRDefault="00346D78" w:rsidP="00346D78">
      <w:pPr>
        <w:spacing w:before="48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2" behindDoc="1" locked="0" layoutInCell="1" allowOverlap="1" wp14:anchorId="5BA29A1D" wp14:editId="2D49C799">
                <wp:simplePos x="0" y="0"/>
                <wp:positionH relativeFrom="column">
                  <wp:posOffset>2</wp:posOffset>
                </wp:positionH>
                <wp:positionV relativeFrom="paragraph">
                  <wp:posOffset>110636</wp:posOffset>
                </wp:positionV>
                <wp:extent cx="5731510" cy="871855"/>
                <wp:effectExtent l="0" t="0" r="21590" b="23495"/>
                <wp:wrapNone/>
                <wp:docPr id="572856973" name="Group 572856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871855"/>
                          <a:chOff x="-2" y="0"/>
                          <a:chExt cx="5880737" cy="896081"/>
                        </a:xfrm>
                      </wpg:grpSpPr>
                      <wps:wsp>
                        <wps:cNvPr id="572856974" name="Rectangle: Top Corners Rounded 572856974"/>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DCCBC1" w14:textId="77777777" w:rsidR="00346D78" w:rsidRPr="006E07A7" w:rsidRDefault="00346D78" w:rsidP="00346D78">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75" name="Rectangle 572856975"/>
                        <wps:cNvSpPr/>
                        <wps:spPr>
                          <a:xfrm>
                            <a:off x="0" y="230116"/>
                            <a:ext cx="5880735" cy="665965"/>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1B3C8" w14:textId="77777777" w:rsidR="00346D78" w:rsidRPr="00290C33" w:rsidRDefault="00346D78" w:rsidP="00346D78">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BA29A1D" id="Group 572856973" o:spid="_x0000_s1230" alt="&quot;&quot;" style="position:absolute;left:0;text-align:left;margin-left:0;margin-top:8.7pt;width:451.3pt;height:68.65pt;z-index:-251658148;mso-position-horizontal-relative:text;mso-position-vertical-relative:text" coordorigin="" coordsize="58807,8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">
                <v:shape id="Rectangle: Top Corners Rounded 572856974" o:spid="_x0000_s1231"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78DCCBC1" w14:textId="77777777" w:rsidR="00346D78" w:rsidRPr="006E07A7" w:rsidRDefault="00346D78" w:rsidP="00346D78">
                        <w:pPr>
                          <w:spacing w:after="0" w:line="240" w:lineRule="auto"/>
                          <w:rPr>
                            <w:b/>
                            <w:bCs/>
                            <w14:numForm w14:val="lining"/>
                            <w14:numSpacing w14:val="proportional"/>
                          </w:rPr>
                        </w:pPr>
                      </w:p>
                    </w:txbxContent>
                  </v:textbox>
                </v:shape>
                <v:rect id="Rectangle 572856975" o:spid="_x0000_s1232" style="position:absolute;top:2301;width:58807;height:6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" fillcolor="#f2f2f2" strokecolor="#e0d1f5 [660]" strokeweight="1pt">
                  <v:textbox inset="2mm,1mm,2mm,1mm">
                    <w:txbxContent>
                      <w:p w14:paraId="4981B3C8" w14:textId="77777777" w:rsidR="00346D78" w:rsidRPr="00290C33" w:rsidRDefault="00346D78" w:rsidP="00346D78">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8.10</w:t>
      </w:r>
    </w:p>
    <w:p w14:paraId="44A7AA24" w14:textId="2CC9BBAE" w:rsidR="00E13239" w:rsidRPr="00747ECE" w:rsidRDefault="00346D78" w:rsidP="00747ECE">
      <w:pPr>
        <w:spacing w:after="840" w:line="240" w:lineRule="auto"/>
        <w:ind w:left="170" w:right="113"/>
        <w:rPr>
          <w:rFonts w:eastAsia="Calibri" w:cs="Times New Roman"/>
          <w:color w:val="000000"/>
          <w14:ligatures w14:val="standardContextual"/>
        </w:rPr>
      </w:pPr>
      <w:r w:rsidRPr="0098510C">
        <w:rPr>
          <w:rFonts w:eastAsia="Arial" w:cs="Arial"/>
        </w:rPr>
        <w:t>Explore options to expand the Australian Skills Guarantee to energy generation and transmissions projects. Consideration should also be given to state and territory funded projects</w:t>
      </w:r>
      <w:r>
        <w:rPr>
          <w:rFonts w:eastAsia="Arial" w:cs="Arial"/>
        </w:rPr>
        <w:t xml:space="preserve"> that are not already covered by existing mandated targets.</w:t>
      </w:r>
    </w:p>
    <w:p w14:paraId="7EA426DD" w14:textId="56D1C7B0" w:rsidR="00E13239" w:rsidRPr="00E5087D" w:rsidRDefault="00E13239" w:rsidP="00A14813">
      <w:pPr>
        <w:spacing w:before="240" w:after="120" w:line="276" w:lineRule="auto"/>
        <w:rPr>
          <w:rFonts w:eastAsia="Arial" w:cs="Arial"/>
          <w14:numForm w14:val="lining"/>
          <w14:numSpacing w14:val="proportional"/>
        </w:rPr>
      </w:pPr>
      <w:r w:rsidRPr="00E5087D">
        <w:rPr>
          <w:rFonts w:eastAsia="Arial" w:cs="Arial"/>
          <w14:numForm w14:val="lining"/>
          <w14:numSpacing w14:val="proportional"/>
        </w:rPr>
        <w:t xml:space="preserve">Similar initiatives introduced at state </w:t>
      </w:r>
      <w:r w:rsidR="00515193">
        <w:rPr>
          <w:rFonts w:eastAsia="Arial" w:cs="Arial"/>
          <w14:numForm w14:val="lining"/>
          <w14:numSpacing w14:val="proportional"/>
        </w:rPr>
        <w:t xml:space="preserve">and territory </w:t>
      </w:r>
      <w:r w:rsidRPr="00E5087D">
        <w:rPr>
          <w:rFonts w:eastAsia="Arial" w:cs="Arial"/>
          <w14:numForm w14:val="lining"/>
          <w14:numSpacing w14:val="proportional"/>
        </w:rPr>
        <w:t xml:space="preserve">level have </w:t>
      </w:r>
      <w:r w:rsidR="00515193">
        <w:rPr>
          <w:rFonts w:eastAsia="Arial" w:cs="Arial"/>
          <w14:numForm w14:val="lining"/>
          <w14:numSpacing w14:val="proportional"/>
        </w:rPr>
        <w:t>been successful</w:t>
      </w:r>
      <w:r w:rsidRPr="00E5087D">
        <w:rPr>
          <w:rFonts w:eastAsia="Arial" w:cs="Arial"/>
          <w14:numForm w14:val="lining"/>
          <w14:numSpacing w14:val="proportional"/>
        </w:rPr>
        <w:t xml:space="preserve">. For example, the Infrastructure Skills Legacy Program </w:t>
      </w:r>
      <w:r w:rsidR="002D6A21">
        <w:rPr>
          <w:rFonts w:eastAsia="Arial" w:cs="Arial"/>
          <w14:numForm w14:val="lining"/>
          <w14:numSpacing w14:val="proportional"/>
        </w:rPr>
        <w:t>(</w:t>
      </w:r>
      <w:r w:rsidR="002D6A21" w:rsidRPr="002D6A21">
        <w:rPr>
          <w:rFonts w:eastAsia="Arial" w:cs="Arial"/>
          <w14:numForm w14:val="lining"/>
          <w14:numSpacing w14:val="proportional"/>
        </w:rPr>
        <w:t>ISLP</w:t>
      </w:r>
      <w:r w:rsidR="002D6A21">
        <w:rPr>
          <w:rFonts w:eastAsia="Arial" w:cs="Arial"/>
          <w14:numForm w14:val="lining"/>
          <w14:numSpacing w14:val="proportional"/>
        </w:rPr>
        <w:t>)</w:t>
      </w:r>
      <w:r w:rsidR="002D6A21" w:rsidRPr="002D6A21">
        <w:rPr>
          <w:rFonts w:eastAsia="Arial" w:cs="Arial"/>
          <w14:numForm w14:val="lining"/>
          <w14:numSpacing w14:val="proportional"/>
        </w:rPr>
        <w:t xml:space="preserve"> </w:t>
      </w:r>
      <w:r w:rsidRPr="00E5087D">
        <w:rPr>
          <w:rFonts w:eastAsia="Arial" w:cs="Arial"/>
          <w14:numForm w14:val="lining"/>
          <w14:numSpacing w14:val="proportional"/>
        </w:rPr>
        <w:t xml:space="preserve">introduced by the NSW Government </w:t>
      </w:r>
      <w:r w:rsidR="00515193">
        <w:rPr>
          <w:rFonts w:eastAsia="Arial" w:cs="Arial"/>
          <w14:numForm w14:val="lining"/>
          <w14:numSpacing w14:val="proportional"/>
        </w:rPr>
        <w:t>included</w:t>
      </w:r>
      <w:r w:rsidRPr="00E5087D">
        <w:rPr>
          <w:rFonts w:eastAsia="Arial" w:cs="Arial"/>
          <w14:numForm w14:val="lining"/>
          <w14:numSpacing w14:val="proportional"/>
        </w:rPr>
        <w:t xml:space="preserve"> targets for First Nations employment as well as local employment, alongside apprenticeship targets. The importance of providing opportunities for First Nations employment and engaging local workforces has been raised by multiple stakeholders.</w:t>
      </w:r>
    </w:p>
    <w:p w14:paraId="7A73EBCF" w14:textId="552F0B7C"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Targets are likely to have the most impact if they are core components of tenders for additional renewable energy capacity being managed through entities such as Energy Co (NSW), the State Electricity Corporation (Victoria), and Clean Co (Queensland). The same applies to tenders for transmission infrastructure upgrades. Under Victoria’s Major Projects Skills Guarantee, projects valued over $20m must use utilise Victorian registered apprentices, trainees or cadets for at least 10</w:t>
      </w:r>
      <w:r w:rsidR="00CE1473">
        <w:rPr>
          <w:rFonts w:eastAsia="Arial" w:cs="Arial"/>
          <w14:numForm w14:val="lining"/>
          <w14:numSpacing w14:val="proportional"/>
        </w:rPr>
        <w:t>%</w:t>
      </w:r>
      <w:r w:rsidRPr="00E5087D">
        <w:rPr>
          <w:rFonts w:eastAsia="Arial" w:cs="Arial"/>
          <w14:numForm w14:val="lining"/>
          <w14:numSpacing w14:val="proportional"/>
        </w:rPr>
        <w:t xml:space="preserve"> of the total estimated labour hours. </w:t>
      </w:r>
    </w:p>
    <w:p w14:paraId="12408AD2" w14:textId="3E3446C6" w:rsidR="00E13239" w:rsidRPr="00E5087D" w:rsidRDefault="00E13239" w:rsidP="00E9763B">
      <w:pPr>
        <w:spacing w:after="120" w:line="276" w:lineRule="auto"/>
        <w:rPr>
          <w:rFonts w:eastAsia="Arial" w:cs="Arial"/>
          <w14:numForm w14:val="lining"/>
          <w14:numSpacing w14:val="proportional"/>
        </w:rPr>
      </w:pPr>
      <w:r w:rsidRPr="00E5087D">
        <w:rPr>
          <w:rFonts w:eastAsia="Arial" w:cs="Arial"/>
          <w14:numForm w14:val="lining"/>
          <w14:numSpacing w14:val="proportional"/>
        </w:rPr>
        <w:t>As the NSW experience with ISLP demonstrates</w:t>
      </w:r>
      <w:r w:rsidR="00584602">
        <w:rPr>
          <w:rFonts w:eastAsia="Arial" w:cs="Arial"/>
          <w14:numForm w14:val="lining"/>
          <w14:numSpacing w14:val="proportional"/>
        </w:rPr>
        <w:t>,</w:t>
      </w:r>
      <w:r w:rsidRPr="00E5087D">
        <w:rPr>
          <w:rFonts w:eastAsia="Arial" w:cs="Arial"/>
          <w14:numForm w14:val="lining"/>
          <w14:numSpacing w14:val="proportional"/>
        </w:rPr>
        <w:t xml:space="preserve"> head contractors will be better placed to meet targets if there are supporting programs</w:t>
      </w:r>
      <w:r w:rsidR="01663DA6" w:rsidRPr="00E5087D">
        <w:rPr>
          <w:rFonts w:eastAsia="Arial" w:cs="Arial"/>
          <w14:numForm w14:val="lining"/>
          <w14:numSpacing w14:val="proportional"/>
        </w:rPr>
        <w:t xml:space="preserve"> in place</w:t>
      </w:r>
      <w:r w:rsidRPr="00E5087D">
        <w:rPr>
          <w:rFonts w:eastAsia="Arial" w:cs="Arial"/>
          <w14:numForm w14:val="lining"/>
          <w14:numSpacing w14:val="proportional"/>
        </w:rPr>
        <w:t xml:space="preserve"> – this is not a case for ‘set and forget’. Government can assist with this process by providing more certainty over the pipeline of projects, playing an active role in brokering relationships between the head EP</w:t>
      </w:r>
      <w:r w:rsidR="000C5C56">
        <w:rPr>
          <w:rFonts w:eastAsia="Arial" w:cs="Arial"/>
          <w14:numForm w14:val="lining"/>
          <w14:numSpacing w14:val="proportional"/>
        </w:rPr>
        <w:t>C</w:t>
      </w:r>
      <w:r w:rsidRPr="00E5087D">
        <w:rPr>
          <w:rFonts w:eastAsia="Arial" w:cs="Arial"/>
          <w14:numForm w14:val="lining"/>
          <w14:numSpacing w14:val="proportional"/>
        </w:rPr>
        <w:t xml:space="preserve"> contractor, subcontractors and local institutions (such as local governments and land councils, TAFEs and other training providers, schools, employment services agencies, </w:t>
      </w:r>
      <w:r w:rsidR="00F351CD">
        <w:rPr>
          <w:rFonts w:cs="Arial"/>
          <w14:numForm w14:val="lining"/>
          <w14:numSpacing w14:val="proportional"/>
        </w:rPr>
        <w:t>GTO</w:t>
      </w:r>
      <w:r w:rsidRPr="00E5087D">
        <w:rPr>
          <w:rFonts w:eastAsia="Arial" w:cs="Arial"/>
          <w14:numForm w14:val="lining"/>
          <w14:numSpacing w14:val="proportional"/>
        </w:rPr>
        <w:t>s and community groups). In NSW, the Electricity Industry Jobs Advocate was established to advise on strategies and incentives to encourage investment, development, workforce development, with an explicit regional focus.</w:t>
      </w:r>
      <w:r w:rsidRPr="00E5087D">
        <w:rPr>
          <w:rStyle w:val="EndnoteReference"/>
          <w:rFonts w:eastAsia="Arial" w:cs="Arial"/>
          <w14:numForm w14:val="lining"/>
          <w14:numSpacing w14:val="proportional"/>
        </w:rPr>
        <w:endnoteReference w:id="219"/>
      </w:r>
    </w:p>
    <w:p w14:paraId="511A63DE" w14:textId="758A8433" w:rsidR="00E13239" w:rsidRDefault="00E13239" w:rsidP="00A96354">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Maintaining standards across the value chain when subcontracting is widespread is a challenge in clean energy as in many other sectors. </w:t>
      </w:r>
      <w:r w:rsidR="00D41018">
        <w:rPr>
          <w:rFonts w:eastAsia="Arial" w:cs="Arial"/>
          <w14:numForm w14:val="lining"/>
          <w14:numSpacing w14:val="proportional"/>
        </w:rPr>
        <w:t>U</w:t>
      </w:r>
      <w:r w:rsidRPr="00E5087D">
        <w:rPr>
          <w:rFonts w:eastAsia="Arial" w:cs="Arial"/>
          <w14:numForm w14:val="lining"/>
          <w14:numSpacing w14:val="proportional"/>
        </w:rPr>
        <w:t xml:space="preserve">nions </w:t>
      </w:r>
      <w:r w:rsidR="00D41018">
        <w:rPr>
          <w:rFonts w:eastAsia="Arial" w:cs="Arial"/>
          <w14:numForm w14:val="lining"/>
          <w14:numSpacing w14:val="proportional"/>
        </w:rPr>
        <w:t xml:space="preserve">have </w:t>
      </w:r>
      <w:r w:rsidRPr="00E5087D">
        <w:rPr>
          <w:rFonts w:eastAsia="Arial" w:cs="Arial"/>
          <w14:numForm w14:val="lining"/>
          <w14:numSpacing w14:val="proportional"/>
        </w:rPr>
        <w:t>suggest</w:t>
      </w:r>
      <w:r w:rsidR="00D41018">
        <w:rPr>
          <w:rFonts w:eastAsia="Arial" w:cs="Arial"/>
          <w14:numForm w14:val="lining"/>
          <w14:numSpacing w14:val="proportional"/>
        </w:rPr>
        <w:t>ed</w:t>
      </w:r>
      <w:r w:rsidRPr="00E5087D">
        <w:rPr>
          <w:rFonts w:eastAsia="Arial" w:cs="Arial"/>
          <w14:numForm w14:val="lining"/>
          <w14:numSpacing w14:val="proportional"/>
        </w:rPr>
        <w:t xml:space="preserve"> that established construction firms with union negotiated </w:t>
      </w:r>
      <w:r w:rsidR="0032465E" w:rsidRPr="0032465E">
        <w:rPr>
          <w:rFonts w:eastAsia="Arial" w:cs="Arial"/>
          <w14:numForm w14:val="lining"/>
          <w14:numSpacing w14:val="proportional"/>
        </w:rPr>
        <w:t>Enterprise Bargaining Agreements</w:t>
      </w:r>
      <w:r w:rsidR="0032465E">
        <w:rPr>
          <w:rStyle w:val="eop"/>
          <w:rFonts w:ascii="Calibri" w:hAnsi="Calibri" w:cs="Calibri"/>
          <w:color w:val="000000"/>
          <w:shd w:val="clear" w:color="auto" w:fill="FFFFFF"/>
        </w:rPr>
        <w:t> (</w:t>
      </w:r>
      <w:r w:rsidRPr="00E5087D">
        <w:rPr>
          <w:rFonts w:eastAsia="Arial" w:cs="Arial"/>
          <w14:numForm w14:val="lining"/>
          <w14:numSpacing w14:val="proportional"/>
        </w:rPr>
        <w:t>EBA</w:t>
      </w:r>
      <w:r w:rsidR="0032465E">
        <w:rPr>
          <w:rFonts w:eastAsia="Arial" w:cs="Arial"/>
          <w14:numForm w14:val="lining"/>
          <w14:numSpacing w14:val="proportional"/>
        </w:rPr>
        <w:t>)</w:t>
      </w:r>
      <w:r w:rsidRPr="00E5087D">
        <w:rPr>
          <w:rFonts w:eastAsia="Arial" w:cs="Arial"/>
          <w14:numForm w14:val="lining"/>
          <w14:numSpacing w14:val="proportional"/>
        </w:rPr>
        <w:t xml:space="preserve"> were involved in earlier clean energy construction projects but have not been successful in subsequent tenders. Visibility of subcontractor behaviour and enforcement of standards along the value chain is a further issue for governments issuing tenders to consider as part of their contracting arrangements.</w:t>
      </w:r>
    </w:p>
    <w:p w14:paraId="7AF1607C" w14:textId="4EEDC985" w:rsidR="006E422B" w:rsidRDefault="00A14813" w:rsidP="00A96354">
      <w:pPr>
        <w:spacing w:after="120" w:line="276" w:lineRule="auto"/>
      </w:pPr>
      <w:r>
        <w:rPr>
          <w:rFonts w:eastAsia="Arial" w:cs="Arial"/>
          <w14:numForm w14:val="lining"/>
          <w14:numSpacing w14:val="proportional"/>
        </w:rPr>
        <w:t xml:space="preserve">Governments can also </w:t>
      </w:r>
      <w:r w:rsidR="0007657F">
        <w:rPr>
          <w:rFonts w:eastAsia="Arial" w:cs="Arial"/>
          <w14:numForm w14:val="lining"/>
          <w14:numSpacing w14:val="proportional"/>
        </w:rPr>
        <w:t xml:space="preserve">boost the uptake of clean energy courses by tying rebates and incentives to </w:t>
      </w:r>
      <w:r w:rsidR="00614525">
        <w:rPr>
          <w:rFonts w:eastAsia="Arial" w:cs="Arial"/>
          <w14:numForm w14:val="lining"/>
          <w14:numSpacing w14:val="proportional"/>
        </w:rPr>
        <w:t>accreditation. Victoria has done this with its Solar Homes Program, w</w:t>
      </w:r>
      <w:r w:rsidR="75A17521">
        <w:rPr>
          <w:rFonts w:eastAsia="Arial" w:cs="Arial"/>
          <w14:numForm w14:val="lining"/>
          <w14:numSpacing w14:val="proportional"/>
        </w:rPr>
        <w:t>here</w:t>
      </w:r>
      <w:r w:rsidR="2BE95BE9">
        <w:rPr>
          <w:rFonts w:eastAsia="Arial" w:cs="Arial"/>
          <w14:numForm w14:val="lining"/>
          <w14:numSpacing w14:val="proportional"/>
        </w:rPr>
        <w:t xml:space="preserve"> </w:t>
      </w:r>
      <w:r w:rsidR="00614525">
        <w:rPr>
          <w:rFonts w:eastAsia="Arial" w:cs="Arial"/>
          <w14:numForm w14:val="lining"/>
          <w14:numSpacing w14:val="proportional"/>
        </w:rPr>
        <w:t>rebates</w:t>
      </w:r>
      <w:r w:rsidR="7D2D8B45">
        <w:rPr>
          <w:rFonts w:eastAsia="Arial" w:cs="Arial"/>
          <w14:numForm w14:val="lining"/>
          <w14:numSpacing w14:val="proportional"/>
        </w:rPr>
        <w:t xml:space="preserve"> </w:t>
      </w:r>
      <w:r w:rsidR="5E1838A9">
        <w:rPr>
          <w:rFonts w:eastAsia="Arial" w:cs="Arial"/>
          <w14:numForm w14:val="lining"/>
          <w14:numSpacing w14:val="proportional"/>
        </w:rPr>
        <w:t xml:space="preserve">are </w:t>
      </w:r>
      <w:r w:rsidR="7D2D8B45">
        <w:rPr>
          <w:rFonts w:eastAsia="Arial" w:cs="Arial"/>
          <w14:numForm w14:val="lining"/>
          <w14:numSpacing w14:val="proportional"/>
        </w:rPr>
        <w:t>only offered</w:t>
      </w:r>
      <w:r w:rsidR="00614525">
        <w:rPr>
          <w:rFonts w:eastAsia="Arial" w:cs="Arial"/>
          <w14:numForm w14:val="lining"/>
          <w14:numSpacing w14:val="proportional"/>
        </w:rPr>
        <w:t xml:space="preserve"> for work undertaken by a solar installer with </w:t>
      </w:r>
      <w:r w:rsidR="00F72FA8">
        <w:rPr>
          <w:rFonts w:cs="Arial"/>
          <w14:numForm w14:val="lining"/>
          <w14:numSpacing w14:val="proportional"/>
        </w:rPr>
        <w:t>CEC</w:t>
      </w:r>
      <w:r w:rsidR="00614525">
        <w:rPr>
          <w:rFonts w:eastAsia="Arial" w:cs="Arial"/>
          <w14:numForm w14:val="lining"/>
          <w14:numSpacing w14:val="proportional"/>
        </w:rPr>
        <w:t xml:space="preserve"> accreditation, which requires </w:t>
      </w:r>
      <w:r w:rsidR="00E066CA">
        <w:rPr>
          <w:rFonts w:eastAsia="Arial" w:cs="Arial"/>
          <w14:numForm w14:val="lining"/>
          <w14:numSpacing w14:val="proportional"/>
        </w:rPr>
        <w:t xml:space="preserve">workers to complete a number of relevant units. The outcome of this has been </w:t>
      </w:r>
      <w:r w:rsidR="0012040B">
        <w:rPr>
          <w:rFonts w:eastAsia="Arial" w:cs="Arial"/>
          <w14:numForm w14:val="lining"/>
          <w14:numSpacing w14:val="proportional"/>
        </w:rPr>
        <w:t>significant</w:t>
      </w:r>
      <w:r w:rsidR="00E066CA">
        <w:rPr>
          <w:rFonts w:eastAsia="Arial" w:cs="Arial"/>
          <w14:numForm w14:val="lining"/>
          <w14:numSpacing w14:val="proportional"/>
        </w:rPr>
        <w:t xml:space="preserve">, with the state increasing </w:t>
      </w:r>
      <w:r w:rsidR="00DD061E">
        <w:rPr>
          <w:rFonts w:eastAsia="Arial" w:cs="Arial"/>
          <w14:numForm w14:val="lining"/>
          <w14:numSpacing w14:val="proportional"/>
        </w:rPr>
        <w:t>VET clean energy enrolments by 278% between 2019</w:t>
      </w:r>
      <w:r w:rsidR="00E43A90">
        <w:rPr>
          <w:rFonts w:eastAsia="Arial" w:cs="Arial"/>
          <w14:numForm w14:val="lining"/>
          <w14:numSpacing w14:val="proportional"/>
        </w:rPr>
        <w:t>-</w:t>
      </w:r>
      <w:r w:rsidR="00DD061E">
        <w:rPr>
          <w:rFonts w:eastAsia="Arial" w:cs="Arial"/>
          <w14:numForm w14:val="lining"/>
          <w14:numSpacing w14:val="proportional"/>
        </w:rPr>
        <w:t xml:space="preserve">2021 and its share of national enrolments to 52% (Figure </w:t>
      </w:r>
      <w:r w:rsidR="00DA6203">
        <w:rPr>
          <w:rFonts w:eastAsia="Arial" w:cs="Arial"/>
          <w14:numForm w14:val="lining"/>
          <w14:numSpacing w14:val="proportional"/>
        </w:rPr>
        <w:t>8.3</w:t>
      </w:r>
      <w:r w:rsidR="00DD061E">
        <w:rPr>
          <w:rFonts w:eastAsia="Arial" w:cs="Arial"/>
          <w14:numForm w14:val="lining"/>
          <w14:numSpacing w14:val="proportional"/>
        </w:rPr>
        <w:t xml:space="preserve">). </w:t>
      </w:r>
      <w:r w:rsidR="006E422B">
        <w:t>Victoria also has its own VET accreditation authority (Victorian Registrations and Qualifications Authority) expediting the approval of courses – an approach this report recommends extending to T</w:t>
      </w:r>
      <w:r>
        <w:t>AFE</w:t>
      </w:r>
      <w:r w:rsidR="006E422B">
        <w:t xml:space="preserve"> Centres of Excellence.</w:t>
      </w:r>
    </w:p>
    <w:p w14:paraId="692FC9D3" w14:textId="77777777" w:rsidR="00747ECE" w:rsidRDefault="00747ECE">
      <w:pPr>
        <w:rPr>
          <w:b/>
          <w:bCs/>
        </w:rPr>
      </w:pPr>
      <w:r>
        <w:rPr>
          <w:b/>
          <w:bCs/>
        </w:rPr>
        <w:br w:type="page"/>
      </w:r>
    </w:p>
    <w:p w14:paraId="013A2831" w14:textId="6A94CAAA" w:rsidR="006E422B" w:rsidRDefault="006E422B" w:rsidP="00A96354">
      <w:pPr>
        <w:spacing w:after="80"/>
        <w:rPr>
          <w:b/>
          <w:bCs/>
        </w:rPr>
      </w:pPr>
      <w:r>
        <w:rPr>
          <w:b/>
          <w:bCs/>
        </w:rPr>
        <w:t xml:space="preserve">Figure </w:t>
      </w:r>
      <w:r w:rsidR="00DA6203">
        <w:rPr>
          <w:b/>
          <w:bCs/>
        </w:rPr>
        <w:t>8.3</w:t>
      </w:r>
      <w:r w:rsidR="00A96354">
        <w:rPr>
          <w:b/>
          <w:bCs/>
        </w:rPr>
        <w:t>.</w:t>
      </w:r>
      <w:r>
        <w:rPr>
          <w:b/>
          <w:bCs/>
        </w:rPr>
        <w:t xml:space="preserve"> Clean energy related enrolments by state </w:t>
      </w:r>
      <w:r w:rsidR="00A96354">
        <w:rPr>
          <w:b/>
          <w:bCs/>
        </w:rPr>
        <w:t>and territory</w:t>
      </w:r>
    </w:p>
    <w:p w14:paraId="2F248677" w14:textId="7FC5A08A" w:rsidR="006E422B" w:rsidRDefault="00367F8D" w:rsidP="00A96354">
      <w:pPr>
        <w:spacing w:after="0"/>
      </w:pPr>
      <w:r>
        <w:rPr>
          <w:noProof/>
        </w:rPr>
        <w:drawing>
          <wp:inline distT="0" distB="0" distL="0" distR="0" wp14:anchorId="5BACB9E1" wp14:editId="38C2A412">
            <wp:extent cx="5543550" cy="2247900"/>
            <wp:effectExtent l="0" t="0" r="0" b="0"/>
            <wp:docPr id="91" name="Graphic 91" descr="This figure represents total enrolments in clean energy courses by state and territory between 2015 and 2021. It shows Victoria has had very high enrolments in 202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phic 91" descr="This figure represents total enrolments in clean energy courses by state and territory between 2015 and 2021. It shows Victoria has had very high enrolments in 2020 and 2021."/>
                    <pic:cNvPicPr/>
                  </pic:nvPicPr>
                  <pic:blipFill>
                    <a:blip r:embed="rId233">
                      <a:extLst>
                        <a:ext uri="{96DAC541-7B7A-43D3-8B79-37D633B846F1}">
                          <asvg:svgBlip xmlns:asvg="http://schemas.microsoft.com/office/drawing/2016/SVG/main" r:embed="rId234"/>
                        </a:ext>
                      </a:extLst>
                    </a:blip>
                    <a:stretch>
                      <a:fillRect/>
                    </a:stretch>
                  </pic:blipFill>
                  <pic:spPr>
                    <a:xfrm>
                      <a:off x="0" y="0"/>
                      <a:ext cx="5543550" cy="2247900"/>
                    </a:xfrm>
                    <a:prstGeom prst="rect">
                      <a:avLst/>
                    </a:prstGeom>
                  </pic:spPr>
                </pic:pic>
              </a:graphicData>
            </a:graphic>
          </wp:inline>
        </w:drawing>
      </w:r>
    </w:p>
    <w:p w14:paraId="3D20E816" w14:textId="1DED8953" w:rsidR="00A96354" w:rsidRPr="00A96354" w:rsidRDefault="00A96354" w:rsidP="00A96354">
      <w:pPr>
        <w:spacing w:line="240" w:lineRule="auto"/>
        <w:rPr>
          <w:sz w:val="18"/>
          <w:szCs w:val="18"/>
        </w:rPr>
      </w:pPr>
      <w:r w:rsidRPr="00A96354">
        <w:rPr>
          <w:sz w:val="18"/>
          <w:szCs w:val="18"/>
        </w:rPr>
        <w:t>Source:</w:t>
      </w:r>
      <w:r w:rsidR="00902872" w:rsidRPr="00902872">
        <w:rPr>
          <w:sz w:val="18"/>
          <w:szCs w:val="18"/>
        </w:rPr>
        <w:t xml:space="preserve"> A</w:t>
      </w:r>
      <w:r w:rsidR="00C703C6">
        <w:rPr>
          <w:sz w:val="18"/>
          <w:szCs w:val="18"/>
        </w:rPr>
        <w:t>BS</w:t>
      </w:r>
      <w:r w:rsidR="00902872">
        <w:rPr>
          <w:sz w:val="18"/>
          <w:szCs w:val="18"/>
        </w:rPr>
        <w:t xml:space="preserve">, </w:t>
      </w:r>
      <w:r w:rsidR="00902872" w:rsidRPr="00902872">
        <w:rPr>
          <w:sz w:val="18"/>
          <w:szCs w:val="18"/>
        </w:rPr>
        <w:t xml:space="preserve">2023 </w:t>
      </w:r>
      <w:r w:rsidR="00F25094">
        <w:rPr>
          <w:sz w:val="18"/>
          <w:szCs w:val="18"/>
        </w:rPr>
        <w:t>training m</w:t>
      </w:r>
      <w:r w:rsidR="00902872" w:rsidRPr="00BB2E09">
        <w:rPr>
          <w:sz w:val="18"/>
          <w:szCs w:val="18"/>
        </w:rPr>
        <w:t>icrodata</w:t>
      </w:r>
      <w:r w:rsidR="00902872">
        <w:rPr>
          <w:sz w:val="18"/>
          <w:szCs w:val="18"/>
        </w:rPr>
        <w:t>,</w:t>
      </w:r>
      <w:r w:rsidR="00902872" w:rsidRPr="00902872">
        <w:rPr>
          <w:sz w:val="18"/>
          <w:szCs w:val="18"/>
        </w:rPr>
        <w:t xml:space="preserve"> 2016-17 to 2020-21</w:t>
      </w:r>
      <w:r w:rsidR="00F25094">
        <w:rPr>
          <w:sz w:val="18"/>
          <w:szCs w:val="18"/>
        </w:rPr>
        <w:t>.</w:t>
      </w:r>
    </w:p>
    <w:p w14:paraId="120B816A" w14:textId="7D92E655" w:rsidR="00C61AF5" w:rsidRPr="006E07A7" w:rsidRDefault="00C61AF5" w:rsidP="00747ECE">
      <w:pPr>
        <w:spacing w:before="720" w:after="240" w:line="276" w:lineRule="auto"/>
        <w:ind w:left="170"/>
        <w:rPr>
          <w:b/>
          <w:bCs/>
          <w14:numForm w14:val="lining"/>
          <w14:numSpacing w14:val="proportional"/>
        </w:rPr>
      </w:pPr>
      <w:r w:rsidRPr="00BB2E09">
        <w:rPr>
          <w:noProof/>
        </w:rPr>
        <mc:AlternateContent>
          <mc:Choice Requires="wpg">
            <w:drawing>
              <wp:anchor distT="0" distB="0" distL="114300" distR="114300" simplePos="0" relativeHeight="251658333" behindDoc="1" locked="0" layoutInCell="1" allowOverlap="1" wp14:anchorId="599F94FA" wp14:editId="2CDA2881">
                <wp:simplePos x="0" y="0"/>
                <wp:positionH relativeFrom="column">
                  <wp:posOffset>0</wp:posOffset>
                </wp:positionH>
                <wp:positionV relativeFrom="paragraph">
                  <wp:posOffset>345831</wp:posOffset>
                </wp:positionV>
                <wp:extent cx="5731510" cy="1056898"/>
                <wp:effectExtent l="0" t="0" r="21590" b="10160"/>
                <wp:wrapNone/>
                <wp:docPr id="572856976" name="Group 572856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56898"/>
                          <a:chOff x="-2" y="0"/>
                          <a:chExt cx="5880737" cy="1086266"/>
                        </a:xfrm>
                      </wpg:grpSpPr>
                      <wps:wsp>
                        <wps:cNvPr id="572856977" name="Rectangle: Top Corners Rounded 1341085318"/>
                        <wps:cNvSpPr/>
                        <wps:spPr>
                          <a:xfrm>
                            <a:off x="-2"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A6EE34" w14:textId="5C3AE135" w:rsidR="00422A9C" w:rsidRPr="006E07A7" w:rsidRDefault="00422A9C" w:rsidP="00422A9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78" name="Rectangle 1341085319"/>
                        <wps:cNvSpPr/>
                        <wps:spPr>
                          <a:xfrm>
                            <a:off x="0" y="222076"/>
                            <a:ext cx="5880735" cy="864190"/>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134BF" w14:textId="1EEEB192" w:rsidR="00422A9C" w:rsidRPr="00290C33" w:rsidRDefault="00422A9C" w:rsidP="00422A9C">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99F94FA" id="Group 572856976" o:spid="_x0000_s1233" alt="&quot;&quot;" style="position:absolute;left:0;text-align:left;margin-left:0;margin-top:27.25pt;width:451.3pt;height:83.2pt;z-index:-251658147;mso-position-horizontal-relative:text;mso-position-vertical-relative:text;mso-height-relative:margin" coordorigin="" coordsize="5880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">
                <v:shape id="Rectangle: Top Corners Rounded 1341085318" o:spid="_x0000_s1234"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08A6EE34" w14:textId="5C3AE135" w:rsidR="00422A9C" w:rsidRPr="006E07A7" w:rsidRDefault="00422A9C" w:rsidP="00422A9C">
                        <w:pPr>
                          <w:spacing w:after="0" w:line="240" w:lineRule="auto"/>
                          <w:rPr>
                            <w:b/>
                            <w:bCs/>
                            <w14:numForm w14:val="lining"/>
                            <w14:numSpacing w14:val="proportional"/>
                          </w:rPr>
                        </w:pPr>
                      </w:p>
                    </w:txbxContent>
                  </v:textbox>
                </v:shape>
                <v:rect id="Rectangle 1341085319" o:spid="_x0000_s1235" style="position:absolute;top:2220;width:58807;height:8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" fillcolor="#f2f2f2" strokecolor="#e0d1f5 [660]" strokeweight="1pt">
                  <v:textbox inset="2mm,1mm,2mm,1mm">
                    <w:txbxContent>
                      <w:p w14:paraId="164134BF" w14:textId="1EEEB192" w:rsidR="00422A9C" w:rsidRPr="00290C33" w:rsidRDefault="00422A9C" w:rsidP="00422A9C">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8.11</w:t>
      </w:r>
    </w:p>
    <w:p w14:paraId="063FD373" w14:textId="41FE6E00" w:rsidR="00422A9C" w:rsidRPr="00747ECE" w:rsidRDefault="00C61AF5" w:rsidP="00747ECE">
      <w:pPr>
        <w:spacing w:after="0" w:line="240" w:lineRule="auto"/>
        <w:ind w:left="170" w:right="113"/>
        <w:rPr>
          <w:rFonts w:eastAsia="Calibri" w:cs="Times New Roman"/>
          <w:color w:val="000000"/>
          <w14:ligatures w14:val="standardContextual"/>
        </w:rPr>
      </w:pPr>
      <w:r w:rsidRPr="004520C5">
        <w:rPr>
          <w:rFonts w:eastAsia="Arial" w:cs="Arial"/>
        </w:rPr>
        <w:t>In a similar vein to the Victorian Solar Homes Program, all levels of governments should explore ways to link government loans and rebates with training requirements for adoption of clean energy technologies and electrification across the residential, transport, commercial and industry sectors.</w:t>
      </w:r>
    </w:p>
    <w:p w14:paraId="06F51A22" w14:textId="77777777" w:rsidR="00BD6A6C" w:rsidRDefault="00BD6A6C">
      <w:pPr>
        <w:rPr>
          <w:rFonts w:eastAsiaTheme="majorEastAsia" w:cstheme="majorBidi"/>
          <w:b/>
          <w:sz w:val="32"/>
          <w:szCs w:val="24"/>
        </w:rPr>
      </w:pPr>
      <w:r>
        <w:br w:type="page"/>
      </w:r>
    </w:p>
    <w:p w14:paraId="7C7623B8" w14:textId="7A96D1A1" w:rsidR="00E13239" w:rsidRPr="00E5087D" w:rsidRDefault="00E13239" w:rsidP="00E9763B">
      <w:pPr>
        <w:pStyle w:val="Heading3"/>
      </w:pPr>
      <w:r w:rsidRPr="00E5087D">
        <w:t>Promoting and enforcing a safety culture</w:t>
      </w:r>
    </w:p>
    <w:p w14:paraId="5B455582" w14:textId="707C3E53" w:rsidR="00E13239" w:rsidRPr="00E5087D" w:rsidRDefault="00E13239" w:rsidP="00E13239">
      <w:pPr>
        <w:spacing w:after="80" w:line="276" w:lineRule="auto"/>
        <w:rPr>
          <w14:numForm w14:val="lining"/>
          <w14:numSpacing w14:val="proportional"/>
        </w:rPr>
      </w:pPr>
      <w:r w:rsidRPr="00E5087D">
        <w:rPr>
          <w14:numForm w14:val="lining"/>
          <w14:numSpacing w14:val="proportional"/>
        </w:rPr>
        <w:t xml:space="preserve">Installing and operating renewable electricity infrastructure is high risk work, as is handling hazardous materials including hydrogen, ammonia and biofuels. Promoting and enforcing a safety culture across clean energy is vital </w:t>
      </w:r>
      <w:r w:rsidR="00A30533">
        <w:rPr>
          <w14:numForm w14:val="lining"/>
          <w14:numSpacing w14:val="proportional"/>
        </w:rPr>
        <w:t>and</w:t>
      </w:r>
      <w:r w:rsidRPr="00E5087D">
        <w:rPr>
          <w14:numForm w14:val="lining"/>
          <w14:numSpacing w14:val="proportional"/>
        </w:rPr>
        <w:t xml:space="preserve"> must acknowledge particular challenges:</w:t>
      </w:r>
    </w:p>
    <w:p w14:paraId="0DEE4C3F" w14:textId="77777777" w:rsidR="00E13239" w:rsidRPr="00E5087D" w:rsidRDefault="00E13239" w:rsidP="00E13239">
      <w:pPr>
        <w:spacing w:before="160" w:after="0" w:line="276" w:lineRule="auto"/>
        <w:rPr>
          <w:b/>
          <w:bCs/>
          <w:sz w:val="24"/>
          <w:szCs w:val="24"/>
          <w14:numForm w14:val="lining"/>
          <w14:numSpacing w14:val="proportional"/>
        </w:rPr>
      </w:pPr>
      <w:r w:rsidRPr="00E5087D">
        <w:rPr>
          <w:b/>
          <w:bCs/>
          <w:sz w:val="24"/>
          <w:szCs w:val="24"/>
          <w14:numForm w14:val="lining"/>
          <w14:numSpacing w14:val="proportional"/>
        </w:rPr>
        <w:t>Remoteness</w:t>
      </w:r>
    </w:p>
    <w:p w14:paraId="09EFD592" w14:textId="4B740C20" w:rsidR="00E13239" w:rsidRPr="00E5087D" w:rsidRDefault="00E13239" w:rsidP="00E13239">
      <w:pPr>
        <w:spacing w:after="120" w:line="276" w:lineRule="auto"/>
        <w:rPr>
          <w14:numForm w14:val="lining"/>
          <w14:numSpacing w14:val="proportional"/>
        </w:rPr>
      </w:pPr>
      <w:r w:rsidRPr="00E5087D">
        <w:rPr>
          <w14:numForm w14:val="lining"/>
          <w14:numSpacing w14:val="proportional"/>
        </w:rPr>
        <w:t>Clean energy activities are common in regional or remote areas, where it can be difficult for regulators to conduct site visits</w:t>
      </w:r>
      <w:r w:rsidR="00A27878">
        <w:rPr>
          <w14:numForm w14:val="lining"/>
          <w14:numSpacing w14:val="proportional"/>
        </w:rPr>
        <w:t>.</w:t>
      </w:r>
    </w:p>
    <w:p w14:paraId="50E0FCDB" w14:textId="77777777" w:rsidR="00E13239" w:rsidRPr="00E5087D" w:rsidRDefault="00E13239" w:rsidP="00E13239">
      <w:pPr>
        <w:spacing w:before="160" w:after="0" w:line="276" w:lineRule="auto"/>
        <w:rPr>
          <w:b/>
          <w:bCs/>
          <w14:numForm w14:val="lining"/>
          <w14:numSpacing w14:val="proportional"/>
        </w:rPr>
      </w:pPr>
      <w:r w:rsidRPr="00E5087D">
        <w:rPr>
          <w:b/>
          <w:bCs/>
          <w:sz w:val="24"/>
          <w:szCs w:val="24"/>
          <w14:numForm w14:val="lining"/>
          <w14:numSpacing w14:val="proportional"/>
        </w:rPr>
        <w:t>Unfamiliar technologies and processes</w:t>
      </w:r>
    </w:p>
    <w:p w14:paraId="62514DF3" w14:textId="46137B85" w:rsidR="00E13239" w:rsidRPr="00E5087D" w:rsidRDefault="00E13239" w:rsidP="00E13239">
      <w:pPr>
        <w:spacing w:after="120" w:line="276" w:lineRule="auto"/>
        <w:rPr>
          <w14:numForm w14:val="lining"/>
          <w14:numSpacing w14:val="proportional"/>
        </w:rPr>
      </w:pPr>
      <w:r w:rsidRPr="00E5087D">
        <w:rPr>
          <w14:numForm w14:val="lining"/>
          <w14:numSpacing w14:val="proportional"/>
        </w:rPr>
        <w:t xml:space="preserve">Nascent technologies and industries can also mean that regulators </w:t>
      </w:r>
      <w:r w:rsidR="7D7D6FB0" w:rsidRPr="00E5087D">
        <w:rPr>
          <w14:numForm w14:val="lining"/>
          <w14:numSpacing w14:val="proportional"/>
        </w:rPr>
        <w:t xml:space="preserve">may be </w:t>
      </w:r>
      <w:r w:rsidRPr="00E5087D">
        <w:rPr>
          <w14:numForm w14:val="lining"/>
          <w14:numSpacing w14:val="proportional"/>
        </w:rPr>
        <w:t>unfamiliar with new types of work, making them hard to assess. Unions are waiting for Safe Work Australia to action a request to institute a special licence for very large cranes (3,000 tonne) required at ports to handle components for offshore wind turbines.</w:t>
      </w:r>
    </w:p>
    <w:p w14:paraId="64284ECC" w14:textId="77777777" w:rsidR="00E13239" w:rsidRPr="00E5087D" w:rsidRDefault="00E13239" w:rsidP="00E13239">
      <w:pPr>
        <w:spacing w:before="160" w:after="0" w:line="276" w:lineRule="auto"/>
        <w:rPr>
          <w:b/>
          <w:bCs/>
          <w:sz w:val="24"/>
          <w:szCs w:val="24"/>
          <w14:numForm w14:val="lining"/>
          <w14:numSpacing w14:val="proportional"/>
        </w:rPr>
      </w:pPr>
      <w:r w:rsidRPr="00E5087D">
        <w:rPr>
          <w:b/>
          <w:bCs/>
          <w:sz w:val="24"/>
          <w:szCs w:val="24"/>
          <w14:numForm w14:val="lining"/>
          <w14:numSpacing w14:val="proportional"/>
        </w:rPr>
        <w:t>Inconsistencies across jurisdictions</w:t>
      </w:r>
    </w:p>
    <w:p w14:paraId="7963DB0C" w14:textId="77777777" w:rsidR="00E13239" w:rsidRPr="00E5087D" w:rsidRDefault="00E13239" w:rsidP="00E13239">
      <w:pPr>
        <w:spacing w:after="80" w:line="276" w:lineRule="auto"/>
        <w:rPr>
          <w14:numForm w14:val="lining"/>
          <w14:numSpacing w14:val="proportional"/>
        </w:rPr>
      </w:pPr>
      <w:r w:rsidRPr="00E5087D">
        <w:rPr>
          <w:spacing w:val="2"/>
          <w14:ligatures w14:val="standard"/>
          <w14:numForm w14:val="lining"/>
          <w14:numSpacing w14:val="proportional"/>
        </w:rPr>
        <w:t xml:space="preserve">The clean energy transformation is a national effort, with employers, employees and networks operating across borders. However, states and territories have different licencing, registration and safety requirements. </w:t>
      </w:r>
      <w:r w:rsidRPr="00E5087D">
        <w:rPr>
          <w14:numForm w14:val="lining"/>
          <w14:numSpacing w14:val="proportional"/>
        </w:rPr>
        <w:t>As highlighted by CEDA, these differences can create barries to job mobility. It can also lead to differences in training development and delivery.</w:t>
      </w:r>
    </w:p>
    <w:p w14:paraId="276B86D3" w14:textId="77777777" w:rsidR="00304D92" w:rsidRDefault="00E13239" w:rsidP="00304D92">
      <w:pPr>
        <w:pStyle w:val="IntenseQuote"/>
        <w:spacing w:before="240" w:after="120"/>
        <w:ind w:left="454" w:right="397"/>
        <w:rPr>
          <w:color w:val="000000" w:themeColor="text1"/>
        </w:rPr>
      </w:pPr>
      <w:r w:rsidRPr="00304D92">
        <w:rPr>
          <w:color w:val="000000" w:themeColor="text1"/>
        </w:rPr>
        <w:t xml:space="preserve">“There must be an immediate and coordinated effort by federal and state governments to update licensing – and regulation more generally – to enable nationally accredited skillsets that are proportionate and properly calibrated to the safety risks of new technologies.” </w:t>
      </w:r>
    </w:p>
    <w:p w14:paraId="06D74DA1" w14:textId="3A45EB95" w:rsidR="00E13239" w:rsidRPr="00304D92" w:rsidRDefault="00E13239" w:rsidP="00304D92">
      <w:pPr>
        <w:pStyle w:val="IntenseQuote"/>
        <w:spacing w:before="240" w:after="120"/>
        <w:ind w:left="454" w:right="397"/>
        <w:rPr>
          <w:i w:val="0"/>
          <w:iCs w:val="0"/>
        </w:rPr>
      </w:pPr>
      <w:r w:rsidRPr="00304D92">
        <w:rPr>
          <w:i w:val="0"/>
          <w:iCs w:val="0"/>
        </w:rPr>
        <w:t>CEDA, Powering the Transition 2023</w:t>
      </w:r>
    </w:p>
    <w:p w14:paraId="0CC9CD1E" w14:textId="31E42520" w:rsidR="00E13239" w:rsidRPr="00E5087D" w:rsidRDefault="00E13239" w:rsidP="000A3B96">
      <w:pPr>
        <w:spacing w:before="360" w:after="0" w:line="276" w:lineRule="auto"/>
        <w:rPr>
          <w:b/>
          <w:bCs/>
          <w:sz w:val="24"/>
          <w:szCs w:val="24"/>
          <w14:numForm w14:val="lining"/>
          <w14:numSpacing w14:val="proportional"/>
        </w:rPr>
      </w:pPr>
      <w:r w:rsidRPr="00E5087D">
        <w:rPr>
          <w:b/>
          <w:bCs/>
          <w:sz w:val="24"/>
          <w:szCs w:val="24"/>
          <w14:numForm w14:val="lining"/>
          <w14:numSpacing w14:val="proportional"/>
        </w:rPr>
        <w:t xml:space="preserve">Low awareness of </w:t>
      </w:r>
      <w:r w:rsidR="00A843E6">
        <w:rPr>
          <w:b/>
          <w:bCs/>
          <w:sz w:val="24"/>
          <w:szCs w:val="24"/>
          <w14:numForm w14:val="lining"/>
          <w14:numSpacing w14:val="proportional"/>
        </w:rPr>
        <w:t>Australian institutions and their roles</w:t>
      </w:r>
    </w:p>
    <w:p w14:paraId="34CEB125" w14:textId="5F3FF38E" w:rsidR="00E13239" w:rsidRPr="00E5087D" w:rsidRDefault="00E13239" w:rsidP="00E13239">
      <w:pPr>
        <w:spacing w:after="120" w:line="276" w:lineRule="auto"/>
        <w:rPr>
          <w14:numForm w14:val="lining"/>
          <w14:numSpacing w14:val="proportional"/>
        </w:rPr>
      </w:pPr>
      <w:r w:rsidRPr="00E5087D">
        <w:rPr>
          <w14:numForm w14:val="lining"/>
          <w14:numSpacing w14:val="proportional"/>
        </w:rPr>
        <w:t>As a relatively new sector, there is also a risk that new businesses (including overseas firms) are unfamiliar with Australian institutions. This includes Safe Work Australia, the Fair Work Ombudsman, and the role of unions.</w:t>
      </w:r>
      <w:r w:rsidR="006D69C4" w:rsidRPr="006D69C4">
        <w:t xml:space="preserve"> </w:t>
      </w:r>
      <w:r w:rsidR="002A7182" w:rsidRPr="002A7182">
        <w:t xml:space="preserve">The Clean Energy Council is currently working with clean energy developers on a standardised industry induction package to facilitate improved </w:t>
      </w:r>
      <w:r w:rsidR="008309CC">
        <w:t xml:space="preserve">occupational health and </w:t>
      </w:r>
      <w:r w:rsidR="002A7182" w:rsidRPr="002A7182">
        <w:t>safety and worker mobility</w:t>
      </w:r>
      <w:r w:rsidR="008309CC">
        <w:t xml:space="preserve"> awareness among firms operating in the Australian clean energy market</w:t>
      </w:r>
      <w:r w:rsidR="002A7182" w:rsidRPr="002A7182">
        <w:t>.</w:t>
      </w:r>
      <w:r w:rsidR="008309CC">
        <w:t xml:space="preserve"> </w:t>
      </w:r>
      <w:r w:rsidR="007A5CDB">
        <w:t>Government has a role to play in supporting and complementing these efforts</w:t>
      </w:r>
      <w:r w:rsidR="00244FC5">
        <w:t>.</w:t>
      </w:r>
    </w:p>
    <w:p w14:paraId="166001EC" w14:textId="77777777" w:rsidR="00A843E6" w:rsidRDefault="00A843E6">
      <w:pPr>
        <w:rPr>
          <w:rFonts w:eastAsiaTheme="majorEastAsia" w:cstheme="majorBidi"/>
          <w:b/>
          <w:sz w:val="32"/>
          <w:szCs w:val="24"/>
        </w:rPr>
      </w:pPr>
      <w:r>
        <w:br w:type="page"/>
      </w:r>
    </w:p>
    <w:p w14:paraId="122DB43E" w14:textId="5B16D7C2" w:rsidR="00E13239" w:rsidRPr="00E5087D" w:rsidRDefault="00E13239" w:rsidP="00E9763B">
      <w:pPr>
        <w:pStyle w:val="Heading3"/>
      </w:pPr>
      <w:r w:rsidRPr="00E5087D">
        <w:t>Industry collaboration</w:t>
      </w:r>
    </w:p>
    <w:p w14:paraId="7E685F39" w14:textId="13FF5D9C" w:rsidR="00E13239" w:rsidRPr="00E5087D" w:rsidRDefault="00E13239" w:rsidP="00E13239">
      <w:pPr>
        <w:spacing w:after="120" w:line="276" w:lineRule="auto"/>
        <w:rPr>
          <w14:numForm w14:val="lining"/>
          <w14:numSpacing w14:val="proportional"/>
        </w:rPr>
      </w:pPr>
      <w:r w:rsidRPr="00E5087D">
        <w:rPr>
          <w14:numForm w14:val="lining"/>
          <w14:numSpacing w14:val="proportional"/>
        </w:rPr>
        <w:t xml:space="preserve">With limited trainers in Australia, there needs to be greater collaboration and sharing between and within RTOs and industry. Industry also needs to support flexible integration opportunities for trainers to maintain their skill proficiency and familiarity with the latest technologies – a common challenge for RTOs. The role of employers in facilitating trainers in the industry is important. Industry </w:t>
      </w:r>
      <w:r w:rsidR="006F2FA2">
        <w:rPr>
          <w14:numForm w14:val="lining"/>
          <w14:numSpacing w14:val="proportional"/>
        </w:rPr>
        <w:t>could be more supportive of</w:t>
      </w:r>
      <w:r w:rsidRPr="00E5087D">
        <w:rPr>
          <w14:numForm w14:val="lining"/>
          <w14:numSpacing w14:val="proportional"/>
        </w:rPr>
        <w:t xml:space="preserve"> </w:t>
      </w:r>
      <w:r w:rsidR="0080156C">
        <w:rPr>
          <w14:numForm w14:val="lining"/>
          <w14:numSpacing w14:val="proportional"/>
        </w:rPr>
        <w:t xml:space="preserve">rotational </w:t>
      </w:r>
      <w:r w:rsidRPr="00BB2E09">
        <w:rPr>
          <w14:numForm w14:val="lining"/>
          <w14:numSpacing w14:val="proportional"/>
        </w:rPr>
        <w:t xml:space="preserve">training </w:t>
      </w:r>
      <w:r w:rsidR="0080156C">
        <w:rPr>
          <w14:numForm w14:val="lining"/>
          <w14:numSpacing w14:val="proportional"/>
        </w:rPr>
        <w:t>where workers can</w:t>
      </w:r>
      <w:r w:rsidRPr="00E5087D">
        <w:rPr>
          <w14:numForm w14:val="lining"/>
          <w14:numSpacing w14:val="proportional"/>
        </w:rPr>
        <w:t xml:space="preserve"> also </w:t>
      </w:r>
      <w:r w:rsidRPr="00BB2E09">
        <w:rPr>
          <w14:numForm w14:val="lining"/>
          <w14:numSpacing w14:val="proportional"/>
        </w:rPr>
        <w:t>engag</w:t>
      </w:r>
      <w:r w:rsidR="0080156C">
        <w:rPr>
          <w14:numForm w14:val="lining"/>
          <w14:numSpacing w14:val="proportional"/>
        </w:rPr>
        <w:t>e</w:t>
      </w:r>
      <w:r w:rsidRPr="00E5087D">
        <w:rPr>
          <w14:numForm w14:val="lining"/>
          <w14:numSpacing w14:val="proportional"/>
        </w:rPr>
        <w:t xml:space="preserve"> in teaching or teacher training.</w:t>
      </w:r>
    </w:p>
    <w:p w14:paraId="051A1076" w14:textId="018A965D" w:rsidR="00E13239" w:rsidRPr="00E5087D" w:rsidRDefault="00E13239" w:rsidP="00E13239">
      <w:pPr>
        <w:spacing w:after="120" w:line="276" w:lineRule="auto"/>
        <w:rPr>
          <w14:numForm w14:val="lining"/>
          <w14:numSpacing w14:val="proportional"/>
        </w:rPr>
      </w:pPr>
      <w:r w:rsidRPr="00E5087D">
        <w:rPr>
          <w:rFonts w:eastAsia="Arial" w:cs="Arial"/>
          <w:color w:val="0E101A"/>
          <w14:numForm w14:val="lining"/>
          <w14:numSpacing w14:val="proportional"/>
        </w:rPr>
        <w:t xml:space="preserve">The </w:t>
      </w:r>
      <w:r w:rsidR="003A7202">
        <w:rPr>
          <w14:numForm w14:val="lining"/>
          <w14:numSpacing w14:val="proportional"/>
        </w:rPr>
        <w:t>ETU</w:t>
      </w:r>
      <w:r w:rsidRPr="00E5087D">
        <w:rPr>
          <w:rFonts w:eastAsia="Arial" w:cs="Arial"/>
          <w:color w:val="0E101A"/>
          <w14:numForm w14:val="lining"/>
          <w14:numSpacing w14:val="proportional"/>
        </w:rPr>
        <w:t xml:space="preserve"> considered that it is necessary to adopt a flexible integration of VET educators into the clean energy sector on a rotational basis to ensure they remain </w:t>
      </w:r>
      <w:r w:rsidR="007932C6">
        <w:rPr>
          <w:rFonts w:eastAsia="Arial" w:cs="Arial"/>
          <w:color w:val="0E101A"/>
          <w14:numForm w14:val="lining"/>
          <w14:numSpacing w14:val="proportional"/>
        </w:rPr>
        <w:t xml:space="preserve">proficiently </w:t>
      </w:r>
      <w:r w:rsidRPr="00E5087D">
        <w:rPr>
          <w:rFonts w:eastAsia="Arial" w:cs="Arial"/>
          <w:color w:val="0E101A"/>
          <w14:numForm w14:val="lining"/>
          <w14:numSpacing w14:val="proportional"/>
        </w:rPr>
        <w:t>skilled and familiar with the latest technologies in the sector.</w:t>
      </w:r>
      <w:r w:rsidRPr="00E5087D">
        <w:rPr>
          <w:rStyle w:val="EndnoteReference"/>
          <w:rFonts w:eastAsia="Arial" w:cs="Arial"/>
          <w:color w:val="0E101A"/>
          <w14:numForm w14:val="lining"/>
          <w14:numSpacing w14:val="proportional"/>
        </w:rPr>
        <w:endnoteReference w:id="220"/>
      </w:r>
    </w:p>
    <w:p w14:paraId="53F630FE" w14:textId="77777777" w:rsidR="00E13239" w:rsidRPr="00E5087D" w:rsidRDefault="00E13239" w:rsidP="00E13239">
      <w:pPr>
        <w:spacing w:after="80" w:line="276" w:lineRule="auto"/>
        <w:rPr>
          <w14:numForm w14:val="lining"/>
          <w14:numSpacing w14:val="proportional"/>
        </w:rPr>
      </w:pPr>
      <w:r w:rsidRPr="00E5087D">
        <w:rPr>
          <w14:numForm w14:val="lining"/>
          <w14:numSpacing w14:val="proportional"/>
        </w:rPr>
        <w:t xml:space="preserve">There is also concern about the control that some employers have over proprietary training, which may limit worker recognition of skills and mobility and scalability. For example: </w:t>
      </w:r>
    </w:p>
    <w:p w14:paraId="26C26DF8" w14:textId="1CDE9A95" w:rsidR="00E13239" w:rsidRPr="00E5087D" w:rsidRDefault="00365AE2" w:rsidP="00F25595">
      <w:pPr>
        <w:pStyle w:val="ListParagraph"/>
        <w:numPr>
          <w:ilvl w:val="0"/>
          <w:numId w:val="43"/>
        </w:numPr>
        <w:spacing w:after="120" w:line="276" w:lineRule="auto"/>
        <w:ind w:left="567" w:hanging="357"/>
        <w:contextualSpacing w:val="0"/>
        <w:rPr>
          <w14:numForm w14:val="lining"/>
          <w14:numSpacing w14:val="proportional"/>
        </w:rPr>
      </w:pPr>
      <w:r w:rsidRPr="00365AE2">
        <w:rPr>
          <w14:numForm w14:val="lining"/>
          <w14:numSpacing w14:val="proportional"/>
        </w:rPr>
        <w:t xml:space="preserve">Global Wind Organisation </w:t>
      </w:r>
      <w:r>
        <w:rPr>
          <w14:numForm w14:val="lining"/>
          <w14:numSpacing w14:val="proportional"/>
        </w:rPr>
        <w:t>(</w:t>
      </w:r>
      <w:r w:rsidR="00E13239" w:rsidRPr="00E5087D">
        <w:rPr>
          <w14:numForm w14:val="lining"/>
          <w14:numSpacing w14:val="proportional"/>
        </w:rPr>
        <w:t>GWO</w:t>
      </w:r>
      <w:r>
        <w:rPr>
          <w14:numForm w14:val="lining"/>
          <w14:numSpacing w14:val="proportional"/>
        </w:rPr>
        <w:t>)</w:t>
      </w:r>
      <w:r w:rsidR="00E13239" w:rsidRPr="00E5087D">
        <w:rPr>
          <w14:numForm w14:val="lining"/>
          <w14:numSpacing w14:val="proportional"/>
        </w:rPr>
        <w:t xml:space="preserve"> Standards dominates training standards for wind power</w:t>
      </w:r>
    </w:p>
    <w:p w14:paraId="0C0199F0" w14:textId="489EE994" w:rsidR="00E13239" w:rsidRPr="00E5087D" w:rsidRDefault="00E13239" w:rsidP="00F25595">
      <w:pPr>
        <w:pStyle w:val="ListParagraph"/>
        <w:numPr>
          <w:ilvl w:val="0"/>
          <w:numId w:val="43"/>
        </w:numPr>
        <w:spacing w:after="120" w:line="276" w:lineRule="auto"/>
        <w:ind w:left="567" w:hanging="357"/>
        <w:contextualSpacing w:val="0"/>
      </w:pPr>
      <w:r w:rsidRPr="00E5087D">
        <w:rPr>
          <w14:numForm w14:val="lining"/>
          <w14:numSpacing w14:val="proportional"/>
        </w:rPr>
        <w:t xml:space="preserve">Each vehicle manufacturer is developing their own standards which will need to be managed with vendor training rather than having consistent standards that can be integrated more easily into </w:t>
      </w:r>
      <w:r w:rsidR="50F8DE94" w:rsidRPr="00E5087D">
        <w:rPr>
          <w14:numForm w14:val="lining"/>
          <w14:numSpacing w14:val="proportional"/>
        </w:rPr>
        <w:t>a</w:t>
      </w:r>
      <w:r w:rsidRPr="00E5087D">
        <w:rPr>
          <w14:numForm w14:val="lining"/>
          <w14:numSpacing w14:val="proportional"/>
        </w:rPr>
        <w:t xml:space="preserve"> training package. </w:t>
      </w:r>
    </w:p>
    <w:p w14:paraId="347B53AC" w14:textId="5B12C187" w:rsidR="00E13239" w:rsidRDefault="00E13239" w:rsidP="00F25595">
      <w:pPr>
        <w:pStyle w:val="ListParagraph"/>
        <w:numPr>
          <w:ilvl w:val="0"/>
          <w:numId w:val="43"/>
        </w:numPr>
        <w:spacing w:after="120" w:line="276" w:lineRule="auto"/>
        <w:ind w:left="567" w:hanging="357"/>
        <w:contextualSpacing w:val="0"/>
        <w:rPr>
          <w14:numForm w14:val="lining"/>
          <w14:numSpacing w14:val="proportional"/>
        </w:rPr>
      </w:pPr>
      <w:r w:rsidRPr="00E5087D">
        <w:rPr>
          <w14:numForm w14:val="lining"/>
          <w14:numSpacing w14:val="proportional"/>
        </w:rPr>
        <w:t>Training for 3,000 tonne crane operation is limited to a British Government accreditation through a private provider</w:t>
      </w:r>
      <w:r w:rsidR="00BB28FA">
        <w:rPr>
          <w14:numForm w14:val="lining"/>
          <w14:numSpacing w14:val="proportional"/>
        </w:rPr>
        <w:t>.</w:t>
      </w:r>
    </w:p>
    <w:p w14:paraId="7CBAD896" w14:textId="014930BB" w:rsidR="00565990" w:rsidRDefault="00565990" w:rsidP="000A3B96">
      <w:pPr>
        <w:spacing w:before="240" w:after="240" w:line="276" w:lineRule="auto"/>
        <w:rPr>
          <w14:numForm w14:val="lining"/>
          <w14:numSpacing w14:val="proportional"/>
        </w:rPr>
      </w:pPr>
      <w:r w:rsidRPr="00565990">
        <w:rPr>
          <w:rFonts w:eastAsia="Arial" w:cs="Arial"/>
          <w14:numForm w14:val="lining"/>
          <w14:numSpacing w14:val="proportional"/>
        </w:rPr>
        <w:t xml:space="preserve">The Ai Group stated that limited partnership between the clean energy sector and education, and training providers affects the knowledge and skills taught, skills alignment to work, the quality and quantity of graduates and their readiness for the industry. It suggested that greater collaboration on skills development can ensure training meets employer needs and is updated or developed to meet emerging requirements. </w:t>
      </w:r>
      <w:r w:rsidRPr="00565990">
        <w:rPr>
          <w14:numForm w14:val="lining"/>
          <w14:numSpacing w14:val="proportional"/>
        </w:rPr>
        <w:t>For example, BAE Systems Australia formed a strategic alliance with universities by circulating a Request for Information to collaborate on education and training initiatives that align with their future needs.</w:t>
      </w:r>
      <w:r w:rsidRPr="00E5087D">
        <w:rPr>
          <w:rStyle w:val="EndnoteReference"/>
          <w:rFonts w:eastAsia="Arial" w:cs="Arial"/>
          <w14:numForm w14:val="lining"/>
          <w14:numSpacing w14:val="proportional"/>
        </w:rPr>
        <w:endnoteReference w:id="221"/>
      </w:r>
    </w:p>
    <w:p w14:paraId="33FE22CC" w14:textId="540F8F04" w:rsidR="000A3B96" w:rsidRPr="006E07A7" w:rsidRDefault="000A3B96" w:rsidP="000A3B96">
      <w:pPr>
        <w:spacing w:before="48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4" behindDoc="1" locked="0" layoutInCell="1" allowOverlap="1" wp14:anchorId="2D5F92C8" wp14:editId="4DB07B62">
                <wp:simplePos x="0" y="0"/>
                <wp:positionH relativeFrom="column">
                  <wp:posOffset>0</wp:posOffset>
                </wp:positionH>
                <wp:positionV relativeFrom="paragraph">
                  <wp:posOffset>128863</wp:posOffset>
                </wp:positionV>
                <wp:extent cx="5731510" cy="921895"/>
                <wp:effectExtent l="0" t="0" r="21590" b="12065"/>
                <wp:wrapNone/>
                <wp:docPr id="612265844" name="Group 6122658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921895"/>
                          <a:chOff x="0" y="0"/>
                          <a:chExt cx="5880735" cy="947307"/>
                        </a:xfrm>
                      </wpg:grpSpPr>
                      <wps:wsp>
                        <wps:cNvPr id="612265845" name="Rectangle: Top Corners Rounded 612265845"/>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2B698A" w14:textId="7F450ECD"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46" name="Rectangle 612265846"/>
                        <wps:cNvSpPr/>
                        <wps:spPr>
                          <a:xfrm>
                            <a:off x="0" y="230002"/>
                            <a:ext cx="5880735" cy="717305"/>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158669" w14:textId="38A1ADCC"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5F92C8" id="Group 612265844" o:spid="_x0000_s1236" alt="&quot;&quot;" style="position:absolute;left:0;text-align:left;margin-left:0;margin-top:10.15pt;width:451.3pt;height:72.6pt;z-index:-251658146;mso-position-horizontal-relative:text;mso-position-vertical-relative:text" coordsize="58807,9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">
                <v:shape id="Rectangle: Top Corners Rounded 612265845" o:spid="_x0000_s1237"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762B698A" w14:textId="7F450ECD" w:rsidR="00E13239" w:rsidRPr="006E07A7" w:rsidRDefault="00E13239" w:rsidP="00E13239">
                        <w:pPr>
                          <w:spacing w:after="0" w:line="240" w:lineRule="auto"/>
                          <w:rPr>
                            <w:b/>
                            <w:bCs/>
                            <w14:numForm w14:val="lining"/>
                            <w14:numSpacing w14:val="proportional"/>
                          </w:rPr>
                        </w:pPr>
                      </w:p>
                    </w:txbxContent>
                  </v:textbox>
                </v:shape>
                <v:rect id="Rectangle 612265846" o:spid="_x0000_s1238" style="position:absolute;top:2300;width:58807;height:7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" fillcolor="#f2f2f2" strokecolor="#e0d1f5 [660]" strokeweight="1pt">
                  <v:textbox inset="2mm,1mm,2mm,1mm">
                    <w:txbxContent>
                      <w:p w14:paraId="1E158669" w14:textId="38A1ADCC"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8.12</w:t>
      </w:r>
    </w:p>
    <w:p w14:paraId="2D954F71" w14:textId="620250D6" w:rsidR="000A3B96" w:rsidRPr="00290C33" w:rsidRDefault="000A3B96" w:rsidP="000A3B96">
      <w:pPr>
        <w:spacing w:before="200" w:after="0" w:line="240" w:lineRule="auto"/>
        <w:ind w:left="170" w:right="113"/>
        <w:rPr>
          <w:rFonts w:eastAsia="Calibri" w:cs="Times New Roman"/>
          <w:color w:val="000000"/>
          <w14:ligatures w14:val="standardContextual"/>
        </w:rPr>
      </w:pPr>
      <w:r w:rsidRPr="009932EB">
        <w:rPr>
          <w:rFonts w:eastAsia="Arial" w:cs="Arial"/>
        </w:rPr>
        <w:t>Jobs and Skills Councils should work with industry to ensure that proprietary training does not lead to the monopolisation of particular skills knowledge or technology and that there is a sustainable, whole-of-sector training culture.</w:t>
      </w:r>
    </w:p>
    <w:p w14:paraId="0807F010" w14:textId="77777777" w:rsidR="00E13239" w:rsidRPr="00E5087D" w:rsidRDefault="00E13239" w:rsidP="00E13239">
      <w:pPr>
        <w:rPr>
          <w:rFonts w:eastAsiaTheme="majorEastAsia" w:cstheme="majorBidi"/>
          <w:b/>
          <w:sz w:val="56"/>
          <w:szCs w:val="32"/>
        </w:rPr>
      </w:pPr>
      <w:r w:rsidRPr="00E5087D">
        <w:br w:type="page"/>
      </w:r>
    </w:p>
    <w:p w14:paraId="33914E03" w14:textId="77777777" w:rsidR="00E13239" w:rsidRPr="00E5087D" w:rsidRDefault="00E13239" w:rsidP="00E9763B">
      <w:pPr>
        <w:pStyle w:val="Heading2"/>
      </w:pPr>
      <w:bookmarkStart w:id="91" w:name="_Toc146892701"/>
      <w:r w:rsidRPr="00E5087D">
        <w:t>8</w:t>
      </w:r>
      <w:r w:rsidRPr="00E5087D">
        <w:rPr>
          <w:smallCaps/>
        </w:rPr>
        <w:t>c</w:t>
      </w:r>
      <w:r w:rsidRPr="00E5087D">
        <w:t xml:space="preserve">. </w:t>
      </w:r>
      <w:r w:rsidRPr="00E5087D">
        <w:rPr>
          <w:b w:val="0"/>
          <w:bCs/>
        </w:rPr>
        <w:t>Hiring and retention</w:t>
      </w:r>
      <w:bookmarkEnd w:id="91"/>
    </w:p>
    <w:p w14:paraId="686A8568" w14:textId="77777777" w:rsidR="00E13239" w:rsidRPr="00E5087D" w:rsidRDefault="00E13239" w:rsidP="000B69E4">
      <w:pPr>
        <w:pStyle w:val="Heading3"/>
      </w:pPr>
      <w:r w:rsidRPr="00E5087D">
        <w:t>Appeal to values</w:t>
      </w:r>
    </w:p>
    <w:p w14:paraId="598CC916" w14:textId="77777777" w:rsidR="00E13239" w:rsidRPr="00E5087D" w:rsidRDefault="00E13239" w:rsidP="00E13239">
      <w:pPr>
        <w:pStyle w:val="Bodycopy"/>
        <w:spacing w:line="276" w:lineRule="auto"/>
        <w:rPr>
          <w14:numForm w14:val="lining"/>
          <w14:numSpacing w14:val="proportional"/>
        </w:rPr>
      </w:pPr>
      <w:r w:rsidRPr="00E5087D">
        <w:rPr>
          <w14:numForm w14:val="lining"/>
          <w14:numSpacing w14:val="proportional"/>
        </w:rPr>
        <w:t>Throughout the study, the social value of working in the sector was raised as a significant motivator for many. A recent Accenture report revealed that 77% of young people (aged 15 - 39) in Asia-Pacific aspire to careers with a positive impact on the environment and climate change within the next decade.</w:t>
      </w:r>
      <w:r w:rsidRPr="00E5087D">
        <w:rPr>
          <w:rStyle w:val="EndnoteReference"/>
          <w14:numForm w14:val="lining"/>
          <w14:numSpacing w14:val="proportional"/>
        </w:rPr>
        <w:endnoteReference w:id="222"/>
      </w:r>
      <w:r w:rsidRPr="00E5087D">
        <w:rPr>
          <w14:numForm w14:val="lining"/>
          <w14:numSpacing w14:val="proportional"/>
        </w:rPr>
        <w:t xml:space="preserve"> Emerging research is also furthering our understanding of the relationship between gender, climate-consciousness and career ideation, supporting the assumption that female students are more likely to pursue tertiary studies and careers in areas that are seen to have a positive, or at least benign, impact on the environment.</w:t>
      </w:r>
      <w:r w:rsidRPr="00E5087D">
        <w:rPr>
          <w:rStyle w:val="EndnoteReference"/>
          <w14:numForm w14:val="lining"/>
          <w14:numSpacing w14:val="proportional"/>
        </w:rPr>
        <w:endnoteReference w:id="223"/>
      </w:r>
      <w:r w:rsidRPr="00E5087D">
        <w:rPr>
          <w14:numForm w14:val="lining"/>
          <w14:numSpacing w14:val="proportional"/>
        </w:rPr>
        <w:t xml:space="preserve"> This may be particularly significant for attracting future generations and women in particular, to pursue STEM qualifications and careers.</w:t>
      </w:r>
    </w:p>
    <w:p w14:paraId="090B36D3" w14:textId="77777777" w:rsidR="00E13239" w:rsidRPr="00E5087D" w:rsidRDefault="00E13239" w:rsidP="000B69E4">
      <w:pPr>
        <w:pStyle w:val="Heading3"/>
      </w:pPr>
      <w:r w:rsidRPr="00E5087D">
        <w:t xml:space="preserve">Raise awareness of career pathways </w:t>
      </w:r>
    </w:p>
    <w:p w14:paraId="0E42EA5D" w14:textId="388AC8C7" w:rsidR="00E13239" w:rsidRPr="00E5087D" w:rsidRDefault="00E13239" w:rsidP="00E13239">
      <w:pPr>
        <w:spacing w:after="120" w:line="276" w:lineRule="auto"/>
        <w:rPr>
          <w14:numForm w14:val="lining"/>
          <w14:numSpacing w14:val="proportional"/>
        </w:rPr>
      </w:pPr>
      <w:r w:rsidRPr="00E5087D">
        <w:rPr>
          <w14:numForm w14:val="lining"/>
          <w14:numSpacing w14:val="proportional"/>
        </w:rPr>
        <w:t xml:space="preserve">Career guidance and advice for clean energy pathways need to be substantially improved. Greater clarity and consistency can support more young people to identify and access the plethora of opportunities in this sector. The National Careers Institute </w:t>
      </w:r>
      <w:r w:rsidR="00926AF5">
        <w:rPr>
          <w14:numForm w14:val="lining"/>
          <w14:numSpacing w14:val="proportional"/>
        </w:rPr>
        <w:t>should</w:t>
      </w:r>
      <w:r w:rsidRPr="00E5087D">
        <w:rPr>
          <w14:numForm w14:val="lining"/>
          <w14:numSpacing w14:val="proportional"/>
        </w:rPr>
        <w:t xml:space="preserve"> work closely with state and territory governments and industry groups (like the </w:t>
      </w:r>
      <w:r w:rsidR="00F72FA8">
        <w:rPr>
          <w:rFonts w:cs="Arial"/>
          <w14:numForm w14:val="lining"/>
          <w14:numSpacing w14:val="proportional"/>
        </w:rPr>
        <w:t>CEC</w:t>
      </w:r>
      <w:r w:rsidRPr="00E5087D">
        <w:rPr>
          <w14:numForm w14:val="lining"/>
          <w14:numSpacing w14:val="proportional"/>
        </w:rPr>
        <w:t xml:space="preserve">) to ensure career advice is consistent, reflects genuine pathways, </w:t>
      </w:r>
      <w:r w:rsidR="00993D21" w:rsidRPr="00E5087D">
        <w:rPr>
          <w14:numForm w14:val="lining"/>
          <w14:numSpacing w14:val="proportional"/>
        </w:rPr>
        <w:t>and communicates</w:t>
      </w:r>
      <w:r w:rsidRPr="00E5087D">
        <w:rPr>
          <w14:numForm w14:val="lining"/>
          <w14:numSpacing w14:val="proportional"/>
        </w:rPr>
        <w:t xml:space="preserve"> the sector’s value proposition.</w:t>
      </w:r>
    </w:p>
    <w:p w14:paraId="38259D9E" w14:textId="3304CC26" w:rsidR="00E13239" w:rsidRPr="00304D92" w:rsidRDefault="00E13239" w:rsidP="00304D92">
      <w:pPr>
        <w:pStyle w:val="IntenseQuote"/>
        <w:spacing w:before="240" w:after="120"/>
        <w:ind w:left="454" w:right="397"/>
        <w:rPr>
          <w:color w:val="000000" w:themeColor="text1"/>
        </w:rPr>
      </w:pPr>
      <w:r w:rsidRPr="00304D92">
        <w:rPr>
          <w:color w:val="000000" w:themeColor="text1"/>
        </w:rPr>
        <w:t>“Clearer pathway resources that promote careers in clean energy will be useful. Many potential applicants may not realise that a career in clean energy can start with an electrical apprenticeship or for that matter an engineering degree or a certificate in civil construction.”</w:t>
      </w:r>
    </w:p>
    <w:p w14:paraId="161C9A35" w14:textId="546A49D5" w:rsidR="00E13239" w:rsidRPr="00304D92" w:rsidRDefault="00E13239" w:rsidP="00304D92">
      <w:pPr>
        <w:pStyle w:val="IntenseQuote"/>
        <w:spacing w:before="120" w:after="120"/>
        <w:ind w:left="454" w:right="397"/>
        <w:rPr>
          <w:i w:val="0"/>
          <w:iCs w:val="0"/>
          <w:vertAlign w:val="superscript"/>
        </w:rPr>
      </w:pPr>
      <w:r w:rsidRPr="00304D92">
        <w:rPr>
          <w:i w:val="0"/>
          <w:iCs w:val="0"/>
        </w:rPr>
        <w:t>– Energy Skills Australia</w:t>
      </w:r>
      <w:r w:rsidR="00304D92" w:rsidRPr="00304D92">
        <w:rPr>
          <w:i w:val="0"/>
          <w:iCs w:val="0"/>
        </w:rPr>
        <w:t>.</w:t>
      </w:r>
      <w:r w:rsidRPr="00304D92">
        <w:rPr>
          <w:i w:val="0"/>
          <w:iCs w:val="0"/>
          <w:vertAlign w:val="superscript"/>
        </w:rPr>
        <w:endnoteReference w:id="224"/>
      </w:r>
    </w:p>
    <w:p w14:paraId="625494A1" w14:textId="77777777" w:rsidR="00E13239" w:rsidRPr="00E5087D" w:rsidRDefault="00E13239" w:rsidP="00304D92">
      <w:pPr>
        <w:pStyle w:val="Heading3"/>
      </w:pPr>
      <w:r w:rsidRPr="00E5087D">
        <w:t>Work-based learning partnerships as recruitment opportunities</w:t>
      </w:r>
    </w:p>
    <w:p w14:paraId="61D6D93A" w14:textId="1251B056" w:rsidR="00E13239" w:rsidRPr="00E5087D" w:rsidRDefault="00E13239" w:rsidP="00E13239">
      <w:pPr>
        <w:spacing w:before="240" w:after="120" w:line="276" w:lineRule="auto"/>
      </w:pPr>
      <w:r w:rsidRPr="00E5087D">
        <w:rPr>
          <w14:numForm w14:val="lining"/>
          <w14:numSpacing w14:val="proportional"/>
        </w:rPr>
        <w:t xml:space="preserve">The Ai Group advised that employers face challenges in recruiting and retaining entry level workers and existing workers due to limited partnerships with industry, </w:t>
      </w:r>
      <w:r w:rsidRPr="00E5087D">
        <w:rPr>
          <w:rFonts w:eastAsia="Arial" w:cs="Arial"/>
          <w14:numForm w14:val="lining"/>
          <w14:numSpacing w14:val="proportional"/>
        </w:rPr>
        <w:t>inadequate</w:t>
      </w:r>
      <w:r w:rsidRPr="00E5087D">
        <w:rPr>
          <w14:numForm w14:val="lining"/>
          <w14:numSpacing w14:val="proportional"/>
        </w:rPr>
        <w:t xml:space="preserve"> information to attract skilled workers to the industry, a lack of work-integrated learning opportunities</w:t>
      </w:r>
      <w:r w:rsidR="2AFEA0E8" w:rsidRPr="00E5087D">
        <w:rPr>
          <w14:numForm w14:val="lining"/>
          <w14:numSpacing w14:val="proportional"/>
        </w:rPr>
        <w:t>,</w:t>
      </w:r>
      <w:r w:rsidRPr="00E5087D">
        <w:rPr>
          <w14:numForm w14:val="lining"/>
          <w14:numSpacing w14:val="proportional"/>
        </w:rPr>
        <w:t xml:space="preserve"> and limited access to reskilling and upskilling training.</w:t>
      </w:r>
      <w:r w:rsidRPr="4AB85293">
        <w:rPr>
          <w:rStyle w:val="EndnoteReference"/>
        </w:rPr>
        <w:endnoteReference w:id="225"/>
      </w:r>
    </w:p>
    <w:p w14:paraId="0A585FC3" w14:textId="77777777" w:rsidR="00E13239" w:rsidRPr="00E5087D" w:rsidRDefault="00E13239" w:rsidP="00304D92">
      <w:pPr>
        <w:spacing w:before="120" w:after="120" w:line="276" w:lineRule="auto"/>
        <w:rPr>
          <w:rStyle w:val="EndnoteReference"/>
          <w14:numForm w14:val="lining"/>
          <w14:numSpacing w14:val="proportional"/>
        </w:rPr>
      </w:pPr>
      <w:r w:rsidRPr="00E5087D">
        <w:rPr>
          <w:rFonts w:eastAsia="Arial" w:cs="Arial"/>
          <w14:numForm w14:val="lining"/>
          <w14:numSpacing w14:val="proportional"/>
        </w:rPr>
        <w:t xml:space="preserve">This sentiment was echoed by stakeholders throughout our roundtables, who called for greater collaboration between VET and higher education providers and the clean energy sector to establish clear and attractive pathways from education and training to employment. As well as improving the relevance and depth of students’ coursework (see </w:t>
      </w:r>
      <w:r w:rsidRPr="00C21E18">
        <w:rPr>
          <w:rFonts w:eastAsia="Arial" w:cs="Arial"/>
          <w:b/>
          <w14:numForm w14:val="lining"/>
          <w14:numSpacing w14:val="proportional"/>
        </w:rPr>
        <w:t>Chapter 7</w:t>
      </w:r>
      <w:r w:rsidRPr="00E5087D">
        <w:rPr>
          <w:rFonts w:eastAsia="Arial" w:cs="Arial"/>
          <w14:numForm w14:val="lining"/>
          <w14:numSpacing w14:val="proportional"/>
        </w:rPr>
        <w:t>), work-integrated learning, graduate programs, paid internships and equivalent offerings can work to offset the hesitation and anxiety some students feel in pursuing an unmapped career in an emerging sector.</w:t>
      </w:r>
    </w:p>
    <w:p w14:paraId="7B5E7F92" w14:textId="77777777" w:rsidR="00E13239" w:rsidRPr="00E5087D" w:rsidRDefault="00E13239" w:rsidP="000B69E4">
      <w:pPr>
        <w:pStyle w:val="Heading3"/>
      </w:pPr>
      <w:r w:rsidRPr="00E5087D">
        <w:t xml:space="preserve">Make conditions and pay competitive </w:t>
      </w:r>
    </w:p>
    <w:p w14:paraId="73510C08" w14:textId="6C49A540" w:rsidR="00E13239" w:rsidRPr="00E5087D" w:rsidRDefault="00E13239" w:rsidP="00E13239">
      <w:pPr>
        <w:pStyle w:val="Bodycopy"/>
        <w:spacing w:after="120" w:line="276" w:lineRule="auto"/>
      </w:pPr>
      <w:r w:rsidRPr="00E5087D">
        <w:rPr>
          <w14:numForm w14:val="lining"/>
          <w14:numSpacing w14:val="proportional"/>
        </w:rPr>
        <w:t xml:space="preserve">As described in </w:t>
      </w:r>
      <w:r w:rsidRPr="00C21E18">
        <w:rPr>
          <w:b/>
          <w14:numForm w14:val="lining"/>
          <w14:numSpacing w14:val="proportional"/>
        </w:rPr>
        <w:t>Chapter 3</w:t>
      </w:r>
      <w:r w:rsidRPr="00E5087D">
        <w:rPr>
          <w14:numForm w14:val="lining"/>
          <w14:numSpacing w14:val="proportional"/>
        </w:rPr>
        <w:t xml:space="preserve">, the remuneration for roles in the clean energy sector is on average lower than for comparable roles in fossil-fuel sectors such as coal mining and coal-fired power generation. The established resources and coal-fired power generation businesses have enterprise agreements and (in the case of mining) attract a wage premium for remote and hazardous work. Current workplace relations laws mean that </w:t>
      </w:r>
      <w:r w:rsidR="00697AC5">
        <w:rPr>
          <w14:numForm w14:val="lining"/>
          <w14:numSpacing w14:val="proportional"/>
        </w:rPr>
        <w:t>EBA</w:t>
      </w:r>
      <w:r w:rsidRPr="00E5087D">
        <w:rPr>
          <w14:numForm w14:val="lining"/>
          <w14:numSpacing w14:val="proportional"/>
        </w:rPr>
        <w:t xml:space="preserve"> are prohibitive for short-term projects, even for larger wind and solar projects and are a barrier to attracting more people with the relevant skills to the clean energy sector. There is also a heavy reliance on labour hire during construction phases.</w:t>
      </w:r>
    </w:p>
    <w:p w14:paraId="77D7EFC8" w14:textId="7FE2503A" w:rsidR="00E13239" w:rsidRPr="007661AE" w:rsidRDefault="00E13239" w:rsidP="007661AE">
      <w:pPr>
        <w:pStyle w:val="Bodycopy"/>
        <w:spacing w:after="120" w:line="276" w:lineRule="auto"/>
      </w:pPr>
      <w:r w:rsidRPr="00E5087D">
        <w:rPr>
          <w14:numForm w14:val="lining"/>
          <w14:numSpacing w14:val="proportional"/>
        </w:rPr>
        <w:t xml:space="preserve">The </w:t>
      </w:r>
      <w:r w:rsidR="003A7202">
        <w:rPr>
          <w14:numForm w14:val="lining"/>
          <w14:numSpacing w14:val="proportional"/>
        </w:rPr>
        <w:t>ETU</w:t>
      </w:r>
      <w:r w:rsidRPr="00E5087D">
        <w:rPr>
          <w14:numForm w14:val="lining"/>
          <w14:numSpacing w14:val="proportional"/>
        </w:rPr>
        <w:t xml:space="preserve"> argued that wages, benefits, job security and safety conditions must be improved in clean energy industries as they lag behind comparable work in established industries. It stated that the sector “has been marred with examples of poor safety work standards, unlicensed electrical work, migrant worker exploitation, lack of investment in training and avoidance of standard employment conditions”.</w:t>
      </w:r>
      <w:r w:rsidRPr="00E5087D">
        <w:rPr>
          <w:rStyle w:val="EndnoteReference"/>
          <w14:numForm w14:val="lining"/>
          <w14:numSpacing w14:val="proportional"/>
        </w:rPr>
        <w:endnoteReference w:id="226"/>
      </w:r>
      <w:r w:rsidRPr="00E5087D">
        <w:rPr>
          <w14:numForm w14:val="lining"/>
          <w14:numSpacing w14:val="proportional"/>
        </w:rPr>
        <w:br w:type="page"/>
      </w:r>
    </w:p>
    <w:p w14:paraId="3216C03F" w14:textId="44EC564F" w:rsidR="00E13239" w:rsidRPr="00E5087D" w:rsidRDefault="00E13239" w:rsidP="000B69E4">
      <w:pPr>
        <w:pStyle w:val="Heading2"/>
      </w:pPr>
      <w:bookmarkStart w:id="92" w:name="_Toc146892702"/>
      <w:r w:rsidRPr="00E5087D">
        <w:t>8</w:t>
      </w:r>
      <w:r w:rsidRPr="00E5087D">
        <w:rPr>
          <w:smallCaps/>
        </w:rPr>
        <w:t>d</w:t>
      </w:r>
      <w:r w:rsidRPr="00E5087D">
        <w:t xml:space="preserve">. </w:t>
      </w:r>
      <w:r w:rsidRPr="00E5087D">
        <w:rPr>
          <w:b w:val="0"/>
          <w:bCs/>
        </w:rPr>
        <w:t>Transitioning workers and communities</w:t>
      </w:r>
      <w:bookmarkEnd w:id="92"/>
    </w:p>
    <w:p w14:paraId="2DD9FCA4" w14:textId="78721F2E"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The commitment to reduce emissions will present both opportunities and challenges – while new employment opportunities will be created, jobs will be lost. As explored in </w:t>
      </w:r>
      <w:r w:rsidRPr="00C21E18">
        <w:rPr>
          <w:rFonts w:eastAsia="Arial" w:cs="Arial"/>
          <w:b/>
          <w14:numForm w14:val="lining"/>
          <w14:numSpacing w14:val="proportional"/>
        </w:rPr>
        <w:t>Chapters 4 and 5</w:t>
      </w:r>
      <w:r w:rsidRPr="00E5087D">
        <w:rPr>
          <w:rFonts w:eastAsia="Arial" w:cs="Arial"/>
          <w14:numForm w14:val="lining"/>
          <w14:numSpacing w14:val="proportional"/>
        </w:rPr>
        <w:t>, the most immediate impact will be for workers employed in fossil fuel power stations and thermal coal mining. This chapter explores the barriers these transitioning workers face.</w:t>
      </w:r>
      <w:r w:rsidR="00DF7D9F">
        <w:rPr>
          <w:rFonts w:eastAsia="Arial" w:cs="Arial"/>
          <w14:numForm w14:val="lining"/>
          <w14:numSpacing w14:val="proportional"/>
        </w:rPr>
        <w:t xml:space="preserve"> </w:t>
      </w:r>
      <w:r w:rsidR="00DF7D9F">
        <w:rPr>
          <w:rFonts w:eastAsia="Arial" w:cs="Arial"/>
        </w:rPr>
        <w:t xml:space="preserve">Australia’s new Net Zero Authority (explored in </w:t>
      </w:r>
      <w:r w:rsidR="00DF7D9F" w:rsidRPr="00C21E18">
        <w:rPr>
          <w:rFonts w:eastAsia="Arial" w:cs="Arial"/>
          <w:b/>
        </w:rPr>
        <w:t>Chapter 1</w:t>
      </w:r>
      <w:r w:rsidR="00DF7D9F">
        <w:rPr>
          <w:rFonts w:eastAsia="Arial" w:cs="Arial"/>
        </w:rPr>
        <w:t>) will have an important role in supporting workers and communities to overcome these barriers.</w:t>
      </w:r>
    </w:p>
    <w:p w14:paraId="1EBDEB8F" w14:textId="77777777" w:rsidR="00E13239" w:rsidRPr="00E5087D" w:rsidRDefault="00E13239" w:rsidP="00E13239">
      <w:pPr>
        <w:spacing w:before="360" w:after="120" w:line="240" w:lineRule="auto"/>
        <w:rPr>
          <w:rFonts w:eastAsia="Arial" w:cs="Arial"/>
          <w:b/>
          <w:bCs/>
          <w:color w:val="6929C4" w:themeColor="accent1"/>
          <w:sz w:val="32"/>
          <w:szCs w:val="32"/>
          <w14:numForm w14:val="lining"/>
          <w14:numSpacing w14:val="proportional"/>
        </w:rPr>
      </w:pPr>
      <w:r w:rsidRPr="00E5087D">
        <w:rPr>
          <w:rFonts w:eastAsia="Arial" w:cs="Arial"/>
          <w:b/>
          <w:bCs/>
          <w:color w:val="6929C4" w:themeColor="accent1"/>
          <w:sz w:val="32"/>
          <w:szCs w:val="32"/>
          <w14:numForm w14:val="lining"/>
          <w14:numSpacing w14:val="proportional"/>
        </w:rPr>
        <w:t>The best outcomes for the individual</w:t>
      </w:r>
    </w:p>
    <w:p w14:paraId="61AE179A" w14:textId="64EF25D1" w:rsidR="00993D21" w:rsidRPr="00E5087D" w:rsidRDefault="00E13239" w:rsidP="00993D21">
      <w:pPr>
        <w:spacing w:after="120" w:line="276" w:lineRule="auto"/>
        <w:rPr>
          <w14:numForm w14:val="lining"/>
          <w14:numSpacing w14:val="proportional"/>
        </w:rPr>
      </w:pPr>
      <w:r w:rsidRPr="00E5087D">
        <w:rPr>
          <w14:numForm w14:val="lining"/>
          <w14:numSpacing w14:val="proportional"/>
        </w:rPr>
        <w:t>While some transitioning workers will move into clean energy jobs, this isn’t the only (or necessarily the best) outcome.</w:t>
      </w:r>
      <w:r w:rsidRPr="00E5087D">
        <w:rPr>
          <w:b/>
          <w:bCs/>
          <w14:numForm w14:val="lining"/>
          <w14:numSpacing w14:val="proportional"/>
        </w:rPr>
        <w:t xml:space="preserve"> </w:t>
      </w:r>
      <w:r w:rsidRPr="00E5087D">
        <w:rPr>
          <w14:numForm w14:val="lining"/>
          <w14:numSpacing w14:val="proportional"/>
        </w:rPr>
        <w:t xml:space="preserve">The most positive and sustainable outcomes for workers and employers are individualised ones. Local support networks play a crucial role in this as does timing, especially for workers at different stages of their career and </w:t>
      </w:r>
      <w:r w:rsidR="00993D21" w:rsidRPr="00E5087D">
        <w:rPr>
          <w14:numForm w14:val="lining"/>
          <w14:numSpacing w14:val="proportional"/>
        </w:rPr>
        <w:t>local</w:t>
      </w:r>
      <w:r w:rsidRPr="00E5087D">
        <w:rPr>
          <w14:numForm w14:val="lining"/>
          <w14:numSpacing w14:val="proportional"/>
        </w:rPr>
        <w:t xml:space="preserve"> support</w:t>
      </w:r>
      <w:r w:rsidR="003F012E">
        <w:rPr>
          <w14:numForm w14:val="lining"/>
          <w14:numSpacing w14:val="proportional"/>
        </w:rPr>
        <w:t>.</w:t>
      </w:r>
      <w:r w:rsidRPr="00E5087D">
        <w:rPr>
          <w14:numForm w14:val="lining"/>
          <w14:numSpacing w14:val="proportional"/>
        </w:rPr>
        <w:t xml:space="preserve"> </w:t>
      </w:r>
      <w:r w:rsidR="00993D21" w:rsidRPr="00E5087D">
        <w:rPr>
          <w14:numForm w14:val="lining"/>
          <w14:numSpacing w14:val="proportional"/>
        </w:rPr>
        <w:t>Various considerations</w:t>
      </w:r>
      <w:r w:rsidRPr="00E5087D">
        <w:rPr>
          <w14:numForm w14:val="lining"/>
          <w14:numSpacing w14:val="proportional"/>
        </w:rPr>
        <w:t xml:space="preserve"> include</w:t>
      </w:r>
      <w:r w:rsidR="00993D21" w:rsidRPr="00E5087D">
        <w:rPr>
          <w14:numForm w14:val="lining"/>
          <w14:numSpacing w14:val="proportional"/>
        </w:rPr>
        <w:t>:</w:t>
      </w:r>
    </w:p>
    <w:p w14:paraId="77028777" w14:textId="2CEF436E" w:rsidR="00E13239" w:rsidRPr="00E5087D" w:rsidRDefault="00E13239" w:rsidP="00F25595">
      <w:pPr>
        <w:pStyle w:val="ListParagraph"/>
        <w:numPr>
          <w:ilvl w:val="0"/>
          <w:numId w:val="47"/>
        </w:numPr>
        <w:spacing w:after="120" w:line="276" w:lineRule="auto"/>
        <w:ind w:left="714" w:hanging="357"/>
        <w:contextualSpacing w:val="0"/>
      </w:pPr>
      <w:r w:rsidRPr="00E5087D">
        <w:rPr>
          <w14:numForm w14:val="lining"/>
          <w14:numSpacing w14:val="proportional"/>
        </w:rPr>
        <w:t xml:space="preserve">Is there a clean energy job available in their region? If not, are they willing or able to relocate or commute? </w:t>
      </w:r>
    </w:p>
    <w:p w14:paraId="3713DB1D"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Does that job provide the conditions and flexibility they need? Including things like caring responsibilities and remuneration. </w:t>
      </w:r>
    </w:p>
    <w:p w14:paraId="0FC9BD2E"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Is it a permanent, long-term opportunity? Many clean energy jobs are in the short-term construction phase.</w:t>
      </w:r>
    </w:p>
    <w:p w14:paraId="496B58CA" w14:textId="77777777" w:rsidR="00E13239" w:rsidRPr="00E5087D" w:rsidRDefault="00E13239" w:rsidP="00F25595">
      <w:pPr>
        <w:pStyle w:val="ListParagraph"/>
        <w:numPr>
          <w:ilvl w:val="0"/>
          <w:numId w:val="47"/>
        </w:numPr>
        <w:spacing w:after="120" w:line="276" w:lineRule="auto"/>
        <w:ind w:left="714" w:hanging="357"/>
        <w:contextualSpacing w:val="0"/>
      </w:pPr>
      <w:r w:rsidRPr="00E5087D">
        <w:rPr>
          <w14:numForm w14:val="lining"/>
          <w14:numSpacing w14:val="proportional"/>
        </w:rPr>
        <w:t xml:space="preserve">Does the job require upskilling or reskilling? Is education and training something that they are willing or able to do? This can be particularly important for people who haven’t been in a training environment for a long time. Workers approaching retirement may be reluctant to invest their time in major reskilling. </w:t>
      </w:r>
    </w:p>
    <w:p w14:paraId="363A175F"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 xml:space="preserve">Do they want to explore a career in a new industry or occupation? </w:t>
      </w:r>
    </w:p>
    <w:p w14:paraId="6D9F771E" w14:textId="77777777" w:rsidR="00E13239" w:rsidRPr="00E5087D" w:rsidRDefault="00E13239" w:rsidP="00F25595">
      <w:pPr>
        <w:pStyle w:val="ListParagraph"/>
        <w:numPr>
          <w:ilvl w:val="0"/>
          <w:numId w:val="47"/>
        </w:numPr>
        <w:spacing w:after="120" w:line="276" w:lineRule="auto"/>
        <w:ind w:left="714" w:hanging="357"/>
        <w:contextualSpacing w:val="0"/>
        <w:rPr>
          <w14:numForm w14:val="lining"/>
          <w14:numSpacing w14:val="proportional"/>
        </w:rPr>
      </w:pPr>
      <w:r w:rsidRPr="00E5087D">
        <w:rPr>
          <w14:numForm w14:val="lining"/>
          <w14:numSpacing w14:val="proportional"/>
        </w:rPr>
        <w:t>Do they want to continue working at all? A successful transition outcome for an older worker may be early retirement enabled by a redundancy payout. In previous transitions, people have left the workforce to take up caring responsibilities, supporting their partner’s return to work.</w:t>
      </w:r>
    </w:p>
    <w:p w14:paraId="19A9B169" w14:textId="5B76C64B" w:rsidR="00E13239" w:rsidRPr="00E5087D" w:rsidRDefault="00E13239" w:rsidP="006B588B">
      <w:pPr>
        <w:spacing w:before="240" w:after="120"/>
        <w:ind w:right="170"/>
        <w:rPr>
          <w:rFonts w:eastAsia="Arial" w:cs="Arial"/>
        </w:rPr>
      </w:pPr>
      <w:r w:rsidRPr="00E5087D">
        <w:rPr>
          <w:rFonts w:eastAsia="Arial" w:cs="Arial"/>
        </w:rPr>
        <w:t xml:space="preserve">The transition to clean energy should also be acknowledged as a potential negative experience for many transitioning workers, communities and regions. Long-term industry heritage is </w:t>
      </w:r>
      <w:r w:rsidR="00993D21" w:rsidRPr="00E5087D">
        <w:rPr>
          <w:rFonts w:eastAsia="Arial" w:cs="Arial"/>
        </w:rPr>
        <w:t>often a</w:t>
      </w:r>
      <w:r w:rsidRPr="00E5087D">
        <w:rPr>
          <w:rFonts w:eastAsia="Arial" w:cs="Arial"/>
        </w:rPr>
        <w:t xml:space="preserve"> local source of pride </w:t>
      </w:r>
      <w:r w:rsidR="00993D21" w:rsidRPr="00E5087D">
        <w:rPr>
          <w:rFonts w:eastAsia="Arial" w:cs="Arial"/>
        </w:rPr>
        <w:t>and sense</w:t>
      </w:r>
      <w:r w:rsidRPr="00E5087D">
        <w:rPr>
          <w:rFonts w:eastAsia="Arial" w:cs="Arial"/>
        </w:rPr>
        <w:t xml:space="preserve"> of identity.</w:t>
      </w:r>
      <w:bookmarkStart w:id="93" w:name="_Ref143612439"/>
      <w:r w:rsidRPr="00E5087D">
        <w:rPr>
          <w:rStyle w:val="EndnoteReference"/>
          <w:rFonts w:eastAsia="Arial" w:cs="Arial"/>
        </w:rPr>
        <w:endnoteReference w:id="227"/>
      </w:r>
      <w:bookmarkEnd w:id="93"/>
      <w:r w:rsidRPr="00E5087D">
        <w:rPr>
          <w:rFonts w:eastAsia="Arial" w:cs="Arial"/>
        </w:rPr>
        <w:t xml:space="preserve"> Opportunities should be taken wherever possible to recognise and promote the crucial contributions of these workers and communities who have helped contribute to Australia’s prosperity.</w:t>
      </w:r>
    </w:p>
    <w:p w14:paraId="4316D2BB" w14:textId="4EAC06F9" w:rsidR="00F76CF5" w:rsidRDefault="00F76CF5" w:rsidP="006B588B">
      <w:pPr>
        <w:spacing w:before="120" w:after="120"/>
        <w:ind w:right="170"/>
        <w:rPr>
          <w:rFonts w:eastAsia="Arial" w:cs="Arial"/>
        </w:rPr>
      </w:pPr>
      <w:r>
        <w:rPr>
          <w:rFonts w:eastAsia="Arial" w:cs="Arial"/>
        </w:rPr>
        <w:t xml:space="preserve">As explored in </w:t>
      </w:r>
      <w:r w:rsidRPr="00C21E18">
        <w:rPr>
          <w:rFonts w:eastAsia="Arial" w:cs="Arial"/>
          <w:b/>
        </w:rPr>
        <w:t>Chapter 1</w:t>
      </w:r>
      <w:r>
        <w:rPr>
          <w:rFonts w:eastAsia="Arial" w:cs="Arial"/>
        </w:rPr>
        <w:t xml:space="preserve">, the new Net Zero Authority will </w:t>
      </w:r>
      <w:r w:rsidR="002A1DB1">
        <w:rPr>
          <w:rFonts w:eastAsia="Arial" w:cs="Arial"/>
        </w:rPr>
        <w:t>have</w:t>
      </w:r>
      <w:r>
        <w:rPr>
          <w:rFonts w:eastAsia="Arial" w:cs="Arial"/>
        </w:rPr>
        <w:t xml:space="preserve"> an important role </w:t>
      </w:r>
      <w:r w:rsidR="002A1DB1">
        <w:rPr>
          <w:rFonts w:eastAsia="Arial" w:cs="Arial"/>
        </w:rPr>
        <w:t>to support workers in</w:t>
      </w:r>
      <w:r w:rsidR="00CA5983">
        <w:rPr>
          <w:rFonts w:eastAsia="Arial" w:cs="Arial"/>
        </w:rPr>
        <w:t xml:space="preserve"> sectors that are</w:t>
      </w:r>
      <w:r w:rsidR="002A1DB1">
        <w:rPr>
          <w:rFonts w:eastAsia="Arial" w:cs="Arial"/>
        </w:rPr>
        <w:t xml:space="preserve"> emissions-intensive, and coordinate programs and policies across government.</w:t>
      </w:r>
    </w:p>
    <w:p w14:paraId="3C4AECF3" w14:textId="77777777" w:rsidR="006B588B" w:rsidRDefault="006B588B">
      <w:pPr>
        <w:rPr>
          <w:b/>
          <w:bCs/>
          <w14:numForm w14:val="lining"/>
          <w14:numSpacing w14:val="proportional"/>
        </w:rPr>
      </w:pPr>
      <w:r>
        <w:rPr>
          <w:b/>
          <w:bCs/>
          <w14:numForm w14:val="lining"/>
          <w14:numSpacing w14:val="proportional"/>
        </w:rPr>
        <w:br w:type="page"/>
      </w:r>
    </w:p>
    <w:p w14:paraId="24902EAB" w14:textId="27393EE2" w:rsidR="006B588B" w:rsidRDefault="006B588B" w:rsidP="006B588B">
      <w:pPr>
        <w:spacing w:before="120"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5" behindDoc="1" locked="0" layoutInCell="1" allowOverlap="1" wp14:anchorId="3600AD1B" wp14:editId="5F80132D">
                <wp:simplePos x="0" y="0"/>
                <wp:positionH relativeFrom="column">
                  <wp:posOffset>7495</wp:posOffset>
                </wp:positionH>
                <wp:positionV relativeFrom="paragraph">
                  <wp:posOffset>-29980</wp:posOffset>
                </wp:positionV>
                <wp:extent cx="5731510" cy="1094283"/>
                <wp:effectExtent l="0" t="0" r="21590" b="10795"/>
                <wp:wrapNone/>
                <wp:docPr id="612265848" name="Group 6122658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1510" cy="1094283"/>
                          <a:chOff x="0" y="0"/>
                          <a:chExt cx="5880735" cy="1124447"/>
                        </a:xfrm>
                      </wpg:grpSpPr>
                      <wps:wsp>
                        <wps:cNvPr id="612265849" name="Rectangle: Top Corners Rounded 612265849"/>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1D1389" w14:textId="0CA79C8F"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12265850" name="Rectangle 612265850"/>
                        <wps:cNvSpPr/>
                        <wps:spPr>
                          <a:xfrm>
                            <a:off x="0" y="229913"/>
                            <a:ext cx="5880735" cy="894534"/>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A31E2" w14:textId="2438257A" w:rsidR="00E13239" w:rsidRPr="00290C33" w:rsidRDefault="00E13239" w:rsidP="00E13239">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00AD1B" id="Group 612265848" o:spid="_x0000_s1239" alt="&quot;&quot;" style="position:absolute;left:0;text-align:left;margin-left:.6pt;margin-top:-2.35pt;width:451.3pt;height:86.15pt;z-index:-251658145;mso-position-horizontal-relative:text;mso-position-vertical-relative:text;mso-height-relative:margin" coordsize="58807,1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">
                <v:shape id="Rectangle: Top Corners Rounded 612265849" o:spid="_x0000_s1240"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2C1D1389" w14:textId="0CA79C8F" w:rsidR="00E13239" w:rsidRPr="006E07A7" w:rsidRDefault="00E13239" w:rsidP="00E13239">
                        <w:pPr>
                          <w:spacing w:after="0" w:line="240" w:lineRule="auto"/>
                          <w:rPr>
                            <w:b/>
                            <w:bCs/>
                            <w14:numForm w14:val="lining"/>
                            <w14:numSpacing w14:val="proportional"/>
                          </w:rPr>
                        </w:pPr>
                      </w:p>
                    </w:txbxContent>
                  </v:textbox>
                </v:shape>
                <v:rect id="Rectangle 612265850" o:spid="_x0000_s1241" style="position:absolute;top:2299;width:58807;height:8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" fillcolor="#f2f2f2" strokecolor="#e0d1f5 [660]" strokeweight="1pt">
                  <v:textbox inset="2mm,1mm,2mm,1mm">
                    <w:txbxContent>
                      <w:p w14:paraId="2F7A31E2" w14:textId="2438257A" w:rsidR="00E13239" w:rsidRPr="00290C33" w:rsidRDefault="00E13239" w:rsidP="00E13239">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8.13</w:t>
      </w:r>
    </w:p>
    <w:p w14:paraId="1B36E8DD" w14:textId="3771639E" w:rsidR="006B588B" w:rsidRPr="006B588B" w:rsidRDefault="006B588B" w:rsidP="006B588B">
      <w:pPr>
        <w:spacing w:after="0" w:line="240" w:lineRule="auto"/>
        <w:ind w:left="170" w:right="113"/>
        <w:rPr>
          <w:rFonts w:eastAsia="Calibri" w:cs="Times New Roman"/>
          <w:color w:val="000000"/>
          <w14:ligatures w14:val="standardContextual"/>
        </w:rPr>
      </w:pPr>
      <w:r>
        <w:rPr>
          <w:rFonts w:eastAsia="Arial" w:cs="Arial"/>
        </w:rPr>
        <w:t>Government</w:t>
      </w:r>
      <w:r w:rsidRPr="00C6614C">
        <w:rPr>
          <w:rFonts w:eastAsia="Arial" w:cs="Arial"/>
        </w:rPr>
        <w:t xml:space="preserve"> entities should ensure transition outcomes aren’t predetermined for workers. While some workers may move into clean energy roles, government policy shouldn’t be based solely on the expectation of such a shift. The employment needs, circumstances and preferences of each worker should drive government interventions.</w:t>
      </w:r>
    </w:p>
    <w:p w14:paraId="2DFDC1D8" w14:textId="1C852E7D" w:rsidR="00E13239" w:rsidRPr="00E5087D" w:rsidRDefault="00E13239" w:rsidP="006B588B">
      <w:pPr>
        <w:spacing w:before="600" w:after="120" w:line="240" w:lineRule="auto"/>
        <w:rPr>
          <w:rFonts w:eastAsia="Arial" w:cs="Arial"/>
          <w:b/>
          <w:bCs/>
          <w:color w:val="6929C4" w:themeColor="accent1"/>
          <w:sz w:val="32"/>
          <w:szCs w:val="32"/>
        </w:rPr>
      </w:pPr>
      <w:r w:rsidRPr="00E5087D">
        <w:rPr>
          <w:rFonts w:eastAsia="Arial" w:cs="Arial"/>
          <w:b/>
          <w:bCs/>
          <w:color w:val="6929C4" w:themeColor="accent1"/>
          <w:sz w:val="32"/>
          <w:szCs w:val="32"/>
        </w:rPr>
        <w:t xml:space="preserve">Forward </w:t>
      </w:r>
      <w:r w:rsidR="0CFA266A" w:rsidRPr="73B10D08">
        <w:rPr>
          <w:rFonts w:eastAsia="Arial" w:cs="Arial"/>
          <w:b/>
          <w:bCs/>
          <w:color w:val="6929C4" w:themeColor="accent1"/>
          <w:sz w:val="32"/>
          <w:szCs w:val="32"/>
        </w:rPr>
        <w:t>p</w:t>
      </w:r>
      <w:r w:rsidRPr="73B10D08">
        <w:rPr>
          <w:rFonts w:eastAsia="Arial" w:cs="Arial"/>
          <w:b/>
          <w:bCs/>
          <w:color w:val="6929C4" w:themeColor="accent1"/>
          <w:sz w:val="32"/>
          <w:szCs w:val="32"/>
        </w:rPr>
        <w:t>lanning</w:t>
      </w:r>
    </w:p>
    <w:p w14:paraId="7B024079" w14:textId="7F39E7D2" w:rsidR="00E13239" w:rsidRPr="00E5087D" w:rsidRDefault="00E13239" w:rsidP="00E13239">
      <w:pPr>
        <w:spacing w:after="120" w:line="276" w:lineRule="auto"/>
        <w:rPr>
          <w:rFonts w:eastAsia="Arial" w:cs="Arial"/>
          <w14:numForm w14:val="lining"/>
          <w14:numSpacing w14:val="proportional"/>
        </w:rPr>
      </w:pPr>
      <w:r w:rsidRPr="00E5087D">
        <w:rPr>
          <w:rFonts w:eastAsia="Arial" w:cs="Arial"/>
        </w:rPr>
        <w:t>Open dialogue between business, unions and government to give maximum notice about future site closures provides the starting point for considered forward planning. S</w:t>
      </w:r>
      <w:r w:rsidRPr="00E5087D">
        <w:rPr>
          <w:rFonts w:eastAsia="Arial" w:cs="Arial"/>
          <w14:numForm w14:val="lining"/>
          <w14:numSpacing w14:val="proportional"/>
        </w:rPr>
        <w:t>hort notification periods prior to large-scale business closures have been well documented</w:t>
      </w:r>
      <w:r w:rsidRPr="00E5087D">
        <w:rPr>
          <w:rFonts w:eastAsia="Arial" w:cs="Arial"/>
        </w:rPr>
        <w:t xml:space="preserve"> and demonstrate what not to do</w:t>
      </w:r>
      <w:r w:rsidR="00526A1F">
        <w:rPr>
          <w:rFonts w:eastAsia="Arial" w:cs="Arial"/>
        </w:rPr>
        <w:t>.</w:t>
      </w:r>
      <w:r w:rsidRPr="00E5087D">
        <w:rPr>
          <w:rFonts w:eastAsia="Arial" w:cs="Arial"/>
        </w:rPr>
        <w:t xml:space="preserve"> For example, </w:t>
      </w:r>
      <w:r w:rsidR="00C91228">
        <w:rPr>
          <w:rFonts w:eastAsia="Arial" w:cs="Arial"/>
        </w:rPr>
        <w:t>t</w:t>
      </w:r>
      <w:r w:rsidRPr="00E5087D">
        <w:rPr>
          <w:rFonts w:eastAsia="Arial" w:cs="Arial"/>
          <w14:numForm w14:val="lining"/>
          <w14:numSpacing w14:val="proportional"/>
        </w:rPr>
        <w:t>he 2017 Hazelwood power plant closure in Latrobe Valley (Gippsland VIC</w:t>
      </w:r>
      <w:r w:rsidR="000B69E4" w:rsidRPr="00E5087D">
        <w:rPr>
          <w:rFonts w:eastAsia="Arial" w:cs="Arial"/>
          <w14:numForm w14:val="lining"/>
          <w14:numSpacing w14:val="proportional"/>
        </w:rPr>
        <w:t>), only</w:t>
      </w:r>
      <w:r w:rsidRPr="00E5087D">
        <w:rPr>
          <w:rFonts w:eastAsia="Arial" w:cs="Arial"/>
          <w14:numForm w14:val="lining"/>
          <w14:numSpacing w14:val="proportional"/>
        </w:rPr>
        <w:t xml:space="preserve"> </w:t>
      </w:r>
      <w:r w:rsidRPr="00E5087D">
        <w:rPr>
          <w:rFonts w:eastAsia="Arial" w:cs="Arial"/>
        </w:rPr>
        <w:t xml:space="preserve">gave </w:t>
      </w:r>
      <w:r w:rsidRPr="00E5087D">
        <w:rPr>
          <w:rFonts w:eastAsia="Arial" w:cs="Arial"/>
          <w14:numForm w14:val="lining"/>
          <w14:numSpacing w14:val="proportional"/>
        </w:rPr>
        <w:t>five months’ notice</w:t>
      </w:r>
      <w:r w:rsidR="00817124">
        <w:rPr>
          <w:rFonts w:eastAsia="Arial" w:cs="Arial"/>
          <w14:numForm w14:val="lining"/>
          <w14:numSpacing w14:val="proportional"/>
        </w:rPr>
        <w:t>.</w:t>
      </w:r>
      <w:r w:rsidR="00817124">
        <w:rPr>
          <w:rStyle w:val="EndnoteReference"/>
          <w:rFonts w:eastAsia="Arial" w:cs="Arial"/>
          <w14:numForm w14:val="lining"/>
          <w14:numSpacing w14:val="proportional"/>
        </w:rPr>
        <w:endnoteReference w:id="228"/>
      </w:r>
      <w:r w:rsidRPr="00E5087D">
        <w:rPr>
          <w:rFonts w:eastAsia="Arial" w:cs="Arial"/>
          <w14:numForm w14:val="lining"/>
          <w14:numSpacing w14:val="proportional"/>
        </w:rPr>
        <w:t xml:space="preserve"> </w:t>
      </w:r>
      <w:r w:rsidRPr="00E5087D">
        <w:rPr>
          <w:rFonts w:eastAsia="Arial" w:cs="Arial"/>
        </w:rPr>
        <w:t>E</w:t>
      </w:r>
      <w:r w:rsidRPr="00E5087D">
        <w:rPr>
          <w:rFonts w:eastAsia="Arial" w:cs="Arial"/>
          <w14:numForm w14:val="lining"/>
          <w14:numSpacing w14:val="proportional"/>
        </w:rPr>
        <w:t xml:space="preserve">arly notification </w:t>
      </w:r>
      <w:r w:rsidR="000B69E4" w:rsidRPr="00E5087D">
        <w:rPr>
          <w:rFonts w:eastAsia="Arial" w:cs="Arial"/>
          <w14:numForm w14:val="lining"/>
          <w14:numSpacing w14:val="proportional"/>
        </w:rPr>
        <w:t>and lead</w:t>
      </w:r>
      <w:r w:rsidRPr="00E5087D">
        <w:rPr>
          <w:rFonts w:eastAsia="Arial" w:cs="Arial"/>
        </w:rPr>
        <w:t xml:space="preserve">-in </w:t>
      </w:r>
      <w:r w:rsidRPr="00E5087D">
        <w:rPr>
          <w:rFonts w:eastAsia="Arial" w:cs="Arial"/>
          <w14:numForm w14:val="lining"/>
          <w14:numSpacing w14:val="proportional"/>
        </w:rPr>
        <w:t xml:space="preserve">time </w:t>
      </w:r>
      <w:r w:rsidR="00993D21" w:rsidRPr="00E5087D">
        <w:rPr>
          <w:rFonts w:eastAsia="Arial" w:cs="Arial"/>
          <w14:numForm w14:val="lining"/>
          <w14:numSpacing w14:val="proportional"/>
        </w:rPr>
        <w:t>offer benefits</w:t>
      </w:r>
      <w:r w:rsidRPr="00E5087D">
        <w:rPr>
          <w:rFonts w:eastAsia="Arial" w:cs="Arial"/>
          <w14:numForm w14:val="lining"/>
          <w14:numSpacing w14:val="proportional"/>
        </w:rPr>
        <w:t xml:space="preserve"> that work across all domains when designing and implementing industry transition supports.</w:t>
      </w:r>
      <w:r w:rsidRPr="00E5087D">
        <w:rPr>
          <w:rStyle w:val="EndnoteReference"/>
          <w:rFonts w:eastAsia="Arial" w:cs="Arial"/>
          <w14:numForm w14:val="lining"/>
          <w14:numSpacing w14:val="proportional"/>
        </w:rPr>
        <w:endnoteReference w:id="229"/>
      </w:r>
      <w:r w:rsidRPr="00E5087D">
        <w:rPr>
          <w:rFonts w:eastAsia="Arial" w:cs="Arial"/>
          <w14:numForm w14:val="lining"/>
          <w14:numSpacing w14:val="proportional"/>
        </w:rPr>
        <w:t xml:space="preserve"> </w:t>
      </w:r>
    </w:p>
    <w:p w14:paraId="20706D53" w14:textId="7777777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For government, advanced notice allows time to establish robust governance and coordination arrangements, and to engage wider stakeholder and supply chain networks. Detailed regional planning can be conducted to stimulate investment and diversification, and additional supports can be mobilised that add to or enhance existing services. </w:t>
      </w:r>
    </w:p>
    <w:p w14:paraId="141EDD4D" w14:textId="77777777" w:rsidR="00E13239" w:rsidRPr="00E5087D" w:rsidRDefault="00E13239" w:rsidP="00E13239">
      <w:pPr>
        <w:spacing w:after="120" w:line="276" w:lineRule="auto"/>
        <w:rPr>
          <w14:numForm w14:val="lining"/>
          <w14:numSpacing w14:val="proportional"/>
        </w:rPr>
      </w:pPr>
      <w:r w:rsidRPr="00E5087D">
        <w:rPr>
          <w:rFonts w:eastAsia="Arial" w:cs="Arial"/>
          <w14:numForm w14:val="lining"/>
          <w14:numSpacing w14:val="proportional"/>
        </w:rPr>
        <w:t>A well-planned, values-driven approach can also demonstrate good will by the employer and supports the business’ ongoing legacy and reputation. Inclusive engagement with workers can also better enable the business to meet operational requirements until the closure date.</w:t>
      </w:r>
    </w:p>
    <w:p w14:paraId="7F1C85C5" w14:textId="77777777" w:rsidR="00E13239" w:rsidRPr="00E5087D" w:rsidRDefault="00E13239" w:rsidP="00E13239">
      <w:pPr>
        <w:spacing w:after="120" w:line="276" w:lineRule="auto"/>
        <w:rPr>
          <w14:numForm w14:val="lining"/>
          <w14:numSpacing w14:val="proportional"/>
        </w:rPr>
      </w:pPr>
      <w:r w:rsidRPr="00E5087D">
        <w:rPr>
          <w:rFonts w:eastAsia="Arial" w:cs="Arial"/>
          <w14:numForm w14:val="lining"/>
          <w14:numSpacing w14:val="proportional"/>
        </w:rPr>
        <w:t>For workers, it allows adjustment time to the initial shock of closure announcements. There is opportunity to explore a wider range of options and access a variety of supports. It also allows enough time to complete longer-term training such as Certificate III and IV qualifications. Labour market engagement can be conducted to promote worker skill sets and engage potential new employers via events such as career fairs.</w:t>
      </w:r>
    </w:p>
    <w:p w14:paraId="0444DC9E" w14:textId="77777777" w:rsidR="00E13239" w:rsidRPr="00E5087D" w:rsidRDefault="00E13239" w:rsidP="00E13239">
      <w:pPr>
        <w:spacing w:before="240" w:after="120" w:line="240" w:lineRule="auto"/>
        <w:rPr>
          <w:rFonts w:eastAsia="Arial" w:cs="Arial"/>
          <w:b/>
          <w:bCs/>
          <w:color w:val="6929C4" w:themeColor="accent1"/>
          <w:sz w:val="32"/>
          <w:szCs w:val="32"/>
        </w:rPr>
      </w:pPr>
      <w:r w:rsidRPr="00E5087D">
        <w:rPr>
          <w:rFonts w:eastAsia="Arial" w:cs="Arial"/>
          <w:b/>
          <w:bCs/>
          <w:color w:val="6929C4" w:themeColor="accent1"/>
          <w:sz w:val="32"/>
          <w:szCs w:val="32"/>
        </w:rPr>
        <w:t>Early engagement with individual support</w:t>
      </w:r>
    </w:p>
    <w:p w14:paraId="60D04B39" w14:textId="5FA2F0EF"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Even where closure notifications have been provided </w:t>
      </w:r>
      <w:r w:rsidR="5FE6515F" w:rsidRPr="00E5087D">
        <w:rPr>
          <w:rFonts w:eastAsia="Arial" w:cs="Arial"/>
          <w14:numForm w14:val="lining"/>
          <w14:numSpacing w14:val="proportional"/>
        </w:rPr>
        <w:t xml:space="preserve">with </w:t>
      </w:r>
      <w:r w:rsidRPr="00E5087D">
        <w:rPr>
          <w:rFonts w:eastAsia="Arial" w:cs="Arial"/>
          <w14:numForm w14:val="lining"/>
          <w14:numSpacing w14:val="proportional"/>
        </w:rPr>
        <w:t xml:space="preserve">years </w:t>
      </w:r>
      <w:r w:rsidR="375DD8D6" w:rsidRPr="00E5087D">
        <w:rPr>
          <w:rFonts w:eastAsia="Arial" w:cs="Arial"/>
          <w14:numForm w14:val="lining"/>
          <w14:numSpacing w14:val="proportional"/>
        </w:rPr>
        <w:t>of forward notice</w:t>
      </w:r>
      <w:r w:rsidRPr="00E5087D">
        <w:rPr>
          <w:rFonts w:eastAsia="Arial" w:cs="Arial"/>
          <w14:numForm w14:val="lining"/>
          <w14:numSpacing w14:val="proportional"/>
        </w:rPr>
        <w:t xml:space="preserve">, the effective use of lead time is critical. Early messaging and access to case management services and other worker transitions supports during initial transition phases are </w:t>
      </w:r>
      <w:r w:rsidR="008E0FC3">
        <w:rPr>
          <w:rFonts w:eastAsia="Arial" w:cs="Arial"/>
          <w14:numForm w14:val="lining"/>
          <w14:numSpacing w14:val="proportional"/>
        </w:rPr>
        <w:t>im</w:t>
      </w:r>
      <w:r w:rsidR="00793A60">
        <w:rPr>
          <w:rFonts w:eastAsia="Arial" w:cs="Arial"/>
          <w14:numForm w14:val="lining"/>
          <w14:numSpacing w14:val="proportional"/>
        </w:rPr>
        <w:t>portant</w:t>
      </w:r>
      <w:r w:rsidRPr="00E5087D">
        <w:rPr>
          <w:rFonts w:eastAsia="Arial" w:cs="Arial"/>
          <w14:numForm w14:val="lining"/>
          <w14:numSpacing w14:val="proportional"/>
        </w:rPr>
        <w:t>. They help workers process the impact of closure announcements, seek early health and wellbeing supports, and set-up a well-planned approach that best meets their needs and goals.</w:t>
      </w:r>
    </w:p>
    <w:p w14:paraId="31E2C1E5" w14:textId="6379D869" w:rsidR="00E13239" w:rsidRPr="00E5087D" w:rsidRDefault="00296D0B" w:rsidP="00E13239">
      <w:pPr>
        <w:spacing w:after="120" w:line="276" w:lineRule="auto"/>
        <w:rPr>
          <w:rFonts w:eastAsia="Arial" w:cs="Arial"/>
          <w14:numForm w14:val="lining"/>
          <w14:numSpacing w14:val="proportional"/>
        </w:rPr>
      </w:pPr>
      <w:r>
        <w:rPr>
          <w:rFonts w:eastAsia="Arial" w:cs="Arial"/>
          <w14:numForm w14:val="lining"/>
          <w14:numSpacing w14:val="proportional"/>
        </w:rPr>
        <w:t>This is likely to occur in</w:t>
      </w:r>
      <w:r w:rsidR="00E13239" w:rsidRPr="00E5087D">
        <w:rPr>
          <w:rFonts w:eastAsia="Arial" w:cs="Arial"/>
          <w14:numForm w14:val="lining"/>
          <w14:numSpacing w14:val="proportional"/>
        </w:rPr>
        <w:t xml:space="preserve"> the coal-fired power sector, where power-plant closures have been scheduled well in advance. While these timeframes are expected to accelerate in some cases, a 42-month minimum notice period is now required by the Australian Energy Regulator for </w:t>
      </w:r>
      <w:r w:rsidR="008A55E2" w:rsidRPr="008A55E2">
        <w:rPr>
          <w:rFonts w:eastAsia="Arial" w:cs="Arial"/>
          <w14:numForm w14:val="lining"/>
          <w14:numSpacing w14:val="proportional"/>
        </w:rPr>
        <w:t>NEM</w:t>
      </w:r>
      <w:r w:rsidR="00E13239" w:rsidRPr="00E5087D">
        <w:rPr>
          <w:rFonts w:eastAsia="Arial" w:cs="Arial"/>
          <w14:numForm w14:val="lining"/>
          <w14:numSpacing w14:val="proportional"/>
        </w:rPr>
        <w:t xml:space="preserve"> generator closures.</w:t>
      </w:r>
      <w:r w:rsidR="00E13239" w:rsidRPr="00E5087D">
        <w:rPr>
          <w:rStyle w:val="EndnoteReference"/>
          <w:rFonts w:eastAsia="Arial" w:cs="Arial"/>
          <w14:numForm w14:val="lining"/>
          <w14:numSpacing w14:val="proportional"/>
        </w:rPr>
        <w:endnoteReference w:id="230"/>
      </w:r>
    </w:p>
    <w:p w14:paraId="63352F27" w14:textId="1681AC6F" w:rsidR="00E13239" w:rsidRPr="00E5087D" w:rsidRDefault="00E13239" w:rsidP="00E13239">
      <w:pPr>
        <w:spacing w:after="240" w:line="276" w:lineRule="auto"/>
      </w:pPr>
      <w:r w:rsidRPr="00E5087D">
        <w:rPr>
          <w14:numForm w14:val="lining"/>
          <w14:numSpacing w14:val="proportional"/>
        </w:rPr>
        <w:t xml:space="preserve">JSA also heard of many instances where workers chose to remain in coal-fired generation after their plant closes (by moving to a different worksite or employer), rather than transition out of the industry altogether. While this has a short-term benefit for the worker and </w:t>
      </w:r>
      <w:r w:rsidRPr="00E5087D">
        <w:t xml:space="preserve">potentially helps some </w:t>
      </w:r>
      <w:r w:rsidR="000B69E4" w:rsidRPr="00E5087D">
        <w:t>reach retirement</w:t>
      </w:r>
      <w:r w:rsidRPr="00E5087D">
        <w:t>)</w:t>
      </w:r>
      <w:r w:rsidRPr="00E5087D">
        <w:rPr>
          <w14:numForm w14:val="lining"/>
          <w14:numSpacing w14:val="proportional"/>
        </w:rPr>
        <w:t>, eventually this will not be an option.</w:t>
      </w:r>
      <w:r w:rsidRPr="00E5087D">
        <w:rPr>
          <w:rFonts w:eastAsia="Arial" w:cs="Arial"/>
          <w:b/>
          <w:bCs/>
          <w:color w:val="6929C4" w:themeColor="accent1"/>
          <w:sz w:val="28"/>
          <w:szCs w:val="28"/>
        </w:rPr>
        <w:br w:type="page"/>
      </w:r>
    </w:p>
    <w:p w14:paraId="0A5ED785" w14:textId="77777777" w:rsidR="00E13239" w:rsidRPr="00E5087D" w:rsidRDefault="00E13239" w:rsidP="00E13239">
      <w:pPr>
        <w:spacing w:before="240" w:after="120" w:line="240" w:lineRule="auto"/>
        <w:rPr>
          <w:rFonts w:eastAsia="Arial" w:cs="Arial"/>
          <w:b/>
          <w:bCs/>
          <w:color w:val="6929C4" w:themeColor="accent1"/>
          <w:sz w:val="32"/>
          <w:szCs w:val="32"/>
        </w:rPr>
      </w:pPr>
      <w:r w:rsidRPr="00E5087D">
        <w:rPr>
          <w:rFonts w:eastAsia="Arial" w:cs="Arial"/>
          <w:b/>
          <w:bCs/>
          <w:color w:val="6929C4" w:themeColor="accent1"/>
          <w:sz w:val="32"/>
          <w:szCs w:val="32"/>
        </w:rPr>
        <w:t>An integrated model of transition support services</w:t>
      </w:r>
    </w:p>
    <w:p w14:paraId="0C96A41B" w14:textId="61C586EE" w:rsidR="0017522A" w:rsidRDefault="001D5544" w:rsidP="0017522A">
      <w:pPr>
        <w:spacing w:after="120"/>
        <w:rPr>
          <w:rFonts w:cs="Arial"/>
        </w:rPr>
      </w:pPr>
      <w:r w:rsidRPr="00583470">
        <w:rPr>
          <w:rFonts w:cs="Arial"/>
        </w:rPr>
        <w:t xml:space="preserve">Employers, the federal government, and state and territory governments can mobilise a wide </w:t>
      </w:r>
      <w:r w:rsidR="0017522A" w:rsidRPr="00583470">
        <w:rPr>
          <w:rFonts w:cs="Arial"/>
        </w:rPr>
        <w:t>range of services to support workers impacted by industry transition events</w:t>
      </w:r>
      <w:r w:rsidR="0017522A">
        <w:rPr>
          <w:rFonts w:cs="Arial"/>
        </w:rPr>
        <w:t>,</w:t>
      </w:r>
      <w:r w:rsidR="0017522A" w:rsidRPr="00583470">
        <w:rPr>
          <w:rFonts w:cs="Arial"/>
        </w:rPr>
        <w:t xml:space="preserve"> </w:t>
      </w:r>
      <w:r w:rsidR="0017522A">
        <w:rPr>
          <w:rFonts w:cs="Arial"/>
        </w:rPr>
        <w:t xml:space="preserve">as listed in </w:t>
      </w:r>
      <w:r w:rsidR="0017522A" w:rsidRPr="00583470">
        <w:rPr>
          <w:rFonts w:cs="Arial"/>
        </w:rPr>
        <w:t xml:space="preserve">Table </w:t>
      </w:r>
      <w:r w:rsidR="0017522A">
        <w:rPr>
          <w:rFonts w:cs="Arial"/>
        </w:rPr>
        <w:t>8.2</w:t>
      </w:r>
      <w:r w:rsidR="0017522A" w:rsidRPr="00583470">
        <w:rPr>
          <w:rFonts w:cs="Arial"/>
        </w:rPr>
        <w:t xml:space="preserve">. The table sets out the supports typically available to help affected workers during a transition, based on best practice. The supports offered </w:t>
      </w:r>
      <w:r w:rsidR="0017522A">
        <w:rPr>
          <w:rFonts w:cs="Arial"/>
        </w:rPr>
        <w:t>can</w:t>
      </w:r>
      <w:r w:rsidR="0017522A" w:rsidRPr="00583470">
        <w:rPr>
          <w:rFonts w:cs="Arial"/>
        </w:rPr>
        <w:t xml:space="preserve"> vary depending on the circumstances of </w:t>
      </w:r>
      <w:r w:rsidR="0017522A">
        <w:rPr>
          <w:rFonts w:cs="Arial"/>
        </w:rPr>
        <w:t>individual</w:t>
      </w:r>
      <w:r w:rsidR="0017522A" w:rsidRPr="00583470">
        <w:rPr>
          <w:rFonts w:cs="Arial"/>
        </w:rPr>
        <w:t xml:space="preserve"> </w:t>
      </w:r>
      <w:r w:rsidR="0017522A">
        <w:rPr>
          <w:rFonts w:cs="Arial"/>
        </w:rPr>
        <w:t>events</w:t>
      </w:r>
      <w:r w:rsidR="0017522A" w:rsidRPr="00583470">
        <w:rPr>
          <w:rFonts w:cs="Arial"/>
        </w:rPr>
        <w:t>, including the length of notice periods and the resources of the employer. T</w:t>
      </w:r>
      <w:r w:rsidR="0017522A">
        <w:rPr>
          <w:rFonts w:cs="Arial"/>
        </w:rPr>
        <w:t>ransition</w:t>
      </w:r>
      <w:r w:rsidR="0017522A" w:rsidRPr="00583470">
        <w:rPr>
          <w:rFonts w:cs="Arial"/>
        </w:rPr>
        <w:t xml:space="preserve"> supports work most effectively when all relevant stakeholders, including state and territory </w:t>
      </w:r>
      <w:r w:rsidR="0017522A">
        <w:rPr>
          <w:rFonts w:cs="Arial"/>
        </w:rPr>
        <w:t>g</w:t>
      </w:r>
      <w:r w:rsidR="0017522A" w:rsidRPr="00583470">
        <w:rPr>
          <w:rFonts w:cs="Arial"/>
        </w:rPr>
        <w:t xml:space="preserve">overnments, the federal </w:t>
      </w:r>
      <w:r w:rsidR="0017522A">
        <w:rPr>
          <w:rFonts w:cs="Arial"/>
        </w:rPr>
        <w:t>g</w:t>
      </w:r>
      <w:r w:rsidR="0017522A" w:rsidRPr="00583470">
        <w:rPr>
          <w:rFonts w:cs="Arial"/>
        </w:rPr>
        <w:t>overnment</w:t>
      </w:r>
      <w:r w:rsidR="0017522A">
        <w:rPr>
          <w:rFonts w:cs="Arial"/>
        </w:rPr>
        <w:t>,</w:t>
      </w:r>
      <w:r w:rsidR="0017522A" w:rsidRPr="00583470">
        <w:rPr>
          <w:rFonts w:cs="Arial"/>
        </w:rPr>
        <w:t xml:space="preserve"> and employers</w:t>
      </w:r>
      <w:r w:rsidR="0017522A">
        <w:rPr>
          <w:rFonts w:cs="Arial"/>
        </w:rPr>
        <w:t>,</w:t>
      </w:r>
      <w:r w:rsidR="0017522A" w:rsidRPr="00583470">
        <w:rPr>
          <w:rFonts w:cs="Arial"/>
        </w:rPr>
        <w:t xml:space="preserve"> work together cooperatively to deliver them.</w:t>
      </w:r>
      <w:r w:rsidR="0017522A">
        <w:rPr>
          <w:rFonts w:cs="Arial"/>
          <w:sz w:val="20"/>
          <w:szCs w:val="20"/>
        </w:rPr>
        <w:t xml:space="preserve">  </w:t>
      </w:r>
      <w:r w:rsidR="0017522A">
        <w:rPr>
          <w:rFonts w:cs="Arial"/>
        </w:rPr>
        <w:t>The following breakdown provides insights into the services offered by each party.</w:t>
      </w:r>
    </w:p>
    <w:p w14:paraId="0A224AAC" w14:textId="77777777" w:rsidR="0017522A" w:rsidRDefault="0017522A" w:rsidP="0017522A">
      <w:pPr>
        <w:spacing w:after="120"/>
        <w:rPr>
          <w:rFonts w:cs="Arial"/>
        </w:rPr>
      </w:pPr>
      <w:r w:rsidRPr="00F20DE1">
        <w:rPr>
          <w:rFonts w:cs="Arial"/>
          <w:b/>
          <w:bCs/>
        </w:rPr>
        <w:t>Employers</w:t>
      </w:r>
      <w:r w:rsidRPr="00004149">
        <w:rPr>
          <w:rFonts w:cs="Arial"/>
        </w:rPr>
        <w:t xml:space="preserve"> retain primary responsibility to fund and deliver transition supports from the initial closure announcement up until the worker’s end-date, with some extensions beyond.</w:t>
      </w:r>
      <w:r>
        <w:rPr>
          <w:rFonts w:cs="Arial"/>
        </w:rPr>
        <w:t xml:space="preserve"> Access to t</w:t>
      </w:r>
      <w:r w:rsidRPr="00004149">
        <w:rPr>
          <w:rFonts w:cs="Arial"/>
        </w:rPr>
        <w:t xml:space="preserve">hese services </w:t>
      </w:r>
      <w:r>
        <w:rPr>
          <w:rFonts w:cs="Arial"/>
        </w:rPr>
        <w:t>is also commonly made available</w:t>
      </w:r>
      <w:r w:rsidRPr="00004149">
        <w:rPr>
          <w:rFonts w:cs="Arial"/>
        </w:rPr>
        <w:t xml:space="preserve"> to workers in higher-tier supply chain companies.</w:t>
      </w:r>
      <w:r>
        <w:rPr>
          <w:rFonts w:cs="Arial"/>
        </w:rPr>
        <w:t xml:space="preserve"> Employer support packages are often managed by internal HR teams, with delivery by contracted HR outplacement specialists. The examples listed in the table are broadly representative of components commonly offered by employers, as seen in previous and current transition events.</w:t>
      </w:r>
      <w:r>
        <w:rPr>
          <w:rStyle w:val="EndnoteReference"/>
          <w:rFonts w:cs="Arial"/>
        </w:rPr>
        <w:endnoteReference w:id="231"/>
      </w:r>
      <w:r>
        <w:rPr>
          <w:rFonts w:cs="Arial"/>
        </w:rPr>
        <w:t xml:space="preserve"> In past large-scale industry events, employer support packages have also included federal and state co-funding components that add further enhancements to the worker services made available by employers.</w:t>
      </w:r>
      <w:r>
        <w:rPr>
          <w:rStyle w:val="EndnoteReference"/>
          <w:rFonts w:cs="Arial"/>
        </w:rPr>
        <w:endnoteReference w:id="232"/>
      </w:r>
    </w:p>
    <w:p w14:paraId="60975810" w14:textId="77777777" w:rsidR="0017522A" w:rsidRDefault="0017522A" w:rsidP="0017522A">
      <w:pPr>
        <w:spacing w:after="120"/>
        <w:rPr>
          <w:rFonts w:cs="Arial"/>
        </w:rPr>
      </w:pPr>
      <w:r w:rsidRPr="00F20DE1">
        <w:rPr>
          <w:rFonts w:cs="Arial"/>
          <w:b/>
          <w:bCs/>
        </w:rPr>
        <w:t>Australian Government employment services</w:t>
      </w:r>
      <w:r>
        <w:rPr>
          <w:rFonts w:cs="Arial"/>
        </w:rPr>
        <w:t>,</w:t>
      </w:r>
      <w:r w:rsidRPr="00A24A28">
        <w:rPr>
          <w:rFonts w:cs="Arial"/>
        </w:rPr>
        <w:t xml:space="preserve"> </w:t>
      </w:r>
      <w:r>
        <w:rPr>
          <w:rFonts w:cs="Arial"/>
        </w:rPr>
        <w:t xml:space="preserve">administered by DEWR under the </w:t>
      </w:r>
      <w:r w:rsidRPr="00A24A28">
        <w:rPr>
          <w:rFonts w:cs="Arial"/>
        </w:rPr>
        <w:t>Workforce Australia program</w:t>
      </w:r>
      <w:r>
        <w:rPr>
          <w:rFonts w:cs="Arial"/>
        </w:rPr>
        <w:t xml:space="preserve">, can offer </w:t>
      </w:r>
      <w:r w:rsidRPr="00A24A28">
        <w:rPr>
          <w:rFonts w:cs="Arial"/>
        </w:rPr>
        <w:t>eligible retrenched workers and their partners</w:t>
      </w:r>
      <w:r>
        <w:rPr>
          <w:rFonts w:cs="Arial"/>
        </w:rPr>
        <w:t xml:space="preserve"> early</w:t>
      </w:r>
      <w:r w:rsidRPr="00A24A28">
        <w:rPr>
          <w:rFonts w:cs="Arial"/>
        </w:rPr>
        <w:t xml:space="preserve"> acc</w:t>
      </w:r>
      <w:r>
        <w:rPr>
          <w:rFonts w:cs="Arial"/>
        </w:rPr>
        <w:t>ess</w:t>
      </w:r>
      <w:r w:rsidRPr="00A24A28">
        <w:rPr>
          <w:rFonts w:cs="Arial"/>
        </w:rPr>
        <w:t xml:space="preserve"> </w:t>
      </w:r>
      <w:r>
        <w:rPr>
          <w:rFonts w:cs="Arial"/>
        </w:rPr>
        <w:t xml:space="preserve">to services up to </w:t>
      </w:r>
      <w:r w:rsidRPr="00A24A28">
        <w:rPr>
          <w:rFonts w:cs="Arial"/>
        </w:rPr>
        <w:t>three months prior to</w:t>
      </w:r>
      <w:r>
        <w:rPr>
          <w:rFonts w:cs="Arial"/>
        </w:rPr>
        <w:t xml:space="preserve"> the workplace exit</w:t>
      </w:r>
      <w:r w:rsidRPr="00A24A28">
        <w:rPr>
          <w:rFonts w:cs="Arial"/>
        </w:rPr>
        <w:t xml:space="preserve"> date</w:t>
      </w:r>
      <w:r>
        <w:rPr>
          <w:rFonts w:cs="Arial"/>
        </w:rPr>
        <w:t>,</w:t>
      </w:r>
      <w:r w:rsidRPr="00A24A28">
        <w:rPr>
          <w:rFonts w:cs="Arial"/>
        </w:rPr>
        <w:t xml:space="preserve"> and </w:t>
      </w:r>
      <w:r>
        <w:rPr>
          <w:rFonts w:cs="Arial"/>
        </w:rPr>
        <w:t xml:space="preserve">for </w:t>
      </w:r>
      <w:r w:rsidRPr="00A24A28">
        <w:rPr>
          <w:rFonts w:cs="Arial"/>
        </w:rPr>
        <w:t>six-months after</w:t>
      </w:r>
      <w:r>
        <w:rPr>
          <w:rFonts w:cs="Arial"/>
        </w:rPr>
        <w:t>.</w:t>
      </w:r>
      <w:r>
        <w:rPr>
          <w:rStyle w:val="EndnoteReference"/>
          <w:rFonts w:cs="Arial"/>
        </w:rPr>
        <w:endnoteReference w:id="233"/>
      </w:r>
      <w:r w:rsidRPr="00A24A28">
        <w:rPr>
          <w:rFonts w:cs="Arial"/>
        </w:rPr>
        <w:t xml:space="preserve"> Outside of these timeframes, general access </w:t>
      </w:r>
      <w:r>
        <w:rPr>
          <w:rFonts w:cs="Arial"/>
        </w:rPr>
        <w:t>remains</w:t>
      </w:r>
      <w:r w:rsidRPr="00A24A28">
        <w:rPr>
          <w:rFonts w:cs="Arial"/>
        </w:rPr>
        <w:t xml:space="preserve"> available via Centrelink registration processes.</w:t>
      </w:r>
      <w:r>
        <w:rPr>
          <w:rFonts w:cs="Arial"/>
        </w:rPr>
        <w:t xml:space="preserve"> </w:t>
      </w:r>
      <w:r w:rsidRPr="00F2262E">
        <w:rPr>
          <w:rFonts w:cs="Arial"/>
        </w:rPr>
        <w:t xml:space="preserve">Workforce Australia </w:t>
      </w:r>
      <w:r>
        <w:rPr>
          <w:rFonts w:cs="Arial"/>
        </w:rPr>
        <w:t xml:space="preserve">employment </w:t>
      </w:r>
      <w:r w:rsidRPr="00F2262E">
        <w:rPr>
          <w:rFonts w:cs="Arial"/>
        </w:rPr>
        <w:t xml:space="preserve">services are </w:t>
      </w:r>
      <w:r>
        <w:rPr>
          <w:rFonts w:cs="Arial"/>
        </w:rPr>
        <w:t>generally</w:t>
      </w:r>
      <w:r w:rsidRPr="00F2262E">
        <w:rPr>
          <w:rFonts w:cs="Arial"/>
        </w:rPr>
        <w:t xml:space="preserve"> used by workers following</w:t>
      </w:r>
      <w:r>
        <w:rPr>
          <w:rFonts w:cs="Arial"/>
        </w:rPr>
        <w:t xml:space="preserve"> workplace</w:t>
      </w:r>
      <w:r w:rsidRPr="00F2262E">
        <w:rPr>
          <w:rFonts w:cs="Arial"/>
        </w:rPr>
        <w:t xml:space="preserve"> </w:t>
      </w:r>
      <w:r>
        <w:rPr>
          <w:rFonts w:cs="Arial"/>
        </w:rPr>
        <w:t>departure</w:t>
      </w:r>
      <w:r w:rsidRPr="00F2262E">
        <w:rPr>
          <w:rFonts w:cs="Arial"/>
        </w:rPr>
        <w:t xml:space="preserve">, with some crossover </w:t>
      </w:r>
      <w:r>
        <w:rPr>
          <w:rFonts w:cs="Arial"/>
        </w:rPr>
        <w:t>enabled by</w:t>
      </w:r>
      <w:r w:rsidRPr="00F2262E">
        <w:rPr>
          <w:rFonts w:cs="Arial"/>
        </w:rPr>
        <w:t xml:space="preserve"> the capacity for pre-</w:t>
      </w:r>
      <w:r>
        <w:rPr>
          <w:rFonts w:cs="Arial"/>
        </w:rPr>
        <w:t>exit</w:t>
      </w:r>
      <w:r w:rsidRPr="00F2262E">
        <w:rPr>
          <w:rFonts w:cs="Arial"/>
        </w:rPr>
        <w:t xml:space="preserve"> registrations</w:t>
      </w:r>
      <w:r>
        <w:rPr>
          <w:rFonts w:cs="Arial"/>
        </w:rPr>
        <w:t>. In addition to c</w:t>
      </w:r>
      <w:r w:rsidRPr="005336B3">
        <w:rPr>
          <w:rFonts w:cs="Arial"/>
        </w:rPr>
        <w:t>ase management</w:t>
      </w:r>
      <w:r>
        <w:rPr>
          <w:rFonts w:cs="Arial"/>
        </w:rPr>
        <w:t xml:space="preserve"> supports and referrals to allied services, employment service providers can also draw on the Employment Fund pool for expenses that assist registered participants to gain and retain employment. Funding categories include w</w:t>
      </w:r>
      <w:r w:rsidRPr="00054F30">
        <w:rPr>
          <w:rFonts w:cs="Arial"/>
        </w:rPr>
        <w:t>ork-related licen</w:t>
      </w:r>
      <w:r>
        <w:rPr>
          <w:rFonts w:cs="Arial"/>
        </w:rPr>
        <w:t>s</w:t>
      </w:r>
      <w:r w:rsidRPr="00054F30">
        <w:rPr>
          <w:rFonts w:cs="Arial"/>
        </w:rPr>
        <w:t>ing, tools and equipment, work clothing</w:t>
      </w:r>
      <w:r>
        <w:rPr>
          <w:rFonts w:cs="Arial"/>
        </w:rPr>
        <w:t>, s</w:t>
      </w:r>
      <w:r w:rsidRPr="00054F30">
        <w:rPr>
          <w:rFonts w:cs="Arial"/>
        </w:rPr>
        <w:t>hort course and accredited trainin</w:t>
      </w:r>
      <w:r>
        <w:rPr>
          <w:rFonts w:cs="Arial"/>
        </w:rPr>
        <w:t>g, as well as relocation assistance payments and employer wage subsidies (dependent on eligibility requirements).</w:t>
      </w:r>
    </w:p>
    <w:p w14:paraId="31A4AC73" w14:textId="291A44C4" w:rsidR="00E13239" w:rsidRPr="00E5087D" w:rsidRDefault="0017522A" w:rsidP="00E13239">
      <w:pPr>
        <w:spacing w:after="120" w:line="276" w:lineRule="auto"/>
        <w:rPr>
          <w14:numForm w14:val="lining"/>
          <w14:numSpacing w14:val="proportional"/>
        </w:rPr>
      </w:pPr>
      <w:r w:rsidRPr="00F20DE1">
        <w:rPr>
          <w:rFonts w:cs="Arial"/>
          <w:b/>
          <w:bCs/>
        </w:rPr>
        <w:t>State and territory government</w:t>
      </w:r>
      <w:r>
        <w:rPr>
          <w:rFonts w:cs="Arial"/>
        </w:rPr>
        <w:t xml:space="preserve"> services can be varied across different jurisdictions, and may include some, all, or additional supports to those listed in the table. Generally, workers will have access to fully funded or subsidised foundational skill and VET training as a base offering, with additional levels of support that can be varyingly mobilised for specific events, or locational settings. For example, as a component of the WA Government’s Collie Just Transition Package, the TAFE based Skills and Job Centre located in Collie has been allocated additional funding to provide enhanced walk-in career counselling, job search, and training support services for workers and community members.</w:t>
      </w:r>
      <w:r>
        <w:rPr>
          <w:rStyle w:val="EndnoteReference"/>
          <w:rFonts w:cs="Arial"/>
        </w:rPr>
        <w:endnoteReference w:id="234"/>
      </w:r>
      <w:r>
        <w:rPr>
          <w:rFonts w:cs="Arial"/>
        </w:rPr>
        <w:t xml:space="preserve"> Similar supports were made available to workers via the Worker Transition Service during the closure of the Hazelwood coal-fired power plant in the Latrobe Valley, Victoria. These supports will also be made available for the upcoming Yallourn closure in 2028.</w:t>
      </w:r>
      <w:r>
        <w:rPr>
          <w:rStyle w:val="EndnoteReference"/>
          <w:rFonts w:cs="Arial"/>
        </w:rPr>
        <w:endnoteReference w:id="235"/>
      </w:r>
      <w:r>
        <w:rPr>
          <w:rFonts w:cs="Arial"/>
        </w:rPr>
        <w:t xml:space="preserve"> Adding to this, the Victorian Government is currently funding a full suite of transition support services for workers and impacted communities under the Forestry Transition Program, following the policy decision to end old growth logging within the state.</w:t>
      </w:r>
      <w:r>
        <w:rPr>
          <w:rStyle w:val="EndnoteReference"/>
          <w:rFonts w:cs="Arial"/>
        </w:rPr>
        <w:endnoteReference w:id="236"/>
      </w:r>
      <w:r>
        <w:rPr>
          <w:rFonts w:cs="Arial"/>
        </w:rPr>
        <w:t xml:space="preserve"> The NSW Government Royalties for Rejuvenation Fund also offers funding to support workers and coal mining communities.</w:t>
      </w:r>
      <w:r>
        <w:rPr>
          <w:rStyle w:val="EndnoteReference"/>
          <w:rFonts w:cs="Arial"/>
        </w:rPr>
        <w:endnoteReference w:id="237"/>
      </w:r>
    </w:p>
    <w:p w14:paraId="339E244B" w14:textId="77777777" w:rsidR="001246D2" w:rsidRDefault="001246D2">
      <w:pPr>
        <w:rPr>
          <w:rFonts w:eastAsia="Arial" w:cs="Arial"/>
          <w:b/>
          <w:bCs/>
        </w:rPr>
      </w:pPr>
      <w:r>
        <w:rPr>
          <w:rFonts w:eastAsia="Arial" w:cs="Arial"/>
          <w:b/>
          <w:bCs/>
        </w:rPr>
        <w:br w:type="page"/>
      </w:r>
    </w:p>
    <w:p w14:paraId="450DCAE9" w14:textId="1891FCDB" w:rsidR="00E13239" w:rsidRPr="00E5087D" w:rsidRDefault="00E13239" w:rsidP="00E13239">
      <w:pPr>
        <w:spacing w:after="120" w:line="257" w:lineRule="auto"/>
        <w:rPr>
          <w:rFonts w:eastAsia="Arial" w:cs="Arial"/>
          <w:b/>
          <w:bCs/>
        </w:rPr>
      </w:pPr>
      <w:r w:rsidRPr="00E5087D">
        <w:rPr>
          <w:rFonts w:eastAsia="Arial" w:cs="Arial"/>
          <w:b/>
          <w:bCs/>
        </w:rPr>
        <w:t xml:space="preserve">Table </w:t>
      </w:r>
      <w:r w:rsidR="009103EF">
        <w:rPr>
          <w:rFonts w:eastAsia="Arial" w:cs="Arial"/>
          <w:b/>
          <w:bCs/>
        </w:rPr>
        <w:t>8.</w:t>
      </w:r>
      <w:r w:rsidR="00C07A69">
        <w:rPr>
          <w:rFonts w:eastAsia="Arial" w:cs="Arial"/>
          <w:b/>
          <w:bCs/>
        </w:rPr>
        <w:t>2</w:t>
      </w:r>
      <w:r w:rsidRPr="00E5087D">
        <w:rPr>
          <w:rFonts w:eastAsia="Arial" w:cs="Arial"/>
          <w:b/>
          <w:bCs/>
        </w:rPr>
        <w:t xml:space="preserve">. </w:t>
      </w:r>
      <w:r w:rsidR="00F51630">
        <w:rPr>
          <w:rFonts w:eastAsia="Arial" w:cs="Arial"/>
          <w:b/>
          <w:bCs/>
        </w:rPr>
        <w:t>Employer and government worker transition supports</w:t>
      </w:r>
    </w:p>
    <w:tbl>
      <w:tblPr>
        <w:tblStyle w:val="TableGrid"/>
        <w:tblW w:w="0" w:type="auto"/>
        <w:tblLook w:val="04A0" w:firstRow="1" w:lastRow="0" w:firstColumn="1" w:lastColumn="0" w:noHBand="0" w:noVBand="1"/>
      </w:tblPr>
      <w:tblGrid>
        <w:gridCol w:w="1696"/>
        <w:gridCol w:w="6946"/>
      </w:tblGrid>
      <w:tr w:rsidR="00DF3B79" w:rsidRPr="00D96E21" w14:paraId="512C5410" w14:textId="77777777">
        <w:tc>
          <w:tcPr>
            <w:tcW w:w="1696" w:type="dxa"/>
          </w:tcPr>
          <w:p w14:paraId="2D6E1E1C" w14:textId="77777777" w:rsidR="00DF3B79" w:rsidRPr="00D96E21" w:rsidRDefault="00DF3B79">
            <w:pPr>
              <w:spacing w:before="60" w:after="60"/>
              <w:jc w:val="center"/>
              <w:rPr>
                <w:rFonts w:cs="Arial"/>
                <w:b/>
                <w:bCs/>
                <w:sz w:val="20"/>
                <w:szCs w:val="20"/>
              </w:rPr>
            </w:pPr>
            <w:r w:rsidRPr="00D96E21">
              <w:rPr>
                <w:rFonts w:cs="Arial"/>
                <w:b/>
                <w:bCs/>
                <w:sz w:val="20"/>
                <w:szCs w:val="20"/>
              </w:rPr>
              <w:t>Type of Support</w:t>
            </w:r>
          </w:p>
        </w:tc>
        <w:tc>
          <w:tcPr>
            <w:tcW w:w="6946" w:type="dxa"/>
          </w:tcPr>
          <w:p w14:paraId="7485EEF0" w14:textId="77777777" w:rsidR="00DF3B79" w:rsidRPr="00D96E21" w:rsidRDefault="00DF3B79">
            <w:pPr>
              <w:spacing w:before="60" w:after="60"/>
              <w:jc w:val="center"/>
              <w:rPr>
                <w:rStyle w:val="Strong"/>
                <w:rFonts w:cs="Arial"/>
                <w:sz w:val="20"/>
                <w:szCs w:val="20"/>
              </w:rPr>
            </w:pPr>
            <w:r w:rsidRPr="00D96E21">
              <w:rPr>
                <w:rStyle w:val="Strong"/>
                <w:rFonts w:cs="Arial"/>
                <w:sz w:val="20"/>
                <w:szCs w:val="20"/>
              </w:rPr>
              <w:t>Description</w:t>
            </w:r>
          </w:p>
        </w:tc>
      </w:tr>
      <w:tr w:rsidR="00DF3B79" w:rsidRPr="00583470" w14:paraId="0E7203EA" w14:textId="77777777" w:rsidTr="00DF3B79">
        <w:tc>
          <w:tcPr>
            <w:tcW w:w="1696" w:type="dxa"/>
            <w:vMerge w:val="restart"/>
            <w:shd w:val="clear" w:color="auto" w:fill="DABCF5" w:themeFill="text2" w:themeFillTint="33"/>
            <w:textDirection w:val="btLr"/>
          </w:tcPr>
          <w:p w14:paraId="2CA1D2CA"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Individual support and guidance</w:t>
            </w:r>
          </w:p>
        </w:tc>
        <w:tc>
          <w:tcPr>
            <w:tcW w:w="6946" w:type="dxa"/>
            <w:shd w:val="clear" w:color="auto" w:fill="E0D1F5" w:themeFill="accent1" w:themeFillTint="33"/>
            <w:vAlign w:val="center"/>
          </w:tcPr>
          <w:p w14:paraId="57205537" w14:textId="77777777" w:rsidR="00DF3B79" w:rsidRPr="00583470" w:rsidRDefault="00DF3B79">
            <w:pPr>
              <w:spacing w:before="60" w:after="60"/>
              <w:rPr>
                <w:rStyle w:val="Strong"/>
                <w:rFonts w:cs="Arial"/>
                <w:sz w:val="21"/>
                <w:szCs w:val="21"/>
              </w:rPr>
            </w:pPr>
            <w:r w:rsidRPr="00583470">
              <w:rPr>
                <w:rFonts w:cs="Arial"/>
                <w:sz w:val="21"/>
                <w:szCs w:val="21"/>
              </w:rPr>
              <w:t>Individual transition plans</w:t>
            </w:r>
          </w:p>
        </w:tc>
      </w:tr>
      <w:tr w:rsidR="00DF3B79" w:rsidRPr="00583470" w14:paraId="7DFF85B5" w14:textId="77777777" w:rsidTr="00DF3B79">
        <w:tc>
          <w:tcPr>
            <w:tcW w:w="1696" w:type="dxa"/>
            <w:vMerge/>
            <w:shd w:val="clear" w:color="auto" w:fill="DABCF5" w:themeFill="text2" w:themeFillTint="33"/>
          </w:tcPr>
          <w:p w14:paraId="470CCED2"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51672B93" w14:textId="77777777" w:rsidR="00DF3B79" w:rsidRPr="00583470" w:rsidRDefault="00DF3B79">
            <w:pPr>
              <w:spacing w:before="60" w:after="60"/>
              <w:rPr>
                <w:rStyle w:val="Strong"/>
                <w:rFonts w:cs="Arial"/>
                <w:sz w:val="21"/>
                <w:szCs w:val="21"/>
              </w:rPr>
            </w:pPr>
            <w:r w:rsidRPr="00583470">
              <w:rPr>
                <w:rFonts w:cs="Arial"/>
                <w:sz w:val="21"/>
                <w:szCs w:val="21"/>
              </w:rPr>
              <w:t>Career guidance, skill gaps and training plans</w:t>
            </w:r>
          </w:p>
        </w:tc>
      </w:tr>
      <w:tr w:rsidR="00DF3B79" w:rsidRPr="00583470" w14:paraId="743AEB7B" w14:textId="77777777" w:rsidTr="00DF3B79">
        <w:tc>
          <w:tcPr>
            <w:tcW w:w="1696" w:type="dxa"/>
            <w:vMerge/>
            <w:shd w:val="clear" w:color="auto" w:fill="DABCF5" w:themeFill="text2" w:themeFillTint="33"/>
          </w:tcPr>
          <w:p w14:paraId="4EB972C1"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3B7435A6" w14:textId="77777777" w:rsidR="00DF3B79" w:rsidRPr="00583470" w:rsidRDefault="00DF3B79">
            <w:pPr>
              <w:spacing w:before="60" w:after="60"/>
              <w:rPr>
                <w:rStyle w:val="Strong"/>
                <w:rFonts w:cs="Arial"/>
                <w:sz w:val="21"/>
                <w:szCs w:val="21"/>
              </w:rPr>
            </w:pPr>
            <w:r w:rsidRPr="00583470">
              <w:rPr>
                <w:rFonts w:cs="Arial"/>
                <w:sz w:val="21"/>
                <w:szCs w:val="21"/>
              </w:rPr>
              <w:t>Retirement planning</w:t>
            </w:r>
          </w:p>
        </w:tc>
      </w:tr>
      <w:tr w:rsidR="00DF3B79" w:rsidRPr="00583470" w14:paraId="39BD70D1" w14:textId="77777777" w:rsidTr="00DF3B79">
        <w:tc>
          <w:tcPr>
            <w:tcW w:w="1696" w:type="dxa"/>
            <w:vMerge/>
            <w:shd w:val="clear" w:color="auto" w:fill="DABCF5" w:themeFill="text2" w:themeFillTint="33"/>
          </w:tcPr>
          <w:p w14:paraId="1368C725"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35AC9ADA" w14:textId="77777777" w:rsidR="00DF3B79" w:rsidRPr="00583470" w:rsidRDefault="00DF3B79">
            <w:pPr>
              <w:spacing w:before="60" w:after="60"/>
              <w:rPr>
                <w:rFonts w:cs="Arial"/>
                <w:sz w:val="21"/>
                <w:szCs w:val="21"/>
              </w:rPr>
            </w:pPr>
            <w:r w:rsidRPr="00583470">
              <w:rPr>
                <w:rFonts w:cs="Arial"/>
                <w:sz w:val="21"/>
                <w:szCs w:val="21"/>
              </w:rPr>
              <w:t>Self-employment and small business support</w:t>
            </w:r>
          </w:p>
        </w:tc>
      </w:tr>
      <w:tr w:rsidR="00DF3B79" w:rsidRPr="00583470" w14:paraId="728C95F2" w14:textId="77777777" w:rsidTr="00DF3B79">
        <w:tc>
          <w:tcPr>
            <w:tcW w:w="1696" w:type="dxa"/>
            <w:vMerge/>
            <w:shd w:val="clear" w:color="auto" w:fill="DABCF5" w:themeFill="text2" w:themeFillTint="33"/>
          </w:tcPr>
          <w:p w14:paraId="339DD0AD" w14:textId="77777777" w:rsidR="00DF3B79" w:rsidRPr="00583470" w:rsidRDefault="00DF3B79">
            <w:pPr>
              <w:spacing w:before="60" w:after="60"/>
              <w:jc w:val="center"/>
              <w:rPr>
                <w:rFonts w:cs="Arial"/>
                <w:sz w:val="21"/>
                <w:szCs w:val="21"/>
              </w:rPr>
            </w:pPr>
          </w:p>
        </w:tc>
        <w:tc>
          <w:tcPr>
            <w:tcW w:w="6946" w:type="dxa"/>
            <w:shd w:val="clear" w:color="auto" w:fill="E0D1F5" w:themeFill="accent1" w:themeFillTint="33"/>
            <w:vAlign w:val="center"/>
          </w:tcPr>
          <w:p w14:paraId="485B5304" w14:textId="77777777" w:rsidR="00DF3B79" w:rsidRPr="00DF3B79" w:rsidRDefault="00DF3B79">
            <w:pPr>
              <w:spacing w:before="60" w:after="60"/>
              <w:rPr>
                <w:rStyle w:val="Strong"/>
                <w:rFonts w:cs="Arial"/>
                <w:b w:val="0"/>
                <w:bCs w:val="0"/>
                <w:sz w:val="21"/>
                <w:szCs w:val="21"/>
              </w:rPr>
            </w:pPr>
            <w:r w:rsidRPr="00DF3B79">
              <w:rPr>
                <w:rStyle w:val="Strong"/>
                <w:rFonts w:cs="Arial"/>
                <w:b w:val="0"/>
                <w:bCs w:val="0"/>
                <w:sz w:val="21"/>
                <w:szCs w:val="21"/>
              </w:rPr>
              <w:t>Redeployment - new location within same business</w:t>
            </w:r>
          </w:p>
        </w:tc>
      </w:tr>
      <w:tr w:rsidR="00DF3B79" w:rsidRPr="00583470" w14:paraId="2DA1A787" w14:textId="77777777" w:rsidTr="00DF3B79">
        <w:tc>
          <w:tcPr>
            <w:tcW w:w="1696" w:type="dxa"/>
            <w:vMerge w:val="restart"/>
            <w:shd w:val="clear" w:color="auto" w:fill="ECF1BC" w:themeFill="background2" w:themeFillTint="66"/>
            <w:textDirection w:val="btLr"/>
          </w:tcPr>
          <w:p w14:paraId="1661486C" w14:textId="77777777" w:rsidR="00DF3B79" w:rsidRDefault="00DF3B79">
            <w:pPr>
              <w:spacing w:before="60" w:after="60"/>
              <w:ind w:left="113" w:right="113"/>
              <w:jc w:val="center"/>
              <w:rPr>
                <w:rFonts w:cs="Arial"/>
                <w:b/>
                <w:bCs/>
                <w:sz w:val="21"/>
                <w:szCs w:val="21"/>
              </w:rPr>
            </w:pPr>
            <w:r w:rsidRPr="00583470">
              <w:rPr>
                <w:rFonts w:cs="Arial"/>
                <w:b/>
                <w:bCs/>
                <w:sz w:val="21"/>
                <w:szCs w:val="21"/>
              </w:rPr>
              <w:t>Job search</w:t>
            </w:r>
          </w:p>
          <w:p w14:paraId="2D24131B" w14:textId="77777777" w:rsidR="00DF3B79" w:rsidRPr="00583470" w:rsidRDefault="00DF3B79">
            <w:pPr>
              <w:spacing w:before="60" w:after="60"/>
              <w:ind w:left="113" w:right="113"/>
              <w:jc w:val="center"/>
              <w:rPr>
                <w:rFonts w:cs="Arial"/>
                <w:sz w:val="21"/>
                <w:szCs w:val="21"/>
              </w:rPr>
            </w:pPr>
            <w:r>
              <w:rPr>
                <w:rFonts w:cs="Arial"/>
                <w:b/>
                <w:bCs/>
                <w:sz w:val="21"/>
                <w:szCs w:val="21"/>
              </w:rPr>
              <w:t>assistance</w:t>
            </w:r>
            <w:r w:rsidRPr="00583470">
              <w:rPr>
                <w:rFonts w:cs="Arial"/>
                <w:b/>
                <w:bCs/>
                <w:sz w:val="21"/>
                <w:szCs w:val="21"/>
              </w:rPr>
              <w:t xml:space="preserve"> </w:t>
            </w:r>
          </w:p>
        </w:tc>
        <w:tc>
          <w:tcPr>
            <w:tcW w:w="6946" w:type="dxa"/>
            <w:shd w:val="clear" w:color="auto" w:fill="F5F8DD" w:themeFill="background2" w:themeFillTint="33"/>
            <w:vAlign w:val="center"/>
          </w:tcPr>
          <w:p w14:paraId="5BFDAB4E" w14:textId="77777777" w:rsidR="00DF3B79" w:rsidRPr="00DF3B79" w:rsidRDefault="00DF3B79">
            <w:pPr>
              <w:spacing w:before="60" w:after="60"/>
              <w:rPr>
                <w:rStyle w:val="Strong"/>
                <w:rFonts w:cs="Arial"/>
                <w:sz w:val="21"/>
                <w:szCs w:val="21"/>
              </w:rPr>
            </w:pPr>
            <w:r w:rsidRPr="00DF3B79">
              <w:rPr>
                <w:rFonts w:cs="Arial"/>
                <w:sz w:val="21"/>
                <w:szCs w:val="21"/>
              </w:rPr>
              <w:t>Resume preparation, job applications and interview coaching</w:t>
            </w:r>
          </w:p>
        </w:tc>
      </w:tr>
      <w:tr w:rsidR="00DF3B79" w:rsidRPr="00583470" w14:paraId="4A08CD05" w14:textId="77777777" w:rsidTr="00DF3B79">
        <w:tc>
          <w:tcPr>
            <w:tcW w:w="1696" w:type="dxa"/>
            <w:vMerge/>
            <w:shd w:val="clear" w:color="auto" w:fill="ECF1BC" w:themeFill="background2" w:themeFillTint="66"/>
          </w:tcPr>
          <w:p w14:paraId="2DA4B7DE" w14:textId="77777777" w:rsidR="00DF3B79" w:rsidRPr="00583470" w:rsidRDefault="00DF3B79">
            <w:pPr>
              <w:spacing w:before="60" w:after="60"/>
              <w:jc w:val="center"/>
              <w:rPr>
                <w:rFonts w:cs="Arial"/>
                <w:sz w:val="21"/>
                <w:szCs w:val="21"/>
              </w:rPr>
            </w:pPr>
          </w:p>
        </w:tc>
        <w:tc>
          <w:tcPr>
            <w:tcW w:w="6946" w:type="dxa"/>
            <w:shd w:val="clear" w:color="auto" w:fill="F5F8DD" w:themeFill="background2" w:themeFillTint="33"/>
            <w:vAlign w:val="center"/>
          </w:tcPr>
          <w:p w14:paraId="232E809D" w14:textId="77777777" w:rsidR="00DF3B79" w:rsidRPr="00583470" w:rsidRDefault="00DF3B79">
            <w:pPr>
              <w:spacing w:before="60" w:after="60"/>
              <w:rPr>
                <w:rStyle w:val="Strong"/>
                <w:rFonts w:cs="Arial"/>
                <w:sz w:val="21"/>
                <w:szCs w:val="21"/>
              </w:rPr>
            </w:pPr>
            <w:r w:rsidRPr="00583470">
              <w:rPr>
                <w:rFonts w:cs="Arial"/>
                <w:sz w:val="21"/>
                <w:szCs w:val="21"/>
              </w:rPr>
              <w:t>Onsite job boards and online recruitment portals</w:t>
            </w:r>
          </w:p>
        </w:tc>
      </w:tr>
      <w:tr w:rsidR="00DF3B79" w:rsidRPr="00583470" w14:paraId="26A99A3E" w14:textId="77777777" w:rsidTr="00DF3B79">
        <w:tc>
          <w:tcPr>
            <w:tcW w:w="1696" w:type="dxa"/>
            <w:vMerge/>
            <w:shd w:val="clear" w:color="auto" w:fill="ECF1BC" w:themeFill="background2" w:themeFillTint="66"/>
          </w:tcPr>
          <w:p w14:paraId="4EAE0551" w14:textId="77777777" w:rsidR="00DF3B79" w:rsidRPr="00583470" w:rsidRDefault="00DF3B79">
            <w:pPr>
              <w:spacing w:before="60" w:after="60"/>
              <w:jc w:val="center"/>
              <w:rPr>
                <w:rFonts w:cs="Arial"/>
                <w:sz w:val="21"/>
                <w:szCs w:val="21"/>
              </w:rPr>
            </w:pPr>
          </w:p>
        </w:tc>
        <w:tc>
          <w:tcPr>
            <w:tcW w:w="6946" w:type="dxa"/>
            <w:shd w:val="clear" w:color="auto" w:fill="F5F8DD" w:themeFill="background2" w:themeFillTint="33"/>
            <w:vAlign w:val="center"/>
          </w:tcPr>
          <w:p w14:paraId="050EDFBA" w14:textId="77777777" w:rsidR="00DF3B79" w:rsidRPr="00583470" w:rsidRDefault="00DF3B79">
            <w:pPr>
              <w:spacing w:before="60" w:after="60"/>
              <w:rPr>
                <w:rFonts w:cs="Arial"/>
                <w:sz w:val="21"/>
                <w:szCs w:val="21"/>
              </w:rPr>
            </w:pPr>
            <w:r w:rsidRPr="00583470">
              <w:rPr>
                <w:rFonts w:cs="Arial"/>
                <w:sz w:val="21"/>
                <w:szCs w:val="21"/>
              </w:rPr>
              <w:t>Career fairs and employer networking events</w:t>
            </w:r>
          </w:p>
        </w:tc>
      </w:tr>
      <w:tr w:rsidR="00DF3B79" w:rsidRPr="00583470" w14:paraId="094C1531" w14:textId="77777777" w:rsidTr="00DF3B79">
        <w:tc>
          <w:tcPr>
            <w:tcW w:w="1696" w:type="dxa"/>
            <w:vMerge/>
            <w:shd w:val="clear" w:color="auto" w:fill="ECF1BC" w:themeFill="background2" w:themeFillTint="66"/>
          </w:tcPr>
          <w:p w14:paraId="538F14CA" w14:textId="77777777" w:rsidR="00DF3B79" w:rsidRPr="00583470" w:rsidRDefault="00DF3B79">
            <w:pPr>
              <w:spacing w:before="60" w:after="60"/>
              <w:jc w:val="center"/>
              <w:rPr>
                <w:rFonts w:cs="Arial"/>
                <w:sz w:val="21"/>
                <w:szCs w:val="21"/>
              </w:rPr>
            </w:pPr>
          </w:p>
        </w:tc>
        <w:tc>
          <w:tcPr>
            <w:tcW w:w="6946" w:type="dxa"/>
            <w:shd w:val="clear" w:color="auto" w:fill="F5F8DD" w:themeFill="background2" w:themeFillTint="33"/>
            <w:vAlign w:val="center"/>
          </w:tcPr>
          <w:p w14:paraId="331D622D" w14:textId="77777777" w:rsidR="00DF3B79" w:rsidRPr="00583470" w:rsidRDefault="00DF3B79">
            <w:pPr>
              <w:spacing w:before="60" w:after="60"/>
              <w:rPr>
                <w:rStyle w:val="Strong"/>
                <w:rFonts w:cs="Arial"/>
                <w:sz w:val="21"/>
                <w:szCs w:val="21"/>
              </w:rPr>
            </w:pPr>
            <w:r w:rsidRPr="00583470">
              <w:rPr>
                <w:rFonts w:cs="Arial"/>
                <w:sz w:val="21"/>
                <w:szCs w:val="21"/>
              </w:rPr>
              <w:t>Facilitated job placements</w:t>
            </w:r>
          </w:p>
        </w:tc>
      </w:tr>
      <w:tr w:rsidR="00DF3B79" w:rsidRPr="00583470" w14:paraId="2D127812" w14:textId="77777777" w:rsidTr="00DF3B79">
        <w:tc>
          <w:tcPr>
            <w:tcW w:w="1696" w:type="dxa"/>
            <w:vMerge w:val="restart"/>
            <w:shd w:val="clear" w:color="auto" w:fill="ED8DB7" w:themeFill="accent4" w:themeFillTint="66"/>
            <w:textDirection w:val="btLr"/>
          </w:tcPr>
          <w:p w14:paraId="46D5BF29"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Workshops and Information Sessions</w:t>
            </w:r>
          </w:p>
        </w:tc>
        <w:tc>
          <w:tcPr>
            <w:tcW w:w="6946" w:type="dxa"/>
            <w:shd w:val="clear" w:color="auto" w:fill="F6C5DB" w:themeFill="accent4" w:themeFillTint="33"/>
            <w:vAlign w:val="center"/>
          </w:tcPr>
          <w:p w14:paraId="111350E1" w14:textId="77777777" w:rsidR="00DF3B79" w:rsidRPr="00583470" w:rsidRDefault="00DF3B79">
            <w:pPr>
              <w:spacing w:before="60" w:after="60"/>
              <w:rPr>
                <w:rStyle w:val="Strong"/>
                <w:rFonts w:cs="Arial"/>
                <w:sz w:val="21"/>
                <w:szCs w:val="21"/>
              </w:rPr>
            </w:pPr>
            <w:r w:rsidRPr="00583470">
              <w:rPr>
                <w:rFonts w:cs="Arial"/>
                <w:sz w:val="21"/>
                <w:szCs w:val="21"/>
              </w:rPr>
              <w:t>Health and wellbeing</w:t>
            </w:r>
          </w:p>
        </w:tc>
      </w:tr>
      <w:tr w:rsidR="00DF3B79" w:rsidRPr="00583470" w14:paraId="3F9C7329" w14:textId="77777777" w:rsidTr="00DF3B79">
        <w:tc>
          <w:tcPr>
            <w:tcW w:w="1696" w:type="dxa"/>
            <w:vMerge/>
            <w:shd w:val="clear" w:color="auto" w:fill="ED8DB7" w:themeFill="accent4" w:themeFillTint="66"/>
          </w:tcPr>
          <w:p w14:paraId="38950416"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47CA86A6" w14:textId="77777777" w:rsidR="00DF3B79" w:rsidRPr="00583470" w:rsidRDefault="00DF3B79">
            <w:pPr>
              <w:spacing w:before="60" w:after="60"/>
              <w:rPr>
                <w:rStyle w:val="Strong"/>
                <w:rFonts w:cs="Arial"/>
                <w:sz w:val="21"/>
                <w:szCs w:val="21"/>
              </w:rPr>
            </w:pPr>
            <w:r w:rsidRPr="00583470">
              <w:rPr>
                <w:rFonts w:cs="Arial"/>
                <w:sz w:val="21"/>
                <w:szCs w:val="21"/>
              </w:rPr>
              <w:t>Financial planning</w:t>
            </w:r>
          </w:p>
        </w:tc>
      </w:tr>
      <w:tr w:rsidR="00DF3B79" w:rsidRPr="00583470" w14:paraId="3CE93A21" w14:textId="77777777" w:rsidTr="00DF3B79">
        <w:tc>
          <w:tcPr>
            <w:tcW w:w="1696" w:type="dxa"/>
            <w:vMerge/>
            <w:shd w:val="clear" w:color="auto" w:fill="ED8DB7" w:themeFill="accent4" w:themeFillTint="66"/>
          </w:tcPr>
          <w:p w14:paraId="6FFAB21A"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7F8F70D9" w14:textId="77777777" w:rsidR="00DF3B79" w:rsidRPr="00583470" w:rsidRDefault="00DF3B79">
            <w:pPr>
              <w:spacing w:before="60" w:after="60"/>
              <w:rPr>
                <w:rStyle w:val="Strong"/>
                <w:rFonts w:cs="Arial"/>
                <w:sz w:val="21"/>
                <w:szCs w:val="21"/>
              </w:rPr>
            </w:pPr>
            <w:r w:rsidRPr="00583470">
              <w:rPr>
                <w:rFonts w:cs="Arial"/>
                <w:sz w:val="21"/>
                <w:szCs w:val="21"/>
              </w:rPr>
              <w:t>Occupational and industry insights</w:t>
            </w:r>
          </w:p>
        </w:tc>
      </w:tr>
      <w:tr w:rsidR="00DF3B79" w:rsidRPr="00583470" w14:paraId="29210475" w14:textId="77777777" w:rsidTr="00DF3B79">
        <w:tc>
          <w:tcPr>
            <w:tcW w:w="1696" w:type="dxa"/>
            <w:vMerge/>
            <w:shd w:val="clear" w:color="auto" w:fill="ED8DB7" w:themeFill="accent4" w:themeFillTint="66"/>
          </w:tcPr>
          <w:p w14:paraId="5A67E339"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5E84D660" w14:textId="77777777" w:rsidR="00DF3B79" w:rsidRPr="00583470" w:rsidRDefault="00DF3B79">
            <w:pPr>
              <w:spacing w:before="60" w:after="60"/>
              <w:rPr>
                <w:rStyle w:val="Strong"/>
                <w:rFonts w:cs="Arial"/>
                <w:sz w:val="21"/>
                <w:szCs w:val="21"/>
              </w:rPr>
            </w:pPr>
            <w:r w:rsidRPr="00583470">
              <w:rPr>
                <w:rFonts w:cs="Arial"/>
                <w:sz w:val="21"/>
                <w:szCs w:val="21"/>
              </w:rPr>
              <w:t>Training pathways</w:t>
            </w:r>
          </w:p>
        </w:tc>
      </w:tr>
      <w:tr w:rsidR="00DF3B79" w:rsidRPr="00583470" w14:paraId="4D46D39C" w14:textId="77777777" w:rsidTr="00DF3B79">
        <w:trPr>
          <w:trHeight w:val="381"/>
        </w:trPr>
        <w:tc>
          <w:tcPr>
            <w:tcW w:w="1696" w:type="dxa"/>
            <w:vMerge/>
            <w:shd w:val="clear" w:color="auto" w:fill="ED8DB7" w:themeFill="accent4" w:themeFillTint="66"/>
          </w:tcPr>
          <w:p w14:paraId="72B4BF56" w14:textId="77777777" w:rsidR="00DF3B79" w:rsidRPr="00583470" w:rsidRDefault="00DF3B79">
            <w:pPr>
              <w:spacing w:before="60" w:after="60"/>
              <w:jc w:val="center"/>
              <w:rPr>
                <w:rFonts w:cs="Arial"/>
                <w:sz w:val="21"/>
                <w:szCs w:val="21"/>
              </w:rPr>
            </w:pPr>
          </w:p>
        </w:tc>
        <w:tc>
          <w:tcPr>
            <w:tcW w:w="6946" w:type="dxa"/>
            <w:shd w:val="clear" w:color="auto" w:fill="F6C5DB" w:themeFill="accent4" w:themeFillTint="33"/>
            <w:vAlign w:val="center"/>
          </w:tcPr>
          <w:p w14:paraId="1B1D4759" w14:textId="77777777" w:rsidR="00DF3B79" w:rsidRPr="00583470" w:rsidRDefault="00DF3B79">
            <w:pPr>
              <w:spacing w:before="60" w:after="60"/>
              <w:rPr>
                <w:rStyle w:val="Strong"/>
                <w:rFonts w:cs="Arial"/>
                <w:sz w:val="21"/>
                <w:szCs w:val="21"/>
              </w:rPr>
            </w:pPr>
            <w:r w:rsidRPr="00583470">
              <w:rPr>
                <w:rFonts w:cs="Arial"/>
                <w:sz w:val="21"/>
                <w:szCs w:val="21"/>
              </w:rPr>
              <w:t>Labour market information</w:t>
            </w:r>
          </w:p>
        </w:tc>
      </w:tr>
      <w:tr w:rsidR="00DF3B79" w:rsidRPr="00583470" w14:paraId="14A91867" w14:textId="77777777" w:rsidTr="00DF3B79">
        <w:tc>
          <w:tcPr>
            <w:tcW w:w="1696" w:type="dxa"/>
            <w:vMerge w:val="restart"/>
            <w:shd w:val="clear" w:color="auto" w:fill="FDB7BB" w:themeFill="accent5" w:themeFillTint="66"/>
            <w:textDirection w:val="btLr"/>
          </w:tcPr>
          <w:p w14:paraId="3130DCF1"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Access to Training</w:t>
            </w:r>
          </w:p>
        </w:tc>
        <w:tc>
          <w:tcPr>
            <w:tcW w:w="6946" w:type="dxa"/>
            <w:shd w:val="clear" w:color="auto" w:fill="FEDBDD" w:themeFill="accent5" w:themeFillTint="33"/>
            <w:vAlign w:val="center"/>
          </w:tcPr>
          <w:p w14:paraId="3A98D827" w14:textId="77777777" w:rsidR="00DF3B79" w:rsidRPr="00583470" w:rsidRDefault="00DF3B79">
            <w:pPr>
              <w:spacing w:before="60" w:after="60"/>
              <w:rPr>
                <w:rStyle w:val="Strong"/>
                <w:rFonts w:cs="Arial"/>
                <w:sz w:val="21"/>
                <w:szCs w:val="21"/>
              </w:rPr>
            </w:pPr>
            <w:r w:rsidRPr="00583470">
              <w:rPr>
                <w:rFonts w:cs="Arial"/>
                <w:sz w:val="21"/>
                <w:szCs w:val="21"/>
              </w:rPr>
              <w:t xml:space="preserve">Foundational skills (LLN and digital literacy) </w:t>
            </w:r>
          </w:p>
        </w:tc>
      </w:tr>
      <w:tr w:rsidR="00DF3B79" w:rsidRPr="00583470" w14:paraId="16E4FDFE" w14:textId="77777777" w:rsidTr="00DF3B79">
        <w:tc>
          <w:tcPr>
            <w:tcW w:w="1696" w:type="dxa"/>
            <w:vMerge/>
            <w:shd w:val="clear" w:color="auto" w:fill="FDB7BB" w:themeFill="accent5" w:themeFillTint="66"/>
          </w:tcPr>
          <w:p w14:paraId="3619DECA"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1984CE24" w14:textId="77777777" w:rsidR="00DF3B79" w:rsidRPr="00583470" w:rsidRDefault="00DF3B79">
            <w:pPr>
              <w:spacing w:before="60" w:after="60"/>
              <w:rPr>
                <w:rStyle w:val="Strong"/>
                <w:rFonts w:cs="Arial"/>
                <w:sz w:val="21"/>
                <w:szCs w:val="21"/>
              </w:rPr>
            </w:pPr>
            <w:r w:rsidRPr="00583470">
              <w:rPr>
                <w:rFonts w:cs="Arial"/>
                <w:sz w:val="21"/>
                <w:szCs w:val="21"/>
              </w:rPr>
              <w:t>Licences and tickets</w:t>
            </w:r>
          </w:p>
        </w:tc>
      </w:tr>
      <w:tr w:rsidR="00DF3B79" w:rsidRPr="00583470" w14:paraId="11775E26" w14:textId="77777777" w:rsidTr="00DF3B79">
        <w:tc>
          <w:tcPr>
            <w:tcW w:w="1696" w:type="dxa"/>
            <w:vMerge/>
            <w:shd w:val="clear" w:color="auto" w:fill="FDB7BB" w:themeFill="accent5" w:themeFillTint="66"/>
          </w:tcPr>
          <w:p w14:paraId="69F0B49D"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524DE5D8" w14:textId="77777777" w:rsidR="00DF3B79" w:rsidRPr="00583470" w:rsidRDefault="00DF3B79">
            <w:pPr>
              <w:spacing w:before="60" w:after="60"/>
              <w:rPr>
                <w:rStyle w:val="Strong"/>
                <w:rFonts w:cs="Arial"/>
                <w:sz w:val="21"/>
                <w:szCs w:val="21"/>
              </w:rPr>
            </w:pPr>
            <w:r w:rsidRPr="00583470">
              <w:rPr>
                <w:rFonts w:cs="Arial"/>
                <w:sz w:val="21"/>
                <w:szCs w:val="21"/>
              </w:rPr>
              <w:t>Skills recognition – formal RPL</w:t>
            </w:r>
          </w:p>
        </w:tc>
      </w:tr>
      <w:tr w:rsidR="00DF3B79" w:rsidRPr="00583470" w14:paraId="0C7A53EF" w14:textId="77777777" w:rsidTr="00DF3B79">
        <w:tc>
          <w:tcPr>
            <w:tcW w:w="1696" w:type="dxa"/>
            <w:vMerge/>
            <w:shd w:val="clear" w:color="auto" w:fill="FDB7BB" w:themeFill="accent5" w:themeFillTint="66"/>
          </w:tcPr>
          <w:p w14:paraId="2B6380A4"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234AED32" w14:textId="77777777" w:rsidR="00DF3B79" w:rsidRPr="00583470" w:rsidRDefault="00DF3B79">
            <w:pPr>
              <w:spacing w:before="60" w:after="60"/>
              <w:rPr>
                <w:rStyle w:val="Strong"/>
                <w:rFonts w:cs="Arial"/>
                <w:sz w:val="21"/>
                <w:szCs w:val="21"/>
              </w:rPr>
            </w:pPr>
            <w:r w:rsidRPr="00583470">
              <w:rPr>
                <w:rFonts w:cs="Arial"/>
                <w:sz w:val="21"/>
                <w:szCs w:val="21"/>
              </w:rPr>
              <w:t>Short courses, micro-credentials</w:t>
            </w:r>
          </w:p>
        </w:tc>
      </w:tr>
      <w:tr w:rsidR="00DF3B79" w:rsidRPr="00583470" w14:paraId="6D03A9F2" w14:textId="77777777" w:rsidTr="00DF3B79">
        <w:tc>
          <w:tcPr>
            <w:tcW w:w="1696" w:type="dxa"/>
            <w:vMerge/>
            <w:shd w:val="clear" w:color="auto" w:fill="FDB7BB" w:themeFill="accent5" w:themeFillTint="66"/>
          </w:tcPr>
          <w:p w14:paraId="4BF2B737"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396B8615" w14:textId="77777777" w:rsidR="00DF3B79" w:rsidRPr="00583470" w:rsidRDefault="00DF3B79">
            <w:pPr>
              <w:spacing w:before="60" w:after="60"/>
              <w:rPr>
                <w:rStyle w:val="Strong"/>
                <w:rFonts w:cs="Arial"/>
                <w:sz w:val="21"/>
                <w:szCs w:val="21"/>
              </w:rPr>
            </w:pPr>
            <w:r w:rsidRPr="00583470">
              <w:rPr>
                <w:rFonts w:cs="Arial"/>
                <w:sz w:val="21"/>
                <w:szCs w:val="21"/>
              </w:rPr>
              <w:t>Certificate qualifications</w:t>
            </w:r>
          </w:p>
        </w:tc>
      </w:tr>
      <w:tr w:rsidR="00DF3B79" w:rsidRPr="00583470" w14:paraId="55AD8549" w14:textId="77777777" w:rsidTr="00DF3B79">
        <w:tc>
          <w:tcPr>
            <w:tcW w:w="1696" w:type="dxa"/>
            <w:vMerge/>
            <w:shd w:val="clear" w:color="auto" w:fill="FDB7BB" w:themeFill="accent5" w:themeFillTint="66"/>
          </w:tcPr>
          <w:p w14:paraId="409B8C58"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2A63E74F" w14:textId="77777777" w:rsidR="00DF3B79" w:rsidRPr="00583470" w:rsidRDefault="00DF3B79">
            <w:pPr>
              <w:spacing w:before="60" w:after="60"/>
              <w:rPr>
                <w:rStyle w:val="Strong"/>
                <w:rFonts w:cs="Arial"/>
                <w:sz w:val="21"/>
                <w:szCs w:val="21"/>
              </w:rPr>
            </w:pPr>
            <w:r w:rsidRPr="00583470">
              <w:rPr>
                <w:rFonts w:cs="Arial"/>
                <w:sz w:val="21"/>
                <w:szCs w:val="21"/>
              </w:rPr>
              <w:t>Tertiary degrees</w:t>
            </w:r>
          </w:p>
        </w:tc>
      </w:tr>
      <w:tr w:rsidR="00DF3B79" w:rsidRPr="00583470" w14:paraId="7B4A0912" w14:textId="77777777" w:rsidTr="00DF3B79">
        <w:tc>
          <w:tcPr>
            <w:tcW w:w="1696" w:type="dxa"/>
            <w:vMerge/>
            <w:shd w:val="clear" w:color="auto" w:fill="FDB7BB" w:themeFill="accent5" w:themeFillTint="66"/>
          </w:tcPr>
          <w:p w14:paraId="7CDF1536"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153DB4B4" w14:textId="77777777" w:rsidR="00DF3B79" w:rsidRPr="00583470" w:rsidRDefault="00DF3B79">
            <w:pPr>
              <w:spacing w:before="60" w:after="60"/>
              <w:rPr>
                <w:rStyle w:val="Strong"/>
                <w:rFonts w:cs="Arial"/>
                <w:sz w:val="21"/>
                <w:szCs w:val="21"/>
              </w:rPr>
            </w:pPr>
            <w:r w:rsidRPr="00583470">
              <w:rPr>
                <w:rFonts w:cs="Arial"/>
                <w:sz w:val="21"/>
                <w:szCs w:val="21"/>
              </w:rPr>
              <w:t xml:space="preserve">Adult apprenticeships </w:t>
            </w:r>
          </w:p>
        </w:tc>
      </w:tr>
      <w:tr w:rsidR="00DF3B79" w:rsidRPr="00583470" w14:paraId="13CC2A98" w14:textId="77777777" w:rsidTr="00DF3B79">
        <w:trPr>
          <w:trHeight w:val="113"/>
        </w:trPr>
        <w:tc>
          <w:tcPr>
            <w:tcW w:w="1696" w:type="dxa"/>
            <w:vMerge/>
            <w:shd w:val="clear" w:color="auto" w:fill="FDB7BB" w:themeFill="accent5" w:themeFillTint="66"/>
          </w:tcPr>
          <w:p w14:paraId="624AF3C5" w14:textId="77777777" w:rsidR="00DF3B79" w:rsidRPr="00583470" w:rsidRDefault="00DF3B79">
            <w:pPr>
              <w:spacing w:before="60" w:after="60"/>
              <w:jc w:val="center"/>
              <w:rPr>
                <w:rFonts w:cs="Arial"/>
                <w:sz w:val="21"/>
                <w:szCs w:val="21"/>
              </w:rPr>
            </w:pPr>
          </w:p>
        </w:tc>
        <w:tc>
          <w:tcPr>
            <w:tcW w:w="6946" w:type="dxa"/>
            <w:shd w:val="clear" w:color="auto" w:fill="FEDBDD" w:themeFill="accent5" w:themeFillTint="33"/>
            <w:vAlign w:val="center"/>
          </w:tcPr>
          <w:p w14:paraId="7076ACB2" w14:textId="77777777" w:rsidR="00DF3B79" w:rsidRPr="00583470" w:rsidRDefault="00DF3B79">
            <w:pPr>
              <w:spacing w:before="60" w:after="60"/>
              <w:rPr>
                <w:rStyle w:val="Strong"/>
                <w:rFonts w:cs="Arial"/>
                <w:sz w:val="21"/>
                <w:szCs w:val="21"/>
              </w:rPr>
            </w:pPr>
            <w:r w:rsidRPr="00583470">
              <w:rPr>
                <w:rFonts w:cs="Arial"/>
                <w:sz w:val="21"/>
                <w:szCs w:val="21"/>
              </w:rPr>
              <w:t>On-the-job training and mentoring</w:t>
            </w:r>
          </w:p>
        </w:tc>
      </w:tr>
      <w:tr w:rsidR="00DF3B79" w:rsidRPr="00583470" w14:paraId="78798061" w14:textId="77777777" w:rsidTr="00DF3B79">
        <w:trPr>
          <w:cantSplit/>
          <w:trHeight w:val="189"/>
        </w:trPr>
        <w:tc>
          <w:tcPr>
            <w:tcW w:w="1696" w:type="dxa"/>
            <w:vMerge w:val="restart"/>
            <w:shd w:val="clear" w:color="auto" w:fill="9DD3F8" w:themeFill="accent3" w:themeFillTint="66"/>
            <w:textDirection w:val="btLr"/>
          </w:tcPr>
          <w:p w14:paraId="1A8ABB80"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Transition support centres</w:t>
            </w:r>
          </w:p>
        </w:tc>
        <w:tc>
          <w:tcPr>
            <w:tcW w:w="6946" w:type="dxa"/>
            <w:shd w:val="clear" w:color="auto" w:fill="CEE9FB" w:themeFill="accent3" w:themeFillTint="33"/>
            <w:vAlign w:val="center"/>
          </w:tcPr>
          <w:p w14:paraId="5747CC67" w14:textId="77777777" w:rsidR="00DF3B79" w:rsidRPr="00583470" w:rsidRDefault="00DF3B79">
            <w:pPr>
              <w:spacing w:before="60" w:after="60"/>
              <w:rPr>
                <w:rStyle w:val="Strong"/>
                <w:rFonts w:cs="Arial"/>
                <w:sz w:val="21"/>
                <w:szCs w:val="21"/>
              </w:rPr>
            </w:pPr>
            <w:r w:rsidRPr="00583470">
              <w:rPr>
                <w:rFonts w:cs="Arial"/>
                <w:sz w:val="21"/>
                <w:szCs w:val="21"/>
              </w:rPr>
              <w:t>Workplace walk-in advice services/resources</w:t>
            </w:r>
          </w:p>
        </w:tc>
      </w:tr>
      <w:tr w:rsidR="00DF3B79" w:rsidRPr="00583470" w14:paraId="3EF72F4B" w14:textId="77777777" w:rsidTr="00DF3B79">
        <w:trPr>
          <w:cantSplit/>
          <w:trHeight w:val="395"/>
        </w:trPr>
        <w:tc>
          <w:tcPr>
            <w:tcW w:w="1696" w:type="dxa"/>
            <w:vMerge/>
            <w:shd w:val="clear" w:color="auto" w:fill="9DD3F8" w:themeFill="accent3" w:themeFillTint="66"/>
            <w:textDirection w:val="btLr"/>
          </w:tcPr>
          <w:p w14:paraId="683EF7D5" w14:textId="77777777" w:rsidR="00DF3B79" w:rsidRPr="00583470" w:rsidRDefault="00DF3B79">
            <w:pPr>
              <w:spacing w:before="60" w:after="60"/>
              <w:ind w:left="113" w:right="113"/>
              <w:jc w:val="center"/>
              <w:rPr>
                <w:rFonts w:cs="Arial"/>
                <w:b/>
                <w:bCs/>
                <w:sz w:val="21"/>
                <w:szCs w:val="21"/>
              </w:rPr>
            </w:pPr>
          </w:p>
        </w:tc>
        <w:tc>
          <w:tcPr>
            <w:tcW w:w="6946" w:type="dxa"/>
            <w:shd w:val="clear" w:color="auto" w:fill="CEE9FB" w:themeFill="accent3" w:themeFillTint="33"/>
            <w:vAlign w:val="center"/>
          </w:tcPr>
          <w:p w14:paraId="52B6841D" w14:textId="77777777" w:rsidR="00DF3B79" w:rsidRPr="00583470" w:rsidRDefault="00DF3B79">
            <w:pPr>
              <w:spacing w:before="60" w:after="60"/>
              <w:rPr>
                <w:rFonts w:cs="Arial"/>
                <w:sz w:val="21"/>
                <w:szCs w:val="21"/>
              </w:rPr>
            </w:pPr>
            <w:r w:rsidRPr="00583470">
              <w:rPr>
                <w:rFonts w:cs="Arial"/>
                <w:sz w:val="21"/>
                <w:szCs w:val="21"/>
              </w:rPr>
              <w:t>Open access walk-in advice services/resources</w:t>
            </w:r>
          </w:p>
        </w:tc>
      </w:tr>
      <w:tr w:rsidR="00DF3B79" w:rsidRPr="00583470" w14:paraId="5095439B" w14:textId="77777777" w:rsidTr="00DF3B79">
        <w:trPr>
          <w:cantSplit/>
          <w:trHeight w:val="497"/>
        </w:trPr>
        <w:tc>
          <w:tcPr>
            <w:tcW w:w="1696" w:type="dxa"/>
            <w:vMerge/>
            <w:shd w:val="clear" w:color="auto" w:fill="9DD3F8" w:themeFill="accent3" w:themeFillTint="66"/>
            <w:textDirection w:val="btLr"/>
          </w:tcPr>
          <w:p w14:paraId="2BDE1329" w14:textId="77777777" w:rsidR="00DF3B79" w:rsidRPr="00583470" w:rsidRDefault="00DF3B79">
            <w:pPr>
              <w:spacing w:before="60" w:after="60"/>
              <w:ind w:left="113" w:right="113"/>
              <w:jc w:val="center"/>
              <w:rPr>
                <w:rFonts w:cs="Arial"/>
                <w:b/>
                <w:bCs/>
                <w:sz w:val="21"/>
                <w:szCs w:val="21"/>
              </w:rPr>
            </w:pPr>
          </w:p>
        </w:tc>
        <w:tc>
          <w:tcPr>
            <w:tcW w:w="6946" w:type="dxa"/>
            <w:shd w:val="clear" w:color="auto" w:fill="CEE9FB" w:themeFill="accent3" w:themeFillTint="33"/>
            <w:vAlign w:val="center"/>
          </w:tcPr>
          <w:p w14:paraId="0191C73E" w14:textId="77777777" w:rsidR="00DF3B79" w:rsidRPr="00583470" w:rsidRDefault="00DF3B79">
            <w:pPr>
              <w:spacing w:before="60" w:after="60"/>
              <w:rPr>
                <w:rFonts w:cs="Arial"/>
                <w:sz w:val="21"/>
                <w:szCs w:val="21"/>
              </w:rPr>
            </w:pPr>
            <w:r w:rsidRPr="00583470">
              <w:rPr>
                <w:rFonts w:cs="Arial"/>
                <w:sz w:val="21"/>
                <w:szCs w:val="21"/>
              </w:rPr>
              <w:t xml:space="preserve">Employment Service Provider outlets </w:t>
            </w:r>
          </w:p>
        </w:tc>
      </w:tr>
      <w:tr w:rsidR="00DF3B79" w:rsidRPr="00583470" w14:paraId="4960E637" w14:textId="77777777" w:rsidTr="00DF3B79">
        <w:tc>
          <w:tcPr>
            <w:tcW w:w="1696" w:type="dxa"/>
            <w:vMerge w:val="restart"/>
            <w:shd w:val="clear" w:color="auto" w:fill="D9D9D9" w:themeFill="background1" w:themeFillShade="D9"/>
            <w:textDirection w:val="btLr"/>
          </w:tcPr>
          <w:p w14:paraId="094F5FFD" w14:textId="77777777" w:rsidR="00DF3B79" w:rsidRPr="00583470" w:rsidRDefault="00DF3B79">
            <w:pPr>
              <w:spacing w:before="60" w:after="60"/>
              <w:ind w:left="113" w:right="113"/>
              <w:jc w:val="center"/>
              <w:rPr>
                <w:rFonts w:cs="Arial"/>
                <w:sz w:val="21"/>
                <w:szCs w:val="21"/>
              </w:rPr>
            </w:pPr>
            <w:r w:rsidRPr="00583470">
              <w:rPr>
                <w:rFonts w:cs="Arial"/>
                <w:b/>
                <w:bCs/>
                <w:sz w:val="21"/>
                <w:szCs w:val="21"/>
              </w:rPr>
              <w:t>Other supports</w:t>
            </w:r>
          </w:p>
        </w:tc>
        <w:tc>
          <w:tcPr>
            <w:tcW w:w="6946" w:type="dxa"/>
            <w:shd w:val="clear" w:color="auto" w:fill="FFFFFF" w:themeFill="background1"/>
            <w:vAlign w:val="center"/>
          </w:tcPr>
          <w:p w14:paraId="45222136" w14:textId="77777777" w:rsidR="00DF3B79" w:rsidRPr="00583470" w:rsidRDefault="00DF3B79">
            <w:pPr>
              <w:spacing w:before="80" w:after="80"/>
              <w:rPr>
                <w:rStyle w:val="Strong"/>
                <w:rFonts w:cs="Arial"/>
                <w:sz w:val="21"/>
                <w:szCs w:val="21"/>
              </w:rPr>
            </w:pPr>
            <w:r w:rsidRPr="00583470">
              <w:rPr>
                <w:rFonts w:cs="Arial"/>
                <w:sz w:val="21"/>
                <w:szCs w:val="21"/>
              </w:rPr>
              <w:t>Employee Assistance Programs</w:t>
            </w:r>
          </w:p>
        </w:tc>
      </w:tr>
      <w:tr w:rsidR="00DF3B79" w:rsidRPr="00583470" w14:paraId="1B01D595" w14:textId="77777777" w:rsidTr="00DF3B79">
        <w:tc>
          <w:tcPr>
            <w:tcW w:w="1696" w:type="dxa"/>
            <w:vMerge/>
            <w:shd w:val="clear" w:color="auto" w:fill="D9D9D9" w:themeFill="background1" w:themeFillShade="D9"/>
          </w:tcPr>
          <w:p w14:paraId="256C9E67" w14:textId="77777777" w:rsidR="00DF3B79" w:rsidRPr="00583470" w:rsidRDefault="00DF3B79">
            <w:pPr>
              <w:spacing w:before="60" w:after="60"/>
              <w:jc w:val="center"/>
              <w:rPr>
                <w:rFonts w:cs="Arial"/>
                <w:sz w:val="21"/>
                <w:szCs w:val="21"/>
              </w:rPr>
            </w:pPr>
          </w:p>
        </w:tc>
        <w:tc>
          <w:tcPr>
            <w:tcW w:w="6946" w:type="dxa"/>
            <w:shd w:val="clear" w:color="auto" w:fill="FFFFFF" w:themeFill="background1"/>
            <w:vAlign w:val="center"/>
          </w:tcPr>
          <w:p w14:paraId="5305A7C3" w14:textId="77777777" w:rsidR="00DF3B79" w:rsidRPr="00583470" w:rsidRDefault="00DF3B79">
            <w:pPr>
              <w:spacing w:before="80" w:after="80"/>
              <w:rPr>
                <w:rStyle w:val="Strong"/>
                <w:rFonts w:cs="Arial"/>
                <w:sz w:val="21"/>
                <w:szCs w:val="21"/>
              </w:rPr>
            </w:pPr>
            <w:r w:rsidRPr="00583470">
              <w:rPr>
                <w:rFonts w:cs="Arial"/>
                <w:sz w:val="21"/>
                <w:szCs w:val="21"/>
              </w:rPr>
              <w:t>Mental health and allied health service referrals</w:t>
            </w:r>
          </w:p>
        </w:tc>
      </w:tr>
      <w:tr w:rsidR="00DF3B79" w:rsidRPr="00583470" w14:paraId="53E7D0AE" w14:textId="77777777" w:rsidTr="00DF3B79">
        <w:trPr>
          <w:trHeight w:val="500"/>
        </w:trPr>
        <w:tc>
          <w:tcPr>
            <w:tcW w:w="1696" w:type="dxa"/>
            <w:vMerge/>
            <w:shd w:val="clear" w:color="auto" w:fill="D9D9D9" w:themeFill="background1" w:themeFillShade="D9"/>
          </w:tcPr>
          <w:p w14:paraId="306B84A1" w14:textId="77777777" w:rsidR="00DF3B79" w:rsidRPr="00583470" w:rsidRDefault="00DF3B79">
            <w:pPr>
              <w:spacing w:before="60" w:after="60"/>
              <w:jc w:val="center"/>
              <w:rPr>
                <w:rFonts w:cs="Arial"/>
                <w:sz w:val="21"/>
                <w:szCs w:val="21"/>
              </w:rPr>
            </w:pPr>
          </w:p>
        </w:tc>
        <w:tc>
          <w:tcPr>
            <w:tcW w:w="6946" w:type="dxa"/>
            <w:shd w:val="clear" w:color="auto" w:fill="FFFFFF" w:themeFill="background1"/>
            <w:vAlign w:val="center"/>
          </w:tcPr>
          <w:p w14:paraId="27CBE39D" w14:textId="77777777" w:rsidR="00DF3B79" w:rsidRPr="00583470" w:rsidRDefault="00DF3B79">
            <w:pPr>
              <w:spacing w:before="80" w:after="80"/>
              <w:rPr>
                <w:rFonts w:cs="Arial"/>
                <w:sz w:val="21"/>
                <w:szCs w:val="21"/>
              </w:rPr>
            </w:pPr>
            <w:r w:rsidRPr="00583470">
              <w:rPr>
                <w:rFonts w:cs="Arial"/>
                <w:sz w:val="21"/>
                <w:szCs w:val="21"/>
              </w:rPr>
              <w:t>Relocation assistance</w:t>
            </w:r>
          </w:p>
        </w:tc>
      </w:tr>
    </w:tbl>
    <w:p w14:paraId="21ECC8D9" w14:textId="77777777" w:rsidR="00E13239" w:rsidRPr="00E5087D" w:rsidRDefault="00E13239" w:rsidP="00E13239">
      <w:pPr>
        <w:rPr>
          <w:rFonts w:eastAsia="Arial" w:cs="Arial"/>
          <w:b/>
          <w:bCs/>
          <w:color w:val="6929C4" w:themeColor="accent1"/>
          <w:sz w:val="28"/>
          <w:szCs w:val="28"/>
        </w:rPr>
      </w:pPr>
      <w:r w:rsidRPr="00E5087D">
        <w:rPr>
          <w:rFonts w:eastAsia="Arial" w:cs="Arial"/>
          <w:b/>
          <w:bCs/>
          <w:color w:val="6929C4" w:themeColor="accent1"/>
          <w:sz w:val="28"/>
          <w:szCs w:val="28"/>
        </w:rPr>
        <w:br w:type="page"/>
      </w:r>
    </w:p>
    <w:p w14:paraId="13E1F5E4" w14:textId="77777777" w:rsidR="00E13239" w:rsidRPr="004E5381" w:rsidRDefault="00E13239" w:rsidP="004E5381">
      <w:pPr>
        <w:pStyle w:val="Heading3"/>
        <w:rPr>
          <w:color w:val="6929C4" w:themeColor="accent1"/>
        </w:rPr>
      </w:pPr>
      <w:r w:rsidRPr="004E5381">
        <w:rPr>
          <w:color w:val="6929C4" w:themeColor="accent1"/>
        </w:rPr>
        <w:t>A worker-centred approach</w:t>
      </w:r>
    </w:p>
    <w:p w14:paraId="5EA2E320" w14:textId="1DEE7D25" w:rsidR="00E13239" w:rsidRPr="00E5087D" w:rsidRDefault="00E13239" w:rsidP="00E13239">
      <w:pPr>
        <w:spacing w:line="276" w:lineRule="auto"/>
        <w:rPr>
          <w14:numForm w14:val="lining"/>
          <w14:numSpacing w14:val="proportional"/>
        </w:rPr>
      </w:pPr>
      <w:r w:rsidRPr="00E5087D">
        <w:t xml:space="preserve">A worker-centred approach </w:t>
      </w:r>
      <w:r w:rsidR="00296D0B">
        <w:t xml:space="preserve">could </w:t>
      </w:r>
      <w:r w:rsidRPr="00E5087D">
        <w:t>have the following elements, to guide individual</w:t>
      </w:r>
      <w:r w:rsidR="00C11128">
        <w:t>s</w:t>
      </w:r>
      <w:r w:rsidRPr="00E5087D">
        <w:t xml:space="preserve"> </w:t>
      </w:r>
      <w:r w:rsidRPr="00E5087D">
        <w:rPr>
          <w14:numForm w14:val="lining"/>
          <w14:numSpacing w14:val="proportional"/>
        </w:rPr>
        <w:t xml:space="preserve">through understanding the environment, identifying options, maximising their potential, </w:t>
      </w:r>
      <w:r w:rsidR="00C11128">
        <w:rPr>
          <w14:numForm w14:val="lining"/>
          <w14:numSpacing w14:val="proportional"/>
        </w:rPr>
        <w:t xml:space="preserve">and </w:t>
      </w:r>
      <w:r w:rsidRPr="00E5087D">
        <w:rPr>
          <w14:numForm w14:val="lining"/>
          <w14:numSpacing w14:val="proportional"/>
        </w:rPr>
        <w:t>maintaining wellbeing.</w:t>
      </w:r>
    </w:p>
    <w:p w14:paraId="29F01E6A" w14:textId="1DC1B0BE"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Case </w:t>
      </w:r>
      <w:r w:rsidR="61F38861" w:rsidRPr="00E5087D">
        <w:rPr>
          <w:color w:val="000000" w:themeColor="text1"/>
          <w:sz w:val="24"/>
          <w:szCs w:val="24"/>
          <w14:numForm w14:val="lining"/>
          <w14:numSpacing w14:val="proportional"/>
        </w:rPr>
        <w:t>m</w:t>
      </w:r>
      <w:r w:rsidRPr="00E5087D">
        <w:rPr>
          <w:color w:val="000000" w:themeColor="text1"/>
          <w:sz w:val="24"/>
          <w:szCs w:val="24"/>
          <w14:numForm w14:val="lining"/>
          <w14:numSpacing w14:val="proportional"/>
        </w:rPr>
        <w:t>anagement</w:t>
      </w:r>
    </w:p>
    <w:p w14:paraId="7BCB8F89" w14:textId="7777777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Case management is one of the strongest contributors to enable positive transition outcomes and is highly valued by workers.</w:t>
      </w:r>
      <w:r w:rsidRPr="00E5087D">
        <w:rPr>
          <w:rStyle w:val="EndnoteReference"/>
          <w:rFonts w:eastAsia="Arial" w:cs="Arial"/>
          <w14:numForm w14:val="lining"/>
          <w14:numSpacing w14:val="proportional"/>
        </w:rPr>
        <w:endnoteReference w:id="238"/>
      </w:r>
      <w:r w:rsidRPr="00E5087D">
        <w:rPr>
          <w:rFonts w:eastAsia="Arial" w:cs="Arial"/>
          <w14:numForm w14:val="lining"/>
          <w14:numSpacing w14:val="proportional"/>
        </w:rPr>
        <w:t xml:space="preserve"> It offers a tailored and flexible approach to mobilise resources while encouraging individual ownership. Case management typically sits within the support packages offered by employer, and early engagement by workers should be strongly encouraged.</w:t>
      </w:r>
    </w:p>
    <w:p w14:paraId="4B4E8277" w14:textId="7C3491F5" w:rsidR="00E13239" w:rsidRPr="00E5087D" w:rsidRDefault="00E13239" w:rsidP="00E13239">
      <w:pPr>
        <w:spacing w:after="120" w:line="276" w:lineRule="auto"/>
        <w:rPr>
          <w:rFonts w:eastAsia="Arial" w:cs="Arial"/>
          <w:b/>
          <w:bCs/>
          <w14:numForm w14:val="lining"/>
          <w14:numSpacing w14:val="proportional"/>
        </w:rPr>
      </w:pPr>
      <w:r w:rsidRPr="00E5087D">
        <w:rPr>
          <w:rFonts w:eastAsia="Arial" w:cs="Arial"/>
          <w14:numForm w14:val="lining"/>
          <w14:numSpacing w14:val="proportional"/>
        </w:rPr>
        <w:t>Case managers are generally qualified career coaches from outplacement services but can also be supported by internal staff members who have undertaken a relevant qualification.</w:t>
      </w:r>
      <w:r w:rsidRPr="00E5087D">
        <w:rPr>
          <w:rStyle w:val="EndnoteReference"/>
          <w:rFonts w:eastAsia="Arial" w:cs="Arial"/>
          <w14:numForm w14:val="lining"/>
          <w14:numSpacing w14:val="proportional"/>
        </w:rPr>
        <w:endnoteReference w:id="239"/>
      </w:r>
      <w:r w:rsidRPr="00E5087D">
        <w:rPr>
          <w:rFonts w:eastAsia="Arial" w:cs="Arial"/>
          <w14:numForm w14:val="lining"/>
          <w14:numSpacing w14:val="proportional"/>
        </w:rPr>
        <w:t xml:space="preserve"> They offer informed guidance to develop transition plans aligned with individual goals and needs and act as a central coordination point to link the full suite of available services and supports. Case managers can come to be regarded as trusted intermediaries who can also liaise across informal networks.</w:t>
      </w:r>
    </w:p>
    <w:p w14:paraId="1DEFE746" w14:textId="7777777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A ‘transition passport’ can be an effective case management tool to capture individual goals and development needs, and to identify relevant supports. Progress can be tracked via a record of services accessed and skill gaps yet to be addressed.</w:t>
      </w:r>
    </w:p>
    <w:p w14:paraId="17882C51" w14:textId="77777777"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Recognition of Prior Learning</w:t>
      </w:r>
    </w:p>
    <w:p w14:paraId="5E18E8A1" w14:textId="6C31A773"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RPL can translate skills that have been gained in a specific workplace setting into competencies that are recognisable by other employers or industry areas. Transferable skills are often poorly understood by workers, despite being one of their strongest assets.</w:t>
      </w:r>
      <w:r w:rsidRPr="00E5087D">
        <w:rPr>
          <w:rStyle w:val="EndnoteReference"/>
          <w:rFonts w:eastAsia="Arial" w:cs="Arial"/>
          <w14:numForm w14:val="lining"/>
          <w14:numSpacing w14:val="proportional"/>
        </w:rPr>
        <w:endnoteReference w:id="240"/>
      </w:r>
      <w:r w:rsidRPr="00E5087D">
        <w:rPr>
          <w:rFonts w:eastAsia="Arial" w:cs="Arial"/>
          <w14:numForm w14:val="lining"/>
          <w14:numSpacing w14:val="proportional"/>
        </w:rPr>
        <w:t xml:space="preserve"> Engaging with RPL early can help to provide the worker with confidence and re-engage them with formal learning. RPL processes can also identify skill gap areas and foundation skills training needs. </w:t>
      </w:r>
    </w:p>
    <w:p w14:paraId="7CA15415" w14:textId="204380AE"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Foundation </w:t>
      </w:r>
      <w:r w:rsidR="39C12649" w:rsidRPr="00E5087D">
        <w:rPr>
          <w:color w:val="000000" w:themeColor="text1"/>
          <w:sz w:val="24"/>
          <w:szCs w:val="24"/>
          <w14:numForm w14:val="lining"/>
          <w14:numSpacing w14:val="proportional"/>
        </w:rPr>
        <w:t>s</w:t>
      </w:r>
      <w:r w:rsidRPr="00E5087D">
        <w:rPr>
          <w:color w:val="000000" w:themeColor="text1"/>
          <w:sz w:val="24"/>
          <w:szCs w:val="24"/>
          <w14:numForm w14:val="lining"/>
          <w14:numSpacing w14:val="proportional"/>
        </w:rPr>
        <w:t xml:space="preserve">kills </w:t>
      </w:r>
    </w:p>
    <w:p w14:paraId="5423A389" w14:textId="43E30962" w:rsidR="00E13239" w:rsidRPr="00E5087D" w:rsidRDefault="00E13239" w:rsidP="00E13239">
      <w:pPr>
        <w:spacing w:after="120" w:line="276" w:lineRule="auto"/>
      </w:pPr>
      <w:r w:rsidRPr="00E5087D">
        <w:rPr>
          <w:rFonts w:eastAsia="Arial" w:cs="Arial"/>
          <w14:numForm w14:val="lining"/>
          <w14:numSpacing w14:val="proportional"/>
        </w:rPr>
        <w:t>Foundation skills encompass language, literacy, numeracy training, digital literacy training, and employability skills. Foundation skills are highly valuable and should be promoted widely as an investment in the worker’s own capabilities. However</w:t>
      </w:r>
      <w:r w:rsidRPr="00E5087D">
        <w:rPr>
          <w:rFonts w:eastAsia="Arial" w:cs="Arial"/>
        </w:rPr>
        <w:t>,</w:t>
      </w:r>
      <w:r w:rsidRPr="00E5087D">
        <w:rPr>
          <w:rFonts w:eastAsia="Arial" w:cs="Arial"/>
          <w14:numForm w14:val="lining"/>
          <w14:numSpacing w14:val="proportional"/>
        </w:rPr>
        <w:t xml:space="preserve"> some workers </w:t>
      </w:r>
      <w:r w:rsidR="007C3F0C">
        <w:rPr>
          <w:rFonts w:eastAsia="Arial" w:cs="Arial"/>
          <w14:numForm w14:val="lining"/>
          <w14:numSpacing w14:val="proportional"/>
        </w:rPr>
        <w:t xml:space="preserve">are reluctant </w:t>
      </w:r>
      <w:r w:rsidRPr="00E5087D">
        <w:rPr>
          <w:rFonts w:eastAsia="Arial" w:cs="Arial"/>
          <w14:numForm w14:val="lining"/>
          <w14:numSpacing w14:val="proportional"/>
        </w:rPr>
        <w:t>to engage in foundation training because of perceived stigmas.</w:t>
      </w:r>
      <w:r w:rsidRPr="00E5087D">
        <w:rPr>
          <w:rStyle w:val="EndnoteReference"/>
          <w:rFonts w:eastAsia="Arial" w:cs="Arial"/>
          <w14:numForm w14:val="lining"/>
          <w14:numSpacing w14:val="proportional"/>
        </w:rPr>
        <w:endnoteReference w:id="241"/>
      </w:r>
      <w:r w:rsidRPr="00E5087D">
        <w:rPr>
          <w:rFonts w:eastAsia="Arial" w:cs="Arial"/>
          <w14:numForm w14:val="lining"/>
          <w14:numSpacing w14:val="proportional"/>
        </w:rPr>
        <w:t xml:space="preserve"> </w:t>
      </w:r>
      <w:r w:rsidR="009B5ECA">
        <w:rPr>
          <w:rFonts w:eastAsia="Arial" w:cs="Arial"/>
          <w14:numForm w14:val="lining"/>
          <w14:numSpacing w14:val="proportional"/>
        </w:rPr>
        <w:t>The</w:t>
      </w:r>
      <w:r w:rsidRPr="00E5087D">
        <w:rPr>
          <w:rFonts w:eastAsia="Arial" w:cs="Arial"/>
          <w14:numForm w14:val="lining"/>
          <w14:numSpacing w14:val="proportional"/>
        </w:rPr>
        <w:t xml:space="preserve"> ABS and Productivity Commission have shown improved literacy and numeracy skills can significantly increase hourly wage rates</w:t>
      </w:r>
      <w:r w:rsidR="0007374E">
        <w:rPr>
          <w:rFonts w:eastAsia="Arial" w:cs="Arial"/>
          <w14:numForm w14:val="lining"/>
          <w14:numSpacing w14:val="proportional"/>
        </w:rPr>
        <w:t>, which could present a strong individual incentive to workers</w:t>
      </w:r>
      <w:r w:rsidRPr="00E5087D">
        <w:rPr>
          <w:rFonts w:eastAsia="Arial" w:cs="Arial"/>
          <w14:numForm w14:val="lining"/>
          <w14:numSpacing w14:val="proportional"/>
        </w:rPr>
        <w:t>.</w:t>
      </w:r>
      <w:r w:rsidRPr="00E5087D">
        <w:rPr>
          <w:rStyle w:val="EndnoteReference"/>
          <w:rFonts w:eastAsia="Arial" w:cs="Arial"/>
          <w14:numForm w14:val="lining"/>
          <w14:numSpacing w14:val="proportional"/>
        </w:rPr>
        <w:endnoteReference w:id="242"/>
      </w:r>
      <w:r w:rsidRPr="00E5087D">
        <w:rPr>
          <w:rFonts w:eastAsia="Arial" w:cs="Arial"/>
          <w14:numForm w14:val="lining"/>
          <w14:numSpacing w14:val="proportional"/>
        </w:rPr>
        <w:t xml:space="preserve"> Tailored foundation skills training adapted to suit the cultural background and employment experiences of affected workers is warranted in firm closure situations. </w:t>
      </w:r>
    </w:p>
    <w:p w14:paraId="7645ACFC" w14:textId="77777777" w:rsidR="00E13239" w:rsidRPr="00E5087D" w:rsidRDefault="00E13239" w:rsidP="00E13239">
      <w:pPr>
        <w:rPr>
          <w:rFonts w:cs="Arial"/>
          <w:b/>
          <w:bCs/>
          <w:sz w:val="24"/>
          <w:szCs w:val="24"/>
          <w14:numForm w14:val="lining"/>
          <w14:numSpacing w14:val="proportional"/>
        </w:rPr>
      </w:pPr>
      <w:r w:rsidRPr="00E5087D">
        <w:rPr>
          <w:sz w:val="24"/>
          <w:szCs w:val="24"/>
          <w14:numForm w14:val="lining"/>
          <w14:numSpacing w14:val="proportional"/>
        </w:rPr>
        <w:br w:type="page"/>
      </w:r>
    </w:p>
    <w:p w14:paraId="6A0A472A" w14:textId="1CB93EF3" w:rsidR="00E13239" w:rsidRPr="00E5087D" w:rsidRDefault="35FD24CD"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Labour market information and </w:t>
      </w:r>
      <w:r w:rsidR="00E13239" w:rsidRPr="00E5087D">
        <w:rPr>
          <w:color w:val="000000" w:themeColor="text1"/>
          <w:sz w:val="24"/>
          <w:szCs w:val="24"/>
          <w14:numForm w14:val="lining"/>
          <w14:numSpacing w14:val="proportional"/>
        </w:rPr>
        <w:t xml:space="preserve">Job </w:t>
      </w:r>
      <w:r w:rsidR="2249171C" w:rsidRPr="00E5087D">
        <w:rPr>
          <w:color w:val="000000" w:themeColor="text1"/>
          <w:sz w:val="24"/>
          <w:szCs w:val="24"/>
          <w14:numForm w14:val="lining"/>
          <w14:numSpacing w14:val="proportional"/>
        </w:rPr>
        <w:t>s</w:t>
      </w:r>
      <w:r w:rsidR="00E13239" w:rsidRPr="00E5087D">
        <w:rPr>
          <w:color w:val="000000" w:themeColor="text1"/>
          <w:sz w:val="24"/>
          <w:szCs w:val="24"/>
          <w14:numForm w14:val="lining"/>
          <w14:numSpacing w14:val="proportional"/>
        </w:rPr>
        <w:t xml:space="preserve">earch </w:t>
      </w:r>
      <w:r w:rsidR="51568CAB" w:rsidRPr="00E5087D">
        <w:rPr>
          <w:color w:val="000000" w:themeColor="text1"/>
          <w:sz w:val="24"/>
          <w:szCs w:val="24"/>
          <w14:numForm w14:val="lining"/>
          <w14:numSpacing w14:val="proportional"/>
        </w:rPr>
        <w:t>a</w:t>
      </w:r>
      <w:r w:rsidR="00E13239" w:rsidRPr="00E5087D">
        <w:rPr>
          <w:color w:val="000000" w:themeColor="text1"/>
          <w:sz w:val="24"/>
          <w:szCs w:val="24"/>
          <w14:numForm w14:val="lining"/>
          <w14:numSpacing w14:val="proportional"/>
        </w:rPr>
        <w:t>ssistance</w:t>
      </w:r>
    </w:p>
    <w:p w14:paraId="27590DC5" w14:textId="228EBB48" w:rsidR="00E13239" w:rsidRPr="00E5087D" w:rsidRDefault="6ACE97FC" w:rsidP="00E13239">
      <w:pPr>
        <w:spacing w:after="120" w:line="276" w:lineRule="auto"/>
        <w:rPr>
          <w:rFonts w:eastAsia="Arial" w:cs="Arial"/>
          <w14:numForm w14:val="lining"/>
          <w14:numSpacing w14:val="proportional"/>
        </w:rPr>
      </w:pPr>
      <w:r w:rsidRPr="194E56ED">
        <w:rPr>
          <w:rFonts w:eastAsia="Arial" w:cs="Arial"/>
        </w:rPr>
        <w:t xml:space="preserve">Up-to-date labour market information matching workforce profiles and transferable skills with state and regional employment trends can provide workers with good insights into viable career options, based on realistic expectations. </w:t>
      </w:r>
      <w:r w:rsidR="00E13239" w:rsidRPr="00E5087D">
        <w:rPr>
          <w:rFonts w:eastAsia="Arial" w:cs="Arial"/>
          <w14:numForm w14:val="lining"/>
          <w14:numSpacing w14:val="proportional"/>
        </w:rPr>
        <w:t xml:space="preserve">Job search assistance will </w:t>
      </w:r>
      <w:r w:rsidR="03D9C538" w:rsidRPr="73B10D08">
        <w:rPr>
          <w:rFonts w:eastAsia="Arial" w:cs="Arial"/>
        </w:rPr>
        <w:t xml:space="preserve">also </w:t>
      </w:r>
      <w:r w:rsidR="00E13239" w:rsidRPr="00E5087D">
        <w:rPr>
          <w:rFonts w:eastAsia="Arial" w:cs="Arial"/>
          <w14:numForm w14:val="lining"/>
          <w14:numSpacing w14:val="proportional"/>
        </w:rPr>
        <w:t>be of value to most workers but can be particularly valuable for individuals who have been in the same job for long periods, with limited experience in the job market.</w:t>
      </w:r>
      <w:r w:rsidR="00E13239" w:rsidRPr="00E5087D">
        <w:rPr>
          <w:rStyle w:val="EndnoteReference"/>
          <w:rFonts w:eastAsia="Arial" w:cs="Arial"/>
          <w14:numForm w14:val="lining"/>
          <w14:numSpacing w14:val="proportional"/>
        </w:rPr>
        <w:endnoteReference w:id="243"/>
      </w:r>
      <w:r w:rsidR="00E13239" w:rsidRPr="00E5087D">
        <w:rPr>
          <w:rFonts w:eastAsia="Arial" w:cs="Arial"/>
          <w14:numForm w14:val="lining"/>
          <w14:numSpacing w14:val="proportional"/>
        </w:rPr>
        <w:t xml:space="preserve"> Localised job search assistance is highly valued in site closure scenarios: </w:t>
      </w:r>
    </w:p>
    <w:p w14:paraId="1E720D8B" w14:textId="77777777" w:rsidR="00E13239" w:rsidRPr="00E5087D" w:rsidRDefault="00E13239" w:rsidP="00F25595">
      <w:pPr>
        <w:pStyle w:val="ListParagraph"/>
        <w:numPr>
          <w:ilvl w:val="0"/>
          <w:numId w:val="45"/>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Onsite job boards with regularly updated vacancy listings are valued by workers.</w:t>
      </w:r>
    </w:p>
    <w:p w14:paraId="187E5235" w14:textId="77777777" w:rsidR="00E13239" w:rsidRPr="00E5087D" w:rsidRDefault="00E13239" w:rsidP="00F25595">
      <w:pPr>
        <w:pStyle w:val="ListParagraph"/>
        <w:numPr>
          <w:ilvl w:val="0"/>
          <w:numId w:val="45"/>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Online talent community portals can also be created to match worker’s interests, skills and attributes with available jobs and prospective employers.</w:t>
      </w:r>
    </w:p>
    <w:p w14:paraId="41248462" w14:textId="77777777" w:rsidR="00E13239" w:rsidRPr="00E5087D" w:rsidRDefault="00E13239" w:rsidP="00F25595">
      <w:pPr>
        <w:pStyle w:val="ListParagraph"/>
        <w:numPr>
          <w:ilvl w:val="0"/>
          <w:numId w:val="45"/>
        </w:numPr>
        <w:spacing w:after="80" w:line="276" w:lineRule="auto"/>
        <w:ind w:left="567" w:hanging="357"/>
        <w:contextualSpacing w:val="0"/>
        <w:rPr>
          <w:rFonts w:eastAsia="Arial" w:cs="Arial"/>
          <w14:numForm w14:val="lining"/>
          <w14:numSpacing w14:val="proportional"/>
        </w:rPr>
      </w:pPr>
      <w:r w:rsidRPr="00E5087D">
        <w:rPr>
          <w:rFonts w:eastAsia="Arial" w:cs="Arial"/>
          <w14:numForm w14:val="lining"/>
          <w14:numSpacing w14:val="proportional"/>
        </w:rPr>
        <w:t>Workplace tours, industry information sessions with guest speakers, and onsite career fairs can offer workers with practical insights that better informs their career options.</w:t>
      </w:r>
    </w:p>
    <w:p w14:paraId="30F7883B" w14:textId="7FB6E1E9" w:rsidR="00E13239" w:rsidRPr="004E5381" w:rsidRDefault="00E13239" w:rsidP="00341C98">
      <w:pPr>
        <w:pStyle w:val="Heading4"/>
        <w:spacing w:before="240" w:after="120" w:line="240" w:lineRule="auto"/>
        <w:rPr>
          <w:color w:val="000000" w:themeColor="text1"/>
          <w:sz w:val="24"/>
          <w:szCs w:val="24"/>
          <w14:numForm w14:val="lining"/>
          <w14:numSpacing w14:val="proportional"/>
        </w:rPr>
      </w:pPr>
      <w:r w:rsidRPr="004E5381">
        <w:rPr>
          <w:color w:val="000000" w:themeColor="text1"/>
          <w:sz w:val="24"/>
          <w:szCs w:val="24"/>
          <w14:numForm w14:val="lining"/>
          <w14:numSpacing w14:val="proportional"/>
        </w:rPr>
        <w:t xml:space="preserve">Training </w:t>
      </w:r>
      <w:r w:rsidR="3352A8DE" w:rsidRPr="004E5381">
        <w:rPr>
          <w:color w:val="000000" w:themeColor="text1"/>
          <w:sz w:val="24"/>
          <w:szCs w:val="24"/>
          <w14:numForm w14:val="lining"/>
          <w14:numSpacing w14:val="proportional"/>
        </w:rPr>
        <w:t>p</w:t>
      </w:r>
      <w:r w:rsidRPr="004E5381">
        <w:rPr>
          <w:color w:val="000000" w:themeColor="text1"/>
          <w:sz w:val="24"/>
          <w:szCs w:val="24"/>
          <w14:numForm w14:val="lining"/>
          <w14:numSpacing w14:val="proportional"/>
        </w:rPr>
        <w:t>athways</w:t>
      </w:r>
    </w:p>
    <w:p w14:paraId="6576DCA2" w14:textId="487E7674" w:rsidR="00B857CE" w:rsidRDefault="00E13239" w:rsidP="73B10D08">
      <w:pPr>
        <w:spacing w:after="120" w:line="276" w:lineRule="auto"/>
        <w:rPr>
          <w:rFonts w:eastAsia="Arial" w:cs="Arial"/>
        </w:rPr>
      </w:pPr>
      <w:r w:rsidRPr="00E5087D">
        <w:rPr>
          <w:rFonts w:eastAsia="Arial" w:cs="Arial"/>
          <w14:numForm w14:val="lining"/>
          <w14:numSpacing w14:val="proportional"/>
        </w:rPr>
        <w:t>The</w:t>
      </w:r>
      <w:r w:rsidRPr="00E5087D">
        <w:rPr>
          <w:rFonts w:eastAsia="Arial" w:cs="Arial"/>
          <w:color w:val="1A1A1A"/>
          <w14:numForm w14:val="lining"/>
          <w14:numSpacing w14:val="proportional"/>
        </w:rPr>
        <w:t xml:space="preserve"> </w:t>
      </w:r>
      <w:r w:rsidRPr="00E5087D">
        <w:rPr>
          <w:rFonts w:eastAsia="Arial" w:cs="Arial"/>
          <w14:numForm w14:val="lining"/>
          <w14:numSpacing w14:val="proportional"/>
        </w:rPr>
        <w:t>importance of training is well recognised as a strong enabler to support successful worker transitions.</w:t>
      </w:r>
      <w:r w:rsidRPr="00E5087D">
        <w:rPr>
          <w:rStyle w:val="EndnoteReference"/>
          <w:rFonts w:eastAsia="Arial" w:cs="Arial"/>
          <w14:numForm w14:val="lining"/>
          <w14:numSpacing w14:val="proportional"/>
        </w:rPr>
        <w:endnoteReference w:id="244"/>
      </w:r>
      <w:r w:rsidRPr="00E5087D">
        <w:rPr>
          <w:rFonts w:eastAsia="Arial" w:cs="Arial"/>
          <w14:numForm w14:val="lining"/>
          <w14:numSpacing w14:val="proportional"/>
        </w:rPr>
        <w:t xml:space="preserve"> Amidst the many challenges posed by industry transition events, training pathways can offer strong opportunities to enhance worker career options and increase the workforce skill base more broadly within labour markets. </w:t>
      </w:r>
    </w:p>
    <w:p w14:paraId="272AE5C5" w14:textId="172891D4" w:rsidR="00B857CE" w:rsidRDefault="00E13239" w:rsidP="00E13239">
      <w:pPr>
        <w:spacing w:after="120" w:line="276" w:lineRule="auto"/>
        <w:rPr>
          <w:rFonts w:eastAsia="Arial" w:cs="Arial"/>
        </w:rPr>
      </w:pPr>
      <w:r w:rsidRPr="00E5087D">
        <w:rPr>
          <w:rFonts w:eastAsia="Arial" w:cs="Arial"/>
          <w14:numForm w14:val="lining"/>
          <w14:numSpacing w14:val="proportional"/>
        </w:rPr>
        <w:t>RPL</w:t>
      </w:r>
      <w:r w:rsidRPr="00E5087D">
        <w:rPr>
          <w:rFonts w:eastAsia="Arial" w:cs="Arial"/>
        </w:rPr>
        <w:t xml:space="preserve">, refresher, top-up training is key for transitioning workers and this report maps out the skills transferability and </w:t>
      </w:r>
      <w:r w:rsidR="000B69E4" w:rsidRPr="00E5087D">
        <w:rPr>
          <w:rFonts w:eastAsia="Arial" w:cs="Arial"/>
        </w:rPr>
        <w:t>flexible non</w:t>
      </w:r>
      <w:r w:rsidRPr="00E5087D">
        <w:rPr>
          <w:rFonts w:eastAsia="Arial" w:cs="Arial"/>
        </w:rPr>
        <w:t xml:space="preserve">-traditional training pathways that should be used in transitions. </w:t>
      </w:r>
      <w:r w:rsidR="00B857CE">
        <w:rPr>
          <w:rFonts w:eastAsia="Arial" w:cs="Arial"/>
        </w:rPr>
        <w:t xml:space="preserve">One way of </w:t>
      </w:r>
      <w:r w:rsidR="00EB73C9">
        <w:rPr>
          <w:rFonts w:eastAsia="Arial" w:cs="Arial"/>
        </w:rPr>
        <w:t>delivering</w:t>
      </w:r>
      <w:r w:rsidR="00B857CE">
        <w:rPr>
          <w:rFonts w:eastAsia="Arial" w:cs="Arial"/>
        </w:rPr>
        <w:t xml:space="preserve"> RPL </w:t>
      </w:r>
      <w:r w:rsidR="006E27EE">
        <w:rPr>
          <w:rFonts w:eastAsia="Arial" w:cs="Arial"/>
        </w:rPr>
        <w:t>is through local skills centres, such as the TAFE based Collie Jobs and Skills Centre, which can expedite fee-free skill assessments</w:t>
      </w:r>
      <w:r w:rsidR="00EB73C9">
        <w:rPr>
          <w:rFonts w:eastAsia="Arial" w:cs="Arial"/>
        </w:rPr>
        <w:t xml:space="preserve"> for transitioning workers</w:t>
      </w:r>
      <w:r w:rsidR="006E27EE">
        <w:rPr>
          <w:rFonts w:eastAsia="Arial" w:cs="Arial"/>
        </w:rPr>
        <w:t xml:space="preserve">. </w:t>
      </w:r>
      <w:r w:rsidR="00EB73C9">
        <w:rPr>
          <w:rFonts w:eastAsia="Arial" w:cs="Arial"/>
        </w:rPr>
        <w:t xml:space="preserve">These type of </w:t>
      </w:r>
      <w:r w:rsidR="00A41D77">
        <w:rPr>
          <w:rFonts w:eastAsia="Arial" w:cs="Arial"/>
        </w:rPr>
        <w:t>initiatives</w:t>
      </w:r>
      <w:r w:rsidR="00EB73C9">
        <w:rPr>
          <w:rFonts w:eastAsia="Arial" w:cs="Arial"/>
        </w:rPr>
        <w:t xml:space="preserve"> have seen success in other</w:t>
      </w:r>
      <w:r w:rsidR="00736C31">
        <w:rPr>
          <w:rFonts w:eastAsia="Arial" w:cs="Arial"/>
        </w:rPr>
        <w:t xml:space="preserve"> sectors, including the transition of </w:t>
      </w:r>
      <w:r w:rsidR="009D3026">
        <w:rPr>
          <w:rFonts w:eastAsia="Arial" w:cs="Arial"/>
        </w:rPr>
        <w:t>Australia’s</w:t>
      </w:r>
      <w:r w:rsidR="00736C31">
        <w:rPr>
          <w:rFonts w:eastAsia="Arial" w:cs="Arial"/>
        </w:rPr>
        <w:t xml:space="preserve"> car manufacturing sector</w:t>
      </w:r>
      <w:r w:rsidR="00EB73C9">
        <w:rPr>
          <w:rFonts w:eastAsia="Arial" w:cs="Arial"/>
        </w:rPr>
        <w:t>.</w:t>
      </w:r>
      <w:r w:rsidR="009D3026">
        <w:rPr>
          <w:rStyle w:val="EndnoteReference"/>
          <w:rFonts w:eastAsia="Arial" w:cs="Arial"/>
        </w:rPr>
        <w:endnoteReference w:id="245"/>
      </w:r>
    </w:p>
    <w:p w14:paraId="53AD07DA" w14:textId="25137E05"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Notwithstanding the value of a full qualification, experience from former transitions shows that workers can benefit from completing tickets or licensing courses (such as forklift driving) or other short courses/micro-credentials.</w:t>
      </w:r>
      <w:r w:rsidRPr="743C1527">
        <w:rPr>
          <w:rStyle w:val="EndnoteReference"/>
          <w:rFonts w:eastAsia="Arial" w:cs="Arial"/>
        </w:rPr>
        <w:endnoteReference w:id="246"/>
      </w:r>
      <w:r w:rsidRPr="00E5087D">
        <w:rPr>
          <w:rFonts w:eastAsia="Arial" w:cs="Arial"/>
          <w14:numForm w14:val="lining"/>
          <w14:numSpacing w14:val="proportional"/>
        </w:rPr>
        <w:t xml:space="preserve"> Short courses and micro-credential training can be particularly valuable to tailor delivery for worker needs and target specific skill sets required by employers. The Ai Group advised that clean energy employers need access to shorter programs (within VET and higher education) to reskill workers transitioning from </w:t>
      </w:r>
      <w:r w:rsidR="00CA5983">
        <w:rPr>
          <w:rFonts w:eastAsia="Arial" w:cs="Arial"/>
          <w14:numForm w14:val="lining"/>
          <w14:numSpacing w14:val="proportional"/>
        </w:rPr>
        <w:t xml:space="preserve">sectors that are </w:t>
      </w:r>
      <w:r w:rsidR="00C11128" w:rsidRPr="00E5087D">
        <w:rPr>
          <w:rFonts w:eastAsia="Arial" w:cs="Arial"/>
          <w14:numForm w14:val="lining"/>
          <w14:numSpacing w14:val="proportional"/>
        </w:rPr>
        <w:t>emission</w:t>
      </w:r>
      <w:r w:rsidR="00C11128">
        <w:rPr>
          <w:rFonts w:eastAsia="Arial" w:cs="Arial"/>
          <w14:numForm w14:val="lining"/>
          <w14:numSpacing w14:val="proportional"/>
        </w:rPr>
        <w:t>s</w:t>
      </w:r>
      <w:r w:rsidR="00C11128" w:rsidRPr="00E5087D">
        <w:rPr>
          <w:rFonts w:eastAsia="Arial" w:cs="Arial"/>
          <w14:numForm w14:val="lining"/>
          <w14:numSpacing w14:val="proportional"/>
        </w:rPr>
        <w:t xml:space="preserve"> </w:t>
      </w:r>
      <w:r w:rsidRPr="00E5087D">
        <w:rPr>
          <w:rFonts w:eastAsia="Arial" w:cs="Arial"/>
          <w14:numForm w14:val="lining"/>
          <w14:numSpacing w14:val="proportional"/>
        </w:rPr>
        <w:t>intensive.</w:t>
      </w:r>
      <w:r w:rsidRPr="53D77EEF">
        <w:rPr>
          <w:rStyle w:val="EndnoteReference"/>
          <w:rFonts w:eastAsia="Arial" w:cs="Arial"/>
        </w:rPr>
        <w:endnoteReference w:id="247"/>
      </w:r>
    </w:p>
    <w:p w14:paraId="20842DE0" w14:textId="79902487" w:rsidR="00520C25" w:rsidRDefault="00CC7611" w:rsidP="00CC7611">
      <w:pPr>
        <w:spacing w:after="360" w:line="276" w:lineRule="auto"/>
        <w:rPr>
          <w:rFonts w:eastAsia="Arial" w:cs="Arial"/>
          <w14:numForm w14:val="lining"/>
          <w14:numSpacing w14:val="proportional"/>
        </w:rPr>
      </w:pPr>
      <w:r w:rsidRPr="00BB2E09">
        <w:rPr>
          <w:noProof/>
        </w:rPr>
        <mc:AlternateContent>
          <mc:Choice Requires="wpg">
            <w:drawing>
              <wp:anchor distT="0" distB="0" distL="114300" distR="114300" simplePos="0" relativeHeight="251658336" behindDoc="1" locked="0" layoutInCell="1" allowOverlap="1" wp14:anchorId="7AAFE659" wp14:editId="67E0EECB">
                <wp:simplePos x="0" y="0"/>
                <wp:positionH relativeFrom="column">
                  <wp:posOffset>0</wp:posOffset>
                </wp:positionH>
                <wp:positionV relativeFrom="paragraph">
                  <wp:posOffset>1307590</wp:posOffset>
                </wp:positionV>
                <wp:extent cx="5723890" cy="1335405"/>
                <wp:effectExtent l="0" t="0" r="10160" b="17145"/>
                <wp:wrapNone/>
                <wp:docPr id="572856985" name="Group 572856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3890" cy="1335405"/>
                          <a:chOff x="0" y="0"/>
                          <a:chExt cx="5873030" cy="1373174"/>
                        </a:xfrm>
                      </wpg:grpSpPr>
                      <wps:wsp>
                        <wps:cNvPr id="572856986" name="Rectangle: Top Corners Rounded 572856986"/>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A65EA9" w14:textId="2F640CD3" w:rsidR="00E13239" w:rsidRPr="006E07A7" w:rsidRDefault="00E13239" w:rsidP="00E13239">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72856987" name="Rectangle 572856987"/>
                        <wps:cNvSpPr/>
                        <wps:spPr>
                          <a:xfrm>
                            <a:off x="0" y="229883"/>
                            <a:ext cx="5873030" cy="1143291"/>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5CB74D" w14:textId="733F5D16" w:rsidR="00E13239" w:rsidRPr="00290C33" w:rsidRDefault="00E13239" w:rsidP="002C5A3D">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7AAFE659" id="Group 572856985" o:spid="_x0000_s1242" alt="&quot;&quot;" style="position:absolute;margin-left:0;margin-top:102.95pt;width:450.7pt;height:105.15pt;z-index:-251658144;mso-position-horizontal-relative:text;mso-position-vertical-relative:text" coordsize="58730,13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">
                <v:shape id="Rectangle: Top Corners Rounded 572856986" o:spid="_x0000_s1243"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5EA65EA9" w14:textId="2F640CD3" w:rsidR="00E13239" w:rsidRPr="006E07A7" w:rsidRDefault="00E13239" w:rsidP="00E13239">
                        <w:pPr>
                          <w:spacing w:after="0" w:line="240" w:lineRule="auto"/>
                          <w:rPr>
                            <w:b/>
                            <w:bCs/>
                            <w14:numForm w14:val="lining"/>
                            <w14:numSpacing w14:val="proportional"/>
                          </w:rPr>
                        </w:pPr>
                      </w:p>
                    </w:txbxContent>
                  </v:textbox>
                </v:shape>
                <v:rect id="Rectangle 572856987" o:spid="_x0000_s1244" style="position:absolute;top:2298;width:58730;height:11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" fillcolor="#f2f2f2" strokecolor="#e0d1f5 [660]" strokeweight="1pt">
                  <v:textbox inset="2mm,1mm,2mm,1mm">
                    <w:txbxContent>
                      <w:p w14:paraId="6B5CB74D" w14:textId="733F5D16" w:rsidR="00E13239" w:rsidRPr="00290C33" w:rsidRDefault="00E13239" w:rsidP="002C5A3D">
                        <w:pPr>
                          <w:spacing w:after="0" w:line="240" w:lineRule="auto"/>
                          <w:rPr>
                            <w:rFonts w:eastAsia="Calibri" w:cs="Times New Roman"/>
                            <w:color w:val="000000"/>
                            <w14:ligatures w14:val="standardContextual"/>
                          </w:rPr>
                        </w:pPr>
                      </w:p>
                    </w:txbxContent>
                  </v:textbox>
                </v:rect>
              </v:group>
            </w:pict>
          </mc:Fallback>
        </mc:AlternateContent>
      </w:r>
      <w:r w:rsidR="00E13239" w:rsidRPr="00E5087D">
        <w:rPr>
          <w:rFonts w:eastAsia="Arial" w:cs="Arial"/>
          <w14:numForm w14:val="lining"/>
          <w14:numSpacing w14:val="proportional"/>
        </w:rPr>
        <w:t>This is where having an established relationship with a reputable local training provider is extremely valuable, to provide the shortest possible skill pathway to a future job. The best outcomes are generally achieved when training is individually tailored, part of an informed career plan, and linked to specific job opportunities. For workers undertaking reskilling training for new job roles, combining training with work experience will improve the chances of finding a suitable job.</w:t>
      </w:r>
      <w:r w:rsidR="00E13239" w:rsidRPr="00E5087D">
        <w:rPr>
          <w:rStyle w:val="EndnoteReference"/>
          <w:rFonts w:eastAsia="Arial" w:cs="Arial"/>
          <w14:numForm w14:val="lining"/>
          <w14:numSpacing w14:val="proportional"/>
        </w:rPr>
        <w:endnoteReference w:id="248"/>
      </w:r>
    </w:p>
    <w:p w14:paraId="2C4CBAF1" w14:textId="0851665A" w:rsidR="00CC7611" w:rsidRPr="006E07A7" w:rsidRDefault="00CC7611" w:rsidP="00CC7611">
      <w:pPr>
        <w:spacing w:after="0" w:line="240" w:lineRule="auto"/>
        <w:ind w:left="170" w:right="113"/>
        <w:rPr>
          <w:b/>
          <w:bCs/>
          <w14:numForm w14:val="lining"/>
          <w14:numSpacing w14:val="proportional"/>
        </w:rPr>
      </w:pPr>
      <w:r w:rsidRPr="006E07A7">
        <w:rPr>
          <w:b/>
          <w:bCs/>
          <w14:numForm w14:val="lining"/>
          <w14:numSpacing w14:val="proportional"/>
        </w:rPr>
        <w:t xml:space="preserve">Recommendation </w:t>
      </w:r>
      <w:r>
        <w:rPr>
          <w:b/>
          <w:bCs/>
          <w14:numForm w14:val="lining"/>
          <w14:numSpacing w14:val="proportional"/>
        </w:rPr>
        <w:t>8.14</w:t>
      </w:r>
    </w:p>
    <w:p w14:paraId="4A20B5F3" w14:textId="49A0FA06" w:rsidR="00CC7611" w:rsidRPr="00CC7611" w:rsidRDefault="00CC7611" w:rsidP="00CC7611">
      <w:pPr>
        <w:spacing w:before="200" w:after="0" w:line="240" w:lineRule="auto"/>
        <w:ind w:left="170" w:right="113"/>
        <w:rPr>
          <w:rFonts w:eastAsia="Calibri" w:cs="Times New Roman"/>
          <w:color w:val="000000"/>
          <w14:ligatures w14:val="standardContextual"/>
        </w:rPr>
      </w:pPr>
      <w:r>
        <w:rPr>
          <w:rFonts w:eastAsia="Arial" w:cs="Arial"/>
        </w:rPr>
        <w:t>Consider e</w:t>
      </w:r>
      <w:r w:rsidRPr="00013A2C">
        <w:rPr>
          <w:rFonts w:eastAsia="Arial" w:cs="Arial"/>
        </w:rPr>
        <w:t>stablish</w:t>
      </w:r>
      <w:r>
        <w:rPr>
          <w:rFonts w:eastAsia="Arial" w:cs="Arial"/>
        </w:rPr>
        <w:t>ing</w:t>
      </w:r>
      <w:r w:rsidRPr="00013A2C">
        <w:rPr>
          <w:rFonts w:eastAsia="Arial" w:cs="Arial"/>
        </w:rPr>
        <w:t xml:space="preserve"> local skills recognition centres in communities experiencing clean energy growth and those transitioning from fossil fuels to provide intensive, individualised training plans and supports, with priority given to providing skills recognition for experienced workers without current post-school qualifications and delivering gap training to assist transitioning workers find new roles (whether in clean energy or other growing sectors).</w:t>
      </w:r>
    </w:p>
    <w:p w14:paraId="1FEDB526" w14:textId="2737F7F9"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Onsite workplace delivery of training to benefit workers and employers</w:t>
      </w:r>
    </w:p>
    <w:p w14:paraId="7D4B2E85" w14:textId="23A0FAFB"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Onsite availability of support services in the workplace and the use of paid work time for training increases worker engagement and makes for more successful transitions.</w:t>
      </w:r>
      <w:r w:rsidR="009B64F4">
        <w:rPr>
          <w:rStyle w:val="EndnoteReference"/>
          <w:rFonts w:eastAsia="Arial" w:cs="Arial"/>
          <w14:numForm w14:val="lining"/>
          <w14:numSpacing w14:val="proportional"/>
        </w:rPr>
        <w:endnoteReference w:id="249"/>
      </w:r>
      <w:r w:rsidRPr="00E5087D">
        <w:rPr>
          <w:rFonts w:eastAsia="Arial" w:cs="Arial"/>
          <w14:numForm w14:val="lining"/>
          <w14:numSpacing w14:val="proportional"/>
        </w:rPr>
        <w:t xml:space="preserve"> Onsite access to services and us</w:t>
      </w:r>
      <w:r w:rsidR="00D43D82">
        <w:rPr>
          <w:rFonts w:eastAsia="Arial" w:cs="Arial"/>
          <w14:numForm w14:val="lining"/>
          <w14:numSpacing w14:val="proportional"/>
        </w:rPr>
        <w:t xml:space="preserve">ing work hours </w:t>
      </w:r>
      <w:r w:rsidRPr="00E5087D">
        <w:rPr>
          <w:rFonts w:eastAsia="Arial" w:cs="Arial"/>
          <w14:numForm w14:val="lining"/>
          <w14:numSpacing w14:val="proportional"/>
        </w:rPr>
        <w:t xml:space="preserve">for information sessions and workshops, case management sessions, and career fair events are effective to increase worker take-up. Feedback from unions indicates a key barrier to the utilisation of training has been </w:t>
      </w:r>
      <w:r w:rsidR="00C549CA" w:rsidRPr="3FE1FF8E">
        <w:rPr>
          <w:rFonts w:eastAsia="Arial" w:cs="Arial"/>
        </w:rPr>
        <w:t>the</w:t>
      </w:r>
      <w:r w:rsidRPr="00E5087D">
        <w:rPr>
          <w:rFonts w:eastAsia="Arial" w:cs="Arial"/>
          <w14:numForm w14:val="lining"/>
          <w14:numSpacing w14:val="proportional"/>
        </w:rPr>
        <w:t xml:space="preserve"> requirement to complete course work after work hours causing a barrier. There is potential benefit for employers too: retention commitments from workers who undertake training during paid work time could also further support the employer’s operational needs up to the business </w:t>
      </w:r>
      <w:r w:rsidR="006F4DF5">
        <w:rPr>
          <w:rFonts w:eastAsia="Arial" w:cs="Arial"/>
          <w14:numForm w14:val="lining"/>
          <w14:numSpacing w14:val="proportional"/>
        </w:rPr>
        <w:t xml:space="preserve">or site </w:t>
      </w:r>
      <w:r w:rsidRPr="00E5087D">
        <w:rPr>
          <w:rFonts w:eastAsia="Arial" w:cs="Arial"/>
          <w14:numForm w14:val="lining"/>
          <w14:numSpacing w14:val="proportional"/>
        </w:rPr>
        <w:t>closure date. Transition support centres established in workplaces or community settings offer</w:t>
      </w:r>
      <w:r w:rsidR="00D41018">
        <w:rPr>
          <w:rFonts w:eastAsia="Arial" w:cs="Arial"/>
          <w14:numForm w14:val="lining"/>
          <w14:numSpacing w14:val="proportional"/>
        </w:rPr>
        <w:t xml:space="preserve"> </w:t>
      </w:r>
      <w:r w:rsidRPr="00E5087D">
        <w:rPr>
          <w:rFonts w:eastAsia="Arial" w:cs="Arial"/>
          <w14:numForm w14:val="lining"/>
          <w14:numSpacing w14:val="proportional"/>
        </w:rPr>
        <w:t>‘drop-in’ access to supports and resources that workers can access when ready, at their own pace are also tried and tested options.</w:t>
      </w:r>
      <w:r w:rsidR="0031295A">
        <w:rPr>
          <w:rStyle w:val="EndnoteReference"/>
          <w:rFonts w:eastAsia="Arial" w:cs="Arial"/>
          <w14:numForm w14:val="lining"/>
          <w14:numSpacing w14:val="proportional"/>
        </w:rPr>
        <w:endnoteReference w:id="250"/>
      </w:r>
    </w:p>
    <w:p w14:paraId="48449B9A" w14:textId="77777777"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 xml:space="preserve">Support for wellbeing and financial advice </w:t>
      </w:r>
    </w:p>
    <w:p w14:paraId="0B124362" w14:textId="204D61A7"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Health and wellbeing supports, together with financial advice, are also essential supports for workers. Closure announcements can cause high anxiety and may present multiple challenges for individuals and families as they progress throughout transition and post-closure processes. Health and wellbeing information sessions and workshops can be combined with access to counselling and support services such as internal EAP. A minimum number of required counselling sessions can be included within individual transition plans to encourage take-up of services. Themed workplace events such as morning teas can also serve as an informal opportunity for workers to connect with each other in a supportive setting. Referrals to external counselling and mental health services can be enabled via the case management model. Health and wellbeing impacts can be experienced for extended periods long after worker exit dates, so the availability of post-closure supports is essential.</w:t>
      </w:r>
    </w:p>
    <w:p w14:paraId="56AFB14F" w14:textId="77777777" w:rsidR="00E13239" w:rsidRPr="00E5087D" w:rsidRDefault="00E13239" w:rsidP="00E13239">
      <w:pPr>
        <w:spacing w:after="120" w:line="276" w:lineRule="auto"/>
      </w:pPr>
      <w:r w:rsidRPr="00E5087D">
        <w:rPr>
          <w:rFonts w:eastAsia="Arial" w:cs="Arial"/>
          <w14:numForm w14:val="lining"/>
          <w14:numSpacing w14:val="proportional"/>
        </w:rPr>
        <w:t>Financial security will be a primary focus for workers and access to sound information and resources can both help reduce concerns and enable practical planning based on informed options. Information sessions by Financial Information Services Officers (FISO) from Services Australia are very valuable to place emphasis on the management of redundancy payouts. Workers can also be encouraged to use self-help resources such as the ASIC MoneySmart website, as well as to seek early, independent financial advice from a licenced practitioner. Specialist advice is valuable for older workers who may be exploring end-of-career options such as reduced working hours or retirement.</w:t>
      </w:r>
    </w:p>
    <w:p w14:paraId="2D321212" w14:textId="77777777" w:rsidR="00E13239" w:rsidRPr="00E5087D" w:rsidRDefault="00E13239" w:rsidP="00E13239">
      <w:pPr>
        <w:pStyle w:val="Heading4"/>
        <w:spacing w:before="120" w:line="240" w:lineRule="auto"/>
        <w:rPr>
          <w:color w:val="000000" w:themeColor="text1"/>
          <w:sz w:val="24"/>
          <w:szCs w:val="24"/>
        </w:rPr>
      </w:pPr>
      <w:r w:rsidRPr="00E5087D">
        <w:rPr>
          <w:color w:val="000000" w:themeColor="text1"/>
          <w:sz w:val="24"/>
          <w:szCs w:val="24"/>
        </w:rPr>
        <w:t>Ongoing support post closure</w:t>
      </w:r>
    </w:p>
    <w:p w14:paraId="74EC055E" w14:textId="72E073BA" w:rsidR="00E13239" w:rsidRPr="00E5087D" w:rsidRDefault="00E13239" w:rsidP="00E13239">
      <w:pPr>
        <w:spacing w:after="120"/>
      </w:pPr>
      <w:r w:rsidRPr="00E5087D">
        <w:t xml:space="preserve">The availability of ongoing support to workers post-closure is also important. While efforts to pre-secure employment prior to closure are highly recommended, for most workers, their job searching efforts will commence after exit.  Additionally, workers may not initially opt to undertake training but </w:t>
      </w:r>
      <w:r w:rsidR="00C829C8">
        <w:t xml:space="preserve">later </w:t>
      </w:r>
      <w:r w:rsidRPr="00E5087D">
        <w:t xml:space="preserve">discover that </w:t>
      </w:r>
      <w:r w:rsidR="00C829C8">
        <w:t xml:space="preserve">it </w:t>
      </w:r>
      <w:r w:rsidRPr="00E5087D">
        <w:t xml:space="preserve">may improve their employment prospects after entering the jobs market.  </w:t>
      </w:r>
    </w:p>
    <w:p w14:paraId="1D96D645" w14:textId="2721FF29" w:rsidR="00E13239" w:rsidRPr="00E5087D" w:rsidRDefault="00E13239" w:rsidP="00E13239">
      <w:pPr>
        <w:spacing w:after="120"/>
      </w:pPr>
      <w:r w:rsidRPr="00E5087D">
        <w:t xml:space="preserve">As previously mentioned, health and wellbeing impacts can also play out for extended period after closure. Ongoing access to counselling and other support services is </w:t>
      </w:r>
      <w:r w:rsidR="009E52CE">
        <w:t xml:space="preserve">valuable </w:t>
      </w:r>
      <w:r w:rsidRPr="00E5087D">
        <w:t>and can be combined with informal events such as regular morning teas or barbecues that build social-connectivity and promote available services and job opportunities.</w:t>
      </w:r>
    </w:p>
    <w:p w14:paraId="04A8B4CF" w14:textId="77777777" w:rsidR="001D613D" w:rsidRDefault="001D613D">
      <w:pPr>
        <w:rPr>
          <w:rFonts w:cs="Arial"/>
          <w:b/>
          <w:bCs/>
          <w:sz w:val="24"/>
          <w:szCs w:val="24"/>
          <w14:numForm w14:val="lining"/>
          <w14:numSpacing w14:val="proportional"/>
        </w:rPr>
      </w:pPr>
      <w:r>
        <w:rPr>
          <w:sz w:val="24"/>
          <w:szCs w:val="24"/>
          <w14:numForm w14:val="lining"/>
          <w14:numSpacing w14:val="proportional"/>
        </w:rPr>
        <w:br w:type="page"/>
      </w:r>
    </w:p>
    <w:p w14:paraId="21903557" w14:textId="221E6F83" w:rsidR="00E13239" w:rsidRPr="00E5087D" w:rsidRDefault="00E13239" w:rsidP="00E13239">
      <w:pPr>
        <w:pStyle w:val="Heading4"/>
        <w:spacing w:before="240" w:after="120" w:line="240" w:lineRule="auto"/>
        <w:rPr>
          <w:color w:val="000000" w:themeColor="text1"/>
          <w:sz w:val="24"/>
          <w:szCs w:val="24"/>
          <w14:numForm w14:val="lining"/>
          <w14:numSpacing w14:val="proportional"/>
        </w:rPr>
      </w:pPr>
      <w:r w:rsidRPr="00E5087D">
        <w:rPr>
          <w:color w:val="000000" w:themeColor="text1"/>
          <w:sz w:val="24"/>
          <w:szCs w:val="24"/>
          <w14:numForm w14:val="lining"/>
          <w14:numSpacing w14:val="proportional"/>
        </w:rPr>
        <w:t>Vulnerable workers</w:t>
      </w:r>
    </w:p>
    <w:p w14:paraId="345B0C05" w14:textId="302CFC6A"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Groups such as </w:t>
      </w:r>
      <w:r w:rsidR="006F4DF5">
        <w:rPr>
          <w:rFonts w:eastAsia="Arial" w:cs="Arial"/>
          <w14:numForm w14:val="lining"/>
          <w14:numSpacing w14:val="proportional"/>
        </w:rPr>
        <w:t>mature</w:t>
      </w:r>
      <w:r w:rsidRPr="00E5087D">
        <w:rPr>
          <w:rFonts w:eastAsia="Arial" w:cs="Arial"/>
          <w14:numForm w14:val="lining"/>
          <w14:numSpacing w14:val="proportional"/>
        </w:rPr>
        <w:t xml:space="preserve"> age, female, CALD and First Nations workers can experience greater challenges securing employment during industry transition events. Additionally, part</w:t>
      </w:r>
      <w:r w:rsidR="00C549CA">
        <w:rPr>
          <w:rFonts w:eastAsia="Arial" w:cs="Arial"/>
          <w14:numForm w14:val="lining"/>
          <w14:numSpacing w14:val="proportional"/>
        </w:rPr>
        <w:t>-</w:t>
      </w:r>
      <w:r w:rsidRPr="00E5087D">
        <w:rPr>
          <w:rFonts w:eastAsia="Arial" w:cs="Arial"/>
          <w14:numForm w14:val="lining"/>
          <w14:numSpacing w14:val="proportional"/>
        </w:rPr>
        <w:t xml:space="preserve">time and casual workers, lower skilled workers, and workers with limited foundation skills are also at greater risk. The opportunity to increase foundational skills and upskilling can be particularly valuable to increase career options and wage levels. There may be opportunities to connect with government programs such as the Australian Skills Guarantee, which are aimed to boost social inclusion and workforce diversity. </w:t>
      </w:r>
    </w:p>
    <w:p w14:paraId="23E8E540" w14:textId="77777777" w:rsidR="00E13239" w:rsidRPr="00E5087D" w:rsidRDefault="00E13239" w:rsidP="00E13239">
      <w:pPr>
        <w:spacing w:after="120" w:line="276" w:lineRule="auto"/>
        <w:rPr>
          <w14:numForm w14:val="lining"/>
          <w14:numSpacing w14:val="proportional"/>
        </w:rPr>
      </w:pPr>
      <w:r w:rsidRPr="00E5087D">
        <w:rPr>
          <w:rFonts w:eastAsia="Arial" w:cs="Arial"/>
          <w14:numForm w14:val="lining"/>
          <w14:numSpacing w14:val="proportional"/>
        </w:rPr>
        <w:t>There are a range of strategies that can be mobilised for older workers. Notably, training is often under-utilised by older workers but when appropriately tailored can be very effective.</w:t>
      </w:r>
      <w:r w:rsidRPr="00E5087D">
        <w:rPr>
          <w:rStyle w:val="EndnoteReference"/>
          <w:rFonts w:eastAsia="Arial" w:cs="Arial"/>
          <w14:numForm w14:val="lining"/>
          <w14:numSpacing w14:val="proportional"/>
        </w:rPr>
        <w:endnoteReference w:id="251"/>
      </w:r>
    </w:p>
    <w:p w14:paraId="10C9393B" w14:textId="5249FA49" w:rsidR="000B69E4" w:rsidRPr="004E5381" w:rsidRDefault="00E13239" w:rsidP="004E5381">
      <w:pPr>
        <w:pStyle w:val="Heading3"/>
        <w:rPr>
          <w:color w:val="6929C4" w:themeColor="accent1"/>
        </w:rPr>
      </w:pPr>
      <w:r w:rsidRPr="004E5381">
        <w:rPr>
          <w:color w:val="6929C4" w:themeColor="accent1"/>
        </w:rPr>
        <w:t>Investing in communities</w:t>
      </w:r>
    </w:p>
    <w:p w14:paraId="3F35DFBA" w14:textId="61F50B8E"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New clean energy projects offer many positives for communities, including employment opportunities. Yet, the construction of these projects, essential to clean energy infrastructure, can present significant challenges, especially in local contexts. </w:t>
      </w:r>
    </w:p>
    <w:p w14:paraId="49C3370B" w14:textId="38ABFFFD"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Insights from Jobs Queensland, drawing from the construction phases of large-scale gas plant projects in the Gladstone area, have shown that successful planning involves analysi</w:t>
      </w:r>
      <w:r w:rsidRPr="00E5087D">
        <w:rPr>
          <w:rFonts w:eastAsia="Arial" w:cs="Arial"/>
        </w:rPr>
        <w:t>s</w:t>
      </w:r>
      <w:r w:rsidR="00341C98" w:rsidRPr="00E5087D">
        <w:rPr>
          <w:rFonts w:eastAsia="Arial" w:cs="Arial"/>
        </w:rPr>
        <w:t xml:space="preserve"> </w:t>
      </w:r>
      <w:r w:rsidRPr="00E5087D">
        <w:rPr>
          <w:rFonts w:eastAsia="Arial" w:cs="Arial"/>
          <w14:numForm w14:val="lining"/>
          <w14:numSpacing w14:val="proportional"/>
        </w:rPr>
        <w:t>of the local skill</w:t>
      </w:r>
      <w:r w:rsidRPr="00E5087D">
        <w:rPr>
          <w:rFonts w:eastAsia="Arial" w:cs="Arial"/>
        </w:rPr>
        <w:t>s</w:t>
      </w:r>
      <w:r w:rsidRPr="00E5087D">
        <w:rPr>
          <w:rFonts w:eastAsia="Arial" w:cs="Arial"/>
          <w14:numForm w14:val="lining"/>
          <w14:numSpacing w14:val="proportional"/>
        </w:rPr>
        <w:t xml:space="preserve"> base alongside social impact plans.</w:t>
      </w:r>
      <w:r w:rsidRPr="00E5087D">
        <w:rPr>
          <w:rStyle w:val="EndnoteReference"/>
          <w:rFonts w:eastAsia="Arial" w:cs="Arial"/>
          <w14:numForm w14:val="lining"/>
          <w14:numSpacing w14:val="proportional"/>
        </w:rPr>
        <w:endnoteReference w:id="252"/>
      </w:r>
      <w:r w:rsidR="00B7058E">
        <w:rPr>
          <w:rFonts w:eastAsia="Arial" w:cs="Arial"/>
          <w14:numForm w14:val="lining"/>
          <w14:numSpacing w14:val="proportional"/>
        </w:rPr>
        <w:t xml:space="preserve"> </w:t>
      </w:r>
      <w:r w:rsidRPr="00E5087D">
        <w:rPr>
          <w:rFonts w:eastAsia="Arial" w:cs="Arial"/>
          <w14:numForm w14:val="lining"/>
          <w14:numSpacing w14:val="proportional"/>
        </w:rPr>
        <w:t xml:space="preserve">This approach ensures the identification of skills gaps to maximise opportunities for local workers and prepare for the increased demand for housing, local services and infrastructure. Importantly, planning should also extend to address the decline in activity as construction nears completion to prevent local “boom and bust” cycles. </w:t>
      </w:r>
    </w:p>
    <w:p w14:paraId="61238506" w14:textId="68578CE8"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In regional areas, these fluctuations can have wider-ranging ramifications where economic diversity and adaptability are typically lower. Regional workers generally experience greater challenges when transitioning to new employment than those in metropolitan areas. Each region will have unique conditions that may intensify or diminish certain impacts. When assessing each region, it’s important to consider:</w:t>
      </w:r>
    </w:p>
    <w:p w14:paraId="2AB323D4" w14:textId="77777777" w:rsidR="00E13239" w:rsidRPr="00E5087D" w:rsidRDefault="00E13239"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E5087D">
        <w:rPr>
          <w:rFonts w:eastAsia="Arial" w:cs="Arial"/>
          <w14:numForm w14:val="lining"/>
          <w14:numSpacing w14:val="proportional"/>
        </w:rPr>
        <w:t xml:space="preserve">The economic diversity of the regional labour market and its adaptability. </w:t>
      </w:r>
    </w:p>
    <w:p w14:paraId="35723E07" w14:textId="77777777" w:rsidR="00E13239" w:rsidRPr="00E5087D" w:rsidRDefault="00E13239" w:rsidP="00F25595">
      <w:pPr>
        <w:pStyle w:val="ListParagraph"/>
        <w:numPr>
          <w:ilvl w:val="0"/>
          <w:numId w:val="46"/>
        </w:numPr>
        <w:spacing w:after="120" w:line="276" w:lineRule="auto"/>
        <w:ind w:left="714" w:hanging="357"/>
        <w:rPr>
          <w:rFonts w:eastAsia="Arial" w:cs="Arial"/>
          <w14:numForm w14:val="lining"/>
          <w14:numSpacing w14:val="proportional"/>
        </w:rPr>
      </w:pPr>
      <w:r w:rsidRPr="00E5087D">
        <w:rPr>
          <w:rFonts w:eastAsia="Arial" w:cs="Arial"/>
          <w14:numForm w14:val="lining"/>
          <w14:numSpacing w14:val="proportional"/>
        </w:rPr>
        <w:t>The capability of local institutions to allocate and utilise resources. The adaptability of the workforce regarding skills, levels and ability to transition between industries.</w:t>
      </w:r>
      <w:r w:rsidRPr="00E5087D">
        <w:rPr>
          <w:rStyle w:val="EndnoteReference"/>
          <w:rFonts w:eastAsia="Arial" w:cs="Arial"/>
          <w14:numForm w14:val="lining"/>
          <w14:numSpacing w14:val="proportional"/>
        </w:rPr>
        <w:endnoteReference w:id="253"/>
      </w:r>
    </w:p>
    <w:p w14:paraId="7AC26D5A" w14:textId="0F96641D" w:rsidR="00E13239" w:rsidRPr="00E5087D" w:rsidRDefault="00E13239" w:rsidP="00E13239">
      <w:pPr>
        <w:spacing w:line="276" w:lineRule="auto"/>
        <w:rPr>
          <w:rFonts w:eastAsia="Arial" w:cs="Arial"/>
          <w14:numForm w14:val="lining"/>
          <w14:numSpacing w14:val="proportional"/>
        </w:rPr>
      </w:pPr>
      <w:r w:rsidRPr="00E5087D">
        <w:rPr>
          <w:rFonts w:eastAsia="Arial" w:cs="Arial"/>
          <w14:numForm w14:val="lining"/>
          <w14:numSpacing w14:val="proportional"/>
        </w:rPr>
        <w:t>Underlying these are risk indicators such as regional unemployment rates and the locations of socioeconomic disadvantage. An informed regional approach, supported by effective communication strategies, can reassure and uplift local workers and communities.</w:t>
      </w:r>
    </w:p>
    <w:p w14:paraId="689F4BF1" w14:textId="00A7ECDF" w:rsidR="00CC7611" w:rsidRDefault="00CC7611" w:rsidP="00CC7611">
      <w:pPr>
        <w:spacing w:before="360" w:after="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7" behindDoc="1" locked="0" layoutInCell="1" allowOverlap="1" wp14:anchorId="49BAD165" wp14:editId="64ED551C">
                <wp:simplePos x="0" y="0"/>
                <wp:positionH relativeFrom="column">
                  <wp:posOffset>0</wp:posOffset>
                </wp:positionH>
                <wp:positionV relativeFrom="paragraph">
                  <wp:posOffset>80520</wp:posOffset>
                </wp:positionV>
                <wp:extent cx="5724000" cy="1082650"/>
                <wp:effectExtent l="0" t="0" r="10160" b="22860"/>
                <wp:wrapNone/>
                <wp:docPr id="1341085185" name="Group 134108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4000" cy="1082650"/>
                          <a:chOff x="0" y="0"/>
                          <a:chExt cx="5873030" cy="1112926"/>
                        </a:xfrm>
                      </wpg:grpSpPr>
                      <wps:wsp>
                        <wps:cNvPr id="1341085186" name="Rectangle: Top Corners Rounded 1341085186"/>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923656" w14:textId="688C477C" w:rsidR="00AC2F25" w:rsidRPr="006E07A7" w:rsidRDefault="00AC2F25" w:rsidP="00AC2F25">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41085187" name="Rectangle 1341085187"/>
                        <wps:cNvSpPr/>
                        <wps:spPr>
                          <a:xfrm>
                            <a:off x="0" y="229884"/>
                            <a:ext cx="5873030" cy="88304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B6771" w14:textId="783C46C0" w:rsidR="00AC2F25" w:rsidRPr="00290C33" w:rsidRDefault="00AC2F25" w:rsidP="00AC2F25">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49BAD165" id="Group 1341085185" o:spid="_x0000_s1245" alt="&quot;&quot;" style="position:absolute;left:0;text-align:left;margin-left:0;margin-top:6.35pt;width:450.7pt;height:85.25pt;z-index:-251658143;mso-position-horizontal-relative:text;mso-position-vertical-relative:text" coordsize="58730,1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">
                <v:shape id="Rectangle: Top Corners Rounded 1341085186" o:spid="_x0000_s1246"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46923656" w14:textId="688C477C" w:rsidR="00AC2F25" w:rsidRPr="006E07A7" w:rsidRDefault="00AC2F25" w:rsidP="00AC2F25">
                        <w:pPr>
                          <w:spacing w:after="0" w:line="240" w:lineRule="auto"/>
                          <w:rPr>
                            <w:b/>
                            <w:bCs/>
                            <w14:numForm w14:val="lining"/>
                            <w14:numSpacing w14:val="proportional"/>
                          </w:rPr>
                        </w:pPr>
                      </w:p>
                    </w:txbxContent>
                  </v:textbox>
                </v:shape>
                <v:rect id="Rectangle 1341085187" o:spid="_x0000_s1247" style="position:absolute;top:2298;width:58730;height:8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" fillcolor="#f2f2f2" strokecolor="#e0d1f5 [660]" strokeweight="1pt">
                  <v:textbox inset="2mm,1mm,2mm,1mm">
                    <w:txbxContent>
                      <w:p w14:paraId="723B6771" w14:textId="783C46C0" w:rsidR="00AC2F25" w:rsidRPr="00290C33" w:rsidRDefault="00AC2F25" w:rsidP="00AC2F25">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8.15</w:t>
      </w:r>
    </w:p>
    <w:p w14:paraId="4E77D731" w14:textId="29683695" w:rsidR="00E13239" w:rsidRPr="001D613D" w:rsidRDefault="00CC7611" w:rsidP="001D613D">
      <w:pPr>
        <w:spacing w:before="200" w:after="0" w:line="240" w:lineRule="auto"/>
        <w:ind w:left="170" w:right="113"/>
        <w:rPr>
          <w:rFonts w:eastAsia="Calibri" w:cs="Times New Roman"/>
          <w:color w:val="000000"/>
          <w14:ligatures w14:val="standardContextual"/>
        </w:rPr>
      </w:pPr>
      <w:r w:rsidRPr="00F93D36">
        <w:rPr>
          <w:rFonts w:eastAsia="Arial" w:cs="Arial"/>
        </w:rPr>
        <w:t xml:space="preserve">Government should </w:t>
      </w:r>
      <w:r>
        <w:rPr>
          <w:rFonts w:eastAsia="Arial" w:cs="Arial"/>
        </w:rPr>
        <w:t xml:space="preserve">consider </w:t>
      </w:r>
      <w:r w:rsidRPr="00F93D36">
        <w:rPr>
          <w:rFonts w:eastAsia="Arial" w:cs="Arial"/>
        </w:rPr>
        <w:t>develop</w:t>
      </w:r>
      <w:r>
        <w:rPr>
          <w:rFonts w:eastAsia="Arial" w:cs="Arial"/>
        </w:rPr>
        <w:t>ing</w:t>
      </w:r>
      <w:r w:rsidRPr="00F93D36">
        <w:rPr>
          <w:rFonts w:eastAsia="Arial" w:cs="Arial"/>
        </w:rPr>
        <w:t xml:space="preserve"> targeted education plans for communities experiencing clean energy growth and those transitioning from fossil fuels to ensure that there is a general uplift in educational attainment, including Year 12 equivalence and post-school qualifications.</w:t>
      </w:r>
    </w:p>
    <w:p w14:paraId="40BBCAA4" w14:textId="77777777" w:rsidR="0014158E" w:rsidRDefault="0014158E">
      <w:pPr>
        <w:rPr>
          <w:b/>
          <w:bCs/>
          <w14:numForm w14:val="lining"/>
          <w14:numSpacing w14:val="proportional"/>
        </w:rPr>
      </w:pPr>
      <w:r>
        <w:rPr>
          <w:b/>
          <w:bCs/>
          <w14:numForm w14:val="lining"/>
          <w14:numSpacing w14:val="proportional"/>
        </w:rPr>
        <w:br w:type="page"/>
      </w:r>
    </w:p>
    <w:p w14:paraId="2DE1BE60" w14:textId="77D051BB" w:rsidR="0014158E" w:rsidRPr="006E07A7" w:rsidRDefault="0014158E" w:rsidP="0014158E">
      <w:pPr>
        <w:spacing w:after="200" w:line="240" w:lineRule="auto"/>
        <w:ind w:left="170" w:right="113"/>
        <w:rPr>
          <w:b/>
          <w:bCs/>
          <w14:numForm w14:val="lining"/>
          <w14:numSpacing w14:val="proportional"/>
        </w:rPr>
      </w:pPr>
      <w:r w:rsidRPr="00BB2E09">
        <w:rPr>
          <w:noProof/>
        </w:rPr>
        <mc:AlternateContent>
          <mc:Choice Requires="wpg">
            <w:drawing>
              <wp:anchor distT="0" distB="0" distL="114300" distR="114300" simplePos="0" relativeHeight="251658338" behindDoc="1" locked="0" layoutInCell="1" allowOverlap="1" wp14:anchorId="16E5914B" wp14:editId="349093DF">
                <wp:simplePos x="0" y="0"/>
                <wp:positionH relativeFrom="column">
                  <wp:posOffset>-3810</wp:posOffset>
                </wp:positionH>
                <wp:positionV relativeFrom="paragraph">
                  <wp:posOffset>-37975</wp:posOffset>
                </wp:positionV>
                <wp:extent cx="5724000" cy="1082650"/>
                <wp:effectExtent l="0" t="0" r="10160" b="22860"/>
                <wp:wrapNone/>
                <wp:docPr id="417970277" name="Group 417970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24000" cy="1082650"/>
                          <a:chOff x="0" y="0"/>
                          <a:chExt cx="5873030" cy="1112926"/>
                        </a:xfrm>
                      </wpg:grpSpPr>
                      <wps:wsp>
                        <wps:cNvPr id="2072355772" name="Rectangle: Top Corners Rounded 2072355772"/>
                        <wps:cNvSpPr/>
                        <wps:spPr>
                          <a:xfrm>
                            <a:off x="0" y="0"/>
                            <a:ext cx="1736053" cy="232791"/>
                          </a:xfrm>
                          <a:prstGeom prst="round2SameRect">
                            <a:avLst/>
                          </a:prstGeom>
                          <a:solidFill>
                            <a:schemeClr val="accent1">
                              <a:lumMod val="20000"/>
                              <a:lumOff val="80000"/>
                            </a:schemeClr>
                          </a:solidFill>
                          <a:ln>
                            <a:solidFill>
                              <a:schemeClr val="accent1">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42B552" w14:textId="34189390" w:rsidR="0075221C" w:rsidRPr="006E07A7" w:rsidRDefault="0075221C" w:rsidP="0075221C">
                              <w:pPr>
                                <w:spacing w:after="0" w:line="240" w:lineRule="auto"/>
                                <w:rPr>
                                  <w:b/>
                                  <w:bCs/>
                                  <w14:numForm w14:val="lining"/>
                                  <w14:numSpacing w14:val="proportional"/>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632769706" name="Rectangle 1632769706"/>
                        <wps:cNvSpPr/>
                        <wps:spPr>
                          <a:xfrm>
                            <a:off x="0" y="229884"/>
                            <a:ext cx="5873030" cy="883042"/>
                          </a:xfrm>
                          <a:prstGeom prst="rect">
                            <a:avLst/>
                          </a:prstGeom>
                          <a:solidFill>
                            <a:srgbClr val="F2F2F2"/>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2B6A3" w14:textId="6DFDF4BB" w:rsidR="0075221C" w:rsidRPr="00290C33" w:rsidRDefault="0075221C" w:rsidP="0075221C">
                              <w:pPr>
                                <w:spacing w:after="0" w:line="240" w:lineRule="auto"/>
                                <w:rPr>
                                  <w:rFonts w:eastAsia="Calibri" w:cs="Times New Roman"/>
                                  <w:color w:val="000000"/>
                                  <w14:ligatures w14:val="standardContextual"/>
                                </w:rPr>
                              </w:pPr>
                            </w:p>
                          </w:txbxContent>
                        </wps:txbx>
                        <wps:bodyPr rot="0" spcFirstLastPara="0" vertOverflow="overflow" horzOverflow="overflow" vert="horz" wrap="square" lIns="72000" tIns="36000" rIns="72000" bIns="36000" numCol="1" spcCol="0" rtlCol="0" fromWordArt="0" anchor="ctr" anchorCtr="0" forceAA="0" compatLnSpc="1">
                          <a:prstTxWarp prst="textNoShape">
                            <a:avLst/>
                          </a:prstTxWarp>
                          <a:noAutofit/>
                        </wps:bodyPr>
                      </wps:wsp>
                    </wpg:wgp>
                  </a:graphicData>
                </a:graphic>
              </wp:anchor>
            </w:drawing>
          </mc:Choice>
          <mc:Fallback>
            <w:pict>
              <v:group w14:anchorId="16E5914B" id="Group 417970277" o:spid="_x0000_s1248" alt="&quot;&quot;" style="position:absolute;left:0;text-align:left;margin-left:-.3pt;margin-top:-3pt;width:450.7pt;height:85.25pt;z-index:-251658142;mso-position-horizontal-relative:text;mso-position-vertical-relative:text" coordsize="58730,1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">
                <v:shape id="Rectangle: Top Corners Rounded 2072355772" o:spid="_x0000_s1249" style="position:absolute;width:17360;height:2327;visibility:visible;mso-wrap-style:square;v-text-anchor:middle" coordsize="1736053,2327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" adj="-11796480,,5400" path="m38799,l1697254,v21428,,38799,17371,38799,38799l1736053,232791r,l,232791r,l,38799c,17371,17371,,38799,xe" fillcolor="#e0d1f5 [660]" strokecolor="#e0d1f5 [660]" strokeweight="1pt">
                  <v:stroke joinstyle="miter"/>
                  <v:formulas/>
                  <v:path arrowok="t" o:connecttype="custom" o:connectlocs="38799,0;1697254,0;1736053,38799;1736053,232791;1736053,232791;0,232791;0,232791;0,38799;38799,0" o:connectangles="0,0,0,0,0,0,0,0,0" textboxrect="0,0,1736053,232791"/>
                  <v:textbox inset=",0,,0">
                    <w:txbxContent>
                      <w:p w14:paraId="6542B552" w14:textId="34189390" w:rsidR="0075221C" w:rsidRPr="006E07A7" w:rsidRDefault="0075221C" w:rsidP="0075221C">
                        <w:pPr>
                          <w:spacing w:after="0" w:line="240" w:lineRule="auto"/>
                          <w:rPr>
                            <w:b/>
                            <w:bCs/>
                            <w14:numForm w14:val="lining"/>
                            <w14:numSpacing w14:val="proportional"/>
                          </w:rPr>
                        </w:pPr>
                      </w:p>
                    </w:txbxContent>
                  </v:textbox>
                </v:shape>
                <v:rect id="Rectangle 1632769706" o:spid="_x0000_s1250" style="position:absolute;top:2298;width:58730;height:8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" fillcolor="#f2f2f2" strokecolor="#e0d1f5 [660]" strokeweight="1pt">
                  <v:textbox inset="2mm,1mm,2mm,1mm">
                    <w:txbxContent>
                      <w:p w14:paraId="7BD2B6A3" w14:textId="6DFDF4BB" w:rsidR="0075221C" w:rsidRPr="00290C33" w:rsidRDefault="0075221C" w:rsidP="0075221C">
                        <w:pPr>
                          <w:spacing w:after="0" w:line="240" w:lineRule="auto"/>
                          <w:rPr>
                            <w:rFonts w:eastAsia="Calibri" w:cs="Times New Roman"/>
                            <w:color w:val="000000"/>
                            <w14:ligatures w14:val="standardContextual"/>
                          </w:rPr>
                        </w:pPr>
                      </w:p>
                    </w:txbxContent>
                  </v:textbox>
                </v:rect>
              </v:group>
            </w:pict>
          </mc:Fallback>
        </mc:AlternateContent>
      </w:r>
      <w:r w:rsidRPr="006E07A7">
        <w:rPr>
          <w:b/>
          <w:bCs/>
          <w14:numForm w14:val="lining"/>
          <w14:numSpacing w14:val="proportional"/>
        </w:rPr>
        <w:t xml:space="preserve">Recommendation </w:t>
      </w:r>
      <w:r>
        <w:rPr>
          <w:b/>
          <w:bCs/>
          <w14:numForm w14:val="lining"/>
          <w14:numSpacing w14:val="proportional"/>
        </w:rPr>
        <w:t>8.16</w:t>
      </w:r>
    </w:p>
    <w:p w14:paraId="62FE0853" w14:textId="48CFA5C9" w:rsidR="00AC2F25" w:rsidRPr="00B83E77" w:rsidRDefault="0014158E" w:rsidP="00B83E77">
      <w:pPr>
        <w:spacing w:after="0" w:line="240" w:lineRule="auto"/>
        <w:ind w:left="170" w:right="113"/>
        <w:rPr>
          <w:rFonts w:eastAsia="Calibri" w:cs="Times New Roman"/>
          <w:color w:val="000000"/>
          <w14:ligatures w14:val="standardContextual"/>
        </w:rPr>
      </w:pPr>
      <w:r w:rsidRPr="007C0038">
        <w:rPr>
          <w:rFonts w:eastAsia="Arial" w:cs="Arial"/>
        </w:rPr>
        <w:t xml:space="preserve">Government should provide support and leadership to ensure job opportunities from large clean energy projects (including during construction phases) are genuinely accessible by local communities. Ensuring the use of local workers where possible and upskilling communities should </w:t>
      </w:r>
      <w:r>
        <w:rPr>
          <w:rFonts w:eastAsia="Arial" w:cs="Arial"/>
        </w:rPr>
        <w:t>be</w:t>
      </w:r>
      <w:r w:rsidRPr="007C0038">
        <w:rPr>
          <w:rFonts w:eastAsia="Arial" w:cs="Arial"/>
        </w:rPr>
        <w:t xml:space="preserve"> a key priority.</w:t>
      </w:r>
    </w:p>
    <w:p w14:paraId="66875A5A" w14:textId="178B6808" w:rsidR="00E13239" w:rsidRPr="00FE3E33" w:rsidRDefault="00E13239" w:rsidP="00B83E77">
      <w:pPr>
        <w:pStyle w:val="Heading4"/>
        <w:spacing w:before="600"/>
        <w:rPr>
          <w:color w:val="000000" w:themeColor="text1"/>
          <w:sz w:val="24"/>
          <w:szCs w:val="20"/>
        </w:rPr>
      </w:pPr>
      <w:r w:rsidRPr="00FE3E33">
        <w:rPr>
          <w:color w:val="000000" w:themeColor="text1"/>
          <w:sz w:val="24"/>
          <w:szCs w:val="20"/>
        </w:rPr>
        <w:t xml:space="preserve">Addressing impacts on local supply chains </w:t>
      </w:r>
    </w:p>
    <w:p w14:paraId="71A20995" w14:textId="55854C2B"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The supply chain encompasses many operations and services, and may include materials and parts, suppliers, contracted maintenance trades, and site services such as waste removal. Insights from past industry transition events indicate that support mechanisms available are often underutilised by the supply chain sector</w:t>
      </w:r>
      <w:r w:rsidR="18339CFD" w:rsidRPr="00E5087D">
        <w:rPr>
          <w:rFonts w:eastAsia="Arial" w:cs="Arial"/>
          <w14:numForm w14:val="lining"/>
          <w14:numSpacing w14:val="proportional"/>
        </w:rPr>
        <w:t>.</w:t>
      </w:r>
      <w:r w:rsidRPr="00E5087D">
        <w:rPr>
          <w:rFonts w:eastAsia="Arial" w:cs="Arial"/>
          <w14:numForm w14:val="lining"/>
          <w14:numSpacing w14:val="proportional"/>
        </w:rPr>
        <w:t xml:space="preserve"> For example, during the structural adjustment in the automotive sector, many </w:t>
      </w:r>
      <w:r w:rsidR="51A35D1B" w:rsidRPr="00E5087D">
        <w:rPr>
          <w:rFonts w:eastAsia="Arial" w:cs="Arial"/>
          <w14:numForm w14:val="lining"/>
          <w14:numSpacing w14:val="proportional"/>
        </w:rPr>
        <w:t>of the</w:t>
      </w:r>
      <w:r w:rsidRPr="00E5087D">
        <w:rPr>
          <w:rFonts w:eastAsia="Arial" w:cs="Arial"/>
          <w14:numForm w14:val="lining"/>
          <w14:numSpacing w14:val="proportional"/>
        </w:rPr>
        <w:t xml:space="preserve"> supports offered by car manufacturers were available to workers from supply chain companies</w:t>
      </w:r>
      <w:r w:rsidR="3FE9D715" w:rsidRPr="00E5087D">
        <w:rPr>
          <w:rFonts w:eastAsia="Arial" w:cs="Arial"/>
          <w14:numForm w14:val="lining"/>
          <w14:numSpacing w14:val="proportional"/>
        </w:rPr>
        <w:t xml:space="preserve">, but uptake was </w:t>
      </w:r>
      <w:r w:rsidR="76BD699C" w:rsidRPr="00E5087D">
        <w:rPr>
          <w:rFonts w:eastAsia="Arial" w:cs="Arial"/>
          <w14:numForm w14:val="lining"/>
          <w14:numSpacing w14:val="proportional"/>
        </w:rPr>
        <w:t xml:space="preserve">much </w:t>
      </w:r>
      <w:r w:rsidR="3FE9D715" w:rsidRPr="00E5087D">
        <w:rPr>
          <w:rFonts w:eastAsia="Arial" w:cs="Arial"/>
          <w14:numForm w14:val="lining"/>
          <w14:numSpacing w14:val="proportional"/>
        </w:rPr>
        <w:t>lower</w:t>
      </w:r>
      <w:r w:rsidR="0011427F">
        <w:rPr>
          <w:rFonts w:eastAsia="Arial" w:cs="Arial"/>
          <w14:numForm w14:val="lining"/>
          <w14:numSpacing w14:val="proportional"/>
        </w:rPr>
        <w:t>.</w:t>
      </w:r>
      <w:r w:rsidRPr="4AB85293">
        <w:rPr>
          <w:rStyle w:val="EndnoteReference"/>
          <w:rFonts w:eastAsia="Arial" w:cs="Arial"/>
        </w:rPr>
        <w:endnoteReference w:id="254"/>
      </w:r>
    </w:p>
    <w:p w14:paraId="70567FA1" w14:textId="56827938"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Emphasis should be on ensuring active engagement with management. </w:t>
      </w:r>
      <w:r w:rsidR="00F94D53" w:rsidRPr="00F94D53">
        <w:rPr>
          <w:rFonts w:eastAsia="Arial" w:cs="Arial"/>
          <w14:numForm w14:val="lining"/>
          <w14:numSpacing w14:val="proportional"/>
        </w:rPr>
        <w:t>Managers from the closing company can leverage their relationships with supply chain companies to involve them in the transition process and ensure supports are available for workers.</w:t>
      </w:r>
    </w:p>
    <w:p w14:paraId="3BBAC9DD" w14:textId="5549B9B8" w:rsidR="00E13239" w:rsidRPr="00E5087D" w:rsidRDefault="00E13239" w:rsidP="06EDFB65">
      <w:pPr>
        <w:spacing w:after="120" w:line="276" w:lineRule="auto"/>
        <w:rPr>
          <w:rFonts w:eastAsia="Arial" w:cs="Arial"/>
        </w:rPr>
      </w:pPr>
      <w:r w:rsidRPr="00E5087D">
        <w:rPr>
          <w:rFonts w:asciiTheme="minorHAnsi" w:eastAsiaTheme="minorEastAsia" w:hAnsiTheme="minorHAnsi"/>
          <w14:numForm w14:val="lining"/>
          <w14:numSpacing w14:val="proportional"/>
        </w:rPr>
        <w:t xml:space="preserve">Beyond the main supply chain, there is likely to be a network of workers from directly impacted Small to Medium Enterprises who </w:t>
      </w:r>
      <w:r w:rsidR="008D5188">
        <w:rPr>
          <w:rFonts w:asciiTheme="minorHAnsi" w:eastAsiaTheme="minorEastAsia" w:hAnsiTheme="minorHAnsi"/>
          <w14:numForm w14:val="lining"/>
          <w14:numSpacing w14:val="proportional"/>
        </w:rPr>
        <w:t>may</w:t>
      </w:r>
      <w:r w:rsidRPr="00E5087D">
        <w:rPr>
          <w:rFonts w:asciiTheme="minorHAnsi" w:eastAsiaTheme="minorEastAsia" w:hAnsiTheme="minorHAnsi"/>
          <w14:numForm w14:val="lining"/>
          <w14:numSpacing w14:val="proportional"/>
        </w:rPr>
        <w:t xml:space="preserve"> not have access to support from larger employers. Often, these businesses lack the </w:t>
      </w:r>
      <w:r w:rsidR="00C549CA">
        <w:rPr>
          <w:rFonts w:asciiTheme="minorHAnsi" w:eastAsiaTheme="minorEastAsia" w:hAnsiTheme="minorHAnsi"/>
          <w14:numForm w14:val="lining"/>
          <w14:numSpacing w14:val="proportional"/>
        </w:rPr>
        <w:t>human</w:t>
      </w:r>
      <w:r w:rsidRPr="00E5087D">
        <w:rPr>
          <w:rFonts w:asciiTheme="minorHAnsi" w:eastAsiaTheme="minorEastAsia" w:hAnsiTheme="minorHAnsi"/>
          <w14:numForm w14:val="lining"/>
          <w14:numSpacing w14:val="proportional"/>
        </w:rPr>
        <w:t xml:space="preserve"> resources or funding capacity to offer similar supports. For this reason, broad engagement is essential for promoting available support and connecting workers to vital services. </w:t>
      </w:r>
    </w:p>
    <w:p w14:paraId="416B2FE9" w14:textId="3529532A" w:rsidR="00E13239" w:rsidRPr="00E5087D" w:rsidRDefault="00E13239" w:rsidP="00E13239">
      <w:pPr>
        <w:spacing w:after="120" w:line="276" w:lineRule="auto"/>
        <w:rPr>
          <w:rFonts w:eastAsia="Arial" w:cs="Arial"/>
          <w14:numForm w14:val="lining"/>
          <w14:numSpacing w14:val="proportional"/>
        </w:rPr>
      </w:pPr>
      <w:r w:rsidRPr="00E5087D">
        <w:rPr>
          <w:rFonts w:asciiTheme="minorHAnsi" w:eastAsiaTheme="minorEastAsia" w:hAnsiTheme="minorHAnsi"/>
          <w14:numForm w14:val="lining"/>
          <w14:numSpacing w14:val="proportional"/>
        </w:rPr>
        <w:t>In some cases, government may provide specific transition support packages to workers and businesses</w:t>
      </w:r>
      <w:r w:rsidRPr="00E5087D">
        <w:rPr>
          <w:rFonts w:eastAsia="Arial" w:cs="Arial"/>
          <w14:numForm w14:val="lining"/>
          <w14:numSpacing w14:val="proportional"/>
        </w:rPr>
        <w:t xml:space="preserve">. In the transition to clean energy, we see this in activities such as plant maintenance and waste management. Initiatives such as AGL’s Hunter Energy Hub are actively demonstrating the opportunities to keep supply chains engaged following coal-fired power station closures. </w:t>
      </w:r>
    </w:p>
    <w:p w14:paraId="4819D130" w14:textId="0BD64D75" w:rsidR="00E13239" w:rsidRPr="00E5087D" w:rsidRDefault="00E13239" w:rsidP="00E13239">
      <w:pPr>
        <w:spacing w:after="120" w:line="276" w:lineRule="auto"/>
        <w:rPr>
          <w:rFonts w:eastAsia="Arial" w:cs="Arial"/>
          <w14:numForm w14:val="lining"/>
          <w14:numSpacing w14:val="proportional"/>
        </w:rPr>
      </w:pPr>
      <w:r w:rsidRPr="00E5087D">
        <w:rPr>
          <w:rFonts w:eastAsia="Arial" w:cs="Arial"/>
          <w14:numForm w14:val="lining"/>
          <w14:numSpacing w14:val="proportional"/>
        </w:rPr>
        <w:t xml:space="preserve">Active local economic planning and development assistance is </w:t>
      </w:r>
      <w:r w:rsidR="009E52CE">
        <w:rPr>
          <w:rFonts w:eastAsia="Arial" w:cs="Arial"/>
          <w14:numForm w14:val="lining"/>
          <w14:numSpacing w14:val="proportional"/>
        </w:rPr>
        <w:t>one way to ensure</w:t>
      </w:r>
      <w:r w:rsidRPr="00E5087D">
        <w:rPr>
          <w:rFonts w:eastAsia="Arial" w:cs="Arial"/>
          <w14:numForm w14:val="lining"/>
          <w14:numSpacing w14:val="proportional"/>
        </w:rPr>
        <w:t xml:space="preserve"> ongoing demand for services in the supply chain and maintaining as much as possible of the existing economic and employment diversity within impacted communities. Locally owned economic development plans should ensure that there is broad-based initiatives to address any gaps in educational attainment, so that there is a local pool of potential workers able to meet any skills gaps experienced by new or growing industries. </w:t>
      </w:r>
    </w:p>
    <w:p w14:paraId="089E8A6C" w14:textId="4EFA8912" w:rsidR="00E13239" w:rsidRPr="00E5087D" w:rsidRDefault="00E13239" w:rsidP="00E13239">
      <w:pPr>
        <w:rPr>
          <w:rFonts w:eastAsia="Arial" w:cs="Arial"/>
          <w14:numForm w14:val="lining"/>
          <w14:numSpacing w14:val="proportional"/>
        </w:rPr>
      </w:pPr>
    </w:p>
    <w:p w14:paraId="4B79C1D1" w14:textId="77777777" w:rsidR="000B69E4" w:rsidRPr="00E5087D" w:rsidRDefault="000B69E4">
      <w:pPr>
        <w:sectPr w:rsidR="000B69E4" w:rsidRPr="00E5087D" w:rsidSect="001A4E0F">
          <w:headerReference w:type="default" r:id="rId235"/>
          <w:footerReference w:type="default" r:id="rId236"/>
          <w:endnotePr>
            <w:numFmt w:val="decimal"/>
          </w:endnotePr>
          <w:pgSz w:w="11906" w:h="16838" w:code="9"/>
          <w:pgMar w:top="1440" w:right="1440" w:bottom="1440" w:left="1440" w:header="0" w:footer="709" w:gutter="0"/>
          <w:cols w:space="708"/>
          <w:docGrid w:linePitch="360"/>
        </w:sectPr>
      </w:pPr>
    </w:p>
    <w:p w14:paraId="6988B434" w14:textId="20A89D43" w:rsidR="00A45459" w:rsidRPr="00F95794" w:rsidRDefault="00750802" w:rsidP="00A45459">
      <w:pPr>
        <w:pStyle w:val="Heading1"/>
        <w:spacing w:before="8280" w:line="240" w:lineRule="auto"/>
        <w:ind w:left="283"/>
        <w:rPr>
          <w:color w:val="FFFFFF" w:themeColor="background1"/>
        </w:rPr>
      </w:pPr>
      <w:bookmarkStart w:id="95" w:name="_Toc146892703"/>
      <w:r>
        <w:rPr>
          <w:b w:val="0"/>
          <w:bCs/>
          <w:noProof/>
          <w:color w:val="FFFFFF" w:themeColor="background1"/>
          <w:sz w:val="72"/>
          <w:szCs w:val="72"/>
        </w:rPr>
        <w:drawing>
          <wp:anchor distT="0" distB="0" distL="114300" distR="114300" simplePos="0" relativeHeight="251672676" behindDoc="0" locked="0" layoutInCell="1" allowOverlap="1" wp14:anchorId="1A40BD8D" wp14:editId="09BC48D0">
            <wp:simplePos x="0" y="0"/>
            <wp:positionH relativeFrom="column">
              <wp:posOffset>-910079</wp:posOffset>
            </wp:positionH>
            <wp:positionV relativeFrom="paragraph">
              <wp:posOffset>-901997</wp:posOffset>
            </wp:positionV>
            <wp:extent cx="7559675" cy="5438140"/>
            <wp:effectExtent l="0" t="0" r="3175" b="0"/>
            <wp:wrapNone/>
            <wp:docPr id="1265835226"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35226" name="Picture 22">
                      <a:extLst>
                        <a:ext uri="{C183D7F6-B498-43B3-948B-1728B52AA6E4}">
                          <adec:decorative xmlns:adec="http://schemas.microsoft.com/office/drawing/2017/decorative" val="1"/>
                        </a:ext>
                      </a:extLst>
                    </pic:cNvPr>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7559675" cy="5438140"/>
                    </a:xfrm>
                    <a:prstGeom prst="rect">
                      <a:avLst/>
                    </a:prstGeom>
                    <a:noFill/>
                  </pic:spPr>
                </pic:pic>
              </a:graphicData>
            </a:graphic>
          </wp:anchor>
        </w:drawing>
      </w:r>
      <w:r w:rsidR="00A45459" w:rsidRPr="00A45459">
        <w:rPr>
          <w:b w:val="0"/>
          <w:bCs/>
          <w:noProof/>
        </w:rPr>
        <mc:AlternateContent>
          <mc:Choice Requires="wps">
            <w:drawing>
              <wp:anchor distT="0" distB="0" distL="114300" distR="114300" simplePos="0" relativeHeight="251658261" behindDoc="1" locked="0" layoutInCell="1" allowOverlap="1" wp14:anchorId="61E3A28F" wp14:editId="695B7572">
                <wp:simplePos x="0" y="0"/>
                <wp:positionH relativeFrom="column">
                  <wp:posOffset>-909691</wp:posOffset>
                </wp:positionH>
                <wp:positionV relativeFrom="paragraph">
                  <wp:posOffset>4530725</wp:posOffset>
                </wp:positionV>
                <wp:extent cx="7559675" cy="5259705"/>
                <wp:effectExtent l="0" t="0" r="3175" b="0"/>
                <wp:wrapNone/>
                <wp:docPr id="1341085192" name="Freeform: Shape 1341085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5259705"/>
                        </a:xfrm>
                        <a:custGeom>
                          <a:avLst/>
                          <a:gdLst/>
                          <a:ahLst/>
                          <a:cxnLst/>
                          <a:rect l="l" t="t" r="r" b="b"/>
                          <a:pathLst>
                            <a:path w="7560309" h="5259705">
                              <a:moveTo>
                                <a:pt x="7559992" y="0"/>
                              </a:moveTo>
                              <a:lnTo>
                                <a:pt x="0" y="0"/>
                              </a:lnTo>
                              <a:lnTo>
                                <a:pt x="0" y="5259603"/>
                              </a:lnTo>
                              <a:lnTo>
                                <a:pt x="7559992" y="5259603"/>
                              </a:lnTo>
                              <a:lnTo>
                                <a:pt x="7559992" y="0"/>
                              </a:lnTo>
                              <a:close/>
                            </a:path>
                          </a:pathLst>
                        </a:custGeom>
                        <a:solidFill>
                          <a:srgbClr val="404040"/>
                        </a:solidFill>
                      </wps:spPr>
                      <wps:txbx>
                        <w:txbxContent>
                          <w:p w14:paraId="7280FEBB" w14:textId="77777777" w:rsidR="00A05256" w:rsidRDefault="00A05256" w:rsidP="00A05256">
                            <w:pPr>
                              <w:jc w:val="center"/>
                            </w:pPr>
                          </w:p>
                        </w:txbxContent>
                      </wps:txbx>
                      <wps:bodyPr wrap="square" lIns="0" tIns="0" rIns="0" bIns="0" rtlCol="0">
                        <a:prstTxWarp prst="textNoShape">
                          <a:avLst/>
                        </a:prstTxWarp>
                        <a:noAutofit/>
                      </wps:bodyPr>
                    </wps:wsp>
                  </a:graphicData>
                </a:graphic>
              </wp:anchor>
            </w:drawing>
          </mc:Choice>
          <mc:Fallback>
            <w:pict>
              <v:shape w14:anchorId="61E3A28F" id="Freeform: Shape 1341085192" o:spid="_x0000_s1251" alt="&quot;&quot;" style="position:absolute;left:0;text-align:left;margin-left:-71.65pt;margin-top:356.75pt;width:595.25pt;height:414.15pt;z-index:-251658219;visibility:visible;mso-wrap-style:square;mso-wrap-distance-left:9pt;mso-wrap-distance-top:0;mso-wrap-distance-right:9pt;mso-wrap-distance-bottom:0;mso-position-horizontal:absolute;mso-position-horizontal-relative:text;mso-position-vertical:absolute;mso-position-vertical-relative:text;v-text-anchor:top" coordsize="7560309,52597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" adj="-11796480,,5400" path="m7559992,l,,,5259603r7559992,l7559992,xe" fillcolor="#404040" stroked="f">
                <v:stroke joinstyle="miter"/>
                <v:formulas/>
                <v:path arrowok="t" o:connecttype="custom" textboxrect="0,0,7560309,5259705"/>
                <v:textbox inset="0,0,0,0">
                  <w:txbxContent>
                    <w:p w14:paraId="7280FEBB" w14:textId="77777777" w:rsidR="00A05256" w:rsidRDefault="00A05256" w:rsidP="00A05256">
                      <w:pPr>
                        <w:jc w:val="center"/>
                      </w:pPr>
                    </w:p>
                  </w:txbxContent>
                </v:textbox>
              </v:shape>
            </w:pict>
          </mc:Fallback>
        </mc:AlternateContent>
      </w:r>
      <w:r w:rsidR="00A45459" w:rsidRPr="00A45459">
        <w:rPr>
          <w:b w:val="0"/>
          <w:bCs/>
          <w:color w:val="FFFFFF" w:themeColor="background1"/>
          <w:sz w:val="72"/>
          <w:szCs w:val="72"/>
        </w:rPr>
        <w:t>Chapter 9:</w:t>
      </w:r>
      <w:r w:rsidR="00A45459" w:rsidRPr="00F95794">
        <w:rPr>
          <w:color w:val="FFFFFF" w:themeColor="background1"/>
        </w:rPr>
        <w:br/>
      </w:r>
      <w:r w:rsidR="00A45459" w:rsidRPr="00F95794">
        <w:rPr>
          <w:color w:val="FFFFFF" w:themeColor="background1"/>
          <w:sz w:val="92"/>
          <w:szCs w:val="92"/>
        </w:rPr>
        <w:t>Findings and opportunities</w:t>
      </w:r>
      <w:bookmarkEnd w:id="95"/>
    </w:p>
    <w:p w14:paraId="3C7628B9" w14:textId="77777777" w:rsidR="00A45459" w:rsidRPr="00BB2E09" w:rsidRDefault="00A45459" w:rsidP="00A45459">
      <w:pPr>
        <w:pStyle w:val="BodyText"/>
        <w:spacing w:before="521"/>
        <w:ind w:left="283" w:right="567"/>
        <w:rPr>
          <w:lang w:val="en-AU"/>
        </w:rPr>
      </w:pPr>
      <w:r w:rsidRPr="00BB2E09">
        <w:rPr>
          <w:color w:val="FFFFFF"/>
          <w:lang w:val="en-AU"/>
        </w:rPr>
        <w:t>Learnings</w:t>
      </w:r>
      <w:r w:rsidRPr="00BB2E09">
        <w:rPr>
          <w:color w:val="FFFFFF"/>
          <w:spacing w:val="-5"/>
          <w:lang w:val="en-AU"/>
        </w:rPr>
        <w:t xml:space="preserve"> </w:t>
      </w:r>
      <w:r w:rsidRPr="00BB2E09">
        <w:rPr>
          <w:color w:val="FFFFFF"/>
          <w:lang w:val="en-AU"/>
        </w:rPr>
        <w:t>from</w:t>
      </w:r>
      <w:r w:rsidRPr="00BB2E09">
        <w:rPr>
          <w:color w:val="FFFFFF"/>
          <w:spacing w:val="-5"/>
          <w:lang w:val="en-AU"/>
        </w:rPr>
        <w:t xml:space="preserve"> </w:t>
      </w:r>
      <w:r w:rsidRPr="00BB2E09">
        <w:rPr>
          <w:color w:val="FFFFFF"/>
          <w:lang w:val="en-AU"/>
        </w:rPr>
        <w:t>what</w:t>
      </w:r>
      <w:r w:rsidRPr="00BB2E09">
        <w:rPr>
          <w:color w:val="FFFFFF"/>
          <w:spacing w:val="-5"/>
          <w:lang w:val="en-AU"/>
        </w:rPr>
        <w:t xml:space="preserve"> </w:t>
      </w:r>
      <w:r w:rsidRPr="00BB2E09">
        <w:rPr>
          <w:color w:val="FFFFFF"/>
          <w:lang w:val="en-AU"/>
        </w:rPr>
        <w:t>is</w:t>
      </w:r>
      <w:r w:rsidRPr="00BB2E09">
        <w:rPr>
          <w:color w:val="FFFFFF"/>
          <w:spacing w:val="-5"/>
          <w:lang w:val="en-AU"/>
        </w:rPr>
        <w:t xml:space="preserve"> </w:t>
      </w:r>
      <w:r w:rsidRPr="00BB2E09">
        <w:rPr>
          <w:color w:val="FFFFFF"/>
          <w:lang w:val="en-AU"/>
        </w:rPr>
        <w:t>working</w:t>
      </w:r>
      <w:r w:rsidRPr="00BB2E09">
        <w:rPr>
          <w:color w:val="FFFFFF"/>
          <w:spacing w:val="-5"/>
          <w:lang w:val="en-AU"/>
        </w:rPr>
        <w:t xml:space="preserve"> </w:t>
      </w:r>
      <w:r w:rsidRPr="00BB2E09">
        <w:rPr>
          <w:color w:val="FFFFFF"/>
          <w:lang w:val="en-AU"/>
        </w:rPr>
        <w:t>well</w:t>
      </w:r>
      <w:r w:rsidRPr="00BB2E09">
        <w:rPr>
          <w:color w:val="FFFFFF"/>
          <w:spacing w:val="-5"/>
          <w:lang w:val="en-AU"/>
        </w:rPr>
        <w:t xml:space="preserve"> </w:t>
      </w:r>
      <w:r w:rsidRPr="00BB2E09">
        <w:rPr>
          <w:color w:val="FFFFFF"/>
          <w:lang w:val="en-AU"/>
        </w:rPr>
        <w:t>and</w:t>
      </w:r>
      <w:r w:rsidRPr="00BB2E09">
        <w:rPr>
          <w:color w:val="FFFFFF"/>
          <w:spacing w:val="-5"/>
          <w:lang w:val="en-AU"/>
        </w:rPr>
        <w:t xml:space="preserve"> </w:t>
      </w:r>
      <w:r w:rsidRPr="00BB2E09">
        <w:rPr>
          <w:color w:val="FFFFFF"/>
          <w:lang w:val="en-AU"/>
        </w:rPr>
        <w:t>innovative approaches to workforce development.</w:t>
      </w:r>
    </w:p>
    <w:p w14:paraId="2D327297" w14:textId="1C052863" w:rsidR="00F95794" w:rsidRDefault="00F95794" w:rsidP="000328D4">
      <w:pPr>
        <w:pStyle w:val="Bodycopy"/>
      </w:pPr>
    </w:p>
    <w:p w14:paraId="3FF607E9" w14:textId="77777777" w:rsidR="00A45459" w:rsidRDefault="00A45459">
      <w:pPr>
        <w:rPr>
          <w:rFonts w:eastAsiaTheme="majorEastAsia" w:cstheme="majorBidi"/>
          <w:b/>
          <w:sz w:val="56"/>
          <w:szCs w:val="26"/>
        </w:rPr>
      </w:pPr>
      <w:r>
        <w:br w:type="page"/>
      </w:r>
    </w:p>
    <w:p w14:paraId="4898DCF5" w14:textId="199270E1" w:rsidR="00E52A3C" w:rsidRDefault="00506B4B" w:rsidP="00175980">
      <w:pPr>
        <w:pStyle w:val="Heading2"/>
      </w:pPr>
      <w:bookmarkStart w:id="96" w:name="_Toc146892704"/>
      <w:r>
        <w:t>Overview</w:t>
      </w:r>
      <w:bookmarkEnd w:id="96"/>
    </w:p>
    <w:p w14:paraId="7E2C0AB6" w14:textId="16168B5E" w:rsidR="003C2C61" w:rsidRDefault="00E52A3C" w:rsidP="00175980">
      <w:pPr>
        <w:spacing w:after="80" w:line="276" w:lineRule="auto"/>
      </w:pPr>
      <w:r w:rsidRPr="00E52A3C">
        <w:rPr>
          <w:i/>
          <w:iCs/>
        </w:rPr>
        <w:t>The Clean Energy Generation</w:t>
      </w:r>
      <w:r>
        <w:t xml:space="preserve"> </w:t>
      </w:r>
      <w:r w:rsidRPr="00E52A3C">
        <w:rPr>
          <w:rFonts w:eastAsia="Arial" w:cs="Arial"/>
        </w:rPr>
        <w:t xml:space="preserve">offers a unique contribution to both workforce policy and the </w:t>
      </w:r>
      <w:r>
        <w:t>challenges Australia faces in its t</w:t>
      </w:r>
      <w:r w:rsidRPr="00E52A3C">
        <w:rPr>
          <w:rFonts w:eastAsia="Arial" w:cs="Arial"/>
        </w:rPr>
        <w:t xml:space="preserve">ransition to net zero. It offers an Australian first definition of the clean energy workforce; takes a holistic view of </w:t>
      </w:r>
      <w:r>
        <w:t>tertiary</w:t>
      </w:r>
      <w:r w:rsidRPr="00E52A3C">
        <w:rPr>
          <w:rFonts w:eastAsia="Arial" w:cs="Arial"/>
        </w:rPr>
        <w:t xml:space="preserve"> </w:t>
      </w:r>
      <w:r w:rsidR="00C80429">
        <w:rPr>
          <w:rFonts w:eastAsia="Arial" w:cs="Arial"/>
        </w:rPr>
        <w:t xml:space="preserve">education and </w:t>
      </w:r>
      <w:r w:rsidRPr="00E52A3C">
        <w:rPr>
          <w:rFonts w:eastAsia="Arial" w:cs="Arial"/>
        </w:rPr>
        <w:t>training</w:t>
      </w:r>
      <w:r>
        <w:t xml:space="preserve"> and </w:t>
      </w:r>
      <w:r w:rsidRPr="00E52A3C">
        <w:rPr>
          <w:rFonts w:eastAsia="Arial" w:cs="Arial"/>
        </w:rPr>
        <w:t>migration pathways; uses new data to reflect real-world job transitions</w:t>
      </w:r>
      <w:r>
        <w:t xml:space="preserve">; explores the barriers workers face and the potential solutions that can help; </w:t>
      </w:r>
      <w:r w:rsidRPr="00E52A3C">
        <w:rPr>
          <w:rFonts w:eastAsia="Arial" w:cs="Arial"/>
        </w:rPr>
        <w:t>and</w:t>
      </w:r>
      <w:r>
        <w:t xml:space="preserve"> very importantly </w:t>
      </w:r>
      <w:r w:rsidRPr="00E52A3C">
        <w:rPr>
          <w:rFonts w:eastAsia="Arial" w:cs="Arial"/>
        </w:rPr>
        <w:t>provides a</w:t>
      </w:r>
      <w:r>
        <w:t xml:space="preserve"> </w:t>
      </w:r>
      <w:r w:rsidRPr="00E52A3C">
        <w:rPr>
          <w:rFonts w:eastAsia="Arial" w:cs="Arial"/>
        </w:rPr>
        <w:t>gap analysis to help Government pre-empt and mitigate skills shortages.</w:t>
      </w:r>
      <w:r w:rsidRPr="007556AB">
        <w:t xml:space="preserve"> </w:t>
      </w:r>
      <w:r w:rsidR="00296220">
        <w:t xml:space="preserve">We also identify the jobs and regions that will be impacted by the transition away from fossil fuels but also the </w:t>
      </w:r>
      <w:r w:rsidR="00582373">
        <w:t>new</w:t>
      </w:r>
      <w:r w:rsidR="00296220">
        <w:t xml:space="preserve"> industries that will emerge from this broader economic transformation, including in </w:t>
      </w:r>
      <w:r w:rsidR="00D94FE6">
        <w:t xml:space="preserve">some of </w:t>
      </w:r>
      <w:r w:rsidR="00296220">
        <w:t xml:space="preserve">those same regions. </w:t>
      </w:r>
    </w:p>
    <w:p w14:paraId="6F76C699" w14:textId="1CB08DF8" w:rsidR="003C2C61" w:rsidRDefault="00126B15" w:rsidP="00175980">
      <w:pPr>
        <w:spacing w:before="240" w:after="0" w:line="276" w:lineRule="auto"/>
      </w:pPr>
      <w:r>
        <w:t>The report has been anchored in three objectives:</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C2C61" w:rsidRPr="00E5087D" w14:paraId="327353C0" w14:textId="77777777" w:rsidTr="00AB7657">
        <w:trPr>
          <w:trHeight w:val="964"/>
        </w:trPr>
        <w:tc>
          <w:tcPr>
            <w:tcW w:w="9356" w:type="dxa"/>
            <w:vAlign w:val="center"/>
          </w:tcPr>
          <w:p w14:paraId="7F45C3BE" w14:textId="77777777" w:rsidR="003C2C61" w:rsidRPr="00E5087D" w:rsidRDefault="003C2C61" w:rsidP="00175980">
            <w:pPr>
              <w:spacing w:line="276" w:lineRule="auto"/>
              <w:rPr>
                <w:rStyle w:val="ui-provider"/>
              </w:rPr>
            </w:pPr>
            <w:r w:rsidRPr="00E5087D">
              <w:rPr>
                <w:b/>
                <w:bCs/>
              </w:rPr>
              <w:t>Objective one</w:t>
            </w:r>
            <w:r w:rsidRPr="00E5087D">
              <w:t>: the energy transition isn’t hindered by skill shortages. Australia has the workforce it needs to reach and exceed our clean energy ambition.</w:t>
            </w:r>
          </w:p>
        </w:tc>
      </w:tr>
      <w:tr w:rsidR="003C2C61" w:rsidRPr="00E5087D" w14:paraId="50D28D04" w14:textId="77777777" w:rsidTr="00AB7657">
        <w:trPr>
          <w:trHeight w:val="1002"/>
        </w:trPr>
        <w:tc>
          <w:tcPr>
            <w:tcW w:w="9356" w:type="dxa"/>
          </w:tcPr>
          <w:p w14:paraId="0D60ACD1" w14:textId="77777777" w:rsidR="003C2C61" w:rsidRPr="00E5087D" w:rsidRDefault="003C2C61" w:rsidP="00175980">
            <w:pPr>
              <w:spacing w:line="276" w:lineRule="auto"/>
              <w:rPr>
                <w:rStyle w:val="ui-provider"/>
              </w:rPr>
            </w:pPr>
            <w:r w:rsidRPr="00E5087D">
              <w:rPr>
                <w:rStyle w:val="Strong"/>
              </w:rPr>
              <w:t>Objective two</w:t>
            </w:r>
            <w:r w:rsidRPr="00E5087D">
              <w:rPr>
                <w:rStyle w:val="ui-provider"/>
              </w:rPr>
              <w:t>: workforce opportunities are sustainable and equitably shared with all Australians</w:t>
            </w:r>
            <w:r>
              <w:rPr>
                <w:rStyle w:val="ui-provider"/>
              </w:rPr>
              <w:t>,</w:t>
            </w:r>
            <w:r w:rsidRPr="00E5087D">
              <w:rPr>
                <w:rStyle w:val="ui-provider"/>
              </w:rPr>
              <w:t xml:space="preserve"> </w:t>
            </w:r>
            <w:r>
              <w:rPr>
                <w:rStyle w:val="ui-provider"/>
              </w:rPr>
              <w:t>p</w:t>
            </w:r>
            <w:r w:rsidRPr="00E5087D">
              <w:t>articularly</w:t>
            </w:r>
            <w:r w:rsidRPr="00E5087D">
              <w:rPr>
                <w:rStyle w:val="ui-provider"/>
              </w:rPr>
              <w:t xml:space="preserve"> communities impacted by decarbonisation and disadvantaged groups that were underutilised in traditional energy.</w:t>
            </w:r>
          </w:p>
        </w:tc>
      </w:tr>
      <w:tr w:rsidR="003C2C61" w:rsidRPr="00E5087D" w14:paraId="08204ECD" w14:textId="77777777" w:rsidTr="00AB7657">
        <w:trPr>
          <w:trHeight w:val="1002"/>
        </w:trPr>
        <w:tc>
          <w:tcPr>
            <w:tcW w:w="9356" w:type="dxa"/>
            <w:tcBorders>
              <w:bottom w:val="single" w:sz="4" w:space="0" w:color="BFBFBF" w:themeColor="background1" w:themeShade="BF"/>
            </w:tcBorders>
          </w:tcPr>
          <w:p w14:paraId="3878AA0C" w14:textId="77777777" w:rsidR="003C2C61" w:rsidRPr="00E5087D" w:rsidRDefault="003C2C61" w:rsidP="00175980">
            <w:pPr>
              <w:spacing w:line="276" w:lineRule="auto"/>
              <w:rPr>
                <w:rStyle w:val="Strong"/>
                <w:b w:val="0"/>
                <w:bCs w:val="0"/>
              </w:rPr>
            </w:pPr>
            <w:r w:rsidRPr="00E5087D">
              <w:rPr>
                <w:rStyle w:val="Strong"/>
              </w:rPr>
              <w:t xml:space="preserve">Objective three: </w:t>
            </w:r>
            <w:r w:rsidRPr="00E5087D">
              <w:rPr>
                <w:rStyle w:val="Strong"/>
                <w:b w:val="0"/>
                <w:bCs w:val="0"/>
              </w:rPr>
              <w:t xml:space="preserve">people in </w:t>
            </w:r>
            <w:r>
              <w:rPr>
                <w:rStyle w:val="Strong"/>
                <w:b w:val="0"/>
                <w:bCs w:val="0"/>
              </w:rPr>
              <w:t>transitioning</w:t>
            </w:r>
            <w:r w:rsidRPr="00E5087D">
              <w:rPr>
                <w:rStyle w:val="Strong"/>
                <w:b w:val="0"/>
                <w:bCs w:val="0"/>
              </w:rPr>
              <w:t xml:space="preserve"> sectors and </w:t>
            </w:r>
            <w:r>
              <w:rPr>
                <w:rStyle w:val="Strong"/>
                <w:b w:val="0"/>
                <w:bCs w:val="0"/>
              </w:rPr>
              <w:t xml:space="preserve">their </w:t>
            </w:r>
            <w:r w:rsidRPr="00E5087D">
              <w:rPr>
                <w:rStyle w:val="Strong"/>
                <w:b w:val="0"/>
                <w:bCs w:val="0"/>
              </w:rPr>
              <w:t>communities</w:t>
            </w:r>
            <w:r w:rsidRPr="00E5087D">
              <w:rPr>
                <w:rStyle w:val="Strong"/>
              </w:rPr>
              <w:t xml:space="preserve"> </w:t>
            </w:r>
            <w:r w:rsidRPr="00E5087D">
              <w:rPr>
                <w:rStyle w:val="Strong"/>
                <w:b w:val="0"/>
                <w:bCs w:val="0"/>
              </w:rPr>
              <w:t>are given the support they need to access new employment opportunities that work for them.</w:t>
            </w:r>
          </w:p>
        </w:tc>
      </w:tr>
    </w:tbl>
    <w:p w14:paraId="1432DD86" w14:textId="0DD65636" w:rsidR="00E52A3C" w:rsidRPr="00175980" w:rsidRDefault="00D94FE6" w:rsidP="00B83E77">
      <w:pPr>
        <w:spacing w:before="240" w:after="80" w:line="276" w:lineRule="auto"/>
        <w:rPr>
          <w14:numForm w14:val="lining"/>
          <w14:numSpacing w14:val="proportional"/>
        </w:rPr>
      </w:pPr>
      <w:r w:rsidRPr="00175980">
        <w:rPr>
          <w14:numForm w14:val="lining"/>
          <w14:numSpacing w14:val="proportional"/>
        </w:rPr>
        <w:t xml:space="preserve">This study </w:t>
      </w:r>
      <w:r w:rsidR="00E52A3C" w:rsidRPr="00175980">
        <w:rPr>
          <w14:numForm w14:val="lining"/>
          <w14:numSpacing w14:val="proportional"/>
        </w:rPr>
        <w:t>has found that:</w:t>
      </w:r>
    </w:p>
    <w:p w14:paraId="764081AC" w14:textId="17030285" w:rsidR="00E52A3C" w:rsidRPr="00175980" w:rsidRDefault="00E52A3C"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Many of the skills needed to decarbonise already exist in the economy</w:t>
      </w:r>
      <w:r w:rsidR="00E23599" w:rsidRPr="00175980">
        <w:rPr>
          <w:rFonts w:eastAsia="Arial" w:cs="Arial"/>
          <w14:numForm w14:val="lining"/>
          <w14:numSpacing w14:val="proportional"/>
        </w:rPr>
        <w:t>.</w:t>
      </w:r>
    </w:p>
    <w:p w14:paraId="40D4BFCE" w14:textId="0073E57A" w:rsidR="00432EA7" w:rsidRPr="00175980" w:rsidRDefault="00E23599"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 xml:space="preserve">We </w:t>
      </w:r>
      <w:r w:rsidR="00B5000B" w:rsidRPr="00175980">
        <w:rPr>
          <w:rFonts w:eastAsia="Arial" w:cs="Arial"/>
          <w14:numForm w14:val="lining"/>
          <w14:numSpacing w14:val="proportional"/>
        </w:rPr>
        <w:t xml:space="preserve">will </w:t>
      </w:r>
      <w:r w:rsidRPr="00175980">
        <w:rPr>
          <w:rFonts w:eastAsia="Arial" w:cs="Arial"/>
          <w14:numForm w14:val="lining"/>
          <w14:numSpacing w14:val="proportional"/>
        </w:rPr>
        <w:t xml:space="preserve">likely have enough workers to meet </w:t>
      </w:r>
      <w:r w:rsidR="00B5000B" w:rsidRPr="00175980">
        <w:rPr>
          <w:rFonts w:eastAsia="Arial" w:cs="Arial"/>
          <w14:numForm w14:val="lining"/>
          <w14:numSpacing w14:val="proportional"/>
        </w:rPr>
        <w:t>overall</w:t>
      </w:r>
      <w:r w:rsidR="00506B4B">
        <w:rPr>
          <w:rFonts w:eastAsia="Arial" w:cs="Arial"/>
          <w14:numForm w14:val="lining"/>
          <w14:numSpacing w14:val="proportional"/>
        </w:rPr>
        <w:t xml:space="preserve"> demand</w:t>
      </w:r>
      <w:r w:rsidR="000E502E">
        <w:rPr>
          <w:rFonts w:eastAsia="Arial" w:cs="Arial"/>
          <w14:numForm w14:val="lining"/>
          <w14:numSpacing w14:val="proportional"/>
        </w:rPr>
        <w:t xml:space="preserve"> based on preliminary modelling</w:t>
      </w:r>
      <w:r w:rsidR="00B5000B" w:rsidRPr="00175980">
        <w:rPr>
          <w:rFonts w:eastAsia="Arial" w:cs="Arial"/>
          <w14:numForm w14:val="lining"/>
          <w14:numSpacing w14:val="proportional"/>
        </w:rPr>
        <w:t xml:space="preserve">, </w:t>
      </w:r>
      <w:r w:rsidRPr="00175980">
        <w:rPr>
          <w:rFonts w:eastAsia="Arial" w:cs="Arial"/>
          <w14:numForm w14:val="lining"/>
          <w14:numSpacing w14:val="proportional"/>
        </w:rPr>
        <w:t>but s</w:t>
      </w:r>
      <w:r w:rsidR="00E52A3C" w:rsidRPr="00175980">
        <w:rPr>
          <w:rFonts w:eastAsia="Arial" w:cs="Arial"/>
          <w14:numForm w14:val="lining"/>
          <w14:numSpacing w14:val="proportional"/>
        </w:rPr>
        <w:t>et and forget will not work</w:t>
      </w:r>
      <w:r w:rsidR="005E3363" w:rsidRPr="00175980">
        <w:rPr>
          <w:rFonts w:eastAsia="Arial" w:cs="Arial"/>
          <w14:numForm w14:val="lining"/>
          <w14:numSpacing w14:val="proportional"/>
        </w:rPr>
        <w:t xml:space="preserve">: </w:t>
      </w:r>
      <w:r w:rsidRPr="00175980">
        <w:rPr>
          <w:rFonts w:eastAsia="Arial" w:cs="Arial"/>
          <w14:numForm w14:val="lining"/>
          <w14:numSpacing w14:val="proportional"/>
        </w:rPr>
        <w:t xml:space="preserve">likely </w:t>
      </w:r>
      <w:r w:rsidR="00E52A3C" w:rsidRPr="00175980">
        <w:rPr>
          <w:rFonts w:eastAsia="Arial" w:cs="Arial"/>
          <w14:numForm w14:val="lining"/>
          <w14:numSpacing w14:val="proportional"/>
        </w:rPr>
        <w:t>skill</w:t>
      </w:r>
      <w:r w:rsidRPr="00175980">
        <w:rPr>
          <w:rFonts w:eastAsia="Arial" w:cs="Arial"/>
          <w14:numForm w14:val="lining"/>
          <w14:numSpacing w14:val="proportional"/>
        </w:rPr>
        <w:t>s</w:t>
      </w:r>
      <w:r w:rsidR="00E52A3C" w:rsidRPr="00175980">
        <w:rPr>
          <w:rFonts w:eastAsia="Arial" w:cs="Arial"/>
          <w14:numForm w14:val="lining"/>
          <w14:numSpacing w14:val="proportional"/>
        </w:rPr>
        <w:t xml:space="preserve"> gap</w:t>
      </w:r>
      <w:r w:rsidRPr="00175980">
        <w:rPr>
          <w:rFonts w:eastAsia="Arial" w:cs="Arial"/>
          <w14:numForm w14:val="lining"/>
          <w14:numSpacing w14:val="proportional"/>
        </w:rPr>
        <w:t>s in critical clean energy occupations means</w:t>
      </w:r>
      <w:r w:rsidR="00E52A3C" w:rsidRPr="00175980">
        <w:rPr>
          <w:rFonts w:eastAsia="Arial" w:cs="Arial"/>
          <w14:numForm w14:val="lining"/>
          <w14:numSpacing w14:val="proportional"/>
        </w:rPr>
        <w:t xml:space="preserve"> real reform</w:t>
      </w:r>
      <w:r w:rsidRPr="00175980">
        <w:rPr>
          <w:rFonts w:eastAsia="Arial" w:cs="Arial"/>
          <w14:numForm w14:val="lining"/>
          <w14:numSpacing w14:val="proportional"/>
        </w:rPr>
        <w:t xml:space="preserve"> is needed</w:t>
      </w:r>
      <w:r w:rsidR="005E3363" w:rsidRPr="00175980">
        <w:rPr>
          <w:rFonts w:eastAsia="Arial" w:cs="Arial"/>
          <w14:numForm w14:val="lining"/>
          <w14:numSpacing w14:val="proportional"/>
        </w:rPr>
        <w:t>.</w:t>
      </w:r>
    </w:p>
    <w:p w14:paraId="53103E4D" w14:textId="0D676150" w:rsidR="003B4ECA" w:rsidRPr="00175980" w:rsidRDefault="003B4ECA"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We will likely need 4,000 more workers in clean energy supply over the next seven years with the workforce projected to reach around 84,000 in 2050</w:t>
      </w:r>
      <w:r w:rsidR="00AC28C6">
        <w:rPr>
          <w:rFonts w:eastAsia="Arial" w:cs="Arial"/>
          <w14:numForm w14:val="lining"/>
          <w14:numSpacing w14:val="proportional"/>
        </w:rPr>
        <w:t>, based on the preliminary modelling</w:t>
      </w:r>
      <w:r w:rsidRPr="00175980">
        <w:rPr>
          <w:rFonts w:eastAsia="Arial" w:cs="Arial"/>
          <w14:numForm w14:val="lining"/>
          <w14:numSpacing w14:val="proportional"/>
        </w:rPr>
        <w:t>.</w:t>
      </w:r>
    </w:p>
    <w:p w14:paraId="315D897A" w14:textId="77777777" w:rsidR="005240A9" w:rsidRPr="00175980" w:rsidRDefault="005240A9" w:rsidP="00F25595">
      <w:pPr>
        <w:pStyle w:val="ListParagraph"/>
        <w:numPr>
          <w:ilvl w:val="0"/>
          <w:numId w:val="46"/>
        </w:numPr>
        <w:spacing w:after="80" w:line="276" w:lineRule="auto"/>
        <w:ind w:left="714" w:hanging="357"/>
        <w:contextualSpacing w:val="0"/>
        <w:rPr>
          <w:rFonts w:eastAsia="Arial" w:cs="Arial"/>
          <w14:numForm w14:val="lining"/>
          <w14:numSpacing w14:val="proportional"/>
        </w:rPr>
      </w:pPr>
      <w:r w:rsidRPr="00175980">
        <w:rPr>
          <w:rFonts w:eastAsia="Arial" w:cs="Arial"/>
          <w14:numForm w14:val="lining"/>
          <w14:numSpacing w14:val="proportional"/>
        </w:rPr>
        <w:t xml:space="preserve">Strategies need to look beyond state borders, be regularly updated to reflect both new and revised policy settings; and align with rapidly changing technologies. </w:t>
      </w:r>
    </w:p>
    <w:p w14:paraId="189DB5E5" w14:textId="4AADC573" w:rsidR="005E3363" w:rsidRPr="00175980" w:rsidRDefault="005E3363" w:rsidP="00F25595">
      <w:pPr>
        <w:pStyle w:val="ListParagraph"/>
        <w:numPr>
          <w:ilvl w:val="0"/>
          <w:numId w:val="46"/>
        </w:numPr>
        <w:spacing w:after="120" w:line="276" w:lineRule="auto"/>
        <w:ind w:left="714" w:hanging="357"/>
        <w:contextualSpacing w:val="0"/>
        <w:rPr>
          <w:rFonts w:ascii="Calibri" w:hAnsi="Calibri"/>
          <w:b/>
          <w:bCs/>
          <w:color w:val="auto"/>
          <w14:numForm w14:val="lining"/>
          <w14:numSpacing w14:val="proportional"/>
        </w:rPr>
      </w:pPr>
      <w:r w:rsidRPr="00175980">
        <w:rPr>
          <w14:numForm w14:val="lining"/>
          <w14:numSpacing w14:val="proportional"/>
        </w:rPr>
        <w:t xml:space="preserve">Co-ordinated investment in renewables in line with current Government commitments to 2030 would likely drive </w:t>
      </w:r>
      <w:r w:rsidR="00E92B63" w:rsidRPr="00175980">
        <w:rPr>
          <w14:numForm w14:val="lining"/>
          <w14:numSpacing w14:val="proportional"/>
        </w:rPr>
        <w:t xml:space="preserve">overall </w:t>
      </w:r>
      <w:r w:rsidRPr="00175980">
        <w:rPr>
          <w14:numForm w14:val="lining"/>
          <w14:numSpacing w14:val="proportional"/>
        </w:rPr>
        <w:t>employment growth. In contrast, a slower implementation of a clean energy market likely means a harder structural adjustment for Australia. Becoming a clean energy superpower could offset the cost of transition by 2050, but requires significant effort.</w:t>
      </w:r>
      <w:r w:rsidRPr="00175980">
        <w:rPr>
          <w:b/>
          <w:bCs/>
          <w14:numForm w14:val="lining"/>
          <w14:numSpacing w14:val="proportional"/>
        </w:rPr>
        <w:t xml:space="preserve"> </w:t>
      </w:r>
    </w:p>
    <w:p w14:paraId="29AC66EC" w14:textId="67D9DD77" w:rsidR="00432EA7" w:rsidRPr="00175980" w:rsidRDefault="00E52A3C"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14:numForm w14:val="lining"/>
          <w14:numSpacing w14:val="proportional"/>
        </w:rPr>
        <w:t>Electrician</w:t>
      </w:r>
      <w:r w:rsidR="00D047E6">
        <w:rPr>
          <w:rFonts w:eastAsia="Arial" w:cs="Arial"/>
          <w14:numForm w14:val="lining"/>
          <w14:numSpacing w14:val="proportional"/>
        </w:rPr>
        <w:t>s</w:t>
      </w:r>
      <w:r w:rsidRPr="00175980">
        <w:rPr>
          <w:rFonts w:eastAsia="Arial" w:cs="Arial"/>
          <w14:numForm w14:val="lining"/>
          <w14:numSpacing w14:val="proportional"/>
        </w:rPr>
        <w:t xml:space="preserve"> and </w:t>
      </w:r>
      <w:r w:rsidR="00D047E6">
        <w:rPr>
          <w:rFonts w:eastAsia="Arial" w:cs="Arial"/>
          <w14:numForm w14:val="lining"/>
          <w14:numSpacing w14:val="proportional"/>
        </w:rPr>
        <w:t xml:space="preserve">other </w:t>
      </w:r>
      <w:r w:rsidRPr="00175980">
        <w:rPr>
          <w:rFonts w:eastAsia="Arial" w:cs="Arial"/>
          <w14:numForm w14:val="lining"/>
          <w14:numSpacing w14:val="proportional"/>
        </w:rPr>
        <w:t>electrical trade role</w:t>
      </w:r>
      <w:r w:rsidR="00D047E6">
        <w:rPr>
          <w:rFonts w:eastAsia="Arial" w:cs="Arial"/>
          <w14:numForm w14:val="lining"/>
          <w14:numSpacing w14:val="proportional"/>
        </w:rPr>
        <w:t xml:space="preserve">s </w:t>
      </w:r>
      <w:r w:rsidR="00E23599" w:rsidRPr="00175980">
        <w:rPr>
          <w:rFonts w:eastAsia="Arial" w:cs="Arial"/>
          <w14:numForm w14:val="lining"/>
          <w14:numSpacing w14:val="proportional"/>
        </w:rPr>
        <w:t xml:space="preserve">are </w:t>
      </w:r>
      <w:r w:rsidRPr="00175980">
        <w:rPr>
          <w:rFonts w:eastAsia="Arial" w:cs="Arial"/>
          <w14:numForm w14:val="lining"/>
          <w14:numSpacing w14:val="proportional"/>
        </w:rPr>
        <w:t>likely</w:t>
      </w:r>
      <w:r w:rsidR="00E92B63" w:rsidRPr="00175980">
        <w:rPr>
          <w:rFonts w:eastAsia="Arial" w:cs="Arial"/>
          <w14:numForm w14:val="lining"/>
          <w14:numSpacing w14:val="proportional"/>
        </w:rPr>
        <w:t xml:space="preserve"> to be</w:t>
      </w:r>
      <w:r w:rsidRPr="00175980">
        <w:rPr>
          <w:rFonts w:eastAsia="Arial" w:cs="Arial"/>
          <w14:numForm w14:val="lining"/>
          <w14:numSpacing w14:val="proportional"/>
        </w:rPr>
        <w:t xml:space="preserve"> </w:t>
      </w:r>
      <w:r w:rsidR="00D047E6">
        <w:rPr>
          <w:rFonts w:eastAsia="Arial" w:cs="Arial"/>
          <w14:numForm w14:val="lining"/>
          <w14:numSpacing w14:val="proportional"/>
        </w:rPr>
        <w:t xml:space="preserve">experience the biggest shortages, </w:t>
      </w:r>
      <w:r w:rsidR="00E23599" w:rsidRPr="00175980">
        <w:rPr>
          <w:rFonts w:eastAsia="Arial" w:cs="Arial"/>
          <w14:numForm w14:val="lining"/>
          <w14:numSpacing w14:val="proportional"/>
        </w:rPr>
        <w:t xml:space="preserve">but there will also likely be gaps in the </w:t>
      </w:r>
      <w:r w:rsidR="00EB21ED" w:rsidRPr="00175980">
        <w:rPr>
          <w:rFonts w:eastAsia="Arial" w:cs="Arial"/>
          <w14:numForm w14:val="lining"/>
          <w14:numSpacing w14:val="proportional"/>
        </w:rPr>
        <w:t xml:space="preserve">other </w:t>
      </w:r>
      <w:r w:rsidR="00E23599" w:rsidRPr="00175980">
        <w:rPr>
          <w:rFonts w:eastAsia="Arial" w:cs="Arial"/>
          <w14:numForm w14:val="lining"/>
          <w14:numSpacing w14:val="proportional"/>
        </w:rPr>
        <w:t>building and engineering trades</w:t>
      </w:r>
      <w:r w:rsidR="00EB21ED" w:rsidRPr="00175980">
        <w:rPr>
          <w:rFonts w:eastAsia="Arial" w:cs="Arial"/>
          <w14:numForm w14:val="lining"/>
          <w14:numSpacing w14:val="proportional"/>
        </w:rPr>
        <w:t xml:space="preserve">. There is likely </w:t>
      </w:r>
      <w:r w:rsidR="00506B4B" w:rsidRPr="00175980">
        <w:rPr>
          <w:rFonts w:eastAsia="Arial" w:cs="Arial"/>
          <w14:numForm w14:val="lining"/>
          <w14:numSpacing w14:val="proportional"/>
        </w:rPr>
        <w:t>to be</w:t>
      </w:r>
      <w:r w:rsidR="00E23599" w:rsidRPr="00175980">
        <w:rPr>
          <w:rFonts w:eastAsia="Arial" w:cs="Arial"/>
          <w14:numForm w14:val="lining"/>
          <w14:numSpacing w14:val="proportional"/>
        </w:rPr>
        <w:t xml:space="preserve"> a steady supply of engineers.</w:t>
      </w:r>
    </w:p>
    <w:p w14:paraId="6BE1E860" w14:textId="77777777" w:rsidR="00175980" w:rsidRPr="00175980" w:rsidRDefault="00175980" w:rsidP="00175980">
      <w:pPr>
        <w:spacing w:line="276" w:lineRule="auto"/>
        <w:rPr>
          <w:rFonts w:eastAsia="Arial" w:cs="Arial"/>
          <w14:numForm w14:val="lining"/>
          <w14:numSpacing w14:val="proportional"/>
        </w:rPr>
      </w:pPr>
      <w:r w:rsidRPr="00175980">
        <w:rPr>
          <w:rFonts w:eastAsia="Arial" w:cs="Arial"/>
          <w14:numForm w14:val="lining"/>
          <w14:numSpacing w14:val="proportional"/>
        </w:rPr>
        <w:br w:type="page"/>
      </w:r>
    </w:p>
    <w:p w14:paraId="20EEDEB5" w14:textId="2A7F2CAE" w:rsidR="00E52A3C" w:rsidRPr="00175980" w:rsidRDefault="00C61011"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14:numForm w14:val="lining"/>
          <w14:numSpacing w14:val="proportional"/>
        </w:rPr>
        <w:t>We will need to dramatically increase the number of tradespersons we move through the VET system.</w:t>
      </w:r>
      <w:r w:rsidR="007B5404" w:rsidRPr="00175980">
        <w:rPr>
          <w:rFonts w:eastAsia="Arial" w:cs="Arial"/>
          <w14:numForm w14:val="lining"/>
          <w14:numSpacing w14:val="proportional"/>
        </w:rPr>
        <w:t xml:space="preserve"> Likewise, without addressing the capacity of the VET system, Australia will not be able deliver the workforce it needs for the transition.</w:t>
      </w:r>
      <w:r w:rsidR="00A5214D" w:rsidRPr="00175980">
        <w:rPr>
          <w:rFonts w:eastAsia="Arial" w:cs="Arial"/>
          <w14:numForm w14:val="lining"/>
          <w14:numSpacing w14:val="proportional"/>
        </w:rPr>
        <w:t xml:space="preserve"> </w:t>
      </w:r>
      <w:r w:rsidRPr="00175980">
        <w:rPr>
          <w14:numForm w14:val="lining"/>
          <w14:numSpacing w14:val="proportional"/>
        </w:rPr>
        <w:t>On the job skilling and industry led training is crucial</w:t>
      </w:r>
      <w:r w:rsidR="00E52A3C" w:rsidRPr="00175980">
        <w:rPr>
          <w14:numForm w14:val="lining"/>
          <w14:numSpacing w14:val="proportional"/>
        </w:rPr>
        <w:t>.</w:t>
      </w:r>
      <w:r w:rsidR="00E23599" w:rsidRPr="00175980">
        <w:rPr>
          <w14:numForm w14:val="lining"/>
          <w14:numSpacing w14:val="proportional"/>
        </w:rPr>
        <w:t xml:space="preserve"> We need to embed industry across all training and </w:t>
      </w:r>
      <w:r w:rsidR="002957B2" w:rsidRPr="00175980">
        <w:rPr>
          <w14:numForm w14:val="lining"/>
          <w14:numSpacing w14:val="proportional"/>
        </w:rPr>
        <w:t>continue to innovate training options like TAFE Centres of Excellence.</w:t>
      </w:r>
    </w:p>
    <w:p w14:paraId="288263E4" w14:textId="712EF831" w:rsidR="00E52A3C" w:rsidRPr="00175980" w:rsidRDefault="00E52A3C" w:rsidP="00F25595">
      <w:pPr>
        <w:pStyle w:val="ListParagraph"/>
        <w:numPr>
          <w:ilvl w:val="0"/>
          <w:numId w:val="46"/>
        </w:numPr>
        <w:spacing w:after="80" w:line="276" w:lineRule="auto"/>
        <w:ind w:left="714" w:hanging="357"/>
        <w:contextualSpacing w:val="0"/>
        <w:rPr>
          <w14:numForm w14:val="lining"/>
          <w14:numSpacing w14:val="proportional"/>
        </w:rPr>
      </w:pPr>
      <w:r w:rsidRPr="00175980">
        <w:rPr>
          <w14:numForm w14:val="lining"/>
          <w14:numSpacing w14:val="proportional"/>
        </w:rPr>
        <w:t xml:space="preserve">We have a shared responsibility for inclusive pathways so that </w:t>
      </w:r>
      <w:r w:rsidR="00E23599" w:rsidRPr="00175980">
        <w:rPr>
          <w14:numForm w14:val="lining"/>
          <w14:numSpacing w14:val="proportional"/>
        </w:rPr>
        <w:t>we can match the scale and pace required for the net zero transition</w:t>
      </w:r>
      <w:r w:rsidR="002957B2" w:rsidRPr="00175980">
        <w:rPr>
          <w14:numForm w14:val="lining"/>
          <w14:numSpacing w14:val="proportional"/>
        </w:rPr>
        <w:t xml:space="preserve"> and offer solutions to the barriers Women, First Nations </w:t>
      </w:r>
      <w:r w:rsidR="00A91211" w:rsidRPr="00175980">
        <w:rPr>
          <w14:numForm w14:val="lining"/>
          <w14:numSpacing w14:val="proportional"/>
        </w:rPr>
        <w:t xml:space="preserve">people </w:t>
      </w:r>
      <w:r w:rsidR="002957B2" w:rsidRPr="00175980">
        <w:rPr>
          <w14:numForm w14:val="lining"/>
          <w14:numSpacing w14:val="proportional"/>
        </w:rPr>
        <w:t xml:space="preserve">and </w:t>
      </w:r>
      <w:r w:rsidR="00A91211" w:rsidRPr="00175980">
        <w:rPr>
          <w14:numForm w14:val="lining"/>
          <w14:numSpacing w14:val="proportional"/>
        </w:rPr>
        <w:t>workers born overseas</w:t>
      </w:r>
      <w:r w:rsidR="002957B2" w:rsidRPr="00175980">
        <w:rPr>
          <w14:numForm w14:val="lining"/>
          <w14:numSpacing w14:val="proportional"/>
        </w:rPr>
        <w:t xml:space="preserve"> face in participating in this part of the economy.</w:t>
      </w:r>
    </w:p>
    <w:p w14:paraId="1D60431D" w14:textId="5C5FEA6F" w:rsidR="00E23599"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14:numForm w14:val="lining"/>
          <w14:numSpacing w14:val="proportional"/>
        </w:rPr>
        <w:t>Global competition for clean energy skills is high and Australia needs to play catch up</w:t>
      </w:r>
      <w:r w:rsidR="002957B2" w:rsidRPr="00175980">
        <w:rPr>
          <w14:numForm w14:val="lining"/>
          <w14:numSpacing w14:val="proportional"/>
        </w:rPr>
        <w:t xml:space="preserve"> on skilled migration</w:t>
      </w:r>
      <w:r w:rsidR="00762D2F">
        <w:rPr>
          <w14:numForm w14:val="lining"/>
          <w14:numSpacing w14:val="proportional"/>
        </w:rPr>
        <w:t>.</w:t>
      </w:r>
    </w:p>
    <w:p w14:paraId="1F170219" w14:textId="1C4BFD41" w:rsidR="002957B2"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color w:val="auto"/>
          <w:lang w:val="en-US"/>
          <w14:numForm w14:val="lining"/>
          <w14:numSpacing w14:val="proportional"/>
        </w:rPr>
        <w:t>A worker-</w:t>
      </w:r>
      <w:r w:rsidR="005D215F" w:rsidRPr="00175980">
        <w:rPr>
          <w:rFonts w:eastAsia="Arial" w:cs="Arial"/>
          <w:color w:val="auto"/>
          <w:lang w:val="en-US"/>
          <w14:numForm w14:val="lining"/>
          <w14:numSpacing w14:val="proportional"/>
        </w:rPr>
        <w:t>centered</w:t>
      </w:r>
      <w:r w:rsidRPr="00175980">
        <w:rPr>
          <w:rFonts w:eastAsia="Arial" w:cs="Arial"/>
          <w:color w:val="auto"/>
          <w:lang w:val="en-US"/>
          <w14:numForm w14:val="lining"/>
          <w14:numSpacing w14:val="proportional"/>
        </w:rPr>
        <w:t xml:space="preserve"> approach to support </w:t>
      </w:r>
      <w:r w:rsidR="00A91211" w:rsidRPr="00175980">
        <w:rPr>
          <w:rFonts w:eastAsia="Arial" w:cs="Arial"/>
          <w:color w:val="auto"/>
          <w:lang w:val="en-US"/>
          <w14:numForm w14:val="lining"/>
          <w14:numSpacing w14:val="proportional"/>
        </w:rPr>
        <w:t xml:space="preserve">people in </w:t>
      </w:r>
      <w:r w:rsidRPr="00175980">
        <w:rPr>
          <w:rFonts w:eastAsia="Arial" w:cs="Arial"/>
          <w:color w:val="auto"/>
          <w:lang w:val="en-US"/>
          <w14:numForm w14:val="lining"/>
          <w14:numSpacing w14:val="proportional"/>
        </w:rPr>
        <w:t xml:space="preserve">transitioning regions is a must. </w:t>
      </w:r>
    </w:p>
    <w:p w14:paraId="4425EEE5" w14:textId="3DE0DBFC" w:rsidR="00E23599"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color w:val="auto"/>
          <w:lang w:val="en-US"/>
          <w14:numForm w14:val="lining"/>
          <w14:numSpacing w14:val="proportional"/>
        </w:rPr>
        <w:t>Regional Australia can benefit from the Net Zero Transformation</w:t>
      </w:r>
      <w:r w:rsidR="00C1425F">
        <w:rPr>
          <w:rFonts w:eastAsia="Arial" w:cs="Arial"/>
          <w:color w:val="auto"/>
          <w:lang w:val="en-US"/>
          <w14:numForm w14:val="lining"/>
          <w14:numSpacing w14:val="proportional"/>
        </w:rPr>
        <w:t>.</w:t>
      </w:r>
      <w:r w:rsidRPr="00175980">
        <w:rPr>
          <w:rFonts w:eastAsia="Arial" w:cs="Arial"/>
          <w:color w:val="auto"/>
          <w:lang w:val="en-US"/>
          <w14:numForm w14:val="lining"/>
          <w14:numSpacing w14:val="proportional"/>
        </w:rPr>
        <w:t xml:space="preserve"> </w:t>
      </w:r>
    </w:p>
    <w:p w14:paraId="1B4F227B" w14:textId="49C9844C" w:rsidR="00E23599" w:rsidRPr="00175980" w:rsidRDefault="00E23599" w:rsidP="00F25595">
      <w:pPr>
        <w:pStyle w:val="ListParagraph"/>
        <w:numPr>
          <w:ilvl w:val="0"/>
          <w:numId w:val="46"/>
        </w:numPr>
        <w:spacing w:after="80" w:line="276" w:lineRule="auto"/>
        <w:ind w:left="714" w:hanging="357"/>
        <w:contextualSpacing w:val="0"/>
        <w:rPr>
          <w14:numForm w14:val="lining"/>
          <w14:numSpacing w14:val="proportional"/>
        </w:rPr>
      </w:pPr>
      <w:r w:rsidRPr="00175980">
        <w:rPr>
          <w:rFonts w:eastAsia="Arial" w:cs="Arial"/>
          <w:color w:val="auto"/>
          <w:lang w:val="en-US"/>
          <w14:numForm w14:val="lining"/>
          <w14:numSpacing w14:val="proportional"/>
        </w:rPr>
        <w:t xml:space="preserve">Better Data = Better Workforce Planning: </w:t>
      </w:r>
      <w:r w:rsidR="0070381D">
        <w:rPr>
          <w:rFonts w:eastAsia="Arial" w:cs="Arial"/>
          <w:color w:val="auto"/>
          <w:lang w:val="en-US"/>
          <w14:numForm w14:val="lining"/>
          <w14:numSpacing w14:val="proportional"/>
        </w:rPr>
        <w:t>c</w:t>
      </w:r>
      <w:r w:rsidRPr="00175980">
        <w:rPr>
          <w:rFonts w:eastAsia="Arial" w:cs="Arial"/>
          <w:color w:val="auto"/>
          <w:lang w:val="en-US"/>
          <w14:numForm w14:val="lining"/>
          <w14:numSpacing w14:val="proportional"/>
        </w:rPr>
        <w:t xml:space="preserve">lean </w:t>
      </w:r>
      <w:r w:rsidR="0070381D">
        <w:rPr>
          <w:rFonts w:eastAsia="Arial" w:cs="Arial"/>
          <w:color w:val="auto"/>
          <w:lang w:val="en-US"/>
          <w14:numForm w14:val="lining"/>
          <w14:numSpacing w14:val="proportional"/>
        </w:rPr>
        <w:t>e</w:t>
      </w:r>
      <w:r w:rsidRPr="00175980">
        <w:rPr>
          <w:rFonts w:eastAsia="Arial" w:cs="Arial"/>
          <w:color w:val="auto"/>
          <w:lang w:val="en-US"/>
          <w14:numForm w14:val="lining"/>
          <w14:numSpacing w14:val="proportional"/>
        </w:rPr>
        <w:t xml:space="preserve">nergy workforce planning must be underpinned by current and comprehensive data and a whole-of-government collaborative approach. </w:t>
      </w:r>
    </w:p>
    <w:p w14:paraId="416FF3BD" w14:textId="41A83930" w:rsidR="003C2C61" w:rsidRPr="00175980" w:rsidDel="00C4464E" w:rsidRDefault="002957B2" w:rsidP="00175980">
      <w:pPr>
        <w:spacing w:line="276" w:lineRule="auto"/>
        <w:rPr>
          <w14:numForm w14:val="lining"/>
          <w14:numSpacing w14:val="proportional"/>
        </w:rPr>
      </w:pPr>
      <w:r w:rsidRPr="00175980">
        <w:rPr>
          <w14:numForm w14:val="lining"/>
          <w14:numSpacing w14:val="proportional"/>
        </w:rPr>
        <w:t xml:space="preserve">This chapter reflects on these key findings and highlights the innovative opportunities for moving forward. </w:t>
      </w:r>
    </w:p>
    <w:p w14:paraId="68AC6B15" w14:textId="77777777" w:rsidR="00F91B53" w:rsidRPr="00733043" w:rsidRDefault="00F91B53" w:rsidP="00175980">
      <w:pPr>
        <w:pStyle w:val="Heading3"/>
        <w:rPr>
          <w:rFonts w:eastAsia="MS PGothic"/>
          <w:color w:val="404040" w:themeColor="text1" w:themeTint="BF"/>
        </w:rPr>
      </w:pPr>
      <w:r w:rsidRPr="00733043">
        <w:rPr>
          <w:rFonts w:eastAsia="MS PGothic"/>
          <w:color w:val="404040" w:themeColor="text1" w:themeTint="BF"/>
        </w:rPr>
        <w:t>Many of the skills needed to decarbonise already exist in our economy</w:t>
      </w:r>
    </w:p>
    <w:p w14:paraId="39950582" w14:textId="30CE754A" w:rsidR="00F91B53" w:rsidRDefault="00F91B53" w:rsidP="00F91B53">
      <w:pPr>
        <w:spacing w:after="120" w:line="276" w:lineRule="auto"/>
        <w:rPr>
          <w:rFonts w:eastAsia="Arial" w:cs="Arial"/>
          <w:highlight w:val="yellow"/>
        </w:rPr>
      </w:pPr>
      <w:r w:rsidRPr="02EA9DA3">
        <w:rPr>
          <w:rFonts w:eastAsia="Arial" w:cs="Arial"/>
        </w:rPr>
        <w:t>In an Australian first, we have defined the jobs and industries that make up our clean energy workforce. Clean energy jobs are found across the workforce, extending well beyond the obvious sectors such as wind, solar and hydroelectric electricity generation</w:t>
      </w:r>
      <w:r w:rsidR="00C06AE0">
        <w:rPr>
          <w:rFonts w:eastAsia="Arial" w:cs="Arial"/>
        </w:rPr>
        <w:t>. Instead it include s</w:t>
      </w:r>
      <w:r w:rsidRPr="02EA9DA3">
        <w:rPr>
          <w:rFonts w:eastAsia="Arial" w:cs="Arial"/>
        </w:rPr>
        <w:t xml:space="preserve">in parts of construction, manufacturing, mining, research and development, </w:t>
      </w:r>
      <w:r w:rsidR="00C06AE0">
        <w:rPr>
          <w:rFonts w:eastAsia="Arial" w:cs="Arial"/>
        </w:rPr>
        <w:t xml:space="preserve">and </w:t>
      </w:r>
      <w:r w:rsidRPr="02EA9DA3">
        <w:rPr>
          <w:rFonts w:eastAsia="Arial" w:cs="Arial"/>
        </w:rPr>
        <w:t>scientific and technical services among many others. While there are many occupations that form part of the clean energy workforce, the most critical are</w:t>
      </w:r>
      <w:r w:rsidR="00C06AE0">
        <w:rPr>
          <w:rFonts w:eastAsia="Arial" w:cs="Arial"/>
        </w:rPr>
        <w:t xml:space="preserve"> mainly</w:t>
      </w:r>
      <w:r w:rsidRPr="02EA9DA3">
        <w:rPr>
          <w:rFonts w:eastAsia="Arial" w:cs="Arial"/>
        </w:rPr>
        <w:t xml:space="preserve"> in </w:t>
      </w:r>
      <w:r w:rsidR="00185B56" w:rsidRPr="02EA9DA3">
        <w:rPr>
          <w:rFonts w:eastAsia="Arial" w:cs="Arial"/>
        </w:rPr>
        <w:t>trades</w:t>
      </w:r>
      <w:r w:rsidR="00185B56">
        <w:rPr>
          <w:rFonts w:eastAsia="Arial" w:cs="Arial"/>
        </w:rPr>
        <w:t xml:space="preserve">, </w:t>
      </w:r>
      <w:r w:rsidR="00185B56" w:rsidRPr="02EA9DA3">
        <w:rPr>
          <w:rFonts w:eastAsia="Arial" w:cs="Arial"/>
        </w:rPr>
        <w:t>technicians</w:t>
      </w:r>
      <w:r w:rsidR="0065175A">
        <w:rPr>
          <w:rFonts w:eastAsia="Arial" w:cs="Arial"/>
        </w:rPr>
        <w:t xml:space="preserve"> and engineering </w:t>
      </w:r>
      <w:r w:rsidRPr="02EA9DA3">
        <w:rPr>
          <w:rFonts w:eastAsia="Arial" w:cs="Arial"/>
        </w:rPr>
        <w:t>occupations</w:t>
      </w:r>
      <w:r w:rsidR="0065175A">
        <w:rPr>
          <w:rFonts w:eastAsia="Arial" w:cs="Arial"/>
        </w:rPr>
        <w:t xml:space="preserve">, </w:t>
      </w:r>
      <w:r w:rsidRPr="02EA9DA3">
        <w:rPr>
          <w:rFonts w:eastAsia="Arial" w:cs="Arial"/>
        </w:rPr>
        <w:t xml:space="preserve">where training times and licensing and accreditation requirements impose justified barriers to entry. </w:t>
      </w:r>
    </w:p>
    <w:p w14:paraId="25010FE4" w14:textId="77777777" w:rsidR="00F91B53" w:rsidRDefault="00F91B53" w:rsidP="00F91B53">
      <w:pPr>
        <w:pStyle w:val="IntenseQuote"/>
        <w:spacing w:after="240"/>
        <w:rPr>
          <w:rFonts w:eastAsia="Arial" w:cs="Arial"/>
          <w:color w:val="000000" w:themeColor="text1"/>
        </w:rPr>
      </w:pPr>
      <w:r w:rsidRPr="6EB39DF7">
        <w:rPr>
          <w:rFonts w:eastAsia="Arial" w:cs="Arial"/>
          <w:color w:val="000000" w:themeColor="text1"/>
        </w:rPr>
        <w:t xml:space="preserve">“The alignment between current skills and the future renewable workforce is a benefit: while it makes it almost impossible to invest in skills that purely support renewables, it means that a majority of the VET structure required to support renewable energy skills already exists, we simply need to grow capacity” </w:t>
      </w:r>
    </w:p>
    <w:p w14:paraId="34CB5221" w14:textId="5DBD3C5C" w:rsidR="00F91B53" w:rsidRDefault="00F91B53" w:rsidP="00F91B53">
      <w:pPr>
        <w:pStyle w:val="IntenseQuote"/>
        <w:spacing w:before="120"/>
        <w:rPr>
          <w:rFonts w:eastAsia="Arial" w:cs="Arial"/>
          <w:color w:val="000000" w:themeColor="text1"/>
        </w:rPr>
      </w:pPr>
      <w:r w:rsidRPr="20F91CB8">
        <w:rPr>
          <w:rFonts w:eastAsia="Arial" w:cs="Arial"/>
          <w:i w:val="0"/>
          <w:iCs w:val="0"/>
          <w:color w:val="000000" w:themeColor="text1"/>
        </w:rPr>
        <w:t>– N</w:t>
      </w:r>
      <w:r w:rsidR="04FF1183" w:rsidRPr="20F91CB8">
        <w:rPr>
          <w:rFonts w:eastAsia="Arial" w:cs="Arial"/>
          <w:i w:val="0"/>
          <w:iCs w:val="0"/>
          <w:color w:val="000000" w:themeColor="text1"/>
        </w:rPr>
        <w:t>ECA.</w:t>
      </w:r>
      <w:r w:rsidRPr="20F91CB8">
        <w:rPr>
          <w:rStyle w:val="EndnoteReference"/>
          <w:rFonts w:eastAsia="Arial" w:cs="Arial"/>
          <w:i w:val="0"/>
          <w:iCs w:val="0"/>
          <w:color w:val="000000" w:themeColor="text1"/>
        </w:rPr>
        <w:endnoteReference w:id="255"/>
      </w:r>
    </w:p>
    <w:p w14:paraId="3C51E161" w14:textId="77777777" w:rsidR="005519AD" w:rsidRDefault="005519AD">
      <w:pPr>
        <w:rPr>
          <w:rFonts w:eastAsia="MS PGothic" w:cstheme="majorBidi"/>
          <w:b/>
          <w:color w:val="404040" w:themeColor="text1" w:themeTint="BF"/>
          <w:sz w:val="32"/>
          <w:szCs w:val="24"/>
        </w:rPr>
      </w:pPr>
      <w:r>
        <w:rPr>
          <w:rFonts w:eastAsia="MS PGothic"/>
          <w:color w:val="404040" w:themeColor="text1" w:themeTint="BF"/>
        </w:rPr>
        <w:br w:type="page"/>
      </w:r>
    </w:p>
    <w:p w14:paraId="59F02CFA" w14:textId="2F4D1CAD" w:rsidR="00CF4E30" w:rsidRPr="00343FBB" w:rsidRDefault="00CF4E30" w:rsidP="00343FBB">
      <w:pPr>
        <w:pStyle w:val="Heading3"/>
        <w:rPr>
          <w:rFonts w:eastAsia="MS PGothic"/>
          <w:color w:val="404040" w:themeColor="text1" w:themeTint="BF"/>
        </w:rPr>
      </w:pPr>
      <w:r>
        <w:rPr>
          <w:rFonts w:eastAsia="MS PGothic"/>
          <w:color w:val="404040" w:themeColor="text1" w:themeTint="BF"/>
        </w:rPr>
        <w:t>38 critical clean energy occupations</w:t>
      </w:r>
      <w:r w:rsidR="00343FBB">
        <w:rPr>
          <w:rFonts w:eastAsia="MS PGothic"/>
          <w:color w:val="404040" w:themeColor="text1" w:themeTint="BF"/>
        </w:rPr>
        <w:t>, and plenty of emerging new roles</w:t>
      </w:r>
    </w:p>
    <w:p w14:paraId="597774DB" w14:textId="0D9B574C" w:rsidR="009E1CCA" w:rsidRDefault="00F91B53" w:rsidP="00F91B53">
      <w:pPr>
        <w:spacing w:after="120" w:line="276" w:lineRule="auto"/>
        <w:rPr>
          <w:rFonts w:eastAsia="Arial" w:cs="Arial"/>
        </w:rPr>
      </w:pPr>
      <w:r w:rsidRPr="388C0A0B">
        <w:rPr>
          <w:rFonts w:eastAsia="Arial" w:cs="Arial"/>
        </w:rPr>
        <w:t xml:space="preserve">We have identified 38 critical occupations where </w:t>
      </w:r>
      <w:r w:rsidR="005519AD">
        <w:rPr>
          <w:rFonts w:eastAsia="Arial" w:cs="Arial"/>
        </w:rPr>
        <w:t>there</w:t>
      </w:r>
      <w:r w:rsidRPr="388C0A0B">
        <w:rPr>
          <w:rFonts w:eastAsia="Arial" w:cs="Arial"/>
        </w:rPr>
        <w:t xml:space="preserve"> will </w:t>
      </w:r>
      <w:r w:rsidR="005519AD">
        <w:rPr>
          <w:rFonts w:eastAsia="Arial" w:cs="Arial"/>
        </w:rPr>
        <w:t xml:space="preserve">be increased </w:t>
      </w:r>
      <w:r w:rsidRPr="388C0A0B">
        <w:rPr>
          <w:rFonts w:eastAsia="Arial" w:cs="Arial"/>
        </w:rPr>
        <w:t>demand for clean energy work. Electricians and Electrical Engineers recur across multiple segments but so to</w:t>
      </w:r>
      <w:r w:rsidR="005519AD">
        <w:rPr>
          <w:rFonts w:eastAsia="Arial" w:cs="Arial"/>
        </w:rPr>
        <w:t>o</w:t>
      </w:r>
      <w:r w:rsidRPr="388C0A0B">
        <w:rPr>
          <w:rFonts w:eastAsia="Arial" w:cs="Arial"/>
        </w:rPr>
        <w:t xml:space="preserve"> do engineering trades such as Metal Fitters and Machinists, engineering roles such as Industrial, Mechanical and Production Engineers, and managerial occupations such as Production Managers and Construction Managers. </w:t>
      </w:r>
      <w:r w:rsidR="00343FBB">
        <w:rPr>
          <w:rFonts w:eastAsia="Arial" w:cs="Arial"/>
        </w:rPr>
        <w:t xml:space="preserve">The report also identifies the emerging </w:t>
      </w:r>
      <w:r w:rsidR="00E75549">
        <w:rPr>
          <w:rFonts w:eastAsia="Arial" w:cs="Arial"/>
        </w:rPr>
        <w:t xml:space="preserve">occupations </w:t>
      </w:r>
      <w:r w:rsidR="00343FBB">
        <w:rPr>
          <w:rFonts w:eastAsia="Arial" w:cs="Arial"/>
        </w:rPr>
        <w:t xml:space="preserve">in clean energy like </w:t>
      </w:r>
      <w:r w:rsidR="00343FBB">
        <w:t>solar installers, winder turbine technicians, energy auditors and energy efficiency engineers.</w:t>
      </w:r>
    </w:p>
    <w:p w14:paraId="0D4BBF39" w14:textId="395976B5" w:rsidR="00E75549" w:rsidRDefault="00CA6152" w:rsidP="00F91B53">
      <w:pPr>
        <w:spacing w:after="120" w:line="276" w:lineRule="auto"/>
      </w:pPr>
      <w:r>
        <w:t xml:space="preserve">In total, the modelling for the study suggests that demand for these 38 critical clean energy occupations </w:t>
      </w:r>
      <w:r w:rsidR="009E1CCA">
        <w:t xml:space="preserve">in total </w:t>
      </w:r>
      <w:r w:rsidR="00185B56">
        <w:t>will experience</w:t>
      </w:r>
      <w:r>
        <w:t xml:space="preserve"> higher growth rate</w:t>
      </w:r>
      <w:r w:rsidR="00185B56">
        <w:t>s</w:t>
      </w:r>
      <w:r>
        <w:t xml:space="preserve"> than the broader workforce </w:t>
      </w:r>
      <w:r w:rsidR="00185B56">
        <w:t>over</w:t>
      </w:r>
      <w:r>
        <w:t xml:space="preserve"> the next 30 years.</w:t>
      </w:r>
      <w:r w:rsidR="009E1CCA">
        <w:t xml:space="preserve"> In the </w:t>
      </w:r>
      <w:r w:rsidR="00DB247A">
        <w:t>central</w:t>
      </w:r>
      <w:r w:rsidR="009E1CCA">
        <w:t xml:space="preserve"> scenario </w:t>
      </w:r>
      <w:r w:rsidR="00185B56">
        <w:t xml:space="preserve">(which </w:t>
      </w:r>
      <w:r w:rsidR="009E1CCA">
        <w:t xml:space="preserve">aligns closest with current Government </w:t>
      </w:r>
      <w:r w:rsidR="00DB247A">
        <w:t>climate and energy</w:t>
      </w:r>
      <w:r w:rsidR="009E1CCA">
        <w:t xml:space="preserve"> policy</w:t>
      </w:r>
      <w:r w:rsidR="00185B56">
        <w:t>)</w:t>
      </w:r>
      <w:r w:rsidR="009E1CCA">
        <w:t xml:space="preserve">, </w:t>
      </w:r>
      <w:r w:rsidR="00AC28C6">
        <w:t xml:space="preserve">the preliminary modelling shows </w:t>
      </w:r>
      <w:r w:rsidR="009E1CCA">
        <w:t>demand for these 38 occupations is likely to increase by around 15</w:t>
      </w:r>
      <w:r w:rsidR="00B47413">
        <w:t>%</w:t>
      </w:r>
      <w:r w:rsidR="009E1CCA">
        <w:t>in the next seven years. This represents an increase of almost 240,000 workers.</w:t>
      </w:r>
      <w:r w:rsidR="00E75549">
        <w:t xml:space="preserve"> </w:t>
      </w:r>
    </w:p>
    <w:p w14:paraId="50B685EA" w14:textId="1EA72539" w:rsidR="00F91B53" w:rsidRDefault="00E75549" w:rsidP="00F91B53">
      <w:pPr>
        <w:spacing w:after="120" w:line="276" w:lineRule="auto"/>
      </w:pPr>
      <w:r w:rsidRPr="5CD0DC0B">
        <w:rPr>
          <w:color w:val="auto"/>
        </w:rPr>
        <w:t>Occupations with the highest growth rates (2023-2030) include Telecommunications Trades Workers, Electronics Trades Workers, Electrical Engineering Draftspersons and Technicians, Structural Steel Construction Workers, Construction Managers, Plumbers and Electricians.</w:t>
      </w:r>
    </w:p>
    <w:p w14:paraId="4D4ACBC2" w14:textId="77777777" w:rsidR="00175980" w:rsidRDefault="00CF4E30" w:rsidP="000C34BE">
      <w:pPr>
        <w:spacing w:before="360" w:after="240" w:line="240" w:lineRule="auto"/>
        <w:rPr>
          <w:rFonts w:eastAsia="MS PGothic" w:cstheme="majorBidi"/>
          <w:b/>
          <w:color w:val="404040" w:themeColor="text1" w:themeTint="BF"/>
          <w:sz w:val="32"/>
          <w:szCs w:val="24"/>
        </w:rPr>
      </w:pPr>
      <w:r w:rsidRPr="00CF4E30">
        <w:rPr>
          <w:rFonts w:eastAsia="MS PGothic" w:cstheme="majorBidi"/>
          <w:b/>
          <w:color w:val="404040" w:themeColor="text1" w:themeTint="BF"/>
          <w:sz w:val="32"/>
          <w:szCs w:val="24"/>
        </w:rPr>
        <w:t>Set and forget will not work: high risks mean real reform is needed</w:t>
      </w:r>
    </w:p>
    <w:p w14:paraId="59727DB5" w14:textId="77777777" w:rsidR="00471EE8" w:rsidRDefault="00F91B53" w:rsidP="00AB7657">
      <w:pPr>
        <w:spacing w:before="240" w:after="120" w:line="276" w:lineRule="auto"/>
        <w:rPr>
          <w:rFonts w:eastAsia="Arial" w:cs="Arial"/>
        </w:rPr>
      </w:pPr>
      <w:r w:rsidRPr="6EB39DF7">
        <w:rPr>
          <w:rFonts w:eastAsia="Arial" w:cs="Arial"/>
        </w:rPr>
        <w:t>W</w:t>
      </w:r>
      <w:r w:rsidR="006B7ABD">
        <w:rPr>
          <w:rFonts w:eastAsia="Arial" w:cs="Arial"/>
        </w:rPr>
        <w:t>hile new occupations will emerge, m</w:t>
      </w:r>
      <w:r w:rsidRPr="6EB39DF7">
        <w:rPr>
          <w:rFonts w:eastAsia="Arial" w:cs="Arial"/>
        </w:rPr>
        <w:t xml:space="preserve">any existing jobs will undergo skills and context change, like Mechanics learning to work on </w:t>
      </w:r>
      <w:r w:rsidR="003626E4">
        <w:rPr>
          <w:rFonts w:cs="Arial"/>
          <w14:numForm w14:val="lining"/>
          <w14:numSpacing w14:val="proportional"/>
        </w:rPr>
        <w:t>e</w:t>
      </w:r>
      <w:r w:rsidR="003F2A95">
        <w:rPr>
          <w:rFonts w:cs="Arial"/>
          <w14:numForm w14:val="lining"/>
          <w14:numSpacing w14:val="proportional"/>
        </w:rPr>
        <w:t>l</w:t>
      </w:r>
      <w:r w:rsidR="00B77D9F">
        <w:rPr>
          <w:rFonts w:cs="Arial"/>
          <w14:numForm w14:val="lining"/>
          <w14:numSpacing w14:val="proportional"/>
        </w:rPr>
        <w:t xml:space="preserve">ectric </w:t>
      </w:r>
      <w:r w:rsidR="003626E4">
        <w:rPr>
          <w:rFonts w:cs="Arial"/>
          <w14:numForm w14:val="lining"/>
          <w14:numSpacing w14:val="proportional"/>
        </w:rPr>
        <w:t>v</w:t>
      </w:r>
      <w:r w:rsidR="00B77D9F">
        <w:rPr>
          <w:rFonts w:cs="Arial"/>
          <w14:numForm w14:val="lining"/>
          <w14:numSpacing w14:val="proportional"/>
        </w:rPr>
        <w:t>ehicle</w:t>
      </w:r>
      <w:r w:rsidRPr="6EB39DF7">
        <w:rPr>
          <w:rFonts w:eastAsia="Arial" w:cs="Arial"/>
        </w:rPr>
        <w:t>s. The impact of these changes, particularly on the skills system, should not be underestimated</w:t>
      </w:r>
      <w:r w:rsidR="00E0419A">
        <w:rPr>
          <w:rFonts w:eastAsia="Arial" w:cs="Arial"/>
        </w:rPr>
        <w:t xml:space="preserve">. </w:t>
      </w:r>
    </w:p>
    <w:p w14:paraId="15E72B26" w14:textId="77777777" w:rsidR="00471EE8" w:rsidRDefault="0085121E" w:rsidP="00471EE8">
      <w:pPr>
        <w:spacing w:before="120" w:after="120" w:line="276" w:lineRule="auto"/>
        <w:rPr>
          <w:rFonts w:eastAsia="Arial" w:cs="Arial"/>
        </w:rPr>
      </w:pPr>
      <w:r w:rsidRPr="6EB39DF7">
        <w:rPr>
          <w:rFonts w:eastAsia="Arial" w:cs="Arial"/>
        </w:rPr>
        <w:t xml:space="preserve">Reaching net zero by 2050 will require a workforce transformation in Australia that is substantial but not unprecedented. The scale resembles our post-war industrial transformation and the digital transformation of the late twentieth century that spawned new roles in information technology and impacted many more. </w:t>
      </w:r>
    </w:p>
    <w:p w14:paraId="5BA7AA04" w14:textId="7A6CD1E3" w:rsidR="0085121E" w:rsidRDefault="0085121E" w:rsidP="00471EE8">
      <w:pPr>
        <w:spacing w:before="120" w:after="120" w:line="276" w:lineRule="auto"/>
        <w:rPr>
          <w:rFonts w:eastAsia="Arial" w:cs="Arial"/>
        </w:rPr>
      </w:pPr>
      <w:r w:rsidRPr="2BAEE44B">
        <w:rPr>
          <w:rFonts w:eastAsia="Arial" w:cs="Arial"/>
        </w:rPr>
        <w:t xml:space="preserve">We will </w:t>
      </w:r>
      <w:r w:rsidR="006B0661">
        <w:rPr>
          <w:rFonts w:eastAsia="Arial" w:cs="Arial"/>
        </w:rPr>
        <w:t xml:space="preserve">likely </w:t>
      </w:r>
      <w:r w:rsidRPr="2BAEE44B">
        <w:rPr>
          <w:rFonts w:eastAsia="Arial" w:cs="Arial"/>
        </w:rPr>
        <w:t>have sufficient workers overall and enough higher education graduates over the next thirty years. What we are at high risk of experiencing, is:</w:t>
      </w:r>
    </w:p>
    <w:p w14:paraId="4A323D62" w14:textId="63BDAAE1" w:rsidR="0085121E" w:rsidRDefault="0085121E" w:rsidP="00F25595">
      <w:pPr>
        <w:pStyle w:val="ListParagraph"/>
        <w:numPr>
          <w:ilvl w:val="0"/>
          <w:numId w:val="72"/>
        </w:numPr>
        <w:spacing w:after="120" w:line="276" w:lineRule="auto"/>
        <w:ind w:left="714" w:hanging="357"/>
        <w:contextualSpacing w:val="0"/>
        <w:rPr>
          <w:rFonts w:eastAsia="Arial" w:cs="Arial"/>
        </w:rPr>
      </w:pPr>
      <w:r w:rsidRPr="6EB39DF7">
        <w:rPr>
          <w:rFonts w:eastAsia="Arial" w:cs="Arial"/>
        </w:rPr>
        <w:t>A shortfall of workers with the necessary VET qualifications and workplace experience to fill the large numbers of expected roles for electricians and other trades and technicians.</w:t>
      </w:r>
    </w:p>
    <w:p w14:paraId="0469C1F4" w14:textId="36D1B9E7" w:rsidR="0085121E" w:rsidRDefault="0085121E" w:rsidP="00F25595">
      <w:pPr>
        <w:pStyle w:val="ListParagraph"/>
        <w:numPr>
          <w:ilvl w:val="0"/>
          <w:numId w:val="72"/>
        </w:numPr>
        <w:spacing w:after="120" w:line="276" w:lineRule="auto"/>
        <w:ind w:left="714" w:hanging="357"/>
        <w:contextualSpacing w:val="0"/>
        <w:rPr>
          <w:rFonts w:eastAsia="Arial" w:cs="Arial"/>
        </w:rPr>
      </w:pPr>
      <w:r w:rsidRPr="6EB39DF7">
        <w:rPr>
          <w:rFonts w:eastAsia="Arial" w:cs="Arial"/>
        </w:rPr>
        <w:t>Competition between the clean energy workforce and other sectors requiring electrical, mechanical and civil trades, technicians and professionals (as well as competition for these workers from overseas)</w:t>
      </w:r>
      <w:r w:rsidR="00E329FB">
        <w:rPr>
          <w:rFonts w:eastAsia="Arial" w:cs="Arial"/>
        </w:rPr>
        <w:t>.</w:t>
      </w:r>
    </w:p>
    <w:p w14:paraId="68426FF3" w14:textId="77777777" w:rsidR="0085121E" w:rsidRDefault="0085121E" w:rsidP="00F25595">
      <w:pPr>
        <w:pStyle w:val="ListParagraph"/>
        <w:numPr>
          <w:ilvl w:val="0"/>
          <w:numId w:val="72"/>
        </w:numPr>
        <w:spacing w:after="120" w:line="276" w:lineRule="auto"/>
        <w:ind w:left="714" w:hanging="357"/>
        <w:contextualSpacing w:val="0"/>
        <w:rPr>
          <w:rFonts w:eastAsia="Arial" w:cs="Arial"/>
        </w:rPr>
      </w:pPr>
      <w:r w:rsidRPr="6EB39DF7">
        <w:rPr>
          <w:rFonts w:eastAsia="Arial" w:cs="Arial"/>
        </w:rPr>
        <w:t xml:space="preserve">A mismatch between employment demand and available skills. The risk of this mismatch is particularly high in regional Australia, which otherwise has so much to gain from the path to net zero. </w:t>
      </w:r>
    </w:p>
    <w:p w14:paraId="57CDB3F6" w14:textId="576D7D71" w:rsidR="0085121E" w:rsidRDefault="0085121E" w:rsidP="00F25595">
      <w:pPr>
        <w:pStyle w:val="ListParagraph"/>
        <w:numPr>
          <w:ilvl w:val="0"/>
          <w:numId w:val="72"/>
        </w:numPr>
        <w:spacing w:after="120" w:line="276" w:lineRule="auto"/>
        <w:ind w:left="714" w:hanging="357"/>
        <w:contextualSpacing w:val="0"/>
        <w:rPr>
          <w:rFonts w:eastAsia="Arial" w:cs="Arial"/>
        </w:rPr>
      </w:pPr>
      <w:r w:rsidRPr="388C0A0B">
        <w:rPr>
          <w:rFonts w:eastAsia="Arial" w:cs="Arial"/>
        </w:rPr>
        <w:t xml:space="preserve">Ongoing challenges in growing the workforce at the pace and scale required if large groups of the population are excluded especially women, First Nations </w:t>
      </w:r>
      <w:r w:rsidR="00AB7909">
        <w:rPr>
          <w:rFonts w:eastAsia="Arial" w:cs="Arial"/>
        </w:rPr>
        <w:t>people</w:t>
      </w:r>
      <w:r w:rsidRPr="388C0A0B">
        <w:rPr>
          <w:rFonts w:eastAsia="Arial" w:cs="Arial"/>
        </w:rPr>
        <w:t xml:space="preserve"> and recent migrants whose skills’ potential is </w:t>
      </w:r>
      <w:r>
        <w:rPr>
          <w:rFonts w:eastAsia="Arial" w:cs="Arial"/>
        </w:rPr>
        <w:t>underutilised.</w:t>
      </w:r>
      <w:r w:rsidRPr="388C0A0B">
        <w:rPr>
          <w:rFonts w:eastAsia="Arial" w:cs="Arial"/>
        </w:rPr>
        <w:t xml:space="preserve"> </w:t>
      </w:r>
    </w:p>
    <w:p w14:paraId="097DD9C9" w14:textId="77777777" w:rsidR="0085121E" w:rsidRDefault="0085121E" w:rsidP="00F25595">
      <w:pPr>
        <w:pStyle w:val="ListParagraph"/>
        <w:numPr>
          <w:ilvl w:val="0"/>
          <w:numId w:val="72"/>
        </w:numPr>
        <w:spacing w:after="120" w:line="276" w:lineRule="auto"/>
        <w:ind w:left="714" w:hanging="357"/>
        <w:contextualSpacing w:val="0"/>
        <w:rPr>
          <w:rFonts w:eastAsia="Arial" w:cs="Arial"/>
        </w:rPr>
      </w:pPr>
      <w:r w:rsidRPr="02EA9DA3">
        <w:rPr>
          <w:rFonts w:eastAsia="Arial" w:cs="Arial"/>
        </w:rPr>
        <w:t xml:space="preserve">A tertiary skills, training and qualifications system that is not fit-for-purpose to keep pace with rapidly changing technologies and emerging occupations. </w:t>
      </w:r>
    </w:p>
    <w:p w14:paraId="6263B4C7" w14:textId="04867AEE" w:rsidR="00D46B52" w:rsidRDefault="00744BA6" w:rsidP="00744BA6">
      <w:pPr>
        <w:spacing w:before="240" w:after="120" w:line="276" w:lineRule="auto"/>
        <w:rPr>
          <w:rFonts w:eastAsia="Arial" w:cs="Arial"/>
        </w:rPr>
      </w:pPr>
      <w:r>
        <w:rPr>
          <w:rFonts w:eastAsia="Arial" w:cs="Arial"/>
        </w:rPr>
        <w:t>M</w:t>
      </w:r>
      <w:r w:rsidR="0085121E" w:rsidRPr="02EA9DA3">
        <w:rPr>
          <w:rFonts w:eastAsia="Arial" w:cs="Arial"/>
        </w:rPr>
        <w:t>itigat</w:t>
      </w:r>
      <w:r>
        <w:rPr>
          <w:rFonts w:eastAsia="Arial" w:cs="Arial"/>
        </w:rPr>
        <w:t>ing</w:t>
      </w:r>
      <w:r w:rsidR="0085121E" w:rsidRPr="02EA9DA3">
        <w:rPr>
          <w:rFonts w:eastAsia="Arial" w:cs="Arial"/>
        </w:rPr>
        <w:t xml:space="preserve"> these risks will require sustained, national level coordination. This is not a time for set and forget. Strategies need to look beyond state borders, be regularly updated to reflect both new and revised policy settings; and align with rapidly changing technologies.</w:t>
      </w:r>
    </w:p>
    <w:p w14:paraId="3C189956" w14:textId="1A92845F" w:rsidR="0085121E" w:rsidRDefault="0085121E" w:rsidP="0085121E">
      <w:pPr>
        <w:spacing w:after="240" w:line="276" w:lineRule="auto"/>
        <w:rPr>
          <w:rFonts w:eastAsia="Arial" w:cs="Arial"/>
        </w:rPr>
      </w:pPr>
      <w:r w:rsidRPr="02EA9DA3">
        <w:rPr>
          <w:rFonts w:eastAsia="Arial" w:cs="Arial"/>
        </w:rPr>
        <w:t>Australia must consider the full range of levers across education, training, migration and workplace relations systems to not just mitigate these risks but ensure a sustainable and equitable path towards net zero. This planning framework must be underpinned by current and comprehensive data and whole-of-government collaborative approach.</w:t>
      </w:r>
    </w:p>
    <w:tbl>
      <w:tblPr>
        <w:tblStyle w:val="TableGrid"/>
        <w:tblW w:w="0" w:type="auto"/>
        <w:tblBorders>
          <w:top w:val="single" w:sz="6" w:space="0" w:color="D2DE5A" w:themeColor="background2"/>
          <w:left w:val="none" w:sz="0" w:space="0" w:color="auto"/>
          <w:bottom w:val="single" w:sz="6" w:space="0" w:color="D2DE5A" w:themeColor="background2"/>
          <w:right w:val="none" w:sz="0" w:space="0" w:color="auto"/>
          <w:insideH w:val="none" w:sz="0" w:space="0" w:color="auto"/>
          <w:insideV w:val="none" w:sz="0" w:space="0" w:color="auto"/>
        </w:tblBorders>
        <w:tblLook w:val="04A0" w:firstRow="1" w:lastRow="0" w:firstColumn="1" w:lastColumn="0" w:noHBand="0" w:noVBand="1"/>
      </w:tblPr>
      <w:tblGrid>
        <w:gridCol w:w="751"/>
        <w:gridCol w:w="8177"/>
      </w:tblGrid>
      <w:tr w:rsidR="0085121E" w:rsidRPr="00E5087D" w14:paraId="57D982C2" w14:textId="77777777" w:rsidTr="00A94552">
        <w:tc>
          <w:tcPr>
            <w:tcW w:w="751" w:type="dxa"/>
            <w:tcBorders>
              <w:top w:val="single" w:sz="6" w:space="0" w:color="D2DE5A" w:themeColor="background2"/>
              <w:bottom w:val="nil"/>
              <w:right w:val="single" w:sz="6" w:space="0" w:color="D2DE5A" w:themeColor="background2"/>
            </w:tcBorders>
            <w:shd w:val="clear" w:color="auto" w:fill="FFFFFF" w:themeFill="background1"/>
          </w:tcPr>
          <w:p w14:paraId="16BF3D41" w14:textId="77777777" w:rsidR="0085121E" w:rsidRPr="005831F6" w:rsidRDefault="0085121E" w:rsidP="00A94552">
            <w:pPr>
              <w:spacing w:before="80" w:after="80"/>
              <w:rPr>
                <w:rFonts w:cs="Arial"/>
                <w:b/>
                <w:bCs/>
              </w:rPr>
            </w:pPr>
            <w:r w:rsidRPr="005831F6">
              <w:rPr>
                <w:rFonts w:cs="Arial"/>
                <w:b/>
                <w:bCs/>
              </w:rPr>
              <w:t>1.1</w:t>
            </w:r>
          </w:p>
        </w:tc>
        <w:tc>
          <w:tcPr>
            <w:tcW w:w="8177" w:type="dxa"/>
            <w:tcBorders>
              <w:left w:val="single" w:sz="6" w:space="0" w:color="D2DE5A" w:themeColor="background2"/>
            </w:tcBorders>
            <w:shd w:val="clear" w:color="auto" w:fill="FFFFFF" w:themeFill="background1"/>
          </w:tcPr>
          <w:p w14:paraId="419DA541" w14:textId="77777777" w:rsidR="0085121E" w:rsidRPr="005831F6" w:rsidRDefault="0085121E" w:rsidP="00A94552">
            <w:pPr>
              <w:spacing w:before="80" w:after="80"/>
              <w:rPr>
                <w:rFonts w:cs="Arial"/>
              </w:rPr>
            </w:pPr>
            <w:r w:rsidRPr="002305C4">
              <w:rPr>
                <w:rFonts w:cs="Arial"/>
              </w:rPr>
              <w:t>The upcoming National Energy Workforce Strategy should be empowered to provide a coordinated, whole-of-government and whole-of-sector approach for this workforce, serving as a singular, coherent voice.</w:t>
            </w:r>
          </w:p>
        </w:tc>
      </w:tr>
      <w:tr w:rsidR="0085121E" w:rsidRPr="00E5087D" w14:paraId="6CFBB674" w14:textId="77777777" w:rsidTr="00A94552">
        <w:tc>
          <w:tcPr>
            <w:tcW w:w="751" w:type="dxa"/>
            <w:tcBorders>
              <w:top w:val="nil"/>
              <w:bottom w:val="nil"/>
              <w:right w:val="single" w:sz="6" w:space="0" w:color="D2DE5A" w:themeColor="background2"/>
            </w:tcBorders>
            <w:shd w:val="clear" w:color="auto" w:fill="F5F8DD" w:themeFill="background2" w:themeFillTint="33"/>
          </w:tcPr>
          <w:p w14:paraId="4E7A25A4" w14:textId="77777777" w:rsidR="0085121E" w:rsidRPr="005831F6" w:rsidRDefault="0085121E" w:rsidP="00A94552">
            <w:pPr>
              <w:spacing w:before="80" w:after="80"/>
              <w:rPr>
                <w:rFonts w:cs="Arial"/>
                <w:b/>
                <w:bCs/>
              </w:rPr>
            </w:pPr>
            <w:r w:rsidRPr="005831F6">
              <w:rPr>
                <w:rFonts w:cs="Arial"/>
                <w:b/>
                <w:bCs/>
              </w:rPr>
              <w:t>1.2</w:t>
            </w:r>
          </w:p>
        </w:tc>
        <w:tc>
          <w:tcPr>
            <w:tcW w:w="8177" w:type="dxa"/>
            <w:tcBorders>
              <w:left w:val="single" w:sz="6" w:space="0" w:color="D2DE5A" w:themeColor="background2"/>
            </w:tcBorders>
            <w:shd w:val="clear" w:color="auto" w:fill="F5F8DD" w:themeFill="background2" w:themeFillTint="33"/>
          </w:tcPr>
          <w:p w14:paraId="3F02E443" w14:textId="77777777" w:rsidR="0085121E" w:rsidRPr="005831F6" w:rsidRDefault="0085121E" w:rsidP="00A94552">
            <w:pPr>
              <w:spacing w:before="80" w:after="80"/>
              <w:rPr>
                <w:rFonts w:cs="Arial"/>
              </w:rPr>
            </w:pPr>
            <w:r w:rsidRPr="00CE4AB8">
              <w:rPr>
                <w:rFonts w:cs="Arial"/>
              </w:rPr>
              <w:t>The National Energy Workforce Strategy should involve all states and territories, leverage the National Energy Transformation Partnership and pursue genuine collaboration and consolidation opportunities.</w:t>
            </w:r>
          </w:p>
        </w:tc>
      </w:tr>
      <w:tr w:rsidR="0085121E" w:rsidRPr="00E5087D" w14:paraId="490D6FB5" w14:textId="77777777" w:rsidTr="00A94552">
        <w:tc>
          <w:tcPr>
            <w:tcW w:w="751" w:type="dxa"/>
            <w:tcBorders>
              <w:top w:val="nil"/>
              <w:bottom w:val="single" w:sz="6" w:space="0" w:color="D2DE5A" w:themeColor="background2"/>
              <w:right w:val="single" w:sz="6" w:space="0" w:color="D2DE5A" w:themeColor="background2"/>
            </w:tcBorders>
            <w:shd w:val="clear" w:color="auto" w:fill="FFFFFF" w:themeFill="background1"/>
          </w:tcPr>
          <w:p w14:paraId="0F93715C" w14:textId="77777777" w:rsidR="0085121E" w:rsidRPr="005831F6" w:rsidRDefault="0085121E" w:rsidP="00A94552">
            <w:pPr>
              <w:spacing w:before="80" w:after="80"/>
              <w:rPr>
                <w:rFonts w:cs="Arial"/>
                <w:b/>
                <w:bCs/>
              </w:rPr>
            </w:pPr>
            <w:r w:rsidRPr="005831F6">
              <w:rPr>
                <w:rFonts w:cs="Arial"/>
                <w:b/>
                <w:bCs/>
              </w:rPr>
              <w:t>1.3</w:t>
            </w:r>
          </w:p>
        </w:tc>
        <w:tc>
          <w:tcPr>
            <w:tcW w:w="8177" w:type="dxa"/>
            <w:tcBorders>
              <w:left w:val="single" w:sz="6" w:space="0" w:color="D2DE5A" w:themeColor="background2"/>
            </w:tcBorders>
            <w:shd w:val="clear" w:color="auto" w:fill="FFFFFF" w:themeFill="background1"/>
          </w:tcPr>
          <w:p w14:paraId="26709B95" w14:textId="77777777" w:rsidR="0085121E" w:rsidRPr="005831F6" w:rsidRDefault="0085121E" w:rsidP="00A94552">
            <w:pPr>
              <w:spacing w:before="80" w:after="80"/>
              <w:rPr>
                <w:rFonts w:cs="Arial"/>
              </w:rPr>
            </w:pPr>
            <w:r w:rsidRPr="00590453">
              <w:rPr>
                <w:rFonts w:cs="Arial"/>
              </w:rPr>
              <w:t>Clearly identify, differentiate and communicate the roles of the Net Zero Authority and existing government agencies to avoid confusion and duplication of effort.</w:t>
            </w:r>
          </w:p>
        </w:tc>
      </w:tr>
    </w:tbl>
    <w:p w14:paraId="23833EA9" w14:textId="77777777" w:rsidR="0085121E" w:rsidRPr="00E5087D" w:rsidRDefault="0085121E" w:rsidP="0085121E"/>
    <w:tbl>
      <w:tblPr>
        <w:tblStyle w:val="TableGrid"/>
        <w:tblW w:w="0" w:type="auto"/>
        <w:tblBorders>
          <w:top w:val="single" w:sz="6" w:space="0" w:color="BAD9C3"/>
          <w:left w:val="none" w:sz="0" w:space="0" w:color="auto"/>
          <w:bottom w:val="single" w:sz="6" w:space="0" w:color="BAD9C3"/>
          <w:right w:val="none" w:sz="0" w:space="0" w:color="auto"/>
          <w:insideH w:val="single" w:sz="6" w:space="0" w:color="BAD9C3"/>
          <w:insideV w:val="single" w:sz="6" w:space="0" w:color="BAD9C3"/>
        </w:tblBorders>
        <w:tblLook w:val="04A0" w:firstRow="1" w:lastRow="0" w:firstColumn="1" w:lastColumn="0" w:noHBand="0" w:noVBand="1"/>
      </w:tblPr>
      <w:tblGrid>
        <w:gridCol w:w="751"/>
        <w:gridCol w:w="8177"/>
      </w:tblGrid>
      <w:tr w:rsidR="0085121E" w:rsidRPr="00E5087D" w14:paraId="776A34ED" w14:textId="77777777" w:rsidTr="00A94552">
        <w:tc>
          <w:tcPr>
            <w:tcW w:w="751" w:type="dxa"/>
            <w:shd w:val="clear" w:color="auto" w:fill="FFFFFF" w:themeFill="background1"/>
          </w:tcPr>
          <w:p w14:paraId="7D078CF1" w14:textId="77777777" w:rsidR="0085121E" w:rsidRPr="005831F6" w:rsidRDefault="0085121E" w:rsidP="00A94552">
            <w:pPr>
              <w:spacing w:before="80" w:after="80"/>
              <w:rPr>
                <w:rFonts w:cs="Arial"/>
                <w:b/>
                <w:bCs/>
              </w:rPr>
            </w:pPr>
            <w:r w:rsidRPr="005831F6">
              <w:rPr>
                <w:rFonts w:cs="Arial"/>
                <w:b/>
                <w:bCs/>
              </w:rPr>
              <w:t>2.1</w:t>
            </w:r>
          </w:p>
        </w:tc>
        <w:tc>
          <w:tcPr>
            <w:tcW w:w="8177" w:type="dxa"/>
            <w:shd w:val="clear" w:color="auto" w:fill="FFFFFF" w:themeFill="background1"/>
          </w:tcPr>
          <w:p w14:paraId="25B6F88E" w14:textId="63A5B6FD" w:rsidR="0085121E" w:rsidRPr="005831F6" w:rsidRDefault="0085121E" w:rsidP="00A94552">
            <w:pPr>
              <w:spacing w:before="80" w:after="80"/>
              <w:rPr>
                <w:rFonts w:cs="Arial"/>
              </w:rPr>
            </w:pPr>
            <w:r w:rsidRPr="00D06033">
              <w:t>In consultation with stakeholders, J</w:t>
            </w:r>
            <w:r w:rsidR="004E299D">
              <w:t>SA</w:t>
            </w:r>
            <w:r w:rsidRPr="00D06033">
              <w:t xml:space="preserve"> and the A</w:t>
            </w:r>
            <w:r>
              <w:t xml:space="preserve">BS </w:t>
            </w:r>
            <w:r w:rsidRPr="00D06033">
              <w:t>should explore opportunities for a new mechanism to identify emerging occupations in the labour market that don’t meet ANZSCO criteria. A consistent and evidence-based approach could allow government systems, like migration and VET, to better respond to and acknowledge emerging roles without undermining the core principles of ANZSCO and the restructure work underway.</w:t>
            </w:r>
          </w:p>
        </w:tc>
      </w:tr>
      <w:tr w:rsidR="0085121E" w:rsidRPr="00E5087D" w14:paraId="5317764E" w14:textId="77777777" w:rsidTr="00A94552">
        <w:tc>
          <w:tcPr>
            <w:tcW w:w="751" w:type="dxa"/>
            <w:shd w:val="clear" w:color="auto" w:fill="CEE4D4"/>
          </w:tcPr>
          <w:p w14:paraId="407D6408" w14:textId="77777777" w:rsidR="0085121E" w:rsidRPr="005831F6" w:rsidRDefault="0085121E" w:rsidP="00A94552">
            <w:pPr>
              <w:spacing w:before="80" w:after="80"/>
              <w:rPr>
                <w:rFonts w:cs="Arial"/>
                <w:b/>
                <w:bCs/>
              </w:rPr>
            </w:pPr>
            <w:r w:rsidRPr="005831F6">
              <w:rPr>
                <w:rFonts w:cs="Arial"/>
                <w:b/>
                <w:bCs/>
              </w:rPr>
              <w:t>2.2</w:t>
            </w:r>
          </w:p>
        </w:tc>
        <w:tc>
          <w:tcPr>
            <w:tcW w:w="8177" w:type="dxa"/>
            <w:shd w:val="clear" w:color="auto" w:fill="CEE4D4"/>
          </w:tcPr>
          <w:p w14:paraId="25734B2B" w14:textId="77777777" w:rsidR="0085121E" w:rsidRPr="005831F6" w:rsidRDefault="0085121E" w:rsidP="00A94552">
            <w:pPr>
              <w:spacing w:before="80" w:after="80"/>
              <w:rPr>
                <w:rFonts w:cs="Arial"/>
              </w:rPr>
            </w:pPr>
            <w:r w:rsidRPr="00030862">
              <w:t xml:space="preserve">The Australian Government </w:t>
            </w:r>
            <w:r>
              <w:t xml:space="preserve">could </w:t>
            </w:r>
            <w:r w:rsidRPr="00030862">
              <w:t xml:space="preserve">commission a comprehensive and regular </w:t>
            </w:r>
            <w:r>
              <w:t>AEER</w:t>
            </w:r>
            <w:r w:rsidRPr="00030862">
              <w:t>. This will be critical to address data gaps limiting Australia’s ability to identify and project future needs, especially in emerging sectors and energy-focused roles in industries outside core sectors. The AEER should build on the whole-of-labour-market mapping initiated by this study to provide a consistent approach for identifying and measuring the workforce.</w:t>
            </w:r>
          </w:p>
        </w:tc>
      </w:tr>
      <w:tr w:rsidR="0085121E" w:rsidRPr="00E5087D" w14:paraId="09E0D95D" w14:textId="77777777" w:rsidTr="00A94552">
        <w:tc>
          <w:tcPr>
            <w:tcW w:w="751" w:type="dxa"/>
            <w:shd w:val="clear" w:color="auto" w:fill="FFFFFF" w:themeFill="background1"/>
          </w:tcPr>
          <w:p w14:paraId="46226554" w14:textId="77777777" w:rsidR="0085121E" w:rsidRPr="005831F6" w:rsidRDefault="0085121E" w:rsidP="00A94552">
            <w:pPr>
              <w:spacing w:before="80" w:after="80"/>
              <w:rPr>
                <w:rFonts w:cs="Arial"/>
                <w:b/>
                <w:bCs/>
              </w:rPr>
            </w:pPr>
            <w:r w:rsidRPr="005831F6">
              <w:rPr>
                <w:rFonts w:cs="Arial"/>
                <w:b/>
                <w:bCs/>
              </w:rPr>
              <w:t>2.3</w:t>
            </w:r>
          </w:p>
        </w:tc>
        <w:tc>
          <w:tcPr>
            <w:tcW w:w="8177" w:type="dxa"/>
            <w:shd w:val="clear" w:color="auto" w:fill="FFFFFF" w:themeFill="background1"/>
          </w:tcPr>
          <w:p w14:paraId="30961CEF" w14:textId="77777777" w:rsidR="0085121E" w:rsidRPr="005831F6" w:rsidRDefault="0085121E" w:rsidP="00A94552">
            <w:pPr>
              <w:spacing w:before="80" w:after="80"/>
              <w:rPr>
                <w:rFonts w:cs="Arial"/>
              </w:rPr>
            </w:pPr>
            <w:r w:rsidRPr="00030862">
              <w:t xml:space="preserve">The ABS </w:t>
            </w:r>
            <w:r>
              <w:t xml:space="preserve">could </w:t>
            </w:r>
            <w:r w:rsidRPr="00030862">
              <w:t>be supported to re-run the Employment in Renewable Energy Activities series on an annual basis. A consistent, regular release of data is critical for governments to monitor the workforce’s progress.</w:t>
            </w:r>
          </w:p>
        </w:tc>
      </w:tr>
    </w:tbl>
    <w:p w14:paraId="146F40DF" w14:textId="77777777" w:rsidR="0085121E" w:rsidRDefault="0085121E" w:rsidP="00F91B53">
      <w:pPr>
        <w:spacing w:after="240" w:line="276" w:lineRule="auto"/>
        <w:rPr>
          <w:rFonts w:eastAsia="Arial" w:cs="Arial"/>
        </w:rPr>
      </w:pPr>
    </w:p>
    <w:p w14:paraId="7A1B19C0" w14:textId="77777777" w:rsidR="0022280D" w:rsidRDefault="0022280D">
      <w:pPr>
        <w:rPr>
          <w:rFonts w:eastAsia="MS PGothic" w:cstheme="majorBidi"/>
          <w:b/>
          <w:color w:val="404040"/>
          <w:sz w:val="32"/>
          <w:szCs w:val="24"/>
        </w:rPr>
      </w:pPr>
      <w:r>
        <w:rPr>
          <w:rFonts w:eastAsia="MS PGothic"/>
          <w:color w:val="404040"/>
        </w:rPr>
        <w:br w:type="page"/>
      </w:r>
    </w:p>
    <w:p w14:paraId="417F36D7" w14:textId="01ECF261" w:rsidR="0085121E" w:rsidRDefault="0085121E" w:rsidP="0085121E">
      <w:pPr>
        <w:pStyle w:val="Heading3"/>
        <w:rPr>
          <w:rFonts w:eastAsia="MS PGothic"/>
          <w:color w:val="404040"/>
        </w:rPr>
      </w:pPr>
      <w:r w:rsidRPr="00CB7E0C">
        <w:rPr>
          <w:rFonts w:eastAsia="MS PGothic"/>
          <w:color w:val="404040"/>
        </w:rPr>
        <w:t xml:space="preserve">We </w:t>
      </w:r>
      <w:r>
        <w:rPr>
          <w:rFonts w:eastAsia="MS PGothic"/>
          <w:color w:val="404040"/>
        </w:rPr>
        <w:t xml:space="preserve">will likely </w:t>
      </w:r>
      <w:r w:rsidRPr="00CB7E0C">
        <w:rPr>
          <w:rFonts w:eastAsia="MS PGothic"/>
          <w:color w:val="404040"/>
        </w:rPr>
        <w:t xml:space="preserve">need </w:t>
      </w:r>
      <w:r>
        <w:rPr>
          <w:rFonts w:eastAsia="MS PGothic"/>
          <w:color w:val="404040"/>
        </w:rPr>
        <w:t>32,000 more</w:t>
      </w:r>
      <w:r w:rsidRPr="00CB7E0C">
        <w:rPr>
          <w:rFonts w:eastAsia="MS PGothic"/>
          <w:color w:val="404040"/>
        </w:rPr>
        <w:t xml:space="preserve"> electricians</w:t>
      </w:r>
      <w:r>
        <w:rPr>
          <w:rFonts w:eastAsia="MS PGothic"/>
          <w:color w:val="404040"/>
        </w:rPr>
        <w:t xml:space="preserve"> by 2030</w:t>
      </w:r>
    </w:p>
    <w:p w14:paraId="4867B065" w14:textId="0991D3C1" w:rsidR="0085121E" w:rsidRDefault="0085121E" w:rsidP="00F25595">
      <w:pPr>
        <w:spacing w:after="120" w:line="276" w:lineRule="auto"/>
        <w:rPr>
          <w:rFonts w:eastAsia="Arial" w:cs="Arial"/>
        </w:rPr>
      </w:pPr>
      <w:r w:rsidRPr="00167E79">
        <w:rPr>
          <w:rFonts w:eastAsia="Arial" w:cs="Arial"/>
        </w:rPr>
        <w:t xml:space="preserve">The biggest shortage </w:t>
      </w:r>
      <w:r w:rsidR="0010514F">
        <w:rPr>
          <w:rFonts w:eastAsia="Arial" w:cs="Arial"/>
        </w:rPr>
        <w:t>is likely to</w:t>
      </w:r>
      <w:r w:rsidRPr="00167E79">
        <w:rPr>
          <w:rFonts w:eastAsia="Arial" w:cs="Arial"/>
        </w:rPr>
        <w:t xml:space="preserve"> be for </w:t>
      </w:r>
      <w:r w:rsidR="005049D0">
        <w:rPr>
          <w:rFonts w:eastAsia="Arial" w:cs="Arial"/>
        </w:rPr>
        <w:t>E</w:t>
      </w:r>
      <w:r w:rsidRPr="00167E79">
        <w:rPr>
          <w:rFonts w:eastAsia="Arial" w:cs="Arial"/>
        </w:rPr>
        <w:t>lectricians</w:t>
      </w:r>
      <w:r w:rsidR="006209F8">
        <w:rPr>
          <w:rFonts w:eastAsia="Arial" w:cs="Arial"/>
        </w:rPr>
        <w:t xml:space="preserve">. </w:t>
      </w:r>
      <w:r w:rsidR="000430F9">
        <w:rPr>
          <w:rFonts w:eastAsia="Arial" w:cs="Arial"/>
        </w:rPr>
        <w:t>Preliminary modelling suggests that u</w:t>
      </w:r>
      <w:r w:rsidR="006209F8">
        <w:rPr>
          <w:rFonts w:eastAsia="Arial" w:cs="Arial"/>
        </w:rPr>
        <w:t xml:space="preserve">nder </w:t>
      </w:r>
      <w:r w:rsidRPr="388C0A0B">
        <w:rPr>
          <w:rFonts w:eastAsia="Arial" w:cs="Arial"/>
        </w:rPr>
        <w:t>the</w:t>
      </w:r>
      <w:r>
        <w:rPr>
          <w:rFonts w:eastAsia="Arial" w:cs="Arial"/>
        </w:rPr>
        <w:t xml:space="preserve"> </w:t>
      </w:r>
      <w:r w:rsidRPr="388C0A0B">
        <w:rPr>
          <w:rFonts w:eastAsia="Arial" w:cs="Arial"/>
        </w:rPr>
        <w:t xml:space="preserve">central scenario </w:t>
      </w:r>
      <w:r w:rsidR="006209F8">
        <w:rPr>
          <w:rFonts w:eastAsia="Arial" w:cs="Arial"/>
        </w:rPr>
        <w:t xml:space="preserve">Australia will </w:t>
      </w:r>
      <w:r w:rsidR="005049D0">
        <w:rPr>
          <w:rFonts w:eastAsia="Arial" w:cs="Arial"/>
        </w:rPr>
        <w:t xml:space="preserve">likely </w:t>
      </w:r>
      <w:r w:rsidRPr="388C0A0B">
        <w:rPr>
          <w:rFonts w:eastAsia="Arial" w:cs="Arial"/>
        </w:rPr>
        <w:t xml:space="preserve">need </w:t>
      </w:r>
      <w:r>
        <w:rPr>
          <w:rFonts w:eastAsia="Arial" w:cs="Arial"/>
        </w:rPr>
        <w:t>around</w:t>
      </w:r>
      <w:r w:rsidRPr="388C0A0B">
        <w:rPr>
          <w:rFonts w:eastAsia="Arial" w:cs="Arial"/>
        </w:rPr>
        <w:t xml:space="preserve"> </w:t>
      </w:r>
      <w:r>
        <w:rPr>
          <w:rFonts w:eastAsia="Arial" w:cs="Arial"/>
        </w:rPr>
        <w:t>32</w:t>
      </w:r>
      <w:r w:rsidRPr="388C0A0B">
        <w:rPr>
          <w:rFonts w:eastAsia="Arial" w:cs="Arial"/>
        </w:rPr>
        <w:t xml:space="preserve">,000 more Electricians in the next seven years and </w:t>
      </w:r>
      <w:r w:rsidR="000430F9">
        <w:rPr>
          <w:rFonts w:eastAsia="Arial" w:cs="Arial"/>
        </w:rPr>
        <w:t>around</w:t>
      </w:r>
      <w:r w:rsidRPr="388C0A0B">
        <w:rPr>
          <w:rFonts w:eastAsia="Arial" w:cs="Arial"/>
        </w:rPr>
        <w:t xml:space="preserve"> </w:t>
      </w:r>
      <w:r>
        <w:rPr>
          <w:rFonts w:eastAsia="Arial" w:cs="Arial"/>
        </w:rPr>
        <w:t>85</w:t>
      </w:r>
      <w:r w:rsidRPr="388C0A0B">
        <w:rPr>
          <w:rFonts w:eastAsia="Arial" w:cs="Arial"/>
        </w:rPr>
        <w:t xml:space="preserve">,000 by 2050. </w:t>
      </w:r>
      <w:r w:rsidR="00B11A08">
        <w:t xml:space="preserve">This </w:t>
      </w:r>
      <w:r w:rsidR="00C462B1">
        <w:t xml:space="preserve">represents </w:t>
      </w:r>
      <w:r w:rsidR="00B11A08">
        <w:t xml:space="preserve">27% </w:t>
      </w:r>
      <w:r w:rsidR="008001F7">
        <w:t>more than the projected supply.</w:t>
      </w:r>
    </w:p>
    <w:p w14:paraId="4CE6E7CF" w14:textId="7AC5109D" w:rsidR="0085121E" w:rsidRPr="00167E79" w:rsidRDefault="0085121E" w:rsidP="0085121E">
      <w:pPr>
        <w:spacing w:after="120" w:line="276" w:lineRule="auto"/>
        <w:rPr>
          <w:rFonts w:eastAsia="Arial" w:cs="Arial"/>
        </w:rPr>
      </w:pPr>
      <w:r>
        <w:rPr>
          <w:rFonts w:eastAsia="Arial" w:cs="Arial"/>
        </w:rPr>
        <w:t xml:space="preserve">Rapid growth of </w:t>
      </w:r>
      <w:r w:rsidR="003E48FE">
        <w:rPr>
          <w:rFonts w:eastAsia="Arial" w:cs="Arial"/>
        </w:rPr>
        <w:t>E</w:t>
      </w:r>
      <w:r>
        <w:rPr>
          <w:rFonts w:eastAsia="Arial" w:cs="Arial"/>
        </w:rPr>
        <w:t>lectricians will require rapid growth of VET trainers. Without addressing the capacity of the VET system, Australia will not be able deliver the workforce it needs. This isn’t something that the governments or RTOs can solve alone, industry will also need to be involved.</w:t>
      </w:r>
    </w:p>
    <w:p w14:paraId="5157D73A" w14:textId="6D92A40D" w:rsidR="0085121E" w:rsidRPr="00167E79" w:rsidRDefault="0085121E" w:rsidP="0085121E">
      <w:pPr>
        <w:spacing w:after="120" w:line="276" w:lineRule="auto"/>
        <w:rPr>
          <w:rFonts w:eastAsia="Arial" w:cs="Arial"/>
        </w:rPr>
      </w:pPr>
      <w:r w:rsidRPr="388C0A0B">
        <w:rPr>
          <w:rFonts w:eastAsia="Arial" w:cs="Arial"/>
        </w:rPr>
        <w:t xml:space="preserve">Other electrical related trade roles </w:t>
      </w:r>
      <w:r w:rsidR="00102595">
        <w:rPr>
          <w:rFonts w:eastAsia="Arial" w:cs="Arial"/>
        </w:rPr>
        <w:t xml:space="preserve">are </w:t>
      </w:r>
      <w:r w:rsidRPr="388C0A0B">
        <w:rPr>
          <w:rFonts w:eastAsia="Arial" w:cs="Arial"/>
        </w:rPr>
        <w:t xml:space="preserve">also </w:t>
      </w:r>
      <w:r w:rsidR="00102595">
        <w:rPr>
          <w:rFonts w:eastAsia="Arial" w:cs="Arial"/>
        </w:rPr>
        <w:t xml:space="preserve">likely to </w:t>
      </w:r>
      <w:r w:rsidRPr="388C0A0B">
        <w:rPr>
          <w:rFonts w:eastAsia="Arial" w:cs="Arial"/>
        </w:rPr>
        <w:t>be in short supply even though more and more workers are choosing these career paths. These include:</w:t>
      </w:r>
    </w:p>
    <w:p w14:paraId="31E89C8B"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Electrical Engineering Draftspersons and Technicians</w:t>
      </w:r>
    </w:p>
    <w:p w14:paraId="43CA5D7B"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Airconditioning and Refrigeration Mechanics</w:t>
      </w:r>
    </w:p>
    <w:p w14:paraId="4571217B" w14:textId="77777777"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Electronics Trades Workers</w:t>
      </w:r>
    </w:p>
    <w:p w14:paraId="201E57CF" w14:textId="6A444662" w:rsidR="0085121E" w:rsidRPr="00167E79" w:rsidRDefault="0085121E" w:rsidP="00F25595">
      <w:pPr>
        <w:pStyle w:val="ListParagraph"/>
        <w:numPr>
          <w:ilvl w:val="0"/>
          <w:numId w:val="73"/>
        </w:numPr>
        <w:spacing w:line="276" w:lineRule="auto"/>
        <w:rPr>
          <w:rFonts w:eastAsia="Arial" w:cs="Arial"/>
        </w:rPr>
      </w:pPr>
      <w:r w:rsidRPr="388C0A0B">
        <w:rPr>
          <w:rFonts w:eastAsia="Arial" w:cs="Arial"/>
        </w:rPr>
        <w:t>Telecommunications Trades Workers</w:t>
      </w:r>
      <w:r w:rsidR="00E329FB">
        <w:rPr>
          <w:rFonts w:eastAsia="Arial" w:cs="Arial"/>
        </w:rPr>
        <w:t>.</w:t>
      </w:r>
    </w:p>
    <w:p w14:paraId="471B57CC" w14:textId="628DC0D8" w:rsidR="0085121E" w:rsidRDefault="003E48FE" w:rsidP="0085121E">
      <w:pPr>
        <w:spacing w:line="276" w:lineRule="auto"/>
        <w:rPr>
          <w:rFonts w:eastAsia="Arial" w:cs="Arial"/>
        </w:rPr>
      </w:pPr>
      <w:r>
        <w:rPr>
          <w:rFonts w:eastAsia="Arial" w:cs="Arial"/>
        </w:rPr>
        <w:t>The preliminary modelling indicates t</w:t>
      </w:r>
      <w:r w:rsidR="0085121E" w:rsidRPr="2BAEE44B">
        <w:rPr>
          <w:rFonts w:eastAsia="Arial" w:cs="Arial"/>
        </w:rPr>
        <w:t xml:space="preserve">here </w:t>
      </w:r>
      <w:r w:rsidR="002D7DE3">
        <w:rPr>
          <w:rFonts w:eastAsia="Arial" w:cs="Arial"/>
        </w:rPr>
        <w:t xml:space="preserve">is </w:t>
      </w:r>
      <w:r w:rsidR="0085121E" w:rsidRPr="2BAEE44B">
        <w:rPr>
          <w:rFonts w:eastAsia="Arial" w:cs="Arial"/>
        </w:rPr>
        <w:t xml:space="preserve">also </w:t>
      </w:r>
      <w:r w:rsidR="002D7DE3">
        <w:rPr>
          <w:rFonts w:eastAsia="Arial" w:cs="Arial"/>
        </w:rPr>
        <w:t>likely to</w:t>
      </w:r>
      <w:r w:rsidR="0085121E" w:rsidRPr="2BAEE44B">
        <w:rPr>
          <w:rFonts w:eastAsia="Arial" w:cs="Arial"/>
        </w:rPr>
        <w:t xml:space="preserve"> be shortages of all the building and engineering trades that are critical to the construction (and maintenance) phases of renewable electricity generation. In the next 20 years especially, we </w:t>
      </w:r>
      <w:r w:rsidR="001C63E4">
        <w:rPr>
          <w:rFonts w:eastAsia="Arial" w:cs="Arial"/>
        </w:rPr>
        <w:t xml:space="preserve">will likely </w:t>
      </w:r>
      <w:r w:rsidR="0085121E" w:rsidRPr="2BAEE44B">
        <w:rPr>
          <w:rFonts w:eastAsia="Arial" w:cs="Arial"/>
        </w:rPr>
        <w:t xml:space="preserve">need more Metal Fitters and Machinists, and Structural Steel and Welding Trades workers. Likewise, we will </w:t>
      </w:r>
      <w:r w:rsidR="008D519D">
        <w:rPr>
          <w:rFonts w:eastAsia="Arial" w:cs="Arial"/>
        </w:rPr>
        <w:t xml:space="preserve">likely </w:t>
      </w:r>
      <w:r w:rsidR="0085121E" w:rsidRPr="2BAEE44B">
        <w:rPr>
          <w:rFonts w:eastAsia="Arial" w:cs="Arial"/>
        </w:rPr>
        <w:t xml:space="preserve">need more Architectural, Building and Surveying Technicians as well as Civil Engineering Draftspersons and Technicians. </w:t>
      </w:r>
      <w:r w:rsidR="002D7DE3">
        <w:rPr>
          <w:rFonts w:eastAsia="Arial" w:cs="Arial"/>
        </w:rPr>
        <w:t>The preliminary modelling suggests w</w:t>
      </w:r>
      <w:r w:rsidR="0085121E" w:rsidRPr="2BAEE44B">
        <w:rPr>
          <w:rFonts w:eastAsia="Arial" w:cs="Arial"/>
        </w:rPr>
        <w:t xml:space="preserve">e broadly have enough Engineers for the clean energy transition; however, Mining Engineers are an exception. In fact, despite broader employment declines in the </w:t>
      </w:r>
      <w:r w:rsidR="002D7DE3">
        <w:rPr>
          <w:rFonts w:eastAsia="Arial" w:cs="Arial"/>
        </w:rPr>
        <w:t>emissions intensive</w:t>
      </w:r>
      <w:r w:rsidR="0085121E" w:rsidRPr="2BAEE44B">
        <w:rPr>
          <w:rFonts w:eastAsia="Arial" w:cs="Arial"/>
        </w:rPr>
        <w:t xml:space="preserve"> industries, there </w:t>
      </w:r>
      <w:r w:rsidR="00F03E60">
        <w:rPr>
          <w:rFonts w:eastAsia="Arial" w:cs="Arial"/>
        </w:rPr>
        <w:t>are likely to</w:t>
      </w:r>
      <w:r w:rsidR="0085121E" w:rsidRPr="2BAEE44B">
        <w:rPr>
          <w:rFonts w:eastAsia="Arial" w:cs="Arial"/>
        </w:rPr>
        <w:t xml:space="preserve"> be some shortages of Chemical, Gas, Petroleum and Power Generation Plant Operators from 2030. This is largely driven by expected growth in renewable energy and hydrogen.</w:t>
      </w:r>
    </w:p>
    <w:p w14:paraId="77DC289F" w14:textId="701D1F0C" w:rsidR="002454BB" w:rsidRPr="00117750" w:rsidRDefault="00F23917" w:rsidP="000C34BE">
      <w:pPr>
        <w:pStyle w:val="Heading3"/>
        <w:spacing w:before="480"/>
        <w:rPr>
          <w:rFonts w:eastAsia="MS PGothic"/>
          <w:color w:val="404040" w:themeColor="text1" w:themeTint="BF"/>
        </w:rPr>
      </w:pPr>
      <w:r>
        <w:rPr>
          <w:rFonts w:eastAsia="MS PGothic"/>
          <w:color w:val="404040" w:themeColor="text1" w:themeTint="BF"/>
        </w:rPr>
        <w:t>Close to</w:t>
      </w:r>
      <w:r w:rsidR="006F1B14">
        <w:rPr>
          <w:rFonts w:eastAsia="MS PGothic"/>
          <w:color w:val="404040" w:themeColor="text1" w:themeTint="BF"/>
        </w:rPr>
        <w:t xml:space="preserve"> </w:t>
      </w:r>
      <w:r w:rsidR="002454BB" w:rsidRPr="00117750">
        <w:rPr>
          <w:rFonts w:eastAsia="MS PGothic"/>
          <w:color w:val="404040" w:themeColor="text1" w:themeTint="BF"/>
        </w:rPr>
        <w:t xml:space="preserve">2 million workers in building and engineering trades </w:t>
      </w:r>
      <w:r w:rsidR="0085121E">
        <w:rPr>
          <w:rFonts w:eastAsia="MS PGothic"/>
          <w:color w:val="404040" w:themeColor="text1" w:themeTint="BF"/>
        </w:rPr>
        <w:t xml:space="preserve">likely </w:t>
      </w:r>
      <w:r w:rsidR="002454BB" w:rsidRPr="00117750">
        <w:rPr>
          <w:rFonts w:eastAsia="MS PGothic"/>
          <w:color w:val="404040" w:themeColor="text1" w:themeTint="BF"/>
        </w:rPr>
        <w:t xml:space="preserve">needed by 2050 </w:t>
      </w:r>
    </w:p>
    <w:p w14:paraId="54198C95" w14:textId="77777777" w:rsidR="00F972A9" w:rsidRPr="00D66A40" w:rsidRDefault="00F972A9" w:rsidP="00F972A9">
      <w:pPr>
        <w:spacing w:after="120" w:line="276" w:lineRule="auto"/>
      </w:pPr>
      <w:r w:rsidRPr="00D66A40">
        <w:t xml:space="preserve">Alignment across all sectors of the economy is needed to drive long-term change. Businesses, workers and all levels of government will need to coordinate to overcome the structural changes arising from climate change and environmental degradation. Long term policy guidance from governments can catalyse the necessary investments in our industries and regions.  </w:t>
      </w:r>
    </w:p>
    <w:p w14:paraId="73332397" w14:textId="732BFB27" w:rsidR="00F972A9" w:rsidRDefault="00F972A9" w:rsidP="00F972A9">
      <w:pPr>
        <w:spacing w:after="120" w:line="276" w:lineRule="auto"/>
        <w:rPr>
          <w:rFonts w:eastAsia="Arial" w:cs="Arial"/>
        </w:rPr>
      </w:pPr>
      <w:r w:rsidRPr="2BAEE44B">
        <w:rPr>
          <w:rFonts w:eastAsia="Arial" w:cs="Arial"/>
        </w:rPr>
        <w:t xml:space="preserve">As the transformation takes place, significant labour and capital will be needed to prepare Australia’s energy grid and industrial base for net zero. This is expected to increase employment in related sectors through the construction phase of transitioning to renewables. </w:t>
      </w:r>
      <w:r w:rsidR="002D7DE3">
        <w:rPr>
          <w:rFonts w:eastAsia="Arial" w:cs="Arial"/>
        </w:rPr>
        <w:t xml:space="preserve">The preliminary modelling </w:t>
      </w:r>
      <w:r w:rsidR="00B85FDA">
        <w:rPr>
          <w:rFonts w:eastAsia="Arial" w:cs="Arial"/>
        </w:rPr>
        <w:t>suggests w</w:t>
      </w:r>
      <w:r w:rsidRPr="2BAEE44B">
        <w:rPr>
          <w:rFonts w:eastAsia="Arial" w:cs="Arial"/>
        </w:rPr>
        <w:t xml:space="preserve">e will </w:t>
      </w:r>
      <w:r w:rsidR="00872E3A">
        <w:rPr>
          <w:rFonts w:eastAsia="Arial" w:cs="Arial"/>
        </w:rPr>
        <w:t xml:space="preserve">likely </w:t>
      </w:r>
      <w:r w:rsidRPr="2BAEE44B">
        <w:rPr>
          <w:rFonts w:eastAsia="Arial" w:cs="Arial"/>
        </w:rPr>
        <w:t xml:space="preserve">need </w:t>
      </w:r>
      <w:r w:rsidR="00F23917">
        <w:rPr>
          <w:rFonts w:eastAsia="Arial" w:cs="Arial"/>
        </w:rPr>
        <w:t>close to</w:t>
      </w:r>
      <w:r w:rsidRPr="2BAEE44B">
        <w:rPr>
          <w:rFonts w:eastAsia="Arial" w:cs="Arial"/>
        </w:rPr>
        <w:t xml:space="preserve"> 2 million workers in building and engineering trades by 2050. </w:t>
      </w:r>
    </w:p>
    <w:p w14:paraId="2565C381" w14:textId="77777777" w:rsidR="000C34BE" w:rsidRDefault="000C34BE">
      <w:pPr>
        <w:rPr>
          <w:rFonts w:eastAsia="Arial" w:cs="Arial"/>
        </w:rPr>
      </w:pPr>
      <w:r>
        <w:rPr>
          <w:rFonts w:eastAsia="Arial" w:cs="Arial"/>
        </w:rPr>
        <w:br w:type="page"/>
      </w:r>
    </w:p>
    <w:p w14:paraId="0BE9548A" w14:textId="42B1430B" w:rsidR="00F972A9" w:rsidRDefault="00B85FDA" w:rsidP="00F972A9">
      <w:pPr>
        <w:spacing w:after="120" w:line="276" w:lineRule="auto"/>
        <w:rPr>
          <w:rFonts w:eastAsia="Arial" w:cs="Arial"/>
        </w:rPr>
      </w:pPr>
      <w:r>
        <w:rPr>
          <w:rFonts w:eastAsia="Arial" w:cs="Arial"/>
        </w:rPr>
        <w:t>The preliminary modelling shows that t</w:t>
      </w:r>
      <w:r w:rsidR="6C269733" w:rsidRPr="388C0A0B">
        <w:rPr>
          <w:rFonts w:eastAsia="Arial" w:cs="Arial"/>
        </w:rPr>
        <w:t xml:space="preserve">he clean energy </w:t>
      </w:r>
      <w:r w:rsidR="00650623">
        <w:rPr>
          <w:rFonts w:eastAsia="Arial" w:cs="Arial"/>
        </w:rPr>
        <w:t xml:space="preserve">supply </w:t>
      </w:r>
      <w:r w:rsidR="6C269733" w:rsidRPr="388C0A0B">
        <w:rPr>
          <w:rFonts w:eastAsia="Arial" w:cs="Arial"/>
        </w:rPr>
        <w:t xml:space="preserve">workforce will need to grow from approximately </w:t>
      </w:r>
      <w:r w:rsidR="00650623">
        <w:rPr>
          <w:rFonts w:eastAsia="Arial" w:cs="Arial"/>
        </w:rPr>
        <w:t>53</w:t>
      </w:r>
      <w:r w:rsidR="6C269733" w:rsidRPr="00A5214D">
        <w:rPr>
          <w:rFonts w:eastAsia="Arial" w:cs="Arial"/>
        </w:rPr>
        <w:t xml:space="preserve">,000 workers today to </w:t>
      </w:r>
      <w:r w:rsidR="00650623" w:rsidRPr="00A5214D">
        <w:rPr>
          <w:rFonts w:eastAsia="Arial" w:cs="Arial"/>
        </w:rPr>
        <w:t>84</w:t>
      </w:r>
      <w:r w:rsidR="6C269733" w:rsidRPr="00A5214D">
        <w:rPr>
          <w:rFonts w:eastAsia="Arial" w:cs="Arial"/>
        </w:rPr>
        <w:t>,000 by 2050 to deliver the energy</w:t>
      </w:r>
      <w:r w:rsidR="6C269733" w:rsidRPr="388C0A0B">
        <w:rPr>
          <w:rFonts w:eastAsia="Arial" w:cs="Arial"/>
        </w:rPr>
        <w:t xml:space="preserve"> transformation that is fundamental to the Government’s commitment to achieve net zero by 2050 under the </w:t>
      </w:r>
      <w:r w:rsidR="000653DC">
        <w:rPr>
          <w:rFonts w:eastAsia="Arial" w:cs="Arial"/>
        </w:rPr>
        <w:t xml:space="preserve">central </w:t>
      </w:r>
      <w:r w:rsidR="6C269733" w:rsidRPr="388C0A0B">
        <w:rPr>
          <w:rFonts w:eastAsia="Arial" w:cs="Arial"/>
        </w:rPr>
        <w:t>scenario</w:t>
      </w:r>
      <w:r w:rsidR="000653DC">
        <w:rPr>
          <w:rFonts w:eastAsia="Arial" w:cs="Arial"/>
        </w:rPr>
        <w:t xml:space="preserve"> presented in this report</w:t>
      </w:r>
      <w:r w:rsidR="5B9E85E1" w:rsidRPr="388C0A0B">
        <w:rPr>
          <w:rFonts w:eastAsia="Arial" w:cs="Arial"/>
        </w:rPr>
        <w:t>.</w:t>
      </w:r>
      <w:r w:rsidR="6C269733" w:rsidRPr="388C0A0B">
        <w:rPr>
          <w:rFonts w:eastAsia="Arial" w:cs="Arial"/>
        </w:rPr>
        <w:t xml:space="preserve"> </w:t>
      </w:r>
    </w:p>
    <w:p w14:paraId="17070887" w14:textId="77777777" w:rsidR="008A7ED9" w:rsidRPr="00E226A4" w:rsidRDefault="008A7ED9" w:rsidP="00D46B52">
      <w:pPr>
        <w:spacing w:before="240" w:after="120"/>
        <w:rPr>
          <w:b/>
          <w:bCs/>
        </w:rPr>
      </w:pPr>
      <w:r w:rsidRPr="58ED07D4">
        <w:rPr>
          <w:b/>
          <w:bCs/>
        </w:rPr>
        <w:t>A likely</w:t>
      </w:r>
      <w:r w:rsidRPr="531D1CEA">
        <w:rPr>
          <w:b/>
          <w:bCs/>
        </w:rPr>
        <w:t xml:space="preserve"> steady supply of </w:t>
      </w:r>
      <w:r w:rsidRPr="616548CD">
        <w:rPr>
          <w:b/>
          <w:bCs/>
        </w:rPr>
        <w:t>engineers, but s</w:t>
      </w:r>
      <w:r>
        <w:rPr>
          <w:b/>
          <w:bCs/>
        </w:rPr>
        <w:t>cientist s</w:t>
      </w:r>
      <w:r w:rsidRPr="616548CD">
        <w:rPr>
          <w:b/>
          <w:bCs/>
        </w:rPr>
        <w:t>hortfall</w:t>
      </w:r>
    </w:p>
    <w:p w14:paraId="03DECF08" w14:textId="4E9E1D11" w:rsidR="008A7ED9" w:rsidRPr="00E226A4" w:rsidRDefault="008A7ED9" w:rsidP="00D46B52">
      <w:pPr>
        <w:spacing w:after="120"/>
      </w:pPr>
      <w:r w:rsidRPr="00E226A4">
        <w:t xml:space="preserve">The </w:t>
      </w:r>
      <w:r w:rsidR="00DE4C7D">
        <w:t>preliminary</w:t>
      </w:r>
      <w:r w:rsidRPr="00E226A4">
        <w:t xml:space="preserve"> </w:t>
      </w:r>
      <w:r w:rsidR="00F24115">
        <w:t xml:space="preserve">modelling </w:t>
      </w:r>
      <w:r w:rsidRPr="00E226A4">
        <w:t>results for professional occupations are more varied.</w:t>
      </w:r>
      <w:r>
        <w:t xml:space="preserve"> Engineering occupations are likely to have sufficient supply under both demand scenarios, with the only exception being Mining Engineers, where there is rapidly declining supply. However, supply is close to </w:t>
      </w:r>
      <w:r w:rsidR="006520C9">
        <w:t>likely</w:t>
      </w:r>
      <w:r>
        <w:t xml:space="preserve"> demand for Chemical and Materials Engineers, Civil Engineering Professionals and Other Engineering Professionals</w:t>
      </w:r>
      <w:r w:rsidR="007D0169">
        <w:t xml:space="preserve">. </w:t>
      </w:r>
    </w:p>
    <w:p w14:paraId="0BFD6D97" w14:textId="01EDB411" w:rsidR="007D0169" w:rsidRDefault="00FF3572" w:rsidP="00D46B52">
      <w:pPr>
        <w:spacing w:after="120"/>
      </w:pPr>
      <w:r>
        <w:t xml:space="preserve">The </w:t>
      </w:r>
      <w:r w:rsidR="00DE4C7D">
        <w:t>preliminary</w:t>
      </w:r>
      <w:r>
        <w:t xml:space="preserve"> modelling suggests that there is an increasing supply of Electrical Engineers, notwithstanding current shortages. A shortage of mining engineers is likely to be most acute in the medium term. </w:t>
      </w:r>
    </w:p>
    <w:p w14:paraId="5281DE91" w14:textId="5811D57A" w:rsidR="00FF3572" w:rsidRPr="00E226A4" w:rsidRDefault="007D0169" w:rsidP="00D46B52">
      <w:pPr>
        <w:spacing w:after="120"/>
        <w:rPr>
          <w:rFonts w:eastAsia="Arial" w:cs="Arial"/>
        </w:rPr>
      </w:pPr>
      <w:r>
        <w:t xml:space="preserve">Unlike engineering occupations, demand for </w:t>
      </w:r>
      <w:r w:rsidR="001E4217">
        <w:t xml:space="preserve">other </w:t>
      </w:r>
      <w:r>
        <w:t>professional occupations like Agricultural and Forestry Scientists; Environmental Scientists and Geologists, Geophysicists and Hydrogeologists is likely</w:t>
      </w:r>
      <w:r w:rsidDel="00F24115">
        <w:t xml:space="preserve"> </w:t>
      </w:r>
      <w:r>
        <w:t>to outrun supply as we transition to Net Zero</w:t>
      </w:r>
      <w:r w:rsidR="00855C37">
        <w:t>.</w:t>
      </w:r>
    </w:p>
    <w:p w14:paraId="2B458422" w14:textId="6EFE38F0" w:rsidR="00855C37" w:rsidRPr="00E226A4" w:rsidRDefault="00855C37" w:rsidP="00FF3572">
      <w:pPr>
        <w:rPr>
          <w:rFonts w:eastAsia="Arial" w:cs="Arial"/>
        </w:rPr>
      </w:pPr>
      <w:r>
        <w:t>These results rely on continuation of past trends in growth for higher education qualified workers. This should not be taken for granted.</w:t>
      </w:r>
    </w:p>
    <w:p w14:paraId="1B33176D" w14:textId="40054B06" w:rsidR="005C2FE2" w:rsidRDefault="00F0353D">
      <w:pPr>
        <w:rPr>
          <w:rFonts w:eastAsia="MS PGothic" w:cstheme="majorBidi"/>
          <w:b/>
          <w:color w:val="404040"/>
          <w:sz w:val="32"/>
          <w:szCs w:val="24"/>
        </w:rPr>
      </w:pPr>
      <w:r>
        <w:rPr>
          <w:rFonts w:eastAsia="MS PGothic"/>
          <w:color w:val="404040" w:themeColor="text1" w:themeTint="BF"/>
        </w:rPr>
        <w:br w:type="page"/>
      </w:r>
    </w:p>
    <w:p w14:paraId="1D9DB2BF" w14:textId="4AB9C911" w:rsidR="002454BB" w:rsidRPr="005831F6" w:rsidRDefault="002454BB" w:rsidP="007324E7">
      <w:pPr>
        <w:pStyle w:val="Heading3"/>
        <w:rPr>
          <w:rFonts w:eastAsia="MS PGothic"/>
          <w:color w:val="404040"/>
        </w:rPr>
      </w:pPr>
      <w:r w:rsidRPr="005831F6">
        <w:rPr>
          <w:rFonts w:eastAsia="MS PGothic"/>
          <w:color w:val="404040"/>
        </w:rPr>
        <w:t xml:space="preserve">On the job skilling and industry </w:t>
      </w:r>
      <w:r w:rsidR="00712271">
        <w:rPr>
          <w:rFonts w:eastAsia="MS PGothic"/>
          <w:color w:val="404040"/>
        </w:rPr>
        <w:t>leadership</w:t>
      </w:r>
      <w:r w:rsidRPr="005831F6">
        <w:rPr>
          <w:rFonts w:eastAsia="MS PGothic"/>
          <w:color w:val="404040"/>
        </w:rPr>
        <w:t xml:space="preserve"> is crucial</w:t>
      </w:r>
    </w:p>
    <w:p w14:paraId="29CD2BCF" w14:textId="4E7EC4F6" w:rsidR="00F0353D" w:rsidRDefault="7CF8BE0A" w:rsidP="00D46B52">
      <w:pPr>
        <w:spacing w:before="120" w:after="120" w:line="276" w:lineRule="auto"/>
        <w:ind w:right="170"/>
        <w:rPr>
          <w:rFonts w:eastAsia="MS PGothic" w:cstheme="majorBidi"/>
          <w:b/>
          <w:color w:val="404040"/>
          <w:sz w:val="32"/>
          <w:szCs w:val="24"/>
        </w:rPr>
      </w:pPr>
      <w:r w:rsidRPr="024359DF">
        <w:rPr>
          <w:rFonts w:eastAsia="Arial" w:cs="Arial"/>
        </w:rPr>
        <w:t xml:space="preserve">The three pathways into clean energy </w:t>
      </w:r>
      <w:r w:rsidR="00A53C1B">
        <w:rPr>
          <w:rFonts w:eastAsia="Arial" w:cs="Arial"/>
        </w:rPr>
        <w:t xml:space="preserve">jobs </w:t>
      </w:r>
      <w:r w:rsidR="009E57F5" w:rsidRPr="024359DF">
        <w:rPr>
          <w:rFonts w:eastAsia="Arial" w:cs="Arial"/>
        </w:rPr>
        <w:t>–</w:t>
      </w:r>
      <w:r w:rsidRPr="024359DF">
        <w:rPr>
          <w:rFonts w:eastAsia="Arial" w:cs="Arial"/>
        </w:rPr>
        <w:t xml:space="preserve"> </w:t>
      </w:r>
      <w:r w:rsidR="009E57F5" w:rsidRPr="024359DF">
        <w:rPr>
          <w:rFonts w:eastAsia="Arial" w:cs="Arial"/>
        </w:rPr>
        <w:t xml:space="preserve">tertiary </w:t>
      </w:r>
      <w:r w:rsidRPr="024359DF">
        <w:rPr>
          <w:rFonts w:eastAsia="Arial" w:cs="Arial"/>
        </w:rPr>
        <w:t>education</w:t>
      </w:r>
      <w:r w:rsidR="009E57F5" w:rsidRPr="024359DF">
        <w:rPr>
          <w:rFonts w:eastAsia="Arial" w:cs="Arial"/>
        </w:rPr>
        <w:t>,</w:t>
      </w:r>
      <w:r w:rsidRPr="024359DF">
        <w:rPr>
          <w:rFonts w:eastAsia="Arial" w:cs="Arial"/>
        </w:rPr>
        <w:t xml:space="preserve"> migration, and transitions from other sectors </w:t>
      </w:r>
      <w:r w:rsidR="7F3FA70A" w:rsidRPr="024359DF">
        <w:rPr>
          <w:rFonts w:eastAsia="Arial" w:cs="Arial"/>
        </w:rPr>
        <w:t xml:space="preserve">– </w:t>
      </w:r>
      <w:r w:rsidRPr="024359DF">
        <w:rPr>
          <w:rFonts w:eastAsia="Arial" w:cs="Arial"/>
        </w:rPr>
        <w:t xml:space="preserve">need to be scaled and better targeted. We also need to further embed industry in all stages of the skills system and increase collaboration across VET, </w:t>
      </w:r>
      <w:r w:rsidR="53601DAF" w:rsidRPr="024359DF">
        <w:rPr>
          <w:rFonts w:eastAsia="Arial" w:cs="Arial"/>
        </w:rPr>
        <w:t>h</w:t>
      </w:r>
      <w:r w:rsidRPr="024359DF">
        <w:rPr>
          <w:rFonts w:eastAsia="Arial" w:cs="Arial"/>
        </w:rPr>
        <w:t xml:space="preserve">igher </w:t>
      </w:r>
      <w:r w:rsidR="47F21723" w:rsidRPr="024359DF">
        <w:rPr>
          <w:rFonts w:eastAsia="Arial" w:cs="Arial"/>
        </w:rPr>
        <w:t>e</w:t>
      </w:r>
      <w:r w:rsidRPr="024359DF">
        <w:rPr>
          <w:rFonts w:eastAsia="Arial" w:cs="Arial"/>
        </w:rPr>
        <w:t>ducation and industry in systemic ways. Industry-led unaccredited training is an important bridge between tertiary qualifications and the specific, in-house skills needs of employers. Clean energy top-ups, refresher options, electives, microcredentials and short courses, both accredited and unaccredited allow workers to build on their broad-based qualifications, gain specific clean energy skills and specialise in clean energy in fast low-cost ways. These top-up skilling opportunities are not just for recent graduates.</w:t>
      </w:r>
    </w:p>
    <w:p w14:paraId="5FDD7F5A" w14:textId="0AA8B89A" w:rsidR="002454BB" w:rsidRPr="005831F6" w:rsidRDefault="002454BB" w:rsidP="007324E7">
      <w:pPr>
        <w:pStyle w:val="Heading3"/>
        <w:rPr>
          <w:rFonts w:eastAsia="MS PGothic"/>
          <w:color w:val="404040"/>
        </w:rPr>
      </w:pPr>
      <w:r w:rsidRPr="005831F6">
        <w:rPr>
          <w:rFonts w:eastAsia="MS PGothic"/>
          <w:color w:val="404040"/>
        </w:rPr>
        <w:t xml:space="preserve">Global competition for clean energy skills is </w:t>
      </w:r>
      <w:r w:rsidR="00D14612">
        <w:rPr>
          <w:rFonts w:eastAsia="MS PGothic"/>
          <w:color w:val="404040"/>
        </w:rPr>
        <w:t>high</w:t>
      </w:r>
      <w:r w:rsidRPr="005831F6">
        <w:rPr>
          <w:rFonts w:eastAsia="MS PGothic"/>
          <w:color w:val="404040"/>
        </w:rPr>
        <w:t xml:space="preserve"> and Australia needs to play catch-up</w:t>
      </w:r>
    </w:p>
    <w:p w14:paraId="1531632C" w14:textId="715ED76E" w:rsidR="00D01C35" w:rsidRDefault="00D01C35" w:rsidP="00D01C35">
      <w:pPr>
        <w:spacing w:before="120" w:after="120" w:line="276" w:lineRule="auto"/>
        <w:ind w:right="170"/>
        <w:jc w:val="both"/>
        <w:rPr>
          <w:rFonts w:eastAsia="Arial" w:cs="Arial"/>
        </w:rPr>
      </w:pPr>
      <w:r w:rsidRPr="02021094">
        <w:rPr>
          <w:rFonts w:eastAsia="Arial" w:cs="Arial"/>
        </w:rPr>
        <w:t xml:space="preserve">Competition for skilled migrants is high and workers with clean energy skills are heavily concentrated in Asia and the Asia-Pacific but we have been slow to attract and support them. </w:t>
      </w:r>
      <w:r w:rsidR="00560330">
        <w:rPr>
          <w:rFonts w:eastAsia="Arial" w:cs="Arial"/>
        </w:rPr>
        <w:t>Positioning Australia as a destination of choice will be key to ensuring we can attract and retain a skilled workforce</w:t>
      </w:r>
      <w:r w:rsidR="00C02C81">
        <w:rPr>
          <w:rFonts w:eastAsia="Arial" w:cs="Arial"/>
        </w:rPr>
        <w:t>, while setting up our domestic labour market for success</w:t>
      </w:r>
      <w:r w:rsidR="00560330" w:rsidRPr="00753064">
        <w:rPr>
          <w:rFonts w:eastAsia="Arial" w:cs="Arial"/>
        </w:rPr>
        <w:t>.</w:t>
      </w:r>
      <w:r w:rsidR="00560330">
        <w:rPr>
          <w:rFonts w:eastAsia="Arial" w:cs="Arial"/>
        </w:rPr>
        <w:t xml:space="preserve"> Migration settings will also need to be better targeted and more responsive, </w:t>
      </w:r>
      <w:r w:rsidR="009B4331">
        <w:rPr>
          <w:rFonts w:eastAsia="Arial" w:cs="Arial"/>
        </w:rPr>
        <w:t>as highlighted by the migration review.</w:t>
      </w:r>
      <w:r w:rsidR="00886A91" w:rsidRPr="00BB2E09">
        <w:rPr>
          <w:rFonts w:eastAsia="Arial" w:cs="Arial"/>
        </w:rPr>
        <w:t xml:space="preserve"> </w:t>
      </w:r>
      <w:r w:rsidR="00753064">
        <w:rPr>
          <w:rFonts w:eastAsia="Arial" w:cs="Arial"/>
        </w:rPr>
        <w:t xml:space="preserve">While skilled </w:t>
      </w:r>
      <w:r w:rsidR="4B6853D8" w:rsidRPr="73FC2363">
        <w:rPr>
          <w:rFonts w:eastAsia="Arial" w:cs="Arial"/>
        </w:rPr>
        <w:t>and specia</w:t>
      </w:r>
      <w:r w:rsidR="00D9631D">
        <w:rPr>
          <w:rFonts w:eastAsia="Arial" w:cs="Arial"/>
        </w:rPr>
        <w:t>l</w:t>
      </w:r>
      <w:r w:rsidR="4B6853D8" w:rsidRPr="73FC2363">
        <w:rPr>
          <w:rFonts w:eastAsia="Arial" w:cs="Arial"/>
        </w:rPr>
        <w:t>ist</w:t>
      </w:r>
      <w:r w:rsidR="00753064" w:rsidRPr="73FC2363">
        <w:rPr>
          <w:rFonts w:eastAsia="Arial" w:cs="Arial"/>
        </w:rPr>
        <w:t xml:space="preserve"> </w:t>
      </w:r>
      <w:r w:rsidR="00753064">
        <w:rPr>
          <w:rFonts w:eastAsia="Arial" w:cs="Arial"/>
        </w:rPr>
        <w:t>migration is key, so is international education and arrangements with nations in our region.</w:t>
      </w:r>
    </w:p>
    <w:tbl>
      <w:tblPr>
        <w:tblStyle w:val="TableGrid"/>
        <w:tblW w:w="0" w:type="auto"/>
        <w:tblBorders>
          <w:top w:val="single" w:sz="6" w:space="0" w:color="A0D3F6"/>
          <w:left w:val="none" w:sz="0" w:space="0" w:color="auto"/>
          <w:bottom w:val="single" w:sz="6" w:space="0" w:color="A0D3F6"/>
          <w:right w:val="none" w:sz="0" w:space="0" w:color="auto"/>
          <w:insideH w:val="none" w:sz="0" w:space="0" w:color="auto"/>
          <w:insideV w:val="single" w:sz="6" w:space="0" w:color="A0D3F6"/>
        </w:tblBorders>
        <w:tblLook w:val="04A0" w:firstRow="1" w:lastRow="0" w:firstColumn="1" w:lastColumn="0" w:noHBand="0" w:noVBand="1"/>
      </w:tblPr>
      <w:tblGrid>
        <w:gridCol w:w="751"/>
        <w:gridCol w:w="8177"/>
      </w:tblGrid>
      <w:tr w:rsidR="00EE4554" w:rsidRPr="00E5087D" w14:paraId="19E072CC" w14:textId="77777777" w:rsidTr="004C7ECC">
        <w:trPr>
          <w:trHeight w:val="976"/>
        </w:trPr>
        <w:tc>
          <w:tcPr>
            <w:tcW w:w="751" w:type="dxa"/>
            <w:shd w:val="clear" w:color="auto" w:fill="FFFFFF" w:themeFill="background1"/>
          </w:tcPr>
          <w:p w14:paraId="739D792A" w14:textId="77777777" w:rsidR="00EE4554" w:rsidRPr="005831F6" w:rsidRDefault="00EE4554" w:rsidP="00EE4554">
            <w:pPr>
              <w:spacing w:before="80" w:after="80"/>
              <w:rPr>
                <w:rFonts w:cs="Arial"/>
                <w:b/>
                <w:bCs/>
              </w:rPr>
            </w:pPr>
            <w:r w:rsidRPr="005831F6">
              <w:rPr>
                <w:rFonts w:cs="Arial"/>
                <w:b/>
                <w:bCs/>
              </w:rPr>
              <w:t>4.1</w:t>
            </w:r>
          </w:p>
        </w:tc>
        <w:tc>
          <w:tcPr>
            <w:tcW w:w="8177" w:type="dxa"/>
            <w:shd w:val="clear" w:color="auto" w:fill="FFFFFF" w:themeFill="background1"/>
          </w:tcPr>
          <w:p w14:paraId="7B3E2362" w14:textId="07C6A4D3" w:rsidR="00EE4554" w:rsidRPr="00A65F56" w:rsidRDefault="00EE4554" w:rsidP="00EE4554">
            <w:pPr>
              <w:spacing w:before="80" w:after="80"/>
              <w:rPr>
                <w:rFonts w:cs="Arial"/>
              </w:rPr>
            </w:pPr>
            <w:r w:rsidRPr="00A37CA7">
              <w:t>Jobs and Skills Councils should explore and advise on mechanisms for dual-trade pathways that harness existing training packages and training capacity for emerging roles. Delivery models will need to be sustainable for employers, apprentices and RTOs, which may require funding changes by governments.</w:t>
            </w:r>
          </w:p>
        </w:tc>
      </w:tr>
      <w:tr w:rsidR="00EE4554" w:rsidRPr="00E5087D" w14:paraId="09A2B7F6" w14:textId="77777777" w:rsidTr="004C7ECC">
        <w:trPr>
          <w:trHeight w:val="767"/>
        </w:trPr>
        <w:tc>
          <w:tcPr>
            <w:tcW w:w="751" w:type="dxa"/>
            <w:shd w:val="clear" w:color="auto" w:fill="DAE3F5"/>
          </w:tcPr>
          <w:p w14:paraId="52A0A9E4" w14:textId="77777777" w:rsidR="00EE4554" w:rsidRPr="005831F6" w:rsidRDefault="00EE4554" w:rsidP="00EE4554">
            <w:pPr>
              <w:spacing w:before="80" w:after="80"/>
              <w:rPr>
                <w:rFonts w:cs="Arial"/>
                <w:b/>
                <w:bCs/>
              </w:rPr>
            </w:pPr>
            <w:r w:rsidRPr="005831F6">
              <w:rPr>
                <w:rFonts w:cs="Arial"/>
                <w:b/>
                <w:bCs/>
              </w:rPr>
              <w:t>4.2</w:t>
            </w:r>
          </w:p>
        </w:tc>
        <w:tc>
          <w:tcPr>
            <w:tcW w:w="8177" w:type="dxa"/>
            <w:shd w:val="clear" w:color="auto" w:fill="DAE3F5"/>
          </w:tcPr>
          <w:p w14:paraId="78A268FD" w14:textId="283C1F2C" w:rsidR="00EE4554" w:rsidRPr="005831F6" w:rsidRDefault="00EE4554" w:rsidP="00EE4554">
            <w:pPr>
              <w:spacing w:before="80" w:after="80"/>
              <w:rPr>
                <w:rFonts w:cs="Arial"/>
              </w:rPr>
            </w:pPr>
            <w:r w:rsidRPr="00A37CA7">
              <w:t>Explore funding, incentives and support mechanisms for the tertiary sector to develop, and students to complete, higher and dual sector apprenticeships in clean energy.</w:t>
            </w:r>
          </w:p>
        </w:tc>
      </w:tr>
      <w:tr w:rsidR="00EE4554" w:rsidRPr="00E5087D" w14:paraId="3AEF37E0" w14:textId="77777777" w:rsidTr="00626E37">
        <w:trPr>
          <w:trHeight w:val="1247"/>
        </w:trPr>
        <w:tc>
          <w:tcPr>
            <w:tcW w:w="751" w:type="dxa"/>
            <w:shd w:val="clear" w:color="auto" w:fill="FFFFFF" w:themeFill="background1"/>
          </w:tcPr>
          <w:p w14:paraId="42780A32" w14:textId="300C2B90" w:rsidR="00EE4554" w:rsidRPr="005831F6" w:rsidRDefault="00EE4554" w:rsidP="00EE4554">
            <w:pPr>
              <w:spacing w:before="80" w:after="80"/>
              <w:rPr>
                <w:rFonts w:cs="Arial"/>
                <w:b/>
                <w:bCs/>
              </w:rPr>
            </w:pPr>
            <w:r w:rsidRPr="005831F6">
              <w:rPr>
                <w:rFonts w:cs="Arial"/>
                <w:b/>
                <w:bCs/>
              </w:rPr>
              <w:t>4.</w:t>
            </w:r>
            <w:r w:rsidR="00626E37">
              <w:rPr>
                <w:rFonts w:cs="Arial"/>
                <w:b/>
                <w:bCs/>
              </w:rPr>
              <w:t>3</w:t>
            </w:r>
          </w:p>
        </w:tc>
        <w:tc>
          <w:tcPr>
            <w:tcW w:w="8177" w:type="dxa"/>
            <w:shd w:val="clear" w:color="auto" w:fill="FFFFFF" w:themeFill="background1"/>
          </w:tcPr>
          <w:p w14:paraId="122BF1FD" w14:textId="2597B8D6" w:rsidR="00EE4554" w:rsidRPr="00626E37" w:rsidRDefault="00626E37" w:rsidP="00626E37">
            <w:pPr>
              <w:spacing w:before="80"/>
            </w:pPr>
            <w:bookmarkStart w:id="97" w:name="_Hlk145922660"/>
            <w:r>
              <w:rPr>
                <w:rStyle w:val="ui-provider"/>
              </w:rPr>
              <w:t>Through the Universities Accord, explore opportunities for the Australian Government to incentivise higher education providers to design and deliver specific courses in identified areas of shortage and national priority, including clean energy.</w:t>
            </w:r>
            <w:bookmarkEnd w:id="97"/>
          </w:p>
        </w:tc>
      </w:tr>
      <w:tr w:rsidR="001C7D77" w:rsidRPr="00E5087D" w14:paraId="33F45D92" w14:textId="77777777" w:rsidTr="001C7D77">
        <w:trPr>
          <w:trHeight w:val="1191"/>
        </w:trPr>
        <w:tc>
          <w:tcPr>
            <w:tcW w:w="751" w:type="dxa"/>
            <w:shd w:val="clear" w:color="auto" w:fill="DAE3F5"/>
          </w:tcPr>
          <w:p w14:paraId="0801035E" w14:textId="5B8ED5D9" w:rsidR="001C7D77" w:rsidRPr="005831F6" w:rsidRDefault="001C7D77" w:rsidP="00EE4554">
            <w:pPr>
              <w:spacing w:before="80" w:after="80"/>
              <w:rPr>
                <w:rFonts w:cs="Arial"/>
                <w:b/>
                <w:bCs/>
              </w:rPr>
            </w:pPr>
            <w:r>
              <w:rPr>
                <w:rFonts w:cs="Arial"/>
                <w:b/>
                <w:bCs/>
              </w:rPr>
              <w:t>4.</w:t>
            </w:r>
            <w:r w:rsidR="00626E37">
              <w:rPr>
                <w:rFonts w:cs="Arial"/>
                <w:b/>
                <w:bCs/>
              </w:rPr>
              <w:t>4</w:t>
            </w:r>
          </w:p>
        </w:tc>
        <w:tc>
          <w:tcPr>
            <w:tcW w:w="8177" w:type="dxa"/>
            <w:shd w:val="clear" w:color="auto" w:fill="DAE3F5"/>
          </w:tcPr>
          <w:p w14:paraId="29EAE8DE" w14:textId="276BC3FB" w:rsidR="001C7D77" w:rsidRPr="001C7D77" w:rsidRDefault="00626E37" w:rsidP="00E63B4B">
            <w:pPr>
              <w:spacing w:before="80" w:after="80" w:line="259" w:lineRule="auto"/>
              <w:rPr>
                <w:rFonts w:ascii="Calibri" w:hAnsi="Calibri"/>
                <w:color w:val="auto"/>
              </w:rPr>
            </w:pPr>
            <w:r w:rsidRPr="00A37CA7">
              <w:t>Where appropriate, support unaccredited and industry accredited courses, including microcredentials, as fast, low-cost options to bridge skills gaps for emerging roles and for workers with existing qualifications. This includes exploring appropriate and stable funding mechanisms and expedited quality assurance and recognition. Training should be agnostic as to sector of delivery and pilot innovative collaborations.</w:t>
            </w:r>
          </w:p>
        </w:tc>
      </w:tr>
      <w:tr w:rsidR="00011385" w:rsidRPr="00E5087D" w14:paraId="6ED7ED1D" w14:textId="77777777" w:rsidTr="001C7D77">
        <w:trPr>
          <w:trHeight w:val="1181"/>
        </w:trPr>
        <w:tc>
          <w:tcPr>
            <w:tcW w:w="751" w:type="dxa"/>
            <w:shd w:val="clear" w:color="auto" w:fill="FFFFFF" w:themeFill="background1"/>
          </w:tcPr>
          <w:p w14:paraId="79C99BB1" w14:textId="6F3D8AB1" w:rsidR="00011385" w:rsidRPr="005831F6" w:rsidRDefault="00011385" w:rsidP="00EE4554">
            <w:pPr>
              <w:spacing w:before="80" w:after="80"/>
              <w:rPr>
                <w:rFonts w:cs="Arial"/>
                <w:b/>
                <w:bCs/>
              </w:rPr>
            </w:pPr>
            <w:r>
              <w:rPr>
                <w:rFonts w:cs="Arial"/>
                <w:b/>
                <w:bCs/>
              </w:rPr>
              <w:t>4.</w:t>
            </w:r>
            <w:r w:rsidR="001C7D77">
              <w:rPr>
                <w:rFonts w:cs="Arial"/>
                <w:b/>
                <w:bCs/>
              </w:rPr>
              <w:t>5</w:t>
            </w:r>
          </w:p>
        </w:tc>
        <w:tc>
          <w:tcPr>
            <w:tcW w:w="8177" w:type="dxa"/>
            <w:shd w:val="clear" w:color="auto" w:fill="FFFFFF" w:themeFill="background1"/>
          </w:tcPr>
          <w:p w14:paraId="4666BFC6" w14:textId="0A2BF559" w:rsidR="00011385" w:rsidRPr="00A37CA7" w:rsidRDefault="00011385" w:rsidP="00EE4554">
            <w:pPr>
              <w:spacing w:before="80" w:after="80"/>
            </w:pPr>
            <w:r>
              <w:rPr>
                <w:rStyle w:val="ui-provider"/>
              </w:rPr>
              <w:t>Governments could explore the possibility of allowing international students to undertake an electrical apprenticeship in Australia, to enhance the supply of electricians. This would require an adjustment to rules for international students on hours of work they can undertake while studying.</w:t>
            </w:r>
          </w:p>
        </w:tc>
      </w:tr>
      <w:tr w:rsidR="00EE4554" w:rsidRPr="00E5087D" w14:paraId="669B2CF0" w14:textId="77777777" w:rsidTr="001C7D77">
        <w:trPr>
          <w:trHeight w:val="1181"/>
        </w:trPr>
        <w:tc>
          <w:tcPr>
            <w:tcW w:w="751" w:type="dxa"/>
            <w:shd w:val="clear" w:color="auto" w:fill="DAE3F5"/>
          </w:tcPr>
          <w:p w14:paraId="063F525D" w14:textId="7915B58C" w:rsidR="00EE4554" w:rsidRPr="005831F6" w:rsidRDefault="00EE4554" w:rsidP="00EE4554">
            <w:pPr>
              <w:spacing w:before="80" w:after="80"/>
              <w:rPr>
                <w:rFonts w:cs="Arial"/>
                <w:b/>
                <w:bCs/>
              </w:rPr>
            </w:pPr>
            <w:r w:rsidRPr="005831F6">
              <w:rPr>
                <w:rFonts w:cs="Arial"/>
                <w:b/>
                <w:bCs/>
              </w:rPr>
              <w:t>4.</w:t>
            </w:r>
            <w:r w:rsidR="001C7D77">
              <w:rPr>
                <w:rFonts w:cs="Arial"/>
                <w:b/>
                <w:bCs/>
              </w:rPr>
              <w:t>6</w:t>
            </w:r>
          </w:p>
        </w:tc>
        <w:tc>
          <w:tcPr>
            <w:tcW w:w="8177" w:type="dxa"/>
            <w:shd w:val="clear" w:color="auto" w:fill="DAE3F5"/>
          </w:tcPr>
          <w:p w14:paraId="163D9A9C" w14:textId="4CD01262" w:rsidR="00EE4554" w:rsidRDefault="00EE4554" w:rsidP="00EE4554">
            <w:pPr>
              <w:spacing w:before="80" w:after="80"/>
            </w:pPr>
            <w:r w:rsidRPr="00A37CA7">
              <w:t xml:space="preserve">As committed through the Migration </w:t>
            </w:r>
            <w:r w:rsidR="00794410">
              <w:t xml:space="preserve">System </w:t>
            </w:r>
            <w:r w:rsidRPr="00A37CA7">
              <w:t>Review, ensure that skilled migration genuinely targets areas of shortage and national priority. J</w:t>
            </w:r>
            <w:r w:rsidR="00365CB9">
              <w:t>SA</w:t>
            </w:r>
            <w:r w:rsidRPr="00A37CA7">
              <w:t xml:space="preserve"> will have an important role going forward to identify skill shortages from a whole of economy perspective and consider their relative impacts. In relation to clean energy specifically this report recommends: </w:t>
            </w:r>
          </w:p>
          <w:p w14:paraId="7F620F24" w14:textId="2E9E5EF6" w:rsidR="006B78C5" w:rsidRDefault="003F5152" w:rsidP="00F25595">
            <w:pPr>
              <w:pStyle w:val="ListParagraph"/>
              <w:numPr>
                <w:ilvl w:val="0"/>
                <w:numId w:val="79"/>
              </w:numPr>
              <w:spacing w:before="80" w:after="80"/>
              <w:rPr>
                <w:rFonts w:cs="Arial"/>
              </w:rPr>
            </w:pPr>
            <w:r>
              <w:rPr>
                <w:rFonts w:cs="Arial"/>
              </w:rPr>
              <w:t>Parity of treatment between higher education graduates and VET graduates in the identified critical clean energy occupations</w:t>
            </w:r>
            <w:r w:rsidR="000F1F5D">
              <w:t>.</w:t>
            </w:r>
          </w:p>
          <w:p w14:paraId="05950BCB" w14:textId="77777777" w:rsidR="003F5152" w:rsidRDefault="003F5152" w:rsidP="00F25595">
            <w:pPr>
              <w:pStyle w:val="ListParagraph"/>
              <w:numPr>
                <w:ilvl w:val="0"/>
                <w:numId w:val="79"/>
              </w:numPr>
              <w:spacing w:before="80" w:after="80"/>
              <w:rPr>
                <w:rFonts w:cs="Arial"/>
              </w:rPr>
            </w:pPr>
            <w:r>
              <w:rPr>
                <w:rFonts w:cs="Arial"/>
              </w:rPr>
              <w:t>Regular assessment to ensure that Australian clean energy employers are not disadvantaged globally by specific visa pathways such as Canada’s Federal Skilled Trades Program (Express Entry) and the EU Blue Card Directive</w:t>
            </w:r>
          </w:p>
          <w:p w14:paraId="45BC653D" w14:textId="77777777" w:rsidR="003F5152" w:rsidRDefault="003F5152" w:rsidP="00F25595">
            <w:pPr>
              <w:pStyle w:val="ListParagraph"/>
              <w:numPr>
                <w:ilvl w:val="0"/>
                <w:numId w:val="79"/>
              </w:numPr>
              <w:spacing w:before="80" w:after="80"/>
              <w:rPr>
                <w:rFonts w:cs="Arial"/>
              </w:rPr>
            </w:pPr>
            <w:r>
              <w:rPr>
                <w:rFonts w:cs="Arial"/>
              </w:rPr>
              <w:t>Expedited recognition of foreign qualifications relevant to clean energy</w:t>
            </w:r>
          </w:p>
          <w:p w14:paraId="11D3B3B1" w14:textId="77777777" w:rsidR="003F5152" w:rsidRDefault="003F5152" w:rsidP="00F25595">
            <w:pPr>
              <w:pStyle w:val="ListParagraph"/>
              <w:numPr>
                <w:ilvl w:val="0"/>
                <w:numId w:val="79"/>
              </w:numPr>
              <w:spacing w:before="80" w:after="80"/>
              <w:rPr>
                <w:rFonts w:cs="Arial"/>
              </w:rPr>
            </w:pPr>
            <w:r>
              <w:rPr>
                <w:rFonts w:cs="Arial"/>
              </w:rPr>
              <w:t>Efficient processing of international organisations sponsoring workers internally</w:t>
            </w:r>
          </w:p>
          <w:p w14:paraId="3B37CC08" w14:textId="2631E962" w:rsidR="003F5152" w:rsidRPr="005831F6" w:rsidRDefault="003F5152" w:rsidP="00F25595">
            <w:pPr>
              <w:pStyle w:val="ListParagraph"/>
              <w:numPr>
                <w:ilvl w:val="0"/>
                <w:numId w:val="79"/>
              </w:numPr>
              <w:spacing w:before="80" w:after="80"/>
              <w:rPr>
                <w:rFonts w:cs="Arial"/>
              </w:rPr>
            </w:pPr>
            <w:r>
              <w:rPr>
                <w:rFonts w:cs="Arial"/>
              </w:rPr>
              <w:t>Ensuring that employers utilising migration are also investing in domestic training for the same skills and job roles.</w:t>
            </w:r>
          </w:p>
        </w:tc>
      </w:tr>
      <w:tr w:rsidR="007D402C" w:rsidRPr="00A37CA7" w14:paraId="17373197" w14:textId="77777777" w:rsidTr="001C7D77">
        <w:trPr>
          <w:trHeight w:val="1181"/>
        </w:trPr>
        <w:tc>
          <w:tcPr>
            <w:tcW w:w="751" w:type="dxa"/>
            <w:shd w:val="clear" w:color="auto" w:fill="FFFFFF" w:themeFill="background1"/>
          </w:tcPr>
          <w:p w14:paraId="4A2C0BEC" w14:textId="22D48053" w:rsidR="007D402C" w:rsidRPr="005831F6" w:rsidRDefault="007D402C">
            <w:pPr>
              <w:spacing w:before="80" w:after="80"/>
              <w:rPr>
                <w:rFonts w:cs="Arial"/>
                <w:b/>
                <w:bCs/>
              </w:rPr>
            </w:pPr>
            <w:r>
              <w:rPr>
                <w:rFonts w:cs="Arial"/>
                <w:b/>
                <w:bCs/>
              </w:rPr>
              <w:t>4.</w:t>
            </w:r>
            <w:r w:rsidR="001C7D77">
              <w:rPr>
                <w:rFonts w:cs="Arial"/>
                <w:b/>
                <w:bCs/>
              </w:rPr>
              <w:t>7</w:t>
            </w:r>
          </w:p>
        </w:tc>
        <w:tc>
          <w:tcPr>
            <w:tcW w:w="8177" w:type="dxa"/>
            <w:shd w:val="clear" w:color="auto" w:fill="FFFFFF" w:themeFill="background1"/>
          </w:tcPr>
          <w:p w14:paraId="16D22737" w14:textId="5934295E" w:rsidR="007D402C" w:rsidRPr="00A37CA7" w:rsidRDefault="007D402C">
            <w:pPr>
              <w:spacing w:before="80" w:after="80"/>
            </w:pPr>
            <w:r>
              <w:t>Jobs and Skills Councils should explore accessible familiarisation training for qualified trade workers to gain exposure and experience with clean energy technologies and practices. This will be particularly important for supporting and encouraging workers in transitioning sectors to access clean energy jobs.</w:t>
            </w:r>
          </w:p>
        </w:tc>
      </w:tr>
    </w:tbl>
    <w:p w14:paraId="3DBA5187" w14:textId="77777777" w:rsidR="006217FD" w:rsidRPr="00E5087D" w:rsidRDefault="006217FD" w:rsidP="002454BB"/>
    <w:tbl>
      <w:tblPr>
        <w:tblStyle w:val="TableGrid"/>
        <w:tblW w:w="0" w:type="auto"/>
        <w:tblBorders>
          <w:left w:val="none" w:sz="0" w:space="0" w:color="auto"/>
          <w:right w:val="none" w:sz="0" w:space="0" w:color="auto"/>
          <w:insideH w:val="none" w:sz="0" w:space="0" w:color="auto"/>
          <w:insideV w:val="none" w:sz="0" w:space="0" w:color="auto"/>
        </w:tblBorders>
        <w:shd w:val="clear" w:color="auto" w:fill="F6C5DB" w:themeFill="accent4" w:themeFillTint="33"/>
        <w:tblLook w:val="04A0" w:firstRow="1" w:lastRow="0" w:firstColumn="1" w:lastColumn="0" w:noHBand="0" w:noVBand="1"/>
      </w:tblPr>
      <w:tblGrid>
        <w:gridCol w:w="751"/>
        <w:gridCol w:w="8177"/>
      </w:tblGrid>
      <w:tr w:rsidR="002454BB" w:rsidRPr="00E5087D" w14:paraId="65B06F06" w14:textId="77777777" w:rsidTr="00344801">
        <w:tc>
          <w:tcPr>
            <w:tcW w:w="751" w:type="dxa"/>
            <w:shd w:val="clear" w:color="auto" w:fill="F6C5DB" w:themeFill="accent4" w:themeFillTint="33"/>
          </w:tcPr>
          <w:p w14:paraId="19FC9D18" w14:textId="77777777" w:rsidR="002454BB" w:rsidRPr="00E5087D" w:rsidRDefault="002454BB">
            <w:pPr>
              <w:spacing w:before="60" w:after="60"/>
              <w:rPr>
                <w:rFonts w:cs="Arial"/>
                <w:b/>
                <w:bCs/>
              </w:rPr>
            </w:pPr>
            <w:r w:rsidRPr="00E5087D">
              <w:rPr>
                <w:rFonts w:cs="Arial"/>
                <w:b/>
                <w:bCs/>
              </w:rPr>
              <w:t>5.1</w:t>
            </w:r>
          </w:p>
        </w:tc>
        <w:tc>
          <w:tcPr>
            <w:tcW w:w="8177" w:type="dxa"/>
            <w:shd w:val="clear" w:color="auto" w:fill="F6C5DB" w:themeFill="accent4" w:themeFillTint="33"/>
          </w:tcPr>
          <w:p w14:paraId="0B23563F" w14:textId="722A0749" w:rsidR="002454BB" w:rsidRPr="00E5087D" w:rsidRDefault="00E63B4B" w:rsidP="005831F6">
            <w:pPr>
              <w:tabs>
                <w:tab w:val="left" w:pos="1085"/>
              </w:tabs>
              <w:spacing w:before="80" w:after="60"/>
              <w:rPr>
                <w:rFonts w:cs="Arial"/>
                <w:color w:val="FF0000"/>
                <w:sz w:val="20"/>
                <w:szCs w:val="20"/>
              </w:rPr>
            </w:pPr>
            <w:r w:rsidRPr="00E63B4B">
              <w:rPr>
                <w:rFonts w:cs="Arial"/>
              </w:rPr>
              <w:t xml:space="preserve">The Australian Government could sponsor regular modelling exercises to update the potential employment impacts of the transition to net zero so that further policy work can </w:t>
            </w:r>
            <w:r w:rsidRPr="00A65F56">
              <w:rPr>
                <w:rFonts w:cs="Arial"/>
              </w:rPr>
              <w:t>be incorporated into the results, particularly the sectoral plans under development.</w:t>
            </w:r>
          </w:p>
        </w:tc>
      </w:tr>
    </w:tbl>
    <w:p w14:paraId="60FC0D6E" w14:textId="2DA4AA73" w:rsidR="002454BB" w:rsidRDefault="002454BB" w:rsidP="002454BB">
      <w:pPr>
        <w:spacing w:after="120" w:line="276" w:lineRule="auto"/>
        <w:rPr>
          <w:rFonts w:eastAsia="Arial" w:cs="Arial"/>
          <w:color w:val="000000"/>
          <w14:numForm w14:val="lining"/>
          <w14:numSpacing w14:val="proportional"/>
        </w:rPr>
      </w:pPr>
    </w:p>
    <w:tbl>
      <w:tblPr>
        <w:tblStyle w:val="TableGrid"/>
        <w:tblW w:w="0" w:type="auto"/>
        <w:tblBorders>
          <w:left w:val="none" w:sz="0" w:space="0" w:color="auto"/>
          <w:right w:val="none" w:sz="0" w:space="0" w:color="auto"/>
          <w:insideH w:val="none" w:sz="0" w:space="0" w:color="auto"/>
          <w:insideV w:val="none" w:sz="0" w:space="0" w:color="auto"/>
        </w:tblBorders>
        <w:shd w:val="clear" w:color="auto" w:fill="F6C5DB" w:themeFill="accent4" w:themeFillTint="33"/>
        <w:tblLook w:val="04A0" w:firstRow="1" w:lastRow="0" w:firstColumn="1" w:lastColumn="0" w:noHBand="0" w:noVBand="1"/>
      </w:tblPr>
      <w:tblGrid>
        <w:gridCol w:w="751"/>
        <w:gridCol w:w="8177"/>
      </w:tblGrid>
      <w:tr w:rsidR="009F1F99" w:rsidRPr="00E5087D" w14:paraId="67051883" w14:textId="77777777" w:rsidTr="004E42D8">
        <w:tc>
          <w:tcPr>
            <w:tcW w:w="751" w:type="dxa"/>
            <w:shd w:val="clear" w:color="auto" w:fill="FEDBDD" w:themeFill="accent5" w:themeFillTint="33"/>
          </w:tcPr>
          <w:p w14:paraId="108E67B7" w14:textId="78598ED4" w:rsidR="009F1F99" w:rsidRPr="00E5087D" w:rsidRDefault="009F1F99">
            <w:pPr>
              <w:spacing w:before="60" w:after="60"/>
              <w:rPr>
                <w:rFonts w:cs="Arial"/>
                <w:b/>
                <w:bCs/>
              </w:rPr>
            </w:pPr>
            <w:r>
              <w:rPr>
                <w:rFonts w:cs="Arial"/>
                <w:b/>
                <w:bCs/>
              </w:rPr>
              <w:t>6</w:t>
            </w:r>
            <w:r w:rsidRPr="00E5087D">
              <w:rPr>
                <w:rFonts w:cs="Arial"/>
                <w:b/>
                <w:bCs/>
              </w:rPr>
              <w:t>.1</w:t>
            </w:r>
          </w:p>
        </w:tc>
        <w:tc>
          <w:tcPr>
            <w:tcW w:w="8177" w:type="dxa"/>
            <w:shd w:val="clear" w:color="auto" w:fill="FEDBDD" w:themeFill="accent5" w:themeFillTint="33"/>
          </w:tcPr>
          <w:p w14:paraId="422D82F0" w14:textId="1E730D13" w:rsidR="009F1F99" w:rsidRPr="00E5087D" w:rsidRDefault="004E42D8">
            <w:pPr>
              <w:tabs>
                <w:tab w:val="left" w:pos="1085"/>
              </w:tabs>
              <w:spacing w:before="80" w:after="60"/>
              <w:rPr>
                <w:rFonts w:cs="Arial"/>
                <w:color w:val="FF0000"/>
                <w:sz w:val="20"/>
                <w:szCs w:val="20"/>
              </w:rPr>
            </w:pPr>
            <w:r w:rsidRPr="004E42D8">
              <w:rPr>
                <w:rFonts w:cs="Arial"/>
              </w:rPr>
              <w:t xml:space="preserve">Jobs and Skills Councils </w:t>
            </w:r>
            <w:r w:rsidR="00267014">
              <w:rPr>
                <w:rFonts w:cs="Arial"/>
              </w:rPr>
              <w:t>should</w:t>
            </w:r>
            <w:r w:rsidRPr="004E42D8">
              <w:rPr>
                <w:rFonts w:cs="Arial"/>
              </w:rPr>
              <w:t xml:space="preserve"> work closely with </w:t>
            </w:r>
            <w:r w:rsidR="00D658A2">
              <w:rPr>
                <w:rFonts w:cs="Arial"/>
              </w:rPr>
              <w:t>stakeholders</w:t>
            </w:r>
            <w:r w:rsidRPr="004E42D8">
              <w:rPr>
                <w:rFonts w:cs="Arial"/>
              </w:rPr>
              <w:t xml:space="preserve"> to develop a consistent and constructive approach to qualification design for electric vehicles. Accessible, low-barrier pathways will also be needed for qualified mechanics to transition to electric vehicles.</w:t>
            </w:r>
          </w:p>
        </w:tc>
      </w:tr>
    </w:tbl>
    <w:p w14:paraId="0E253DF7" w14:textId="77777777" w:rsidR="004E5762" w:rsidRDefault="004E5762">
      <w:pPr>
        <w:rPr>
          <w:rFonts w:eastAsia="MS PGothic" w:cstheme="majorBidi"/>
          <w:b/>
          <w:color w:val="404040"/>
          <w:sz w:val="32"/>
          <w:szCs w:val="24"/>
        </w:rPr>
      </w:pPr>
      <w:r>
        <w:rPr>
          <w:rFonts w:eastAsia="MS PGothic"/>
          <w:color w:val="404040"/>
        </w:rPr>
        <w:br w:type="page"/>
      </w:r>
    </w:p>
    <w:p w14:paraId="3F9FCCBF" w14:textId="61C95162" w:rsidR="002454BB" w:rsidRPr="00F0353D" w:rsidRDefault="002454BB" w:rsidP="00DB5F27">
      <w:pPr>
        <w:pStyle w:val="Heading3"/>
        <w:rPr>
          <w:rFonts w:eastAsia="MS PGothic"/>
          <w:color w:val="404040"/>
        </w:rPr>
      </w:pPr>
      <w:r w:rsidRPr="00F0353D">
        <w:rPr>
          <w:rFonts w:eastAsia="MS PGothic"/>
          <w:color w:val="404040"/>
        </w:rPr>
        <w:t xml:space="preserve">A </w:t>
      </w:r>
      <w:r w:rsidR="00FA683D">
        <w:rPr>
          <w:rFonts w:eastAsia="MS PGothic"/>
          <w:color w:val="404040"/>
        </w:rPr>
        <w:t>connected and cohesive</w:t>
      </w:r>
      <w:r w:rsidRPr="00F0353D">
        <w:rPr>
          <w:rFonts w:eastAsia="MS PGothic"/>
          <w:color w:val="404040"/>
        </w:rPr>
        <w:t xml:space="preserve"> and training system with a step change in how we train trades and technical workers</w:t>
      </w:r>
    </w:p>
    <w:p w14:paraId="670633F4" w14:textId="77777777" w:rsidR="003A7D3B" w:rsidRDefault="003A7D3B" w:rsidP="003A7D3B">
      <w:pPr>
        <w:spacing w:after="120" w:line="276" w:lineRule="auto"/>
        <w:rPr>
          <w:rFonts w:eastAsia="Arial" w:cs="Arial"/>
        </w:rPr>
      </w:pPr>
      <w:r w:rsidRPr="6EB39DF7">
        <w:rPr>
          <w:rFonts w:eastAsia="Arial" w:cs="Arial"/>
        </w:rPr>
        <w:t xml:space="preserve">While there are niche and emerging roles that will require new pathways, the bigger challenge is increasing the number of graduates from foundation trades such as electrotechnology, mechanical and fabrication, sustaining large numbers of engineering graduates from multiple disciplines and ensuring that smaller graduate disciplines such as geology are sustained despite comparatively low numbers of employment. </w:t>
      </w:r>
    </w:p>
    <w:p w14:paraId="74041751" w14:textId="1BDF37BD" w:rsidR="003A7D3B" w:rsidRDefault="003A7D3B" w:rsidP="003A7D3B">
      <w:pPr>
        <w:spacing w:after="120" w:line="276" w:lineRule="auto"/>
        <w:rPr>
          <w:rFonts w:eastAsia="Arial" w:cs="Arial"/>
        </w:rPr>
      </w:pPr>
      <w:r w:rsidRPr="6EB39DF7">
        <w:rPr>
          <w:rFonts w:eastAsia="Arial" w:cs="Arial"/>
        </w:rPr>
        <w:t>We will need to dramatically increase the number of tradespersons we move through the VET system. This applies to electricians but also to electrical distribution trades, mechanical engineering trades and technicians (among others). This will require doing many things at once:</w:t>
      </w:r>
    </w:p>
    <w:p w14:paraId="5BFF6C0B" w14:textId="1E28CECD"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 xml:space="preserve">Investing in capital so that there are the facilities to train, including in regional areas where there </w:t>
      </w:r>
      <w:r w:rsidR="000962C8">
        <w:rPr>
          <w:rFonts w:eastAsia="Arial" w:cs="Arial"/>
        </w:rPr>
        <w:t>i</w:t>
      </w:r>
      <w:r w:rsidR="00060907">
        <w:rPr>
          <w:rFonts w:eastAsia="Arial" w:cs="Arial"/>
        </w:rPr>
        <w:t>s</w:t>
      </w:r>
      <w:r w:rsidR="000962C8">
        <w:rPr>
          <w:rFonts w:eastAsia="Arial" w:cs="Arial"/>
        </w:rPr>
        <w:t xml:space="preserve"> </w:t>
      </w:r>
      <w:r w:rsidR="00060907">
        <w:rPr>
          <w:rFonts w:eastAsia="Arial" w:cs="Arial"/>
        </w:rPr>
        <w:t xml:space="preserve">likely to </w:t>
      </w:r>
      <w:r w:rsidRPr="6EB39DF7">
        <w:rPr>
          <w:rFonts w:eastAsia="Arial" w:cs="Arial"/>
        </w:rPr>
        <w:t>be strong growth</w:t>
      </w:r>
      <w:r w:rsidR="00E329FB">
        <w:rPr>
          <w:rFonts w:eastAsia="Arial" w:cs="Arial"/>
        </w:rPr>
        <w:t>.</w:t>
      </w:r>
    </w:p>
    <w:p w14:paraId="70E0D84E" w14:textId="521971E8"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Attracting and retaining more VET teachers and trainers to the field, including through new types of partnerships with industry where senior practitioners are more engaged in on the job training</w:t>
      </w:r>
      <w:r w:rsidR="00E329FB">
        <w:rPr>
          <w:rFonts w:eastAsia="Arial" w:cs="Arial"/>
        </w:rPr>
        <w:t>.</w:t>
      </w:r>
    </w:p>
    <w:p w14:paraId="7CD72144" w14:textId="77777777"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Being more ambitious about the number of apprentices that businesses engage, especially large business best placed to support apprentices successfully. This could include setting apprenticeship training targets.</w:t>
      </w:r>
    </w:p>
    <w:p w14:paraId="6424347F" w14:textId="5EED92B1" w:rsidR="003A7D3B" w:rsidRDefault="003A7D3B" w:rsidP="00F25595">
      <w:pPr>
        <w:pStyle w:val="ListParagraph"/>
        <w:numPr>
          <w:ilvl w:val="0"/>
          <w:numId w:val="88"/>
        </w:numPr>
        <w:spacing w:after="120" w:line="276" w:lineRule="auto"/>
        <w:contextualSpacing w:val="0"/>
        <w:rPr>
          <w:rFonts w:eastAsia="Arial" w:cs="Arial"/>
        </w:rPr>
      </w:pPr>
      <w:r w:rsidRPr="024359DF">
        <w:rPr>
          <w:rFonts w:eastAsia="Arial" w:cs="Arial"/>
        </w:rPr>
        <w:t xml:space="preserve">Opening up trades career pathways for women and First Nations </w:t>
      </w:r>
      <w:r w:rsidR="00AB7909">
        <w:rPr>
          <w:rFonts w:eastAsia="Arial" w:cs="Arial"/>
        </w:rPr>
        <w:t>people</w:t>
      </w:r>
      <w:r w:rsidRPr="024359DF">
        <w:rPr>
          <w:rFonts w:eastAsia="Arial" w:cs="Arial"/>
        </w:rPr>
        <w:t xml:space="preserve"> in particular</w:t>
      </w:r>
      <w:r w:rsidR="414CD541" w:rsidRPr="024359DF">
        <w:rPr>
          <w:rFonts w:eastAsia="Arial" w:cs="Arial"/>
        </w:rPr>
        <w:t>.</w:t>
      </w:r>
      <w:r w:rsidRPr="024359DF">
        <w:rPr>
          <w:rFonts w:eastAsia="Arial" w:cs="Arial"/>
        </w:rPr>
        <w:t xml:space="preserve"> </w:t>
      </w:r>
      <w:r w:rsidR="15D85FB5" w:rsidRPr="024359DF">
        <w:rPr>
          <w:rFonts w:eastAsia="Arial" w:cs="Arial"/>
        </w:rPr>
        <w:t>To</w:t>
      </w:r>
      <w:r w:rsidRPr="024359DF">
        <w:rPr>
          <w:rFonts w:eastAsia="Arial" w:cs="Arial"/>
        </w:rPr>
        <w:t xml:space="preserve"> succeed, we will need to tackle the issue at the source – workplace cultures that have not been inclusive. For First Nations </w:t>
      </w:r>
      <w:r w:rsidR="00AB7909">
        <w:rPr>
          <w:rFonts w:eastAsia="Arial" w:cs="Arial"/>
        </w:rPr>
        <w:t>people</w:t>
      </w:r>
      <w:r w:rsidRPr="024359DF">
        <w:rPr>
          <w:rFonts w:eastAsia="Arial" w:cs="Arial"/>
        </w:rPr>
        <w:t>, we also need to invest more in successful pre-apprentice pathways that have the active support of both community and industry</w:t>
      </w:r>
      <w:r w:rsidR="00975A9D">
        <w:rPr>
          <w:rFonts w:eastAsia="Arial" w:cs="Arial"/>
        </w:rPr>
        <w:t>.</w:t>
      </w:r>
    </w:p>
    <w:p w14:paraId="5BFEE3A5" w14:textId="09F7649F"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We need to acknowledge the appeal of higher education pathways for young people and provide those who would otherwise be interested in a trades career with that option – whether through higher apprenticeships or post-trade pathways. Promoting the opportunity and value of these pathways</w:t>
      </w:r>
      <w:r w:rsidR="009E4D50">
        <w:rPr>
          <w:rFonts w:eastAsia="Arial" w:cs="Arial"/>
        </w:rPr>
        <w:t>,</w:t>
      </w:r>
      <w:r w:rsidRPr="6EB39DF7">
        <w:rPr>
          <w:rFonts w:eastAsia="Arial" w:cs="Arial"/>
        </w:rPr>
        <w:t xml:space="preserve"> </w:t>
      </w:r>
      <w:r w:rsidR="00E544E4">
        <w:rPr>
          <w:rFonts w:eastAsia="Arial" w:cs="Arial"/>
        </w:rPr>
        <w:t>and VET delivered at the Diploma and Advanced Diploma level</w:t>
      </w:r>
      <w:r w:rsidR="009E4D50">
        <w:rPr>
          <w:rFonts w:eastAsia="Arial" w:cs="Arial"/>
        </w:rPr>
        <w:t>,</w:t>
      </w:r>
      <w:r w:rsidR="00E544E4">
        <w:rPr>
          <w:rFonts w:eastAsia="Arial" w:cs="Arial"/>
        </w:rPr>
        <w:t xml:space="preserve"> </w:t>
      </w:r>
      <w:r w:rsidRPr="6EB39DF7">
        <w:rPr>
          <w:rFonts w:eastAsia="Arial" w:cs="Arial"/>
        </w:rPr>
        <w:t>will be key.</w:t>
      </w:r>
    </w:p>
    <w:p w14:paraId="5C702647" w14:textId="74B76205"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Even if we do all this, it may not be enough, so we have to be prepared to think differently about alternative training pathways, alternative job roles to support trades with shorter training pathways, or both.</w:t>
      </w:r>
    </w:p>
    <w:p w14:paraId="55795CDD" w14:textId="5C45CB2F" w:rsidR="003A7D3B" w:rsidRDefault="6D3DF070" w:rsidP="003A7D3B">
      <w:pPr>
        <w:spacing w:before="240" w:after="120" w:line="276" w:lineRule="auto"/>
        <w:rPr>
          <w:rFonts w:eastAsia="Arial" w:cs="Arial"/>
        </w:rPr>
      </w:pPr>
      <w:r w:rsidRPr="024359DF">
        <w:rPr>
          <w:rFonts w:eastAsia="Arial" w:cs="Arial"/>
        </w:rPr>
        <w:t>We can meet the demand for the many emerging roles in clean energy</w:t>
      </w:r>
      <w:r w:rsidR="5AFE1847" w:rsidRPr="024359DF">
        <w:rPr>
          <w:rFonts w:eastAsia="Arial" w:cs="Arial"/>
        </w:rPr>
        <w:t>,</w:t>
      </w:r>
      <w:r w:rsidRPr="024359DF">
        <w:rPr>
          <w:rFonts w:eastAsia="Arial" w:cs="Arial"/>
        </w:rPr>
        <w:t xml:space="preserve"> provided</w:t>
      </w:r>
      <w:r w:rsidR="40FA8554" w:rsidRPr="024359DF">
        <w:rPr>
          <w:rFonts w:eastAsia="Arial" w:cs="Arial"/>
        </w:rPr>
        <w:t>:</w:t>
      </w:r>
    </w:p>
    <w:p w14:paraId="2BEC79C8" w14:textId="06B37C64" w:rsidR="003A7D3B" w:rsidRDefault="6D3DF070" w:rsidP="00F25595">
      <w:pPr>
        <w:pStyle w:val="ListParagraph"/>
        <w:numPr>
          <w:ilvl w:val="0"/>
          <w:numId w:val="88"/>
        </w:numPr>
        <w:spacing w:after="120" w:line="276" w:lineRule="auto"/>
        <w:contextualSpacing w:val="0"/>
        <w:rPr>
          <w:rFonts w:eastAsia="Arial" w:cs="Arial"/>
        </w:rPr>
      </w:pPr>
      <w:r w:rsidRPr="388C0A0B">
        <w:rPr>
          <w:rFonts w:eastAsia="Arial" w:cs="Arial"/>
        </w:rPr>
        <w:t>We have a strong base of qualified tradespeople (see above) and core graduates (engineering, geology, environmental science, etc.) to draw on. This means ensuring that the policy and funding settings for both recognise cost of delivery can’t become a disincentive for universities, TAFEs and other education and training providers to offer courses in critical skills areas</w:t>
      </w:r>
      <w:r w:rsidR="29BEABFB" w:rsidRPr="388C0A0B">
        <w:rPr>
          <w:rFonts w:eastAsia="Arial" w:cs="Arial"/>
        </w:rPr>
        <w:t>.</w:t>
      </w:r>
    </w:p>
    <w:p w14:paraId="2A08ABEC" w14:textId="6B857E49" w:rsidR="003A7D3B" w:rsidRDefault="6D3DF070" w:rsidP="00F25595">
      <w:pPr>
        <w:pStyle w:val="ListParagraph"/>
        <w:numPr>
          <w:ilvl w:val="0"/>
          <w:numId w:val="88"/>
        </w:numPr>
        <w:spacing w:after="120" w:line="276" w:lineRule="auto"/>
        <w:contextualSpacing w:val="0"/>
        <w:rPr>
          <w:rFonts w:eastAsia="Arial" w:cs="Arial"/>
        </w:rPr>
      </w:pPr>
      <w:r w:rsidRPr="388C0A0B">
        <w:rPr>
          <w:rFonts w:eastAsia="Arial" w:cs="Arial"/>
        </w:rPr>
        <w:t>We do more to promote industry involvement in undergraduate training, so that recent graduates are familiar with both general workplace capabilities and new technology</w:t>
      </w:r>
      <w:r w:rsidR="676439BD" w:rsidRPr="388C0A0B">
        <w:rPr>
          <w:rFonts w:eastAsia="Arial" w:cs="Arial"/>
        </w:rPr>
        <w:t>.</w:t>
      </w:r>
    </w:p>
    <w:p w14:paraId="29B85467" w14:textId="310D270C" w:rsidR="003A7D3B" w:rsidRDefault="6D3DF070" w:rsidP="00F25595">
      <w:pPr>
        <w:pStyle w:val="ListParagraph"/>
        <w:numPr>
          <w:ilvl w:val="0"/>
          <w:numId w:val="88"/>
        </w:numPr>
        <w:spacing w:after="120" w:line="276" w:lineRule="auto"/>
        <w:contextualSpacing w:val="0"/>
        <w:rPr>
          <w:rFonts w:eastAsia="Arial" w:cs="Arial"/>
        </w:rPr>
      </w:pPr>
      <w:r w:rsidRPr="388C0A0B">
        <w:rPr>
          <w:rFonts w:eastAsia="Arial" w:cs="Arial"/>
        </w:rPr>
        <w:t>We have the right industry-led apprenticeship support systems in place</w:t>
      </w:r>
      <w:r w:rsidR="0A66DE11" w:rsidRPr="388C0A0B">
        <w:rPr>
          <w:rFonts w:eastAsia="Arial" w:cs="Arial"/>
        </w:rPr>
        <w:t>.</w:t>
      </w:r>
    </w:p>
    <w:p w14:paraId="1F8ABAD4" w14:textId="2A9FF40A" w:rsidR="003A7D3B" w:rsidRDefault="003A7D3B" w:rsidP="00F25595">
      <w:pPr>
        <w:pStyle w:val="ListParagraph"/>
        <w:numPr>
          <w:ilvl w:val="0"/>
          <w:numId w:val="88"/>
        </w:numPr>
        <w:spacing w:after="120" w:line="276" w:lineRule="auto"/>
        <w:contextualSpacing w:val="0"/>
        <w:rPr>
          <w:rFonts w:eastAsia="Arial" w:cs="Arial"/>
        </w:rPr>
      </w:pPr>
      <w:r w:rsidRPr="6EB39DF7">
        <w:rPr>
          <w:rFonts w:eastAsia="Arial" w:cs="Arial"/>
        </w:rPr>
        <w:t xml:space="preserve">We have spaces to promote collaboration between industry, </w:t>
      </w:r>
      <w:r w:rsidR="005537C5">
        <w:rPr>
          <w:rFonts w:eastAsia="Arial" w:cs="Arial"/>
        </w:rPr>
        <w:t>higher education (</w:t>
      </w:r>
      <w:r w:rsidR="002A4FCE">
        <w:rPr>
          <w:rFonts w:eastAsia="Arial" w:cs="Arial"/>
        </w:rPr>
        <w:t xml:space="preserve">including </w:t>
      </w:r>
      <w:r w:rsidR="002A4FCE" w:rsidRPr="002A4FCE">
        <w:rPr>
          <w:rFonts w:eastAsia="Arial" w:cs="Arial"/>
        </w:rPr>
        <w:t>Non-University Higher Education Providers</w:t>
      </w:r>
      <w:r w:rsidR="002A4FCE">
        <w:rPr>
          <w:rFonts w:eastAsia="Arial" w:cs="Arial"/>
        </w:rPr>
        <w:t>),</w:t>
      </w:r>
      <w:r w:rsidRPr="6EB39DF7">
        <w:rPr>
          <w:rFonts w:eastAsia="Arial" w:cs="Arial"/>
        </w:rPr>
        <w:t xml:space="preserve"> TAFEs and others in the early stages of technology adoption </w:t>
      </w:r>
      <w:r w:rsidRPr="00D46B52">
        <w:rPr>
          <w:rFonts w:eastAsia="Arial" w:cs="Arial"/>
        </w:rPr>
        <w:t xml:space="preserve">and deployment to explore what job roles look like. </w:t>
      </w:r>
      <w:r w:rsidR="00540CA2" w:rsidRPr="00D46B52">
        <w:rPr>
          <w:rFonts w:eastAsia="Arial" w:cs="Arial"/>
        </w:rPr>
        <w:t>The introduction of Cooperative Skills Centres explored in the Australian Universities Accord Interim Report and establishment of TAFE Centres of Excellence, if adopted, will be well placed to promote this collaborative approach between the tertiary system, industry and the community.</w:t>
      </w:r>
    </w:p>
    <w:p w14:paraId="16DF530F" w14:textId="72C3659E" w:rsidR="002454BB" w:rsidRPr="00A65F56" w:rsidRDefault="003A7D3B" w:rsidP="00A65F56">
      <w:pPr>
        <w:pStyle w:val="ListParagraph"/>
        <w:numPr>
          <w:ilvl w:val="0"/>
          <w:numId w:val="88"/>
        </w:numPr>
        <w:spacing w:after="360" w:line="276" w:lineRule="auto"/>
        <w:contextualSpacing w:val="0"/>
        <w:rPr>
          <w:rFonts w:eastAsia="Arial" w:cs="Arial"/>
        </w:rPr>
      </w:pPr>
      <w:r w:rsidRPr="024359DF">
        <w:rPr>
          <w:rFonts w:eastAsia="Arial" w:cs="Arial"/>
        </w:rPr>
        <w:t>We don’t over-engineer the initial training pathways. Often unaccredited training provides the rapid flexibility that is needed</w:t>
      </w:r>
      <w:r w:rsidR="00023BD2" w:rsidRPr="024359DF">
        <w:rPr>
          <w:rFonts w:eastAsia="Arial" w:cs="Arial"/>
        </w:rPr>
        <w:t xml:space="preserve"> for post-qualification skilling</w:t>
      </w:r>
      <w:r w:rsidRPr="024359DF">
        <w:rPr>
          <w:rFonts w:eastAsia="Arial" w:cs="Arial"/>
        </w:rPr>
        <w:t xml:space="preserve">. The considerations are </w:t>
      </w:r>
      <w:r w:rsidR="62D6E48F" w:rsidRPr="024359DF">
        <w:rPr>
          <w:rFonts w:eastAsia="Arial" w:cs="Arial"/>
        </w:rPr>
        <w:t xml:space="preserve">to ensure </w:t>
      </w:r>
      <w:r w:rsidRPr="024359DF">
        <w:rPr>
          <w:rFonts w:eastAsia="Arial" w:cs="Arial"/>
        </w:rPr>
        <w:t>th</w:t>
      </w:r>
      <w:r w:rsidR="5E6AF3E5" w:rsidRPr="024359DF">
        <w:rPr>
          <w:rFonts w:eastAsia="Arial" w:cs="Arial"/>
        </w:rPr>
        <w:t>at</w:t>
      </w:r>
      <w:r w:rsidRPr="024359DF">
        <w:rPr>
          <w:rFonts w:eastAsia="Arial" w:cs="Arial"/>
        </w:rPr>
        <w:t xml:space="preserve"> initial funding </w:t>
      </w:r>
      <w:r w:rsidR="451AFDDF" w:rsidRPr="024359DF">
        <w:rPr>
          <w:rFonts w:eastAsia="Arial" w:cs="Arial"/>
        </w:rPr>
        <w:t>is available</w:t>
      </w:r>
      <w:r w:rsidRPr="024359DF">
        <w:rPr>
          <w:rFonts w:eastAsia="Arial" w:cs="Arial"/>
        </w:rPr>
        <w:t xml:space="preserve"> </w:t>
      </w:r>
      <w:r w:rsidR="55211BA0" w:rsidRPr="024359DF">
        <w:rPr>
          <w:rFonts w:eastAsia="Arial" w:cs="Arial"/>
        </w:rPr>
        <w:t>for</w:t>
      </w:r>
      <w:r w:rsidRPr="024359DF">
        <w:rPr>
          <w:rFonts w:eastAsia="Arial" w:cs="Arial"/>
        </w:rPr>
        <w:t xml:space="preserve"> unaccredited training </w:t>
      </w:r>
      <w:r w:rsidR="0A4D048C" w:rsidRPr="024359DF">
        <w:rPr>
          <w:rFonts w:eastAsia="Arial" w:cs="Arial"/>
        </w:rPr>
        <w:t>to</w:t>
      </w:r>
      <w:r w:rsidRPr="024359DF">
        <w:rPr>
          <w:rFonts w:eastAsia="Arial" w:cs="Arial"/>
        </w:rPr>
        <w:t xml:space="preserve"> be developed, </w:t>
      </w:r>
      <w:r w:rsidR="1C7D9628" w:rsidRPr="024359DF">
        <w:rPr>
          <w:rFonts w:eastAsia="Arial" w:cs="Arial"/>
        </w:rPr>
        <w:t>with</w:t>
      </w:r>
      <w:r w:rsidRPr="024359DF">
        <w:rPr>
          <w:rFonts w:eastAsia="Arial" w:cs="Arial"/>
        </w:rPr>
        <w:t xml:space="preserve"> a framework so that training can</w:t>
      </w:r>
      <w:r w:rsidR="38E2AD2A" w:rsidRPr="024359DF">
        <w:rPr>
          <w:rFonts w:eastAsia="Arial" w:cs="Arial"/>
        </w:rPr>
        <w:t xml:space="preserve"> then</w:t>
      </w:r>
      <w:r w:rsidRPr="024359DF">
        <w:rPr>
          <w:rFonts w:eastAsia="Arial" w:cs="Arial"/>
        </w:rPr>
        <w:t xml:space="preserve"> be transitioned to something more formalised and recognised over time (including providing formal recognition for those who undertook the initial unaccredited training). </w:t>
      </w:r>
    </w:p>
    <w:tbl>
      <w:tblPr>
        <w:tblStyle w:val="TableGrid"/>
        <w:tblW w:w="0" w:type="auto"/>
        <w:tblBorders>
          <w:top w:val="single" w:sz="6" w:space="0" w:color="C2A5EC"/>
          <w:left w:val="none" w:sz="0" w:space="0" w:color="auto"/>
          <w:bottom w:val="single" w:sz="6" w:space="0" w:color="C2A5EC"/>
          <w:right w:val="none" w:sz="0" w:space="0" w:color="auto"/>
          <w:insideH w:val="none" w:sz="0" w:space="0" w:color="auto"/>
          <w:insideV w:val="single" w:sz="6" w:space="0" w:color="C2A5EC"/>
        </w:tblBorders>
        <w:tblLook w:val="04A0" w:firstRow="1" w:lastRow="0" w:firstColumn="1" w:lastColumn="0" w:noHBand="0" w:noVBand="1"/>
      </w:tblPr>
      <w:tblGrid>
        <w:gridCol w:w="751"/>
        <w:gridCol w:w="8177"/>
      </w:tblGrid>
      <w:tr w:rsidR="0012447B" w:rsidRPr="00E5087D" w14:paraId="542AB4CA" w14:textId="77777777" w:rsidTr="00336D8B">
        <w:tc>
          <w:tcPr>
            <w:tcW w:w="751" w:type="dxa"/>
            <w:shd w:val="clear" w:color="auto" w:fill="FFFFFF" w:themeFill="background1"/>
          </w:tcPr>
          <w:p w14:paraId="6E903812" w14:textId="031407EB" w:rsidR="0012447B" w:rsidRPr="00336D8B" w:rsidRDefault="0012447B" w:rsidP="0012447B">
            <w:pPr>
              <w:spacing w:before="80" w:after="80"/>
              <w:rPr>
                <w:rFonts w:cs="Arial"/>
                <w:b/>
                <w:bCs/>
              </w:rPr>
            </w:pPr>
            <w:r w:rsidRPr="00DA3C25">
              <w:rPr>
                <w:rFonts w:cs="Arial"/>
                <w:b/>
                <w:bCs/>
              </w:rPr>
              <w:t>7.1</w:t>
            </w:r>
          </w:p>
        </w:tc>
        <w:tc>
          <w:tcPr>
            <w:tcW w:w="8177" w:type="dxa"/>
            <w:shd w:val="clear" w:color="auto" w:fill="FFFFFF" w:themeFill="background1"/>
          </w:tcPr>
          <w:p w14:paraId="2DC40619" w14:textId="3588F3FE" w:rsidR="0012447B" w:rsidRPr="00E85F1B" w:rsidRDefault="0012447B" w:rsidP="0012447B">
            <w:pPr>
              <w:tabs>
                <w:tab w:val="left" w:pos="1085"/>
              </w:tabs>
              <w:spacing w:before="80" w:after="80"/>
              <w:rPr>
                <w:rFonts w:cs="Arial"/>
              </w:rPr>
            </w:pPr>
            <w:r w:rsidRPr="00E85F1B">
              <w:rPr>
                <w:rFonts w:cs="Arial"/>
                <w:sz w:val="20"/>
                <w:szCs w:val="20"/>
              </w:rPr>
              <w:t xml:space="preserve">Establish TAFE Clean Energy Centres of Excellence to collaborate with </w:t>
            </w:r>
            <w:r w:rsidR="00D20672" w:rsidRPr="00E85F1B">
              <w:rPr>
                <w:rFonts w:cs="Arial"/>
                <w:sz w:val="20"/>
                <w:szCs w:val="20"/>
              </w:rPr>
              <w:t>industry, communities</w:t>
            </w:r>
            <w:r w:rsidR="00863333" w:rsidRPr="00E85F1B">
              <w:rPr>
                <w:rFonts w:cs="Arial"/>
                <w:sz w:val="20"/>
                <w:szCs w:val="20"/>
              </w:rPr>
              <w:t>,</w:t>
            </w:r>
            <w:r w:rsidR="00836F90" w:rsidRPr="00E85F1B">
              <w:rPr>
                <w:rFonts w:cs="Arial"/>
                <w:sz w:val="20"/>
                <w:szCs w:val="20"/>
              </w:rPr>
              <w:t xml:space="preserve"> </w:t>
            </w:r>
            <w:r w:rsidRPr="00E85F1B">
              <w:rPr>
                <w:rFonts w:cs="Arial"/>
                <w:sz w:val="20"/>
                <w:szCs w:val="20"/>
              </w:rPr>
              <w:t>universities</w:t>
            </w:r>
            <w:r w:rsidR="00863333" w:rsidRPr="00E85F1B">
              <w:rPr>
                <w:rFonts w:cs="Arial"/>
                <w:sz w:val="20"/>
                <w:szCs w:val="20"/>
              </w:rPr>
              <w:t xml:space="preserve"> </w:t>
            </w:r>
            <w:r w:rsidR="00836F90" w:rsidRPr="00E85F1B">
              <w:rPr>
                <w:rFonts w:cs="Arial"/>
                <w:sz w:val="20"/>
                <w:szCs w:val="20"/>
              </w:rPr>
              <w:t xml:space="preserve">and </w:t>
            </w:r>
            <w:r w:rsidR="00863333" w:rsidRPr="00E85F1B">
              <w:rPr>
                <w:rFonts w:cs="Arial"/>
                <w:sz w:val="20"/>
                <w:szCs w:val="20"/>
              </w:rPr>
              <w:t>governments</w:t>
            </w:r>
            <w:r w:rsidRPr="00E85F1B">
              <w:rPr>
                <w:rFonts w:cs="Arial"/>
                <w:sz w:val="20"/>
                <w:szCs w:val="20"/>
              </w:rPr>
              <w:t xml:space="preserve"> on new curriculum and course offerings that meet the emerging needs of industry and can keep pace with rapid technological change. This will require a ‘regulatory sandbox’ approach that relaxes current funding and regulatory constraints that inhibit such cross-sectoral collaboration.</w:t>
            </w:r>
          </w:p>
        </w:tc>
      </w:tr>
      <w:tr w:rsidR="0012447B" w:rsidRPr="00E5087D" w14:paraId="4CCBAD24" w14:textId="77777777" w:rsidTr="00336D8B">
        <w:tc>
          <w:tcPr>
            <w:tcW w:w="751" w:type="dxa"/>
            <w:shd w:val="clear" w:color="auto" w:fill="E0D1F5" w:themeFill="accent1" w:themeFillTint="33"/>
          </w:tcPr>
          <w:p w14:paraId="05667CB5" w14:textId="71806640" w:rsidR="0012447B" w:rsidRPr="00336D8B" w:rsidRDefault="0012447B" w:rsidP="0012447B">
            <w:pPr>
              <w:spacing w:before="80" w:after="80"/>
              <w:rPr>
                <w:rFonts w:cs="Arial"/>
                <w:b/>
                <w:bCs/>
              </w:rPr>
            </w:pPr>
            <w:r w:rsidRPr="407CCB66">
              <w:rPr>
                <w:rFonts w:cs="Arial"/>
                <w:b/>
                <w:bCs/>
              </w:rPr>
              <w:t>7.2</w:t>
            </w:r>
          </w:p>
        </w:tc>
        <w:tc>
          <w:tcPr>
            <w:tcW w:w="8177" w:type="dxa"/>
            <w:shd w:val="clear" w:color="auto" w:fill="E0D1F5" w:themeFill="accent1" w:themeFillTint="33"/>
          </w:tcPr>
          <w:p w14:paraId="47CADEA1" w14:textId="7252D0E1" w:rsidR="0012447B" w:rsidRPr="00E85F1B" w:rsidRDefault="0012447B" w:rsidP="0012447B">
            <w:pPr>
              <w:tabs>
                <w:tab w:val="left" w:pos="1085"/>
              </w:tabs>
              <w:spacing w:before="80" w:after="80"/>
              <w:rPr>
                <w:rFonts w:cs="Arial"/>
              </w:rPr>
            </w:pPr>
            <w:r w:rsidRPr="00E85F1B">
              <w:rPr>
                <w:rFonts w:cs="Arial"/>
                <w:sz w:val="20"/>
                <w:szCs w:val="20"/>
              </w:rPr>
              <w:t xml:space="preserve">In collaboration with states and territories, </w:t>
            </w:r>
            <w:r w:rsidR="009905B5" w:rsidRPr="00E85F1B">
              <w:rPr>
                <w:rFonts w:cs="Arial"/>
                <w:sz w:val="20"/>
                <w:szCs w:val="20"/>
              </w:rPr>
              <w:t xml:space="preserve">consider </w:t>
            </w:r>
            <w:r w:rsidRPr="00E85F1B">
              <w:rPr>
                <w:rFonts w:cs="Arial"/>
                <w:sz w:val="20"/>
                <w:szCs w:val="20"/>
              </w:rPr>
              <w:t>expand</w:t>
            </w:r>
            <w:r w:rsidR="009905B5" w:rsidRPr="00E85F1B">
              <w:rPr>
                <w:rFonts w:cs="Arial"/>
                <w:sz w:val="20"/>
                <w:szCs w:val="20"/>
              </w:rPr>
              <w:t>ing</w:t>
            </w:r>
            <w:r w:rsidRPr="00E85F1B">
              <w:rPr>
                <w:rFonts w:cs="Arial"/>
                <w:sz w:val="20"/>
                <w:szCs w:val="20"/>
              </w:rPr>
              <w:t xml:space="preserve"> opportunities for mid-tier work-based and integrated learning, including higher apprenticeships, top-up training and microcredentials.</w:t>
            </w:r>
          </w:p>
        </w:tc>
      </w:tr>
      <w:tr w:rsidR="0012447B" w:rsidRPr="00E5087D" w14:paraId="349E8FEA" w14:textId="77777777" w:rsidTr="00336D8B">
        <w:tc>
          <w:tcPr>
            <w:tcW w:w="751" w:type="dxa"/>
            <w:shd w:val="clear" w:color="auto" w:fill="FFFFFF" w:themeFill="background1"/>
          </w:tcPr>
          <w:p w14:paraId="3CBE1213" w14:textId="6A007037" w:rsidR="0012447B" w:rsidRPr="00336D8B" w:rsidRDefault="0012447B" w:rsidP="0012447B">
            <w:pPr>
              <w:spacing w:before="80" w:after="80"/>
              <w:rPr>
                <w:rFonts w:cs="Arial"/>
                <w:b/>
                <w:bCs/>
              </w:rPr>
            </w:pPr>
            <w:r w:rsidRPr="00243D80">
              <w:rPr>
                <w:rFonts w:cs="Arial"/>
                <w:b/>
                <w:bCs/>
              </w:rPr>
              <w:t>7.3</w:t>
            </w:r>
          </w:p>
        </w:tc>
        <w:tc>
          <w:tcPr>
            <w:tcW w:w="8177" w:type="dxa"/>
            <w:shd w:val="clear" w:color="auto" w:fill="FFFFFF" w:themeFill="background1"/>
          </w:tcPr>
          <w:p w14:paraId="62C82E21" w14:textId="0618E186" w:rsidR="0012447B" w:rsidRPr="00E85F1B" w:rsidRDefault="003A23CC" w:rsidP="0012447B">
            <w:pPr>
              <w:tabs>
                <w:tab w:val="left" w:pos="1085"/>
              </w:tabs>
              <w:spacing w:before="80" w:after="80"/>
              <w:rPr>
                <w:rFonts w:cs="Arial"/>
              </w:rPr>
            </w:pPr>
            <w:r w:rsidRPr="00E85F1B">
              <w:rPr>
                <w:rFonts w:cs="Arial"/>
                <w:sz w:val="20"/>
                <w:szCs w:val="20"/>
              </w:rPr>
              <w:t>The National Careers Institute should collaborate with tertiary providers, industry and other stakeholders to improve awareness of clean energy career pathways, including the many different education and training options to specialise.</w:t>
            </w:r>
          </w:p>
        </w:tc>
      </w:tr>
      <w:tr w:rsidR="0012447B" w:rsidRPr="00E5087D" w14:paraId="107A4ADD" w14:textId="77777777" w:rsidTr="00336D8B">
        <w:tc>
          <w:tcPr>
            <w:tcW w:w="751" w:type="dxa"/>
            <w:shd w:val="clear" w:color="auto" w:fill="E0D1F5" w:themeFill="accent1" w:themeFillTint="33"/>
          </w:tcPr>
          <w:p w14:paraId="4203DB60" w14:textId="5BDF6EFF" w:rsidR="0012447B" w:rsidRPr="00336D8B" w:rsidRDefault="0012447B" w:rsidP="0012447B">
            <w:pPr>
              <w:spacing w:before="80" w:after="80"/>
              <w:rPr>
                <w:rFonts w:cs="Arial"/>
                <w:b/>
                <w:bCs/>
              </w:rPr>
            </w:pPr>
            <w:r w:rsidRPr="407CCB66">
              <w:rPr>
                <w:rFonts w:cs="Arial"/>
                <w:b/>
                <w:bCs/>
              </w:rPr>
              <w:t>7.</w:t>
            </w:r>
            <w:r>
              <w:rPr>
                <w:rFonts w:cs="Arial"/>
                <w:b/>
                <w:bCs/>
              </w:rPr>
              <w:t>4</w:t>
            </w:r>
          </w:p>
        </w:tc>
        <w:tc>
          <w:tcPr>
            <w:tcW w:w="8177" w:type="dxa"/>
            <w:shd w:val="clear" w:color="auto" w:fill="E0D1F5" w:themeFill="accent1" w:themeFillTint="33"/>
          </w:tcPr>
          <w:p w14:paraId="2903C3C6" w14:textId="51180864" w:rsidR="0012447B" w:rsidRPr="00E85F1B" w:rsidRDefault="0012447B" w:rsidP="0012447B">
            <w:pPr>
              <w:tabs>
                <w:tab w:val="left" w:pos="1085"/>
              </w:tabs>
              <w:spacing w:before="80" w:after="80"/>
              <w:rPr>
                <w:rFonts w:cs="Arial"/>
              </w:rPr>
            </w:pPr>
            <w:r w:rsidRPr="00E85F1B">
              <w:rPr>
                <w:rFonts w:cs="Arial"/>
                <w:sz w:val="20"/>
                <w:szCs w:val="20"/>
              </w:rPr>
              <w:t>Consider giving TAFE Centres of Excellence authority to self-accredit courses in their areas of expertise to expedite new training.</w:t>
            </w:r>
          </w:p>
        </w:tc>
      </w:tr>
      <w:tr w:rsidR="0012447B" w:rsidRPr="00E5087D" w14:paraId="5F2B12FC" w14:textId="77777777" w:rsidTr="00336D8B">
        <w:tc>
          <w:tcPr>
            <w:tcW w:w="751" w:type="dxa"/>
            <w:shd w:val="clear" w:color="auto" w:fill="FFFFFF" w:themeFill="background1"/>
          </w:tcPr>
          <w:p w14:paraId="3E96C226" w14:textId="093836B0" w:rsidR="0012447B" w:rsidRPr="00336D8B" w:rsidRDefault="0012447B" w:rsidP="0012447B">
            <w:pPr>
              <w:spacing w:before="80" w:after="80"/>
              <w:rPr>
                <w:rFonts w:cs="Arial"/>
                <w:b/>
                <w:bCs/>
              </w:rPr>
            </w:pPr>
            <w:r w:rsidRPr="407CCB66">
              <w:rPr>
                <w:rFonts w:cs="Arial"/>
                <w:b/>
                <w:bCs/>
              </w:rPr>
              <w:t>7.</w:t>
            </w:r>
            <w:r>
              <w:rPr>
                <w:rFonts w:cs="Arial"/>
                <w:b/>
                <w:bCs/>
              </w:rPr>
              <w:t>5</w:t>
            </w:r>
          </w:p>
        </w:tc>
        <w:tc>
          <w:tcPr>
            <w:tcW w:w="8177" w:type="dxa"/>
            <w:shd w:val="clear" w:color="auto" w:fill="FFFFFF" w:themeFill="background1"/>
          </w:tcPr>
          <w:p w14:paraId="38A2F8AF" w14:textId="7B85DD94" w:rsidR="0012447B" w:rsidRPr="00E85F1B" w:rsidRDefault="0012447B" w:rsidP="0012447B">
            <w:pPr>
              <w:tabs>
                <w:tab w:val="left" w:pos="1085"/>
              </w:tabs>
              <w:spacing w:before="80" w:after="80"/>
              <w:rPr>
                <w:rFonts w:cs="Arial"/>
              </w:rPr>
            </w:pPr>
            <w:r w:rsidRPr="00E85F1B">
              <w:rPr>
                <w:rFonts w:cs="Arial"/>
                <w:sz w:val="20"/>
                <w:szCs w:val="20"/>
              </w:rPr>
              <w:t>Explore mechanisms to provide seed funding to universities, TAFE Centres of Excellence and other education providers to develop curriculum in priority areas. These areas would need to be identified through robust criteria co-designed with state and territory governments.</w:t>
            </w:r>
          </w:p>
        </w:tc>
      </w:tr>
      <w:tr w:rsidR="0012447B" w:rsidRPr="00E5087D" w14:paraId="791FC291" w14:textId="77777777" w:rsidTr="00336D8B">
        <w:tc>
          <w:tcPr>
            <w:tcW w:w="751" w:type="dxa"/>
            <w:shd w:val="clear" w:color="auto" w:fill="E0D1F5" w:themeFill="accent1" w:themeFillTint="33"/>
          </w:tcPr>
          <w:p w14:paraId="12843D58" w14:textId="47C8FE9C" w:rsidR="0012447B" w:rsidRPr="00336D8B" w:rsidRDefault="0012447B" w:rsidP="0012447B">
            <w:pPr>
              <w:spacing w:before="80" w:after="80"/>
              <w:rPr>
                <w:rFonts w:cs="Arial"/>
                <w:b/>
                <w:bCs/>
              </w:rPr>
            </w:pPr>
            <w:r w:rsidRPr="407CCB66">
              <w:rPr>
                <w:rFonts w:cs="Arial"/>
                <w:b/>
                <w:bCs/>
              </w:rPr>
              <w:t>7.</w:t>
            </w:r>
            <w:r>
              <w:rPr>
                <w:rFonts w:cs="Arial"/>
                <w:b/>
                <w:bCs/>
              </w:rPr>
              <w:t>6</w:t>
            </w:r>
          </w:p>
        </w:tc>
        <w:tc>
          <w:tcPr>
            <w:tcW w:w="8177" w:type="dxa"/>
            <w:shd w:val="clear" w:color="auto" w:fill="E0D1F5" w:themeFill="accent1" w:themeFillTint="33"/>
          </w:tcPr>
          <w:p w14:paraId="76320CBE" w14:textId="61136F0C" w:rsidR="0012447B" w:rsidRPr="00E85F1B" w:rsidRDefault="0012447B" w:rsidP="0012447B">
            <w:pPr>
              <w:tabs>
                <w:tab w:val="left" w:pos="1085"/>
              </w:tabs>
              <w:spacing w:before="80" w:after="80"/>
              <w:rPr>
                <w:rFonts w:cs="Arial"/>
              </w:rPr>
            </w:pPr>
            <w:r w:rsidRPr="00E85F1B">
              <w:rPr>
                <w:rFonts w:cs="Arial"/>
                <w:sz w:val="20"/>
                <w:szCs w:val="20"/>
              </w:rPr>
              <w:t>Explore mechanisms for identifying and servicing thin markets in higher education and VET to ensure training provision in areas critical to the clean energy transition, including hub and spoke models of delivery.</w:t>
            </w:r>
          </w:p>
        </w:tc>
      </w:tr>
      <w:tr w:rsidR="0012447B" w:rsidRPr="00E5087D" w14:paraId="308566E6" w14:textId="77777777" w:rsidTr="00336D8B">
        <w:tc>
          <w:tcPr>
            <w:tcW w:w="751" w:type="dxa"/>
            <w:shd w:val="clear" w:color="auto" w:fill="FFFFFF" w:themeFill="background1"/>
          </w:tcPr>
          <w:p w14:paraId="52782418" w14:textId="75ABE943" w:rsidR="0012447B" w:rsidRPr="00336D8B" w:rsidRDefault="0012447B" w:rsidP="0012447B">
            <w:pPr>
              <w:spacing w:before="80" w:after="80"/>
              <w:rPr>
                <w:rFonts w:cs="Arial"/>
                <w:b/>
                <w:bCs/>
              </w:rPr>
            </w:pPr>
            <w:r w:rsidRPr="407CCB66">
              <w:rPr>
                <w:rFonts w:cs="Arial"/>
                <w:b/>
                <w:bCs/>
              </w:rPr>
              <w:t>7.</w:t>
            </w:r>
            <w:r>
              <w:rPr>
                <w:rFonts w:cs="Arial"/>
                <w:b/>
                <w:bCs/>
              </w:rPr>
              <w:t>7</w:t>
            </w:r>
          </w:p>
        </w:tc>
        <w:tc>
          <w:tcPr>
            <w:tcW w:w="8177" w:type="dxa"/>
            <w:shd w:val="clear" w:color="auto" w:fill="FFFFFF" w:themeFill="background1"/>
          </w:tcPr>
          <w:p w14:paraId="660D8A74" w14:textId="2A485B94" w:rsidR="0012447B" w:rsidRPr="00E85F1B" w:rsidRDefault="00DF1F6D" w:rsidP="0012447B">
            <w:pPr>
              <w:tabs>
                <w:tab w:val="left" w:pos="1085"/>
              </w:tabs>
              <w:spacing w:before="80" w:after="80"/>
              <w:rPr>
                <w:rStyle w:val="normaltextrun"/>
                <w:rFonts w:cs="Arial"/>
              </w:rPr>
            </w:pPr>
            <w:r w:rsidRPr="00E85F1B">
              <w:rPr>
                <w:rFonts w:cs="Arial"/>
                <w:sz w:val="20"/>
                <w:szCs w:val="20"/>
              </w:rPr>
              <w:t xml:space="preserve">Explore the merits of fostering </w:t>
            </w:r>
            <w:r w:rsidR="000379C2" w:rsidRPr="00E85F1B">
              <w:rPr>
                <w:rFonts w:cs="Arial"/>
                <w:sz w:val="20"/>
                <w:szCs w:val="20"/>
              </w:rPr>
              <w:t>group training schemes</w:t>
            </w:r>
            <w:r w:rsidRPr="00E85F1B">
              <w:rPr>
                <w:rFonts w:cs="Arial"/>
                <w:sz w:val="20"/>
                <w:szCs w:val="20"/>
              </w:rPr>
              <w:t xml:space="preserve"> as a means of employing apprentices in clean energy roles. This may help apprentices access shorter-term energy projects and gain broad experience with different technologies.  </w:t>
            </w:r>
          </w:p>
        </w:tc>
      </w:tr>
      <w:tr w:rsidR="0012447B" w:rsidRPr="00E5087D" w14:paraId="3C8E71A2" w14:textId="77777777" w:rsidTr="00336D8B">
        <w:tc>
          <w:tcPr>
            <w:tcW w:w="751" w:type="dxa"/>
            <w:shd w:val="clear" w:color="auto" w:fill="E0D1F5" w:themeFill="accent1" w:themeFillTint="33"/>
          </w:tcPr>
          <w:p w14:paraId="08C94878" w14:textId="0BC8EE0B" w:rsidR="0012447B" w:rsidRPr="00336D8B" w:rsidRDefault="0012447B" w:rsidP="0012447B">
            <w:pPr>
              <w:spacing w:before="80" w:after="80"/>
              <w:rPr>
                <w:rFonts w:cs="Arial"/>
                <w:b/>
                <w:bCs/>
              </w:rPr>
            </w:pPr>
            <w:r w:rsidRPr="407CCB66">
              <w:rPr>
                <w:rFonts w:cs="Arial"/>
                <w:b/>
                <w:bCs/>
              </w:rPr>
              <w:t>7.</w:t>
            </w:r>
            <w:r>
              <w:rPr>
                <w:rFonts w:cs="Arial"/>
                <w:b/>
                <w:bCs/>
              </w:rPr>
              <w:t>8</w:t>
            </w:r>
          </w:p>
        </w:tc>
        <w:tc>
          <w:tcPr>
            <w:tcW w:w="8177" w:type="dxa"/>
            <w:shd w:val="clear" w:color="auto" w:fill="E0D1F5" w:themeFill="accent1" w:themeFillTint="33"/>
          </w:tcPr>
          <w:p w14:paraId="2CEDDEF0" w14:textId="53003350" w:rsidR="0012447B" w:rsidRPr="00E85F1B" w:rsidRDefault="0012447B" w:rsidP="0012447B">
            <w:pPr>
              <w:tabs>
                <w:tab w:val="left" w:pos="1085"/>
              </w:tabs>
              <w:spacing w:before="80" w:after="80"/>
            </w:pPr>
            <w:r w:rsidRPr="00E85F1B">
              <w:rPr>
                <w:rStyle w:val="normaltextrun"/>
                <w:rFonts w:cs="Arial"/>
                <w:sz w:val="20"/>
                <w:szCs w:val="20"/>
              </w:rPr>
              <w:t>Continue to make dedicated capital funding available, along the lines of the Revitalising TAFE Campuses Across Australia agreement, and similar programs in higher education, to ensure training facilities have access to current equipment. Ideally this will include ways to incentivise industry financial and in-kind support.</w:t>
            </w:r>
            <w:r w:rsidRPr="00E85F1B">
              <w:rPr>
                <w:rStyle w:val="normaltextrun"/>
                <w:rFonts w:cs="Arial"/>
                <w:sz w:val="20"/>
                <w:szCs w:val="20"/>
                <w:shd w:val="clear" w:color="auto" w:fill="FFFFFF"/>
              </w:rPr>
              <w:t xml:space="preserve">  </w:t>
            </w:r>
          </w:p>
        </w:tc>
      </w:tr>
      <w:tr w:rsidR="0012447B" w:rsidRPr="00E5087D" w14:paraId="53417823" w14:textId="77777777" w:rsidTr="00336D8B">
        <w:tc>
          <w:tcPr>
            <w:tcW w:w="751" w:type="dxa"/>
            <w:shd w:val="clear" w:color="auto" w:fill="FFFFFF" w:themeFill="background1"/>
          </w:tcPr>
          <w:p w14:paraId="3FAA2287" w14:textId="33926E3D" w:rsidR="0012447B" w:rsidRPr="00336D8B" w:rsidRDefault="0012447B" w:rsidP="0012447B">
            <w:pPr>
              <w:spacing w:before="80" w:after="80"/>
              <w:rPr>
                <w:rFonts w:cs="Arial"/>
                <w:b/>
                <w:bCs/>
              </w:rPr>
            </w:pPr>
            <w:r w:rsidRPr="407CCB66">
              <w:rPr>
                <w:rFonts w:cs="Arial"/>
                <w:b/>
                <w:bCs/>
              </w:rPr>
              <w:t>7.</w:t>
            </w:r>
            <w:r>
              <w:rPr>
                <w:rFonts w:cs="Arial"/>
                <w:b/>
                <w:bCs/>
              </w:rPr>
              <w:t>9</w:t>
            </w:r>
          </w:p>
        </w:tc>
        <w:tc>
          <w:tcPr>
            <w:tcW w:w="8177" w:type="dxa"/>
            <w:shd w:val="clear" w:color="auto" w:fill="FFFFFF" w:themeFill="background1"/>
          </w:tcPr>
          <w:p w14:paraId="7CFB643D" w14:textId="2C0A5787" w:rsidR="0012447B" w:rsidRPr="00E85F1B" w:rsidRDefault="0012447B" w:rsidP="0012447B">
            <w:pPr>
              <w:tabs>
                <w:tab w:val="left" w:pos="1085"/>
              </w:tabs>
              <w:spacing w:before="80" w:after="80"/>
              <w:rPr>
                <w:rStyle w:val="normaltextrun"/>
                <w:rFonts w:cs="Arial"/>
                <w:shd w:val="clear" w:color="auto" w:fill="FFFFFF"/>
              </w:rPr>
            </w:pPr>
            <w:r w:rsidRPr="00E85F1B">
              <w:rPr>
                <w:rFonts w:cs="Arial"/>
                <w:sz w:val="20"/>
                <w:szCs w:val="20"/>
              </w:rPr>
              <w:t xml:space="preserve">Consider establishing a pilot program that, along similar lines to the group training model, allows employers to access </w:t>
            </w:r>
            <w:r w:rsidR="00A15A55" w:rsidRPr="00E85F1B">
              <w:rPr>
                <w:rFonts w:cs="Arial"/>
                <w:sz w:val="20"/>
                <w:szCs w:val="20"/>
              </w:rPr>
              <w:t>higher education</w:t>
            </w:r>
            <w:r w:rsidRPr="00E85F1B">
              <w:rPr>
                <w:rFonts w:cs="Arial"/>
                <w:sz w:val="20"/>
                <w:szCs w:val="20"/>
              </w:rPr>
              <w:t xml:space="preserve"> students for paid placements without needing to assume the responsibilities of an employer. The program would need to consider rights, responsibilities and protections.</w:t>
            </w:r>
          </w:p>
        </w:tc>
      </w:tr>
    </w:tbl>
    <w:p w14:paraId="1F542063" w14:textId="77777777" w:rsidR="00A65F56" w:rsidRDefault="00A65F56">
      <w:r>
        <w:br w:type="page"/>
      </w:r>
    </w:p>
    <w:tbl>
      <w:tblPr>
        <w:tblStyle w:val="TableGrid"/>
        <w:tblW w:w="0" w:type="auto"/>
        <w:tblBorders>
          <w:top w:val="single" w:sz="6" w:space="0" w:color="C2A5EC"/>
          <w:left w:val="none" w:sz="0" w:space="0" w:color="auto"/>
          <w:bottom w:val="single" w:sz="6" w:space="0" w:color="C2A5EC"/>
          <w:right w:val="none" w:sz="0" w:space="0" w:color="auto"/>
          <w:insideH w:val="none" w:sz="0" w:space="0" w:color="auto"/>
          <w:insideV w:val="single" w:sz="6" w:space="0" w:color="C2A5EC"/>
        </w:tblBorders>
        <w:tblLook w:val="04A0" w:firstRow="1" w:lastRow="0" w:firstColumn="1" w:lastColumn="0" w:noHBand="0" w:noVBand="1"/>
      </w:tblPr>
      <w:tblGrid>
        <w:gridCol w:w="751"/>
        <w:gridCol w:w="8177"/>
      </w:tblGrid>
      <w:tr w:rsidR="0012447B" w:rsidRPr="00E5087D" w14:paraId="233F4CCF" w14:textId="77777777" w:rsidTr="00336D8B">
        <w:tc>
          <w:tcPr>
            <w:tcW w:w="751" w:type="dxa"/>
            <w:shd w:val="clear" w:color="auto" w:fill="E0D1F5" w:themeFill="accent1" w:themeFillTint="33"/>
          </w:tcPr>
          <w:p w14:paraId="11AAB9D9" w14:textId="4D1E529D" w:rsidR="0012447B" w:rsidRPr="00336D8B" w:rsidRDefault="0012447B" w:rsidP="0012447B">
            <w:pPr>
              <w:spacing w:before="80" w:after="80"/>
              <w:rPr>
                <w:rFonts w:cs="Arial"/>
                <w:b/>
                <w:bCs/>
              </w:rPr>
            </w:pPr>
            <w:r w:rsidRPr="407CCB66">
              <w:rPr>
                <w:rFonts w:cs="Arial"/>
                <w:b/>
                <w:bCs/>
              </w:rPr>
              <w:t>7.10</w:t>
            </w:r>
          </w:p>
        </w:tc>
        <w:tc>
          <w:tcPr>
            <w:tcW w:w="8177" w:type="dxa"/>
            <w:shd w:val="clear" w:color="auto" w:fill="E0D1F5" w:themeFill="accent1" w:themeFillTint="33"/>
          </w:tcPr>
          <w:p w14:paraId="5DA87938" w14:textId="621BDBE7" w:rsidR="0012447B" w:rsidRPr="00336D8B" w:rsidRDefault="0012447B" w:rsidP="0012447B">
            <w:pPr>
              <w:tabs>
                <w:tab w:val="left" w:pos="1085"/>
              </w:tabs>
              <w:spacing w:before="80" w:after="80"/>
              <w:rPr>
                <w:rStyle w:val="normaltextrun"/>
                <w:rFonts w:cs="Arial"/>
                <w:color w:val="000000"/>
                <w:shd w:val="clear" w:color="auto" w:fill="FFFFFF"/>
              </w:rPr>
            </w:pPr>
            <w:r w:rsidRPr="00DA3C25">
              <w:rPr>
                <w:rStyle w:val="normaltextrun"/>
                <w:rFonts w:cs="Arial"/>
                <w:color w:val="000000"/>
                <w:sz w:val="20"/>
                <w:szCs w:val="20"/>
                <w:bdr w:val="none" w:sz="0" w:space="0" w:color="auto" w:frame="1"/>
              </w:rPr>
              <w:t xml:space="preserve">Education and training providers should consider entry requirements and supported pathways, like pre-apprenticeships and elective substitutes, to encourage more students from underrepresented backgrounds into full qualifications. Governments should </w:t>
            </w:r>
            <w:r w:rsidR="009905B5">
              <w:rPr>
                <w:rStyle w:val="normaltextrun"/>
                <w:rFonts w:cs="Arial"/>
                <w:color w:val="000000"/>
                <w:sz w:val="20"/>
                <w:szCs w:val="20"/>
                <w:bdr w:val="none" w:sz="0" w:space="0" w:color="auto" w:frame="1"/>
              </w:rPr>
              <w:t>c</w:t>
            </w:r>
            <w:r w:rsidR="009905B5">
              <w:rPr>
                <w:rStyle w:val="normaltextrun"/>
                <w:color w:val="000000"/>
                <w:sz w:val="20"/>
                <w:szCs w:val="20"/>
                <w:bdr w:val="none" w:sz="0" w:space="0" w:color="auto" w:frame="1"/>
              </w:rPr>
              <w:t>onsider the adequacy of funding</w:t>
            </w:r>
            <w:r w:rsidRPr="00DA3C25">
              <w:rPr>
                <w:rStyle w:val="normaltextrun"/>
                <w:rFonts w:cs="Arial"/>
                <w:color w:val="000000"/>
                <w:sz w:val="20"/>
                <w:szCs w:val="20"/>
                <w:bdr w:val="none" w:sz="0" w:space="0" w:color="auto" w:frame="1"/>
              </w:rPr>
              <w:t xml:space="preserve"> of these programs, including appropriate wrap-around supports</w:t>
            </w:r>
            <w:r>
              <w:rPr>
                <w:rStyle w:val="normaltextrun"/>
                <w:rFonts w:cs="Arial"/>
                <w:color w:val="000000"/>
                <w:sz w:val="20"/>
                <w:szCs w:val="20"/>
                <w:bdr w:val="none" w:sz="0" w:space="0" w:color="auto" w:frame="1"/>
              </w:rPr>
              <w:t xml:space="preserve">, scholarships </w:t>
            </w:r>
            <w:r w:rsidRPr="00DA3C25">
              <w:rPr>
                <w:rStyle w:val="normaltextrun"/>
                <w:rFonts w:cs="Arial"/>
                <w:color w:val="000000"/>
                <w:sz w:val="20"/>
                <w:szCs w:val="20"/>
                <w:bdr w:val="none" w:sz="0" w:space="0" w:color="auto" w:frame="1"/>
              </w:rPr>
              <w:t xml:space="preserve">and industry connections. </w:t>
            </w:r>
          </w:p>
        </w:tc>
      </w:tr>
      <w:tr w:rsidR="0012447B" w:rsidRPr="00E5087D" w14:paraId="321618DE" w14:textId="77777777" w:rsidTr="00336D8B">
        <w:tc>
          <w:tcPr>
            <w:tcW w:w="751" w:type="dxa"/>
            <w:shd w:val="clear" w:color="auto" w:fill="FFFFFF" w:themeFill="background1"/>
          </w:tcPr>
          <w:p w14:paraId="4E727784" w14:textId="05BCA350" w:rsidR="0012447B" w:rsidRPr="00336D8B" w:rsidRDefault="0012447B" w:rsidP="0012447B">
            <w:pPr>
              <w:spacing w:before="80" w:after="80"/>
              <w:rPr>
                <w:rFonts w:cs="Arial"/>
                <w:b/>
                <w:bCs/>
              </w:rPr>
            </w:pPr>
            <w:r w:rsidRPr="407CCB66">
              <w:rPr>
                <w:rFonts w:cs="Arial"/>
                <w:b/>
                <w:bCs/>
              </w:rPr>
              <w:t>7.11</w:t>
            </w:r>
          </w:p>
        </w:tc>
        <w:tc>
          <w:tcPr>
            <w:tcW w:w="8177" w:type="dxa"/>
            <w:shd w:val="clear" w:color="auto" w:fill="FFFFFF" w:themeFill="background1"/>
          </w:tcPr>
          <w:p w14:paraId="185FE663" w14:textId="36F3803C" w:rsidR="0012447B" w:rsidRPr="00336D8B" w:rsidRDefault="003B446B" w:rsidP="0012447B">
            <w:pPr>
              <w:tabs>
                <w:tab w:val="left" w:pos="1085"/>
              </w:tabs>
              <w:spacing w:before="80" w:after="80"/>
              <w:rPr>
                <w:rStyle w:val="normaltextrun"/>
                <w:rFonts w:cs="Arial"/>
                <w:color w:val="000000"/>
                <w:bdr w:val="none" w:sz="0" w:space="0" w:color="auto" w:frame="1"/>
              </w:rPr>
            </w:pPr>
            <w:r w:rsidRPr="003B446B">
              <w:rPr>
                <w:rFonts w:cs="Arial"/>
                <w:sz w:val="20"/>
                <w:szCs w:val="20"/>
              </w:rPr>
              <w:t>Supercharge efforts to increase the uptake and availability of STEM education and training as a coordinated, whole of government priority. This include</w:t>
            </w:r>
            <w:r w:rsidR="00243900">
              <w:rPr>
                <w:rFonts w:cs="Arial"/>
                <w:sz w:val="20"/>
                <w:szCs w:val="20"/>
              </w:rPr>
              <w:t>s</w:t>
            </w:r>
            <w:r w:rsidRPr="003B446B">
              <w:rPr>
                <w:rFonts w:cs="Arial"/>
                <w:sz w:val="20"/>
                <w:szCs w:val="20"/>
              </w:rPr>
              <w:t xml:space="preserve"> supporting programs that inspire young people towards STEM careers and break down barriers to make career paths more accessible.  It is important that VET, particularly trade qualifications, is supported and communicated as a critical STEM pathway.</w:t>
            </w:r>
          </w:p>
        </w:tc>
      </w:tr>
      <w:tr w:rsidR="0012447B" w:rsidRPr="00E5087D" w14:paraId="6FB8ECA8" w14:textId="77777777" w:rsidTr="00336D8B">
        <w:tc>
          <w:tcPr>
            <w:tcW w:w="751" w:type="dxa"/>
            <w:shd w:val="clear" w:color="auto" w:fill="E0D1F5" w:themeFill="accent1" w:themeFillTint="33"/>
          </w:tcPr>
          <w:p w14:paraId="14C4B945" w14:textId="7EF47314" w:rsidR="0012447B" w:rsidRPr="00336D8B" w:rsidRDefault="0012447B" w:rsidP="0012447B">
            <w:pPr>
              <w:spacing w:before="80" w:after="80"/>
              <w:rPr>
                <w:rFonts w:cs="Arial"/>
                <w:b/>
                <w:bCs/>
              </w:rPr>
            </w:pPr>
            <w:r w:rsidRPr="407CCB66">
              <w:rPr>
                <w:rFonts w:cs="Arial"/>
                <w:b/>
                <w:bCs/>
              </w:rPr>
              <w:t>7.12</w:t>
            </w:r>
          </w:p>
        </w:tc>
        <w:tc>
          <w:tcPr>
            <w:tcW w:w="8177" w:type="dxa"/>
            <w:shd w:val="clear" w:color="auto" w:fill="E0D1F5" w:themeFill="accent1" w:themeFillTint="33"/>
          </w:tcPr>
          <w:p w14:paraId="5A043D85" w14:textId="02EFC13A" w:rsidR="0012447B" w:rsidRPr="00336D8B" w:rsidRDefault="0012447B" w:rsidP="0012447B">
            <w:pPr>
              <w:tabs>
                <w:tab w:val="left" w:pos="1085"/>
              </w:tabs>
              <w:spacing w:before="80" w:after="80"/>
              <w:rPr>
                <w:rStyle w:val="normaltextrun"/>
                <w:rFonts w:cs="Arial"/>
                <w:color w:val="000000"/>
                <w:shd w:val="clear" w:color="auto" w:fill="FFFFFF"/>
              </w:rPr>
            </w:pPr>
            <w:r w:rsidRPr="003B6A34">
              <w:rPr>
                <w:rStyle w:val="normaltextrun"/>
                <w:rFonts w:cs="Arial"/>
                <w:sz w:val="20"/>
                <w:szCs w:val="20"/>
              </w:rPr>
              <w:t>Work in partnership with industry and education and training providers to deliver upskilling opportunities for the teaching workforce to maintain their skills currency as new technologies emerge.</w:t>
            </w:r>
          </w:p>
        </w:tc>
      </w:tr>
      <w:tr w:rsidR="0012447B" w:rsidRPr="00E5087D" w14:paraId="5F4C24F5" w14:textId="77777777" w:rsidTr="00336D8B">
        <w:tc>
          <w:tcPr>
            <w:tcW w:w="751" w:type="dxa"/>
            <w:shd w:val="clear" w:color="auto" w:fill="FFFFFF" w:themeFill="background1"/>
          </w:tcPr>
          <w:p w14:paraId="245BE4F7" w14:textId="42D48465" w:rsidR="0012447B" w:rsidRPr="00336D8B" w:rsidRDefault="0012447B" w:rsidP="0012447B">
            <w:pPr>
              <w:spacing w:before="80" w:after="80"/>
              <w:rPr>
                <w:rFonts w:cs="Arial"/>
                <w:b/>
                <w:bCs/>
              </w:rPr>
            </w:pPr>
            <w:r w:rsidRPr="407CCB66">
              <w:rPr>
                <w:rFonts w:cs="Arial"/>
                <w:b/>
                <w:bCs/>
              </w:rPr>
              <w:t>7.13</w:t>
            </w:r>
          </w:p>
        </w:tc>
        <w:tc>
          <w:tcPr>
            <w:tcW w:w="8177" w:type="dxa"/>
            <w:shd w:val="clear" w:color="auto" w:fill="FFFFFF" w:themeFill="background1"/>
          </w:tcPr>
          <w:p w14:paraId="746B9BFD" w14:textId="565C5EDE" w:rsidR="0012447B" w:rsidRPr="00336D8B" w:rsidRDefault="00582EA8" w:rsidP="0012447B">
            <w:pPr>
              <w:tabs>
                <w:tab w:val="left" w:pos="1085"/>
              </w:tabs>
              <w:spacing w:before="80" w:after="80"/>
              <w:rPr>
                <w:rStyle w:val="normaltextrun"/>
                <w:rFonts w:cs="Arial"/>
                <w:color w:val="000000"/>
                <w:bdr w:val="none" w:sz="0" w:space="0" w:color="auto" w:frame="1"/>
              </w:rPr>
            </w:pPr>
            <w:r w:rsidRPr="00582EA8">
              <w:rPr>
                <w:rStyle w:val="normaltextrun"/>
                <w:rFonts w:cs="Arial"/>
                <w:sz w:val="20"/>
                <w:szCs w:val="20"/>
              </w:rPr>
              <w:t>Governments should explore opportunities to support and incentivise experienced electricians and other tradespersons and technicians in critical occupations to become VET teachers and trainers.</w:t>
            </w:r>
          </w:p>
        </w:tc>
      </w:tr>
      <w:tr w:rsidR="0012447B" w:rsidRPr="00E5087D" w14:paraId="138C8E68" w14:textId="77777777" w:rsidTr="00336D8B">
        <w:tc>
          <w:tcPr>
            <w:tcW w:w="751" w:type="dxa"/>
            <w:shd w:val="clear" w:color="auto" w:fill="E0D1F5" w:themeFill="accent1" w:themeFillTint="33"/>
          </w:tcPr>
          <w:p w14:paraId="0732A226" w14:textId="743A6EA4" w:rsidR="0012447B" w:rsidRPr="00336D8B" w:rsidRDefault="0012447B" w:rsidP="0012447B">
            <w:pPr>
              <w:spacing w:before="80" w:after="80"/>
              <w:rPr>
                <w:rFonts w:cs="Arial"/>
                <w:b/>
                <w:bCs/>
              </w:rPr>
            </w:pPr>
            <w:r w:rsidRPr="407CCB66">
              <w:rPr>
                <w:rFonts w:cs="Arial"/>
                <w:b/>
                <w:bCs/>
              </w:rPr>
              <w:t>7.14</w:t>
            </w:r>
          </w:p>
        </w:tc>
        <w:tc>
          <w:tcPr>
            <w:tcW w:w="8177" w:type="dxa"/>
            <w:shd w:val="clear" w:color="auto" w:fill="E0D1F5" w:themeFill="accent1" w:themeFillTint="33"/>
          </w:tcPr>
          <w:p w14:paraId="3C8348CC" w14:textId="00B3837E" w:rsidR="0012447B" w:rsidRPr="00336D8B" w:rsidRDefault="0012447B" w:rsidP="0012447B">
            <w:pPr>
              <w:tabs>
                <w:tab w:val="left" w:pos="1085"/>
              </w:tabs>
              <w:spacing w:before="80" w:after="80"/>
              <w:rPr>
                <w:rStyle w:val="normaltextrun"/>
                <w:rFonts w:cs="Arial"/>
                <w:color w:val="000000"/>
                <w:bdr w:val="none" w:sz="0" w:space="0" w:color="auto" w:frame="1"/>
              </w:rPr>
            </w:pPr>
            <w:r w:rsidRPr="004C4DA4">
              <w:rPr>
                <w:rStyle w:val="normaltextrun"/>
                <w:rFonts w:cs="Arial"/>
                <w:color w:val="000000"/>
                <w:sz w:val="20"/>
                <w:szCs w:val="20"/>
                <w:bdr w:val="none" w:sz="0" w:space="0" w:color="auto" w:frame="1"/>
              </w:rPr>
              <w:t>Investigate initiatives to promote workplace trainers and assessors embedded in industry, working collaboratively with trainers and teachers based in TAFEs and other RTOs. Any initiatives would need to consider how to appropriately reward participating trainers and their employers.</w:t>
            </w:r>
          </w:p>
        </w:tc>
      </w:tr>
      <w:tr w:rsidR="0012447B" w:rsidRPr="00E5087D" w14:paraId="6CBBC857" w14:textId="77777777" w:rsidTr="00336D8B">
        <w:tc>
          <w:tcPr>
            <w:tcW w:w="751" w:type="dxa"/>
            <w:shd w:val="clear" w:color="auto" w:fill="FFFFFF" w:themeFill="background1"/>
          </w:tcPr>
          <w:p w14:paraId="123FEC86" w14:textId="01C81A45" w:rsidR="0012447B" w:rsidRPr="00336D8B" w:rsidRDefault="0012447B" w:rsidP="0012447B">
            <w:pPr>
              <w:spacing w:before="80" w:after="80"/>
              <w:rPr>
                <w:rFonts w:cs="Arial"/>
                <w:b/>
                <w:bCs/>
              </w:rPr>
            </w:pPr>
            <w:r w:rsidRPr="407CCB66">
              <w:rPr>
                <w:rFonts w:cs="Arial"/>
                <w:b/>
                <w:bCs/>
              </w:rPr>
              <w:t>7.15</w:t>
            </w:r>
          </w:p>
        </w:tc>
        <w:tc>
          <w:tcPr>
            <w:tcW w:w="8177" w:type="dxa"/>
            <w:shd w:val="clear" w:color="auto" w:fill="FFFFFF" w:themeFill="background1"/>
          </w:tcPr>
          <w:p w14:paraId="396181C2" w14:textId="74A483F5" w:rsidR="0012447B" w:rsidRPr="00336D8B" w:rsidRDefault="0012447B" w:rsidP="0012447B">
            <w:pPr>
              <w:tabs>
                <w:tab w:val="left" w:pos="1085"/>
              </w:tabs>
              <w:spacing w:before="80" w:after="80"/>
              <w:rPr>
                <w:rStyle w:val="normaltextrun"/>
                <w:rFonts w:cs="Arial"/>
                <w:color w:val="000000"/>
                <w:bdr w:val="none" w:sz="0" w:space="0" w:color="auto" w:frame="1"/>
              </w:rPr>
            </w:pPr>
            <w:r w:rsidRPr="625419B1">
              <w:rPr>
                <w:rFonts w:cs="Arial"/>
                <w:sz w:val="20"/>
                <w:szCs w:val="20"/>
              </w:rPr>
              <w:t>Ensure financial supports and incentives for women in trades are genuinely at the scale required to generate transformational change in the workforce’s composition and culture.</w:t>
            </w:r>
          </w:p>
        </w:tc>
      </w:tr>
      <w:tr w:rsidR="000626A2" w:rsidRPr="00E5087D" w14:paraId="2108DA1E" w14:textId="77777777" w:rsidTr="000626A2">
        <w:tc>
          <w:tcPr>
            <w:tcW w:w="751" w:type="dxa"/>
            <w:shd w:val="clear" w:color="auto" w:fill="E0D1F5" w:themeFill="accent1" w:themeFillTint="33"/>
          </w:tcPr>
          <w:p w14:paraId="39E4B957" w14:textId="4998EEB5" w:rsidR="000626A2" w:rsidRPr="407CCB66" w:rsidRDefault="000626A2" w:rsidP="000626A2">
            <w:pPr>
              <w:spacing w:before="80" w:after="80"/>
              <w:rPr>
                <w:rFonts w:cs="Arial"/>
                <w:b/>
                <w:bCs/>
              </w:rPr>
            </w:pPr>
            <w:r w:rsidRPr="407CCB66">
              <w:rPr>
                <w:rFonts w:cs="Arial"/>
                <w:b/>
                <w:bCs/>
              </w:rPr>
              <w:t>7.16</w:t>
            </w:r>
          </w:p>
        </w:tc>
        <w:tc>
          <w:tcPr>
            <w:tcW w:w="8177" w:type="dxa"/>
            <w:shd w:val="clear" w:color="auto" w:fill="E0D1F5" w:themeFill="accent1" w:themeFillTint="33"/>
          </w:tcPr>
          <w:p w14:paraId="16A708CA" w14:textId="0B0A6568" w:rsidR="000626A2" w:rsidRPr="625419B1" w:rsidRDefault="000626A2" w:rsidP="000626A2">
            <w:pPr>
              <w:tabs>
                <w:tab w:val="left" w:pos="1085"/>
              </w:tabs>
              <w:spacing w:before="80" w:after="80"/>
              <w:rPr>
                <w:rFonts w:cs="Arial"/>
                <w:sz w:val="20"/>
                <w:szCs w:val="20"/>
              </w:rPr>
            </w:pPr>
            <w:r w:rsidRPr="00DA3C25">
              <w:rPr>
                <w:rFonts w:cs="Arial"/>
                <w:sz w:val="20"/>
                <w:szCs w:val="20"/>
              </w:rPr>
              <w:t xml:space="preserve">Explore opportunities to directly support employers to attract, employ, mentor, train and cluster female trade apprentices to increase retention outcomes. </w:t>
            </w:r>
          </w:p>
        </w:tc>
      </w:tr>
      <w:tr w:rsidR="000626A2" w:rsidRPr="00E5087D" w14:paraId="67854DB9" w14:textId="77777777" w:rsidTr="00336D8B">
        <w:tc>
          <w:tcPr>
            <w:tcW w:w="751" w:type="dxa"/>
            <w:shd w:val="clear" w:color="auto" w:fill="FFFFFF" w:themeFill="background1"/>
          </w:tcPr>
          <w:p w14:paraId="6BA4753B" w14:textId="28E0FD7B" w:rsidR="000626A2" w:rsidRPr="407CCB66" w:rsidRDefault="000626A2" w:rsidP="000626A2">
            <w:pPr>
              <w:spacing w:before="80" w:after="80"/>
              <w:rPr>
                <w:rFonts w:cs="Arial"/>
                <w:b/>
                <w:bCs/>
              </w:rPr>
            </w:pPr>
            <w:r w:rsidRPr="005C532E">
              <w:rPr>
                <w:rFonts w:cs="Arial"/>
                <w:b/>
                <w:bCs/>
                <w:color w:val="auto"/>
              </w:rPr>
              <w:t>7.17</w:t>
            </w:r>
          </w:p>
        </w:tc>
        <w:tc>
          <w:tcPr>
            <w:tcW w:w="8177" w:type="dxa"/>
            <w:shd w:val="clear" w:color="auto" w:fill="FFFFFF" w:themeFill="background1"/>
          </w:tcPr>
          <w:p w14:paraId="1F324B73" w14:textId="5A692216" w:rsidR="000626A2" w:rsidRPr="625419B1" w:rsidRDefault="000626A2" w:rsidP="000626A2">
            <w:pPr>
              <w:tabs>
                <w:tab w:val="left" w:pos="1085"/>
              </w:tabs>
              <w:spacing w:before="80" w:after="80"/>
              <w:rPr>
                <w:rFonts w:cs="Arial"/>
                <w:sz w:val="20"/>
                <w:szCs w:val="20"/>
              </w:rPr>
            </w:pPr>
            <w:r w:rsidRPr="005C532E">
              <w:rPr>
                <w:rStyle w:val="normaltextrun"/>
                <w:rFonts w:cs="Arial"/>
                <w:color w:val="auto"/>
                <w:sz w:val="20"/>
                <w:szCs w:val="20"/>
                <w:bdr w:val="none" w:sz="0" w:space="0" w:color="auto" w:frame="1"/>
              </w:rPr>
              <w:t xml:space="preserve">Explore opportunities to provide more support for bridging courses, group learning </w:t>
            </w:r>
            <w:r w:rsidRPr="005C532E">
              <w:rPr>
                <w:rStyle w:val="normaltextrun"/>
                <w:rFonts w:cs="Arial"/>
                <w:color w:val="auto"/>
                <w:sz w:val="20"/>
                <w:szCs w:val="20"/>
              </w:rPr>
              <w:t>and study-to-employment pathways for First Nations, CALD and female students.</w:t>
            </w:r>
          </w:p>
        </w:tc>
      </w:tr>
      <w:tr w:rsidR="000626A2" w:rsidRPr="00E5087D" w14:paraId="7CB08008" w14:textId="77777777" w:rsidTr="000626A2">
        <w:tc>
          <w:tcPr>
            <w:tcW w:w="751" w:type="dxa"/>
            <w:shd w:val="clear" w:color="auto" w:fill="E0D1F5" w:themeFill="accent1" w:themeFillTint="33"/>
          </w:tcPr>
          <w:p w14:paraId="00038EF9" w14:textId="0E4D8DFF" w:rsidR="000626A2" w:rsidRPr="407CCB66" w:rsidRDefault="000626A2" w:rsidP="000626A2">
            <w:pPr>
              <w:spacing w:before="80" w:after="80"/>
              <w:rPr>
                <w:rFonts w:cs="Arial"/>
                <w:b/>
                <w:bCs/>
              </w:rPr>
            </w:pPr>
            <w:r w:rsidRPr="407CCB66">
              <w:rPr>
                <w:rFonts w:cs="Arial"/>
                <w:b/>
                <w:bCs/>
              </w:rPr>
              <w:t>7.1</w:t>
            </w:r>
            <w:r>
              <w:rPr>
                <w:rFonts w:cs="Arial"/>
                <w:b/>
                <w:bCs/>
              </w:rPr>
              <w:t>8</w:t>
            </w:r>
          </w:p>
        </w:tc>
        <w:tc>
          <w:tcPr>
            <w:tcW w:w="8177" w:type="dxa"/>
            <w:shd w:val="clear" w:color="auto" w:fill="E0D1F5" w:themeFill="accent1" w:themeFillTint="33"/>
          </w:tcPr>
          <w:p w14:paraId="239094FD" w14:textId="12AD7A4F" w:rsidR="000626A2" w:rsidRPr="625419B1" w:rsidRDefault="003C48D3" w:rsidP="000626A2">
            <w:pPr>
              <w:tabs>
                <w:tab w:val="left" w:pos="1085"/>
              </w:tabs>
              <w:spacing w:before="80" w:after="80"/>
              <w:rPr>
                <w:rFonts w:cs="Arial"/>
                <w:sz w:val="20"/>
                <w:szCs w:val="20"/>
              </w:rPr>
            </w:pPr>
            <w:r w:rsidRPr="003C48D3">
              <w:rPr>
                <w:rFonts w:cs="Arial"/>
                <w:sz w:val="20"/>
                <w:szCs w:val="20"/>
              </w:rPr>
              <w:t>Explore options to expand eligibility of New Energy Apprentices to include employers without current clean energy activity, provided they commit to supporting apprentices to undertake relevant clean energy electives. A whole-of-economy approach would be easier to scale and will ultimately benefit the clean energy sector.</w:t>
            </w:r>
          </w:p>
        </w:tc>
      </w:tr>
      <w:tr w:rsidR="000626A2" w:rsidRPr="00E5087D" w14:paraId="38FA5E3B" w14:textId="77777777" w:rsidTr="00336D8B">
        <w:tc>
          <w:tcPr>
            <w:tcW w:w="751" w:type="dxa"/>
            <w:shd w:val="clear" w:color="auto" w:fill="FFFFFF" w:themeFill="background1"/>
          </w:tcPr>
          <w:p w14:paraId="1A2C9D92" w14:textId="3AF55973" w:rsidR="000626A2" w:rsidRPr="407CCB66" w:rsidRDefault="000626A2" w:rsidP="000626A2">
            <w:pPr>
              <w:spacing w:before="80" w:after="80"/>
              <w:rPr>
                <w:rFonts w:cs="Arial"/>
                <w:b/>
                <w:bCs/>
              </w:rPr>
            </w:pPr>
            <w:r w:rsidRPr="407CCB66">
              <w:rPr>
                <w:rFonts w:cs="Arial"/>
                <w:b/>
                <w:bCs/>
              </w:rPr>
              <w:t>7.1</w:t>
            </w:r>
            <w:r>
              <w:rPr>
                <w:rFonts w:cs="Arial"/>
                <w:b/>
                <w:bCs/>
              </w:rPr>
              <w:t>9</w:t>
            </w:r>
          </w:p>
        </w:tc>
        <w:tc>
          <w:tcPr>
            <w:tcW w:w="8177" w:type="dxa"/>
            <w:shd w:val="clear" w:color="auto" w:fill="FFFFFF" w:themeFill="background1"/>
          </w:tcPr>
          <w:p w14:paraId="3CA5A010" w14:textId="3D263D07" w:rsidR="000626A2" w:rsidRPr="625419B1" w:rsidRDefault="000626A2" w:rsidP="000626A2">
            <w:pPr>
              <w:tabs>
                <w:tab w:val="left" w:pos="1085"/>
              </w:tabs>
              <w:spacing w:before="80" w:after="80"/>
              <w:rPr>
                <w:rFonts w:cs="Arial"/>
                <w:sz w:val="20"/>
                <w:szCs w:val="20"/>
              </w:rPr>
            </w:pPr>
            <w:r w:rsidRPr="00446DAF">
              <w:rPr>
                <w:rFonts w:cs="Arial"/>
                <w:sz w:val="20"/>
                <w:szCs w:val="20"/>
              </w:rPr>
              <w:t xml:space="preserve">Financial incentives and supports like the New Energy Apprentices Program </w:t>
            </w:r>
            <w:r w:rsidR="009905B5">
              <w:rPr>
                <w:rFonts w:cs="Arial"/>
                <w:sz w:val="20"/>
                <w:szCs w:val="20"/>
              </w:rPr>
              <w:t>c</w:t>
            </w:r>
            <w:r w:rsidRPr="00446DAF">
              <w:rPr>
                <w:rFonts w:cs="Arial"/>
                <w:sz w:val="20"/>
                <w:szCs w:val="20"/>
              </w:rPr>
              <w:t>ould be replicated or extended to cover critical short courses, including industry accredited training, and training at higher AQF levels, like post-trade qualifications, with an appropriate level of industry-led oversight. Incentives could target current apprentices and workers with existing, relevant qualifications.</w:t>
            </w:r>
          </w:p>
        </w:tc>
      </w:tr>
    </w:tbl>
    <w:p w14:paraId="7B019BC7" w14:textId="77777777" w:rsidR="002454BB" w:rsidRPr="00E5087D" w:rsidRDefault="002454BB" w:rsidP="002454BB"/>
    <w:p w14:paraId="07C209F9" w14:textId="77777777" w:rsidR="002454BB" w:rsidRPr="00E5087D" w:rsidRDefault="002454BB" w:rsidP="002454BB">
      <w:r w:rsidRPr="00E5087D">
        <w:br w:type="page"/>
      </w:r>
    </w:p>
    <w:p w14:paraId="3A053F7E" w14:textId="77777777" w:rsidR="002454BB" w:rsidRPr="00336D8B" w:rsidRDefault="002454BB" w:rsidP="00DB5F27">
      <w:pPr>
        <w:pStyle w:val="Heading3"/>
        <w:rPr>
          <w:rFonts w:eastAsia="MS PGothic" w:cs="Arial"/>
          <w:b w:val="0"/>
          <w:color w:val="404040"/>
          <w:szCs w:val="32"/>
        </w:rPr>
      </w:pPr>
      <w:r w:rsidRPr="00336D8B">
        <w:rPr>
          <w:rFonts w:eastAsia="MS PGothic"/>
          <w:color w:val="404040"/>
        </w:rPr>
        <w:t>A shared responsibility for inclusive pathways</w:t>
      </w:r>
    </w:p>
    <w:p w14:paraId="46225D22" w14:textId="1D5D954F" w:rsidR="00CC1495" w:rsidRPr="00855EE1" w:rsidRDefault="407324BA" w:rsidP="00CC1495">
      <w:pPr>
        <w:spacing w:after="120" w:line="276" w:lineRule="auto"/>
        <w:rPr>
          <w:rFonts w:eastAsia="Arial" w:cs="Arial"/>
        </w:rPr>
      </w:pPr>
      <w:r w:rsidRPr="00855EE1">
        <w:rPr>
          <w:rFonts w:eastAsia="Arial" w:cs="Arial"/>
        </w:rPr>
        <w:t>The transition to net zero requires a shared commitment between industry, government and communities to share the benefits of clean energy work, through foundational and pre</w:t>
      </w:r>
      <w:r w:rsidR="0413230F" w:rsidRPr="00855EE1">
        <w:rPr>
          <w:rFonts w:eastAsia="Arial" w:cs="Arial"/>
        </w:rPr>
        <w:t>-</w:t>
      </w:r>
      <w:r w:rsidRPr="00855EE1">
        <w:rPr>
          <w:rFonts w:eastAsia="Arial" w:cs="Arial"/>
        </w:rPr>
        <w:t>vocational training, clear diversity targets and a transition framework built around the individual worker.</w:t>
      </w:r>
    </w:p>
    <w:p w14:paraId="2F5BB965" w14:textId="4A2A0075" w:rsidR="00CC1495" w:rsidRDefault="407324BA" w:rsidP="00CC1495">
      <w:pPr>
        <w:spacing w:after="120" w:line="276" w:lineRule="auto"/>
        <w:rPr>
          <w:rFonts w:eastAsia="Arial" w:cs="Arial"/>
        </w:rPr>
      </w:pPr>
      <w:r w:rsidRPr="024359DF">
        <w:rPr>
          <w:rFonts w:eastAsia="Arial" w:cs="Arial"/>
        </w:rPr>
        <w:t xml:space="preserve">Trend evidence and </w:t>
      </w:r>
      <w:r w:rsidR="007226C6">
        <w:rPr>
          <w:rFonts w:eastAsia="Arial" w:cs="Arial"/>
        </w:rPr>
        <w:t>preliminary</w:t>
      </w:r>
      <w:r w:rsidRPr="024359DF">
        <w:rPr>
          <w:rFonts w:eastAsia="Arial" w:cs="Arial"/>
        </w:rPr>
        <w:t xml:space="preserve"> modelling shows a continued shift to higher skilled jobs, including in the regions. But without a much more concerted effort to improve general educational outcomes in regional a</w:t>
      </w:r>
      <w:r w:rsidR="3FA3B22D" w:rsidRPr="024359DF">
        <w:rPr>
          <w:rFonts w:eastAsia="Arial" w:cs="Arial"/>
        </w:rPr>
        <w:t>reas</w:t>
      </w:r>
      <w:r w:rsidRPr="024359DF">
        <w:rPr>
          <w:rFonts w:eastAsia="Arial" w:cs="Arial"/>
        </w:rPr>
        <w:t>, Australians in regional communities will find themselves locked out of these new jobs – they will need to be filled by domestic or international migration or left unfilled</w:t>
      </w:r>
      <w:r w:rsidR="0086B9D5" w:rsidRPr="024359DF">
        <w:rPr>
          <w:rFonts w:eastAsia="Arial" w:cs="Arial"/>
        </w:rPr>
        <w:t>,</w:t>
      </w:r>
      <w:r w:rsidRPr="024359DF">
        <w:rPr>
          <w:rFonts w:eastAsia="Arial" w:cs="Arial"/>
        </w:rPr>
        <w:t xml:space="preserve"> leading to ongoing skill shortages. This is a particular issue for First Nations </w:t>
      </w:r>
      <w:r w:rsidR="00AB7909">
        <w:rPr>
          <w:rFonts w:eastAsia="Arial" w:cs="Arial"/>
        </w:rPr>
        <w:t>people</w:t>
      </w:r>
      <w:r w:rsidRPr="024359DF">
        <w:rPr>
          <w:rFonts w:eastAsia="Arial" w:cs="Arial"/>
        </w:rPr>
        <w:t xml:space="preserve"> and the outer regional areas such as the Central West NSW, where there is </w:t>
      </w:r>
      <w:r w:rsidR="00855EE1" w:rsidRPr="024359DF">
        <w:rPr>
          <w:rFonts w:eastAsia="Arial" w:cs="Arial"/>
        </w:rPr>
        <w:t>limited</w:t>
      </w:r>
      <w:r w:rsidRPr="024359DF">
        <w:rPr>
          <w:rFonts w:eastAsia="Arial" w:cs="Arial"/>
        </w:rPr>
        <w:t xml:space="preserve"> </w:t>
      </w:r>
      <w:r w:rsidR="00855EE1" w:rsidRPr="024359DF">
        <w:rPr>
          <w:rFonts w:eastAsia="Arial" w:cs="Arial"/>
        </w:rPr>
        <w:t xml:space="preserve">industry and skilled workers </w:t>
      </w:r>
      <w:r w:rsidRPr="024359DF">
        <w:rPr>
          <w:rFonts w:eastAsia="Arial" w:cs="Arial"/>
        </w:rPr>
        <w:t>to draw on.</w:t>
      </w:r>
    </w:p>
    <w:p w14:paraId="63BE6181" w14:textId="2F50F9BC" w:rsidR="00CC1495" w:rsidRDefault="407324BA" w:rsidP="00D46B52">
      <w:pPr>
        <w:spacing w:before="120" w:after="120" w:line="276" w:lineRule="auto"/>
        <w:rPr>
          <w:rFonts w:eastAsia="Arial" w:cs="Arial"/>
        </w:rPr>
      </w:pPr>
      <w:r w:rsidRPr="388C0A0B">
        <w:rPr>
          <w:rFonts w:eastAsia="Arial" w:cs="Arial"/>
        </w:rPr>
        <w:t xml:space="preserve">We can’t grow the workforce at the pace and scale required if large groups of the population are excluded, including women, First Nations </w:t>
      </w:r>
      <w:r w:rsidR="00AB7909">
        <w:rPr>
          <w:rFonts w:eastAsia="Arial" w:cs="Arial"/>
        </w:rPr>
        <w:t>people</w:t>
      </w:r>
      <w:r w:rsidRPr="388C0A0B">
        <w:rPr>
          <w:rFonts w:eastAsia="Arial" w:cs="Arial"/>
        </w:rPr>
        <w:t xml:space="preserve">, people with disability and recent migrants whose skills’ potential are </w:t>
      </w:r>
      <w:r w:rsidR="006002CD" w:rsidRPr="388C0A0B">
        <w:rPr>
          <w:rFonts w:eastAsia="Arial" w:cs="Arial"/>
        </w:rPr>
        <w:t>underutilised</w:t>
      </w:r>
      <w:r w:rsidRPr="388C0A0B">
        <w:rPr>
          <w:rFonts w:eastAsia="Arial" w:cs="Arial"/>
        </w:rPr>
        <w:t>. We need to address the fundamental employment barriers these people face to improve diversity and get the skills we need. However, we are starting from behind – clean energy work draws on sectors and occupations with low levels of diversity.</w:t>
      </w:r>
    </w:p>
    <w:p w14:paraId="19AF6C87" w14:textId="424EE187" w:rsidR="00CC1495" w:rsidRDefault="00CC1495" w:rsidP="00F25595">
      <w:pPr>
        <w:pStyle w:val="ListParagraph"/>
        <w:numPr>
          <w:ilvl w:val="0"/>
          <w:numId w:val="88"/>
        </w:numPr>
        <w:spacing w:after="120" w:line="276" w:lineRule="auto"/>
        <w:contextualSpacing w:val="0"/>
        <w:rPr>
          <w:rFonts w:eastAsia="Arial" w:cs="Arial"/>
        </w:rPr>
      </w:pPr>
      <w:r w:rsidRPr="6EB39DF7">
        <w:rPr>
          <w:rFonts w:eastAsia="Arial" w:cs="Arial"/>
        </w:rPr>
        <w:t xml:space="preserve">Initiatives such as the </w:t>
      </w:r>
      <w:r w:rsidR="002D6A21" w:rsidRPr="002D6A21">
        <w:rPr>
          <w:rFonts w:eastAsia="Arial" w:cs="Arial"/>
          <w14:numForm w14:val="lining"/>
          <w14:numSpacing w14:val="proportional"/>
        </w:rPr>
        <w:t>ISLP</w:t>
      </w:r>
      <w:r w:rsidRPr="6EB39DF7">
        <w:rPr>
          <w:rFonts w:eastAsia="Arial" w:cs="Arial"/>
        </w:rPr>
        <w:t xml:space="preserve"> in NSW (and the Australian Skills Guarantee under development) provide clear targets to increase opportunities for women, First Nations </w:t>
      </w:r>
      <w:r w:rsidR="00AB7909">
        <w:rPr>
          <w:rFonts w:eastAsia="Arial" w:cs="Arial"/>
        </w:rPr>
        <w:t>people</w:t>
      </w:r>
      <w:r w:rsidRPr="6EB39DF7">
        <w:rPr>
          <w:rFonts w:eastAsia="Arial" w:cs="Arial"/>
        </w:rPr>
        <w:t>, and other priority groups (and support to help employers reach them)</w:t>
      </w:r>
    </w:p>
    <w:p w14:paraId="79E348A3" w14:textId="156B6A6E" w:rsidR="00CC1495" w:rsidRDefault="00CC1495" w:rsidP="00F25595">
      <w:pPr>
        <w:pStyle w:val="ListParagraph"/>
        <w:numPr>
          <w:ilvl w:val="0"/>
          <w:numId w:val="88"/>
        </w:numPr>
        <w:spacing w:after="120" w:line="276" w:lineRule="auto"/>
        <w:contextualSpacing w:val="0"/>
        <w:rPr>
          <w:rFonts w:eastAsia="Arial" w:cs="Arial"/>
        </w:rPr>
      </w:pPr>
      <w:r w:rsidRPr="6EB39DF7">
        <w:rPr>
          <w:rFonts w:eastAsia="Arial" w:cs="Arial"/>
        </w:rPr>
        <w:t>We need to highlight how there are preconditions for participation that need to be addressed – e.g. Year 12</w:t>
      </w:r>
      <w:r w:rsidR="00C13DA2">
        <w:rPr>
          <w:rFonts w:eastAsia="Arial" w:cs="Arial"/>
        </w:rPr>
        <w:t xml:space="preserve"> completion.</w:t>
      </w:r>
    </w:p>
    <w:p w14:paraId="1F668E00" w14:textId="26B68CBB" w:rsidR="00CC1495" w:rsidRDefault="00CC1495" w:rsidP="00CC1495">
      <w:pPr>
        <w:spacing w:after="120" w:line="276" w:lineRule="auto"/>
        <w:rPr>
          <w:rFonts w:eastAsia="Arial" w:cs="Arial"/>
        </w:rPr>
      </w:pPr>
      <w:r w:rsidRPr="024359DF">
        <w:rPr>
          <w:rFonts w:eastAsia="Arial" w:cs="Arial"/>
        </w:rPr>
        <w:t>There is a high degree of general skills transferability – we need to focus more on employer-specific skills through microcredentials</w:t>
      </w:r>
      <w:r w:rsidR="5A19D44E" w:rsidRPr="024359DF">
        <w:rPr>
          <w:rFonts w:eastAsia="Arial" w:cs="Arial"/>
        </w:rPr>
        <w:t>,</w:t>
      </w:r>
      <w:r w:rsidRPr="024359DF">
        <w:rPr>
          <w:rFonts w:eastAsia="Arial" w:cs="Arial"/>
        </w:rPr>
        <w:t xml:space="preserve"> or </w:t>
      </w:r>
      <w:r w:rsidR="00212346">
        <w:rPr>
          <w:rFonts w:eastAsia="Arial" w:cs="Arial"/>
        </w:rPr>
        <w:t>on-the-job</w:t>
      </w:r>
      <w:r w:rsidRPr="024359DF">
        <w:rPr>
          <w:rFonts w:eastAsia="Arial" w:cs="Arial"/>
        </w:rPr>
        <w:t xml:space="preserve"> training. Bigger challenges are likely to be mismatches in terms of region, income and working arrangements, and general levels of educational attainment in impacted communities. </w:t>
      </w:r>
    </w:p>
    <w:p w14:paraId="3A6A8457" w14:textId="77777777" w:rsidR="00F419CF" w:rsidRDefault="00CC1495" w:rsidP="00D46B52">
      <w:pPr>
        <w:spacing w:before="360" w:after="240" w:line="276" w:lineRule="auto"/>
        <w:rPr>
          <w:rFonts w:eastAsia="Arial" w:cs="Arial"/>
          <w:b/>
          <w:bCs/>
          <w:sz w:val="32"/>
          <w:szCs w:val="32"/>
        </w:rPr>
      </w:pPr>
      <w:r w:rsidRPr="02021094">
        <w:rPr>
          <w:rFonts w:eastAsia="Arial" w:cs="Arial"/>
          <w:b/>
          <w:bCs/>
          <w:sz w:val="32"/>
          <w:szCs w:val="32"/>
        </w:rPr>
        <w:t xml:space="preserve">Regional Australia can benefit from the Net Zero Transformation </w:t>
      </w:r>
    </w:p>
    <w:p w14:paraId="2A4E9280" w14:textId="4A77B4EC" w:rsidR="00044A26" w:rsidRPr="000962C8" w:rsidRDefault="407324BA" w:rsidP="00E35D34">
      <w:pPr>
        <w:spacing w:after="120" w:line="276" w:lineRule="auto"/>
        <w:rPr>
          <w:rFonts w:eastAsia="Arial" w:cs="Arial"/>
        </w:rPr>
      </w:pPr>
      <w:r w:rsidRPr="388C0A0B">
        <w:rPr>
          <w:rFonts w:eastAsia="Arial" w:cs="Arial"/>
        </w:rPr>
        <w:t xml:space="preserve">Generally, </w:t>
      </w:r>
      <w:r w:rsidR="00E65868">
        <w:rPr>
          <w:rFonts w:eastAsia="Arial" w:cs="Arial"/>
        </w:rPr>
        <w:t>the preliminary modelling suggests</w:t>
      </w:r>
      <w:r w:rsidRPr="388C0A0B">
        <w:rPr>
          <w:rFonts w:eastAsia="Arial" w:cs="Arial"/>
        </w:rPr>
        <w:t xml:space="preserve"> employment growth is </w:t>
      </w:r>
      <w:r w:rsidR="00D14103">
        <w:rPr>
          <w:rFonts w:eastAsia="Arial" w:cs="Arial"/>
        </w:rPr>
        <w:t xml:space="preserve">likely to be </w:t>
      </w:r>
      <w:r w:rsidRPr="388C0A0B">
        <w:rPr>
          <w:rFonts w:eastAsia="Arial" w:cs="Arial"/>
        </w:rPr>
        <w:t xml:space="preserve">stronger in regional Australia than metropolitan Australia under </w:t>
      </w:r>
      <w:r w:rsidR="002C718A">
        <w:rPr>
          <w:rFonts w:eastAsia="Arial" w:cs="Arial"/>
        </w:rPr>
        <w:t xml:space="preserve">our </w:t>
      </w:r>
      <w:r w:rsidR="00332B8E">
        <w:rPr>
          <w:rFonts w:eastAsia="Arial" w:cs="Arial"/>
        </w:rPr>
        <w:t xml:space="preserve">central </w:t>
      </w:r>
      <w:r w:rsidR="002C718A">
        <w:rPr>
          <w:rFonts w:eastAsia="Arial" w:cs="Arial"/>
        </w:rPr>
        <w:t>modelling scenario. The continued investment in renewables and low-emissions activity post 2030</w:t>
      </w:r>
      <w:r w:rsidR="002C718A" w:rsidDel="00332B8E">
        <w:rPr>
          <w:rFonts w:eastAsia="Arial" w:cs="Arial"/>
        </w:rPr>
        <w:t xml:space="preserve"> </w:t>
      </w:r>
      <w:r w:rsidR="00C20061">
        <w:rPr>
          <w:rFonts w:eastAsia="Arial" w:cs="Arial"/>
        </w:rPr>
        <w:t xml:space="preserve">will </w:t>
      </w:r>
      <w:r w:rsidR="00332B8E">
        <w:rPr>
          <w:rFonts w:eastAsia="Arial" w:cs="Arial"/>
        </w:rPr>
        <w:t xml:space="preserve">also </w:t>
      </w:r>
      <w:r w:rsidR="00C20061">
        <w:rPr>
          <w:rFonts w:eastAsia="Arial" w:cs="Arial"/>
        </w:rPr>
        <w:t>likely result in higher regional growth in employment and across industries to 2050.</w:t>
      </w:r>
      <w:r w:rsidR="00F65612">
        <w:rPr>
          <w:rFonts w:eastAsia="Arial" w:cs="Arial"/>
        </w:rPr>
        <w:t xml:space="preserve"> </w:t>
      </w:r>
      <w:r w:rsidR="00044A26">
        <w:t>Eastern Victoria and Northern NSW in particular</w:t>
      </w:r>
      <w:r w:rsidR="0081387A">
        <w:t xml:space="preserve"> are likely to</w:t>
      </w:r>
      <w:r w:rsidR="00044A26">
        <w:t xml:space="preserve"> experience </w:t>
      </w:r>
      <w:r w:rsidR="0081387A">
        <w:t xml:space="preserve">relatively </w:t>
      </w:r>
      <w:r w:rsidR="00044A26">
        <w:t xml:space="preserve">high employment growth becoming active clean energy-industry focused regions. </w:t>
      </w:r>
    </w:p>
    <w:p w14:paraId="6A92766B" w14:textId="4991327A" w:rsidR="00212346" w:rsidRDefault="00044A26" w:rsidP="00212346">
      <w:pPr>
        <w:spacing w:after="120" w:line="276" w:lineRule="auto"/>
        <w:rPr>
          <w:rFonts w:eastAsia="Arial" w:cs="Arial"/>
        </w:rPr>
      </w:pPr>
      <w:r>
        <w:t xml:space="preserve">For example, in the next seven years, </w:t>
      </w:r>
      <w:r w:rsidR="00E65868">
        <w:t xml:space="preserve">the preliminary modelling shows </w:t>
      </w:r>
      <w:r w:rsidR="00E35D34">
        <w:rPr>
          <w14:numForm w14:val="lining"/>
          <w14:numSpacing w14:val="proportional"/>
        </w:rPr>
        <w:t>m</w:t>
      </w:r>
      <w:r w:rsidR="00E35D34">
        <w:t xml:space="preserve">ost of the clean energy jobs growth under the </w:t>
      </w:r>
      <w:r w:rsidR="00E93C56">
        <w:t>c</w:t>
      </w:r>
      <w:r w:rsidR="00E35D34">
        <w:t xml:space="preserve">entral scenario are likely to be in Northern NSW with significant demand for workers in hydro-electricity generation, solar generation, onshore and offshore wind. </w:t>
      </w:r>
      <w:r w:rsidR="00212346">
        <w:t xml:space="preserve">Significant job gains are also likely in South-Eastern Queensland and Southern NSW over the seven years to 2030.  </w:t>
      </w:r>
    </w:p>
    <w:p w14:paraId="4D7FEC8D" w14:textId="10DF85BD" w:rsidR="00F419CF" w:rsidRDefault="00CC1495" w:rsidP="00CC1495">
      <w:pPr>
        <w:spacing w:after="120" w:line="276" w:lineRule="auto"/>
        <w:rPr>
          <w:rFonts w:eastAsia="Arial" w:cs="Arial"/>
        </w:rPr>
      </w:pPr>
      <w:r w:rsidRPr="02EA9DA3">
        <w:rPr>
          <w:rFonts w:eastAsia="Arial" w:cs="Arial"/>
        </w:rPr>
        <w:t>The implications of the workforce transformation at the local level will be more significant in some parts of Australia, particularly those with a high proportion of employment based on fossil-fuels, namely coal mining and coal-fired power generation. Overall economic growth and development provides good prospects for supporting these communities, provided there is local investment in new industries and impacted workers receive targeted training and other forms of support to transition to roles that build on their existing skills.</w:t>
      </w:r>
    </w:p>
    <w:p w14:paraId="7F3CFD52" w14:textId="0CF735F6" w:rsidR="00CC1495" w:rsidRDefault="407324BA" w:rsidP="00CC1495">
      <w:pPr>
        <w:spacing w:after="120" w:line="276" w:lineRule="auto"/>
        <w:rPr>
          <w:rFonts w:eastAsia="Arial" w:cs="Arial"/>
        </w:rPr>
      </w:pPr>
      <w:r w:rsidRPr="388C0A0B">
        <w:rPr>
          <w:rFonts w:eastAsia="Arial" w:cs="Arial"/>
        </w:rPr>
        <w:t xml:space="preserve">At the same time, workers in </w:t>
      </w:r>
      <w:r w:rsidR="0443FDD7" w:rsidRPr="388C0A0B">
        <w:rPr>
          <w:rFonts w:eastAsia="Arial" w:cs="Arial"/>
        </w:rPr>
        <w:t xml:space="preserve">emissions-intensive </w:t>
      </w:r>
      <w:r w:rsidR="00933C20" w:rsidRPr="388C0A0B">
        <w:rPr>
          <w:rFonts w:eastAsia="Arial" w:cs="Arial"/>
        </w:rPr>
        <w:t>industries will</w:t>
      </w:r>
      <w:r w:rsidRPr="388C0A0B">
        <w:rPr>
          <w:rFonts w:eastAsia="Arial" w:cs="Arial"/>
        </w:rPr>
        <w:t xml:space="preserve"> need to retrain, relocate or in some cases may retire. Supporting workers in </w:t>
      </w:r>
      <w:r w:rsidR="0B8D6938" w:rsidRPr="388C0A0B">
        <w:rPr>
          <w:rFonts w:eastAsia="Arial" w:cs="Arial"/>
        </w:rPr>
        <w:t>emissions</w:t>
      </w:r>
      <w:r w:rsidRPr="388C0A0B">
        <w:rPr>
          <w:rFonts w:eastAsia="Arial" w:cs="Arial"/>
        </w:rPr>
        <w:t>-intensive industries into alternative employment is an important part of ensuring our regions remain vibrant and prosperous. However, there will be many barriers, including addressing comparatively low educational attainment in impacted regions.</w:t>
      </w:r>
    </w:p>
    <w:p w14:paraId="5FC22DD3" w14:textId="24193822" w:rsidR="00CC1495" w:rsidRDefault="00CC1495" w:rsidP="00CC1495">
      <w:pPr>
        <w:pStyle w:val="Heading3"/>
        <w:rPr>
          <w:rFonts w:eastAsia="Arial" w:cs="Arial"/>
          <w:b w:val="0"/>
          <w:bCs/>
          <w:color w:val="404040" w:themeColor="text1" w:themeTint="BF"/>
          <w:szCs w:val="32"/>
        </w:rPr>
      </w:pPr>
      <w:r w:rsidRPr="6EB39DF7">
        <w:rPr>
          <w:rFonts w:eastAsia="Arial" w:cs="Arial"/>
          <w:bCs/>
          <w:color w:val="404040" w:themeColor="text1" w:themeTint="BF"/>
          <w:szCs w:val="32"/>
        </w:rPr>
        <w:t>A worker-centred approach to support transitioning regions is needed</w:t>
      </w:r>
    </w:p>
    <w:p w14:paraId="31752411" w14:textId="68A48EFA" w:rsidR="00CC1495" w:rsidRDefault="407324BA" w:rsidP="00CC1495">
      <w:pPr>
        <w:spacing w:after="120" w:line="276" w:lineRule="auto"/>
        <w:rPr>
          <w:rFonts w:eastAsia="Arial" w:cs="Arial"/>
        </w:rPr>
      </w:pPr>
      <w:r w:rsidRPr="388C0A0B">
        <w:rPr>
          <w:rFonts w:eastAsia="Arial" w:cs="Arial"/>
        </w:rPr>
        <w:t xml:space="preserve">While some transitioning workers will move into clean energy jobs, this isn’t the only (or necessarily the best) outcome for those workers. Open dialogue between business, unions and governments is key to ensuring the maximum notice possible around site closures so the best planning can be done. Distinct roles and responsibilities for all levels of governments, employers and community stakeholders in supporting transitioning workers is also crucial. There is potential for duplicated services and missed opportunities in planning and support services. </w:t>
      </w:r>
      <w:r w:rsidR="00CC1495" w:rsidRPr="6EB39DF7">
        <w:rPr>
          <w:rFonts w:eastAsia="Arial" w:cs="Arial"/>
        </w:rPr>
        <w:t>Case management, recognition of prior learning, job search assistance, onsite workplace delivery of training and wellbeing supports are all key to a worker-centred approach</w:t>
      </w:r>
      <w:r w:rsidR="0017279B">
        <w:rPr>
          <w:rFonts w:eastAsia="Arial" w:cs="Arial"/>
        </w:rPr>
        <w:t>.</w:t>
      </w:r>
      <w:r w:rsidR="00CC1495" w:rsidRPr="6EB39DF7">
        <w:rPr>
          <w:rFonts w:eastAsia="Arial" w:cs="Arial"/>
        </w:rPr>
        <w:t xml:space="preserve"> </w:t>
      </w:r>
    </w:p>
    <w:tbl>
      <w:tblPr>
        <w:tblStyle w:val="TableGrid"/>
        <w:tblW w:w="0" w:type="auto"/>
        <w:tblBorders>
          <w:top w:val="single" w:sz="6" w:space="0" w:color="DBB7FF"/>
          <w:left w:val="none" w:sz="0" w:space="0" w:color="auto"/>
          <w:bottom w:val="single" w:sz="6" w:space="0" w:color="DBB7FF"/>
          <w:right w:val="none" w:sz="0" w:space="0" w:color="auto"/>
          <w:insideH w:val="none" w:sz="0" w:space="0" w:color="auto"/>
          <w:insideV w:val="single" w:sz="6" w:space="0" w:color="DBB7FF"/>
        </w:tblBorders>
        <w:tblLook w:val="04A0" w:firstRow="1" w:lastRow="0" w:firstColumn="1" w:lastColumn="0" w:noHBand="0" w:noVBand="1"/>
      </w:tblPr>
      <w:tblGrid>
        <w:gridCol w:w="751"/>
        <w:gridCol w:w="8177"/>
      </w:tblGrid>
      <w:tr w:rsidR="003F6D17" w:rsidRPr="00E5087D" w14:paraId="35AC6D90" w14:textId="77777777" w:rsidTr="00336D8B">
        <w:tc>
          <w:tcPr>
            <w:tcW w:w="751" w:type="dxa"/>
            <w:shd w:val="clear" w:color="auto" w:fill="FFFFFF" w:themeFill="background1"/>
          </w:tcPr>
          <w:p w14:paraId="2D6EDB9F" w14:textId="33724BE5" w:rsidR="003F6D17" w:rsidRPr="00E5087D" w:rsidRDefault="002454BB" w:rsidP="003F6D17">
            <w:pPr>
              <w:spacing w:before="60" w:after="60"/>
              <w:rPr>
                <w:rFonts w:cs="Arial"/>
                <w:b/>
                <w:bCs/>
              </w:rPr>
            </w:pPr>
            <w:r w:rsidRPr="00E5087D">
              <w:rPr>
                <w:rFonts w:eastAsia="Arial" w:cs="Arial"/>
              </w:rPr>
              <w:t xml:space="preserve"> </w:t>
            </w:r>
            <w:r w:rsidR="003F6D17" w:rsidRPr="00E5087D">
              <w:rPr>
                <w:rFonts w:cs="Arial"/>
                <w:b/>
                <w:bCs/>
              </w:rPr>
              <w:t>8.1</w:t>
            </w:r>
          </w:p>
        </w:tc>
        <w:tc>
          <w:tcPr>
            <w:tcW w:w="8177" w:type="dxa"/>
            <w:shd w:val="clear" w:color="auto" w:fill="FFFFFF" w:themeFill="background1"/>
          </w:tcPr>
          <w:p w14:paraId="59D16010" w14:textId="1195CAD9" w:rsidR="003F6D17" w:rsidRPr="002C5BFA" w:rsidRDefault="003F6D17" w:rsidP="003F6D17">
            <w:pPr>
              <w:spacing w:after="120"/>
              <w:rPr>
                <w:rFonts w:eastAsia="Calibri" w:cs="Arial"/>
                <w:color w:val="000000"/>
                <w:sz w:val="20"/>
                <w:szCs w:val="20"/>
                <w14:ligatures w14:val="standardContextual"/>
              </w:rPr>
            </w:pPr>
            <w:r w:rsidRPr="002C5BFA">
              <w:rPr>
                <w:rFonts w:eastAsia="Calibri" w:cs="Arial"/>
                <w:color w:val="000000"/>
                <w:sz w:val="20"/>
                <w:szCs w:val="20"/>
                <w14:ligatures w14:val="standardContextual"/>
              </w:rPr>
              <w:t>A leading priority for the National Energy Workforce Strategy and the Jobs and Skills Councils should be to explore pre-emptive targeted interventions to increase women’s safe and successful participation in the clean energy workforce</w:t>
            </w:r>
            <w:r w:rsidR="00407D82">
              <w:rPr>
                <w:rFonts w:eastAsia="Calibri" w:cs="Arial"/>
                <w:color w:val="000000"/>
                <w:sz w:val="20"/>
                <w:szCs w:val="20"/>
                <w14:ligatures w14:val="standardContextual"/>
              </w:rPr>
              <w:t xml:space="preserve">. </w:t>
            </w:r>
            <w:r w:rsidRPr="002C5BFA">
              <w:rPr>
                <w:rFonts w:eastAsia="Calibri" w:cs="Arial"/>
                <w:color w:val="000000"/>
                <w:sz w:val="20"/>
                <w:szCs w:val="20"/>
                <w14:ligatures w14:val="standardContextual"/>
              </w:rPr>
              <w:t xml:space="preserve">This includes </w:t>
            </w:r>
            <w:r w:rsidR="00407D82">
              <w:rPr>
                <w:rFonts w:eastAsia="Calibri" w:cs="Arial"/>
                <w:color w:val="000000"/>
                <w:sz w:val="20"/>
                <w:szCs w:val="20"/>
                <w14:ligatures w14:val="standardContextual"/>
              </w:rPr>
              <w:t xml:space="preserve">measures </w:t>
            </w:r>
            <w:r w:rsidR="00E528D6">
              <w:rPr>
                <w:rFonts w:eastAsia="Calibri" w:cs="Arial"/>
                <w:color w:val="000000"/>
                <w:sz w:val="20"/>
                <w:szCs w:val="20"/>
                <w14:ligatures w14:val="standardContextual"/>
              </w:rPr>
              <w:t>such as</w:t>
            </w:r>
            <w:r w:rsidR="00407D82">
              <w:rPr>
                <w:rFonts w:eastAsia="Calibri" w:cs="Arial"/>
                <w:color w:val="000000"/>
                <w:sz w:val="20"/>
                <w:szCs w:val="20"/>
                <w14:ligatures w14:val="standardContextual"/>
              </w:rPr>
              <w:t>:</w:t>
            </w:r>
          </w:p>
          <w:p w14:paraId="505F30A9"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Targeted recruitment drives and training programs, as well as accountability measures and targets</w:t>
            </w:r>
          </w:p>
          <w:p w14:paraId="6EDA9DFB"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Employer focused initiatives to promote gender representation in hiring processes and women’s independence and decision making in the workplace</w:t>
            </w:r>
          </w:p>
          <w:p w14:paraId="53EB972D"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Support for flexible working arrangements, including for apprentices</w:t>
            </w:r>
          </w:p>
          <w:p w14:paraId="10136FE5" w14:textId="77777777" w:rsidR="003F6D17" w:rsidRPr="002C5BFA" w:rsidRDefault="003F6D17" w:rsidP="00F25595">
            <w:pPr>
              <w:pStyle w:val="ListParagraph"/>
              <w:numPr>
                <w:ilvl w:val="0"/>
                <w:numId w:val="48"/>
              </w:numPr>
              <w:spacing w:after="120"/>
              <w:contextualSpacing w:val="0"/>
              <w:rPr>
                <w:rFonts w:eastAsia="Calibri" w:cs="Arial"/>
                <w:color w:val="000000"/>
                <w:sz w:val="20"/>
                <w:szCs w:val="20"/>
                <w14:ligatures w14:val="standardContextual"/>
              </w:rPr>
            </w:pPr>
            <w:r w:rsidRPr="002C5BFA">
              <w:rPr>
                <w:rFonts w:eastAsia="Calibri" w:cs="Arial"/>
                <w:color w:val="000000"/>
                <w:sz w:val="20"/>
                <w:szCs w:val="20"/>
                <w14:ligatures w14:val="standardContextual"/>
              </w:rPr>
              <w:t>Mandating the provision of suitable amenities for all workers</w:t>
            </w:r>
          </w:p>
          <w:p w14:paraId="259DE6D0" w14:textId="4E19C301" w:rsidR="003F6D17" w:rsidRPr="00E5087D" w:rsidRDefault="003F6D17" w:rsidP="00F25595">
            <w:pPr>
              <w:pStyle w:val="ListParagraph"/>
              <w:numPr>
                <w:ilvl w:val="0"/>
                <w:numId w:val="48"/>
              </w:numPr>
              <w:spacing w:after="120"/>
              <w:contextualSpacing w:val="0"/>
              <w:rPr>
                <w:rStyle w:val="normaltextrun"/>
                <w:rFonts w:cs="Arial"/>
                <w:color w:val="000000"/>
                <w:bdr w:val="none" w:sz="0" w:space="0" w:color="auto" w:frame="1"/>
              </w:rPr>
            </w:pPr>
            <w:r w:rsidRPr="002C5BFA">
              <w:rPr>
                <w:rFonts w:eastAsia="Calibri" w:cs="Arial"/>
                <w:color w:val="000000"/>
                <w:sz w:val="20"/>
                <w:szCs w:val="20"/>
                <w14:ligatures w14:val="standardContextual"/>
              </w:rPr>
              <w:t>Concrete and practical program</w:t>
            </w:r>
            <w:r w:rsidR="00E528D6">
              <w:rPr>
                <w:rFonts w:eastAsia="Calibri" w:cs="Arial"/>
                <w:color w:val="000000"/>
                <w:sz w:val="20"/>
                <w:szCs w:val="20"/>
                <w14:ligatures w14:val="standardContextual"/>
              </w:rPr>
              <w:t>s</w:t>
            </w:r>
            <w:r w:rsidRPr="002C5BFA">
              <w:rPr>
                <w:rFonts w:eastAsia="Calibri" w:cs="Arial"/>
                <w:color w:val="000000"/>
                <w:sz w:val="20"/>
                <w:szCs w:val="20"/>
                <w14:ligatures w14:val="standardContextual"/>
              </w:rPr>
              <w:t xml:space="preserve"> to improve the safety, culture and appeal of the sector for women and all underrepresented groups</w:t>
            </w:r>
            <w:r w:rsidR="009111E2">
              <w:rPr>
                <w:rFonts w:eastAsia="Calibri" w:cs="Arial"/>
                <w:color w:val="000000"/>
                <w:sz w:val="20"/>
                <w:szCs w:val="20"/>
                <w14:ligatures w14:val="standardContextual"/>
              </w:rPr>
              <w:t>.</w:t>
            </w:r>
          </w:p>
        </w:tc>
      </w:tr>
      <w:tr w:rsidR="003F6D17" w:rsidRPr="00E5087D" w14:paraId="060F5E38" w14:textId="77777777" w:rsidTr="00336D8B">
        <w:tc>
          <w:tcPr>
            <w:tcW w:w="751" w:type="dxa"/>
            <w:shd w:val="clear" w:color="auto" w:fill="DABCF5" w:themeFill="text2" w:themeFillTint="33"/>
          </w:tcPr>
          <w:p w14:paraId="32F40967" w14:textId="77777777" w:rsidR="003F6D17" w:rsidRPr="00E5087D" w:rsidRDefault="003F6D17" w:rsidP="003F6D17">
            <w:pPr>
              <w:spacing w:before="60" w:after="60"/>
              <w:rPr>
                <w:rFonts w:cs="Arial"/>
                <w:b/>
                <w:bCs/>
              </w:rPr>
            </w:pPr>
            <w:r w:rsidRPr="00E5087D">
              <w:rPr>
                <w:rFonts w:cs="Arial"/>
                <w:b/>
                <w:bCs/>
              </w:rPr>
              <w:t>8.2</w:t>
            </w:r>
          </w:p>
        </w:tc>
        <w:tc>
          <w:tcPr>
            <w:tcW w:w="8177" w:type="dxa"/>
            <w:shd w:val="clear" w:color="auto" w:fill="DABCF5" w:themeFill="text2" w:themeFillTint="33"/>
          </w:tcPr>
          <w:p w14:paraId="571970F5" w14:textId="77FE329D"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color w:val="000000"/>
                <w:sz w:val="20"/>
                <w:szCs w:val="20"/>
                <w:bdr w:val="none" w:sz="0" w:space="0" w:color="auto" w:frame="1"/>
              </w:rPr>
              <w:t>Consider expanding the Indigenous Ranger and Caring for Country programs across all states and territories</w:t>
            </w:r>
            <w:r>
              <w:rPr>
                <w:rFonts w:cs="Arial"/>
                <w:color w:val="000000"/>
                <w:sz w:val="20"/>
                <w:szCs w:val="20"/>
                <w:bdr w:val="none" w:sz="0" w:space="0" w:color="auto" w:frame="1"/>
              </w:rPr>
              <w:t xml:space="preserve"> where there is no existing equivalent.</w:t>
            </w:r>
          </w:p>
        </w:tc>
      </w:tr>
      <w:tr w:rsidR="003F6D17" w:rsidRPr="00E5087D" w14:paraId="7E050F4D" w14:textId="77777777" w:rsidTr="00336D8B">
        <w:tc>
          <w:tcPr>
            <w:tcW w:w="751" w:type="dxa"/>
            <w:shd w:val="clear" w:color="auto" w:fill="FFFFFF" w:themeFill="background1"/>
          </w:tcPr>
          <w:p w14:paraId="169E3D73" w14:textId="77777777" w:rsidR="003F6D17" w:rsidRPr="00E5087D" w:rsidRDefault="003F6D17" w:rsidP="003F6D17">
            <w:pPr>
              <w:spacing w:before="60" w:after="60"/>
              <w:rPr>
                <w:rFonts w:cs="Arial"/>
                <w:b/>
                <w:bCs/>
              </w:rPr>
            </w:pPr>
            <w:r w:rsidRPr="00E5087D">
              <w:rPr>
                <w:rFonts w:cs="Arial"/>
                <w:b/>
                <w:bCs/>
              </w:rPr>
              <w:t>8.3</w:t>
            </w:r>
          </w:p>
        </w:tc>
        <w:tc>
          <w:tcPr>
            <w:tcW w:w="8177" w:type="dxa"/>
            <w:shd w:val="clear" w:color="auto" w:fill="FFFFFF" w:themeFill="background1"/>
          </w:tcPr>
          <w:p w14:paraId="4FA8139B" w14:textId="110158A3" w:rsidR="003F6D17" w:rsidRPr="00E5087D" w:rsidRDefault="003F6D17" w:rsidP="003F6D17">
            <w:pPr>
              <w:tabs>
                <w:tab w:val="left" w:pos="1085"/>
              </w:tabs>
              <w:spacing w:before="60" w:after="60"/>
              <w:rPr>
                <w:rFonts w:cs="Arial"/>
                <w:color w:val="000000"/>
                <w:sz w:val="20"/>
                <w:szCs w:val="20"/>
                <w:bdr w:val="none" w:sz="0" w:space="0" w:color="auto" w:frame="1"/>
              </w:rPr>
            </w:pPr>
            <w:r w:rsidRPr="00F731BB">
              <w:rPr>
                <w:rFonts w:cs="Arial"/>
                <w:color w:val="000000"/>
                <w:sz w:val="20"/>
                <w:szCs w:val="20"/>
                <w:bdr w:val="none" w:sz="0" w:space="0" w:color="auto" w:frame="1"/>
              </w:rPr>
              <w:t>Through the First Nations Clean Energy Strategy, explore employment, training and general education targets for clean energy developments on lands under Aboriginal Land Rights, Native title and other land stewardship arrangements in consultation with local Traditional Owners.</w:t>
            </w:r>
          </w:p>
        </w:tc>
      </w:tr>
      <w:tr w:rsidR="003F6D17" w:rsidRPr="00E5087D" w14:paraId="7000F9C1" w14:textId="77777777" w:rsidTr="00336D8B">
        <w:tc>
          <w:tcPr>
            <w:tcW w:w="751" w:type="dxa"/>
            <w:shd w:val="clear" w:color="auto" w:fill="DABCF5" w:themeFill="text2" w:themeFillTint="33"/>
          </w:tcPr>
          <w:p w14:paraId="2328EFB1" w14:textId="77777777" w:rsidR="003F6D17" w:rsidRPr="00E5087D" w:rsidRDefault="003F6D17" w:rsidP="003F6D17">
            <w:pPr>
              <w:spacing w:before="60" w:after="60"/>
              <w:rPr>
                <w:rFonts w:cs="Arial"/>
                <w:b/>
                <w:bCs/>
              </w:rPr>
            </w:pPr>
            <w:r w:rsidRPr="00E5087D">
              <w:rPr>
                <w:rFonts w:cs="Arial"/>
                <w:b/>
                <w:bCs/>
              </w:rPr>
              <w:t>8.4</w:t>
            </w:r>
          </w:p>
        </w:tc>
        <w:tc>
          <w:tcPr>
            <w:tcW w:w="8177" w:type="dxa"/>
            <w:shd w:val="clear" w:color="auto" w:fill="DABCF5" w:themeFill="text2" w:themeFillTint="33"/>
          </w:tcPr>
          <w:p w14:paraId="7480105F" w14:textId="7BAC017C"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color w:val="000000"/>
                <w:sz w:val="20"/>
                <w:szCs w:val="20"/>
                <w:bdr w:val="none" w:sz="0" w:space="0" w:color="auto" w:frame="1"/>
              </w:rPr>
              <w:t>Explore opportunities for greater take-up of the Commonwealth Indigenous Procurement Policy targets, including Mandatory Minimum Indigenous Participation Requirements, for clean energy supply chains.</w:t>
            </w:r>
          </w:p>
        </w:tc>
      </w:tr>
    </w:tbl>
    <w:p w14:paraId="3719811B" w14:textId="77777777" w:rsidR="000C34BE" w:rsidRDefault="000C34BE">
      <w:r>
        <w:br w:type="page"/>
      </w:r>
    </w:p>
    <w:tbl>
      <w:tblPr>
        <w:tblStyle w:val="TableGrid"/>
        <w:tblW w:w="0" w:type="auto"/>
        <w:tblBorders>
          <w:top w:val="single" w:sz="6" w:space="0" w:color="DBB7FF"/>
          <w:left w:val="none" w:sz="0" w:space="0" w:color="auto"/>
          <w:bottom w:val="single" w:sz="6" w:space="0" w:color="DBB7FF"/>
          <w:right w:val="none" w:sz="0" w:space="0" w:color="auto"/>
          <w:insideH w:val="none" w:sz="0" w:space="0" w:color="auto"/>
          <w:insideV w:val="single" w:sz="6" w:space="0" w:color="DBB7FF"/>
        </w:tblBorders>
        <w:tblLook w:val="04A0" w:firstRow="1" w:lastRow="0" w:firstColumn="1" w:lastColumn="0" w:noHBand="0" w:noVBand="1"/>
      </w:tblPr>
      <w:tblGrid>
        <w:gridCol w:w="751"/>
        <w:gridCol w:w="8177"/>
      </w:tblGrid>
      <w:tr w:rsidR="003F6D17" w:rsidRPr="00E5087D" w14:paraId="011AE39B" w14:textId="77777777" w:rsidTr="00336D8B">
        <w:tc>
          <w:tcPr>
            <w:tcW w:w="751" w:type="dxa"/>
            <w:shd w:val="clear" w:color="auto" w:fill="FFFFFF" w:themeFill="background1"/>
          </w:tcPr>
          <w:p w14:paraId="707A5B05" w14:textId="4C0A02C8" w:rsidR="003F6D17" w:rsidRPr="00E5087D" w:rsidRDefault="003F6D17" w:rsidP="003F6D17">
            <w:pPr>
              <w:spacing w:before="60" w:after="60"/>
              <w:rPr>
                <w:rFonts w:cs="Arial"/>
                <w:b/>
                <w:bCs/>
              </w:rPr>
            </w:pPr>
            <w:r w:rsidRPr="00E5087D">
              <w:rPr>
                <w:rFonts w:cs="Arial"/>
                <w:b/>
                <w:bCs/>
              </w:rPr>
              <w:t>8.5</w:t>
            </w:r>
          </w:p>
        </w:tc>
        <w:tc>
          <w:tcPr>
            <w:tcW w:w="8177" w:type="dxa"/>
            <w:shd w:val="clear" w:color="auto" w:fill="FFFFFF" w:themeFill="background1"/>
          </w:tcPr>
          <w:p w14:paraId="2102BD0A" w14:textId="623A8E4C" w:rsidR="003F6D17" w:rsidRPr="00E5087D" w:rsidRDefault="001C610B" w:rsidP="003F6D17">
            <w:pPr>
              <w:tabs>
                <w:tab w:val="left" w:pos="1085"/>
              </w:tabs>
              <w:spacing w:before="60" w:after="60"/>
              <w:rPr>
                <w:rFonts w:cs="Arial"/>
                <w:color w:val="000000"/>
                <w:sz w:val="20"/>
                <w:szCs w:val="20"/>
                <w:bdr w:val="none" w:sz="0" w:space="0" w:color="auto" w:frame="1"/>
              </w:rPr>
            </w:pPr>
            <w:r w:rsidRPr="001C610B">
              <w:rPr>
                <w:rFonts w:cs="Arial"/>
                <w:sz w:val="20"/>
                <w:szCs w:val="20"/>
              </w:rPr>
              <w:t>Government to collaborate with clean energy employers and disability support organisations to identify suitable career options for people with disability, in alignment with a commitment to diversity and inclusion within the clean energy sector especially in the regions.</w:t>
            </w:r>
          </w:p>
        </w:tc>
      </w:tr>
      <w:tr w:rsidR="003F6D17" w:rsidRPr="00E5087D" w14:paraId="5C8CC809" w14:textId="77777777" w:rsidTr="00336D8B">
        <w:tc>
          <w:tcPr>
            <w:tcW w:w="751" w:type="dxa"/>
            <w:shd w:val="clear" w:color="auto" w:fill="DABCF5" w:themeFill="text2" w:themeFillTint="33"/>
          </w:tcPr>
          <w:p w14:paraId="7F9A62E8" w14:textId="77777777" w:rsidR="003F6D17" w:rsidRPr="00E5087D" w:rsidRDefault="003F6D17" w:rsidP="003F6D17">
            <w:pPr>
              <w:spacing w:before="60" w:after="60"/>
              <w:rPr>
                <w:rFonts w:cs="Arial"/>
                <w:b/>
                <w:bCs/>
              </w:rPr>
            </w:pPr>
            <w:r w:rsidRPr="00E5087D">
              <w:rPr>
                <w:rFonts w:cs="Arial"/>
                <w:b/>
                <w:bCs/>
              </w:rPr>
              <w:t>8.6</w:t>
            </w:r>
          </w:p>
        </w:tc>
        <w:tc>
          <w:tcPr>
            <w:tcW w:w="8177" w:type="dxa"/>
            <w:shd w:val="clear" w:color="auto" w:fill="DABCF5" w:themeFill="text2" w:themeFillTint="33"/>
          </w:tcPr>
          <w:p w14:paraId="60D167ED" w14:textId="4D5AE523"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sz w:val="20"/>
                <w:szCs w:val="20"/>
              </w:rPr>
              <w:t xml:space="preserve">Explore opportunities to retain international students </w:t>
            </w:r>
            <w:r w:rsidR="005F3801" w:rsidRPr="005F3801">
              <w:rPr>
                <w:rFonts w:cs="Arial"/>
                <w:sz w:val="20"/>
                <w:szCs w:val="20"/>
              </w:rPr>
              <w:t>completing studies in areas of</w:t>
            </w:r>
            <w:r w:rsidRPr="00DA3C25">
              <w:rPr>
                <w:rFonts w:cs="Arial"/>
                <w:sz w:val="20"/>
                <w:szCs w:val="20"/>
              </w:rPr>
              <w:t xml:space="preserve"> skills </w:t>
            </w:r>
            <w:r w:rsidR="005F3801" w:rsidRPr="005F3801">
              <w:rPr>
                <w:rFonts w:cs="Arial"/>
                <w:sz w:val="20"/>
                <w:szCs w:val="20"/>
              </w:rPr>
              <w:t>needs in Australia</w:t>
            </w:r>
            <w:r w:rsidR="009111E2">
              <w:rPr>
                <w:rFonts w:cs="Arial"/>
                <w:sz w:val="20"/>
                <w:szCs w:val="20"/>
              </w:rPr>
              <w:t>.</w:t>
            </w:r>
          </w:p>
        </w:tc>
      </w:tr>
      <w:tr w:rsidR="003F6D17" w:rsidRPr="00E5087D" w14:paraId="5824E5DA" w14:textId="77777777" w:rsidTr="00336D8B">
        <w:tc>
          <w:tcPr>
            <w:tcW w:w="751" w:type="dxa"/>
            <w:shd w:val="clear" w:color="auto" w:fill="FFFFFF" w:themeFill="background1"/>
          </w:tcPr>
          <w:p w14:paraId="1FE2F26A" w14:textId="77777777" w:rsidR="003F6D17" w:rsidRPr="00E5087D" w:rsidRDefault="003F6D17" w:rsidP="003F6D17">
            <w:pPr>
              <w:spacing w:before="60" w:after="60"/>
              <w:rPr>
                <w:rFonts w:cs="Arial"/>
                <w:b/>
                <w:bCs/>
              </w:rPr>
            </w:pPr>
            <w:r w:rsidRPr="00E5087D">
              <w:rPr>
                <w:rFonts w:cs="Arial"/>
                <w:b/>
                <w:bCs/>
              </w:rPr>
              <w:t>8.7</w:t>
            </w:r>
          </w:p>
        </w:tc>
        <w:tc>
          <w:tcPr>
            <w:tcW w:w="8177" w:type="dxa"/>
            <w:shd w:val="clear" w:color="auto" w:fill="FFFFFF" w:themeFill="background1"/>
          </w:tcPr>
          <w:p w14:paraId="607A8A9F" w14:textId="33155F82" w:rsidR="003F6D17" w:rsidRPr="00E5087D" w:rsidRDefault="00E042E7" w:rsidP="003F6D17">
            <w:pPr>
              <w:tabs>
                <w:tab w:val="left" w:pos="1085"/>
              </w:tabs>
              <w:spacing w:before="60" w:after="60"/>
              <w:rPr>
                <w:rFonts w:cs="Arial"/>
                <w:color w:val="000000"/>
                <w:sz w:val="20"/>
                <w:szCs w:val="20"/>
                <w:bdr w:val="none" w:sz="0" w:space="0" w:color="auto" w:frame="1"/>
              </w:rPr>
            </w:pPr>
            <w:r w:rsidRPr="00E042E7">
              <w:rPr>
                <w:rFonts w:cs="Arial"/>
                <w:color w:val="000000"/>
                <w:sz w:val="20"/>
                <w:szCs w:val="20"/>
                <w:bdr w:val="none" w:sz="0" w:space="0" w:color="auto" w:frame="1"/>
              </w:rPr>
              <w:t xml:space="preserve">The Australian Government should consider facilitating a </w:t>
            </w:r>
            <w:r w:rsidR="009905B5">
              <w:rPr>
                <w:rFonts w:cs="Arial"/>
                <w:color w:val="000000"/>
                <w:sz w:val="20"/>
                <w:szCs w:val="20"/>
                <w:bdr w:val="none" w:sz="0" w:space="0" w:color="auto" w:frame="1"/>
              </w:rPr>
              <w:t>‘</w:t>
            </w:r>
            <w:r w:rsidRPr="00E042E7">
              <w:rPr>
                <w:rFonts w:cs="Arial"/>
                <w:color w:val="000000"/>
                <w:sz w:val="20"/>
                <w:szCs w:val="20"/>
                <w:bdr w:val="none" w:sz="0" w:space="0" w:color="auto" w:frame="1"/>
              </w:rPr>
              <w:t>Clean Energy Study Tour</w:t>
            </w:r>
            <w:r w:rsidR="009905B5">
              <w:rPr>
                <w:rFonts w:cs="Arial"/>
                <w:color w:val="000000"/>
                <w:sz w:val="20"/>
                <w:szCs w:val="20"/>
                <w:bdr w:val="none" w:sz="0" w:space="0" w:color="auto" w:frame="1"/>
              </w:rPr>
              <w:t>’</w:t>
            </w:r>
            <w:r w:rsidRPr="00E042E7">
              <w:rPr>
                <w:rFonts w:cs="Arial"/>
                <w:color w:val="000000"/>
                <w:sz w:val="20"/>
                <w:szCs w:val="20"/>
                <w:bdr w:val="none" w:sz="0" w:space="0" w:color="auto" w:frame="1"/>
              </w:rPr>
              <w:t xml:space="preserve"> program with industry. This could allow selected participants to visit international firms to observe and learn from diverse technologies and training methodologies and then integrate this knowledge into the Australian clean energy sector</w:t>
            </w:r>
            <w:r w:rsidR="009111E2">
              <w:rPr>
                <w:rFonts w:cs="Arial"/>
                <w:color w:val="000000"/>
                <w:sz w:val="20"/>
                <w:szCs w:val="20"/>
                <w:bdr w:val="none" w:sz="0" w:space="0" w:color="auto" w:frame="1"/>
              </w:rPr>
              <w:t>.</w:t>
            </w:r>
          </w:p>
        </w:tc>
      </w:tr>
      <w:tr w:rsidR="003F6D17" w:rsidRPr="00E5087D" w14:paraId="788CA5D4" w14:textId="77777777" w:rsidTr="00336D8B">
        <w:tc>
          <w:tcPr>
            <w:tcW w:w="751" w:type="dxa"/>
            <w:shd w:val="clear" w:color="auto" w:fill="DABCF5" w:themeFill="text2" w:themeFillTint="33"/>
          </w:tcPr>
          <w:p w14:paraId="1A92D236" w14:textId="77777777" w:rsidR="003F6D17" w:rsidRPr="00E5087D" w:rsidRDefault="003F6D17" w:rsidP="003F6D17">
            <w:pPr>
              <w:spacing w:before="60" w:after="60"/>
              <w:rPr>
                <w:rFonts w:cs="Arial"/>
                <w:b/>
                <w:bCs/>
              </w:rPr>
            </w:pPr>
            <w:r w:rsidRPr="00E5087D">
              <w:rPr>
                <w:rFonts w:cs="Arial"/>
                <w:b/>
                <w:bCs/>
              </w:rPr>
              <w:t>8.8</w:t>
            </w:r>
          </w:p>
        </w:tc>
        <w:tc>
          <w:tcPr>
            <w:tcW w:w="8177" w:type="dxa"/>
            <w:shd w:val="clear" w:color="auto" w:fill="DABCF5" w:themeFill="text2" w:themeFillTint="33"/>
          </w:tcPr>
          <w:p w14:paraId="0D971851" w14:textId="1B0731D0" w:rsidR="003F6D17" w:rsidRPr="00E5087D" w:rsidRDefault="000B6B3D" w:rsidP="003F6D17">
            <w:pPr>
              <w:tabs>
                <w:tab w:val="left" w:pos="1085"/>
              </w:tabs>
              <w:spacing w:before="60" w:after="60"/>
              <w:rPr>
                <w:rFonts w:cs="Arial"/>
                <w:color w:val="000000"/>
                <w:sz w:val="20"/>
                <w:szCs w:val="20"/>
                <w:bdr w:val="none" w:sz="0" w:space="0" w:color="auto" w:frame="1"/>
              </w:rPr>
            </w:pPr>
            <w:r w:rsidRPr="000B6B3D">
              <w:rPr>
                <w:rFonts w:cs="Arial"/>
                <w:color w:val="000000"/>
                <w:sz w:val="20"/>
                <w:szCs w:val="20"/>
                <w:bdr w:val="none" w:sz="0" w:space="0" w:color="auto" w:frame="1"/>
              </w:rPr>
              <w:t xml:space="preserve">Consider establishing a reporting mechanism for large firms to publicly report their apprenticeship numbers (and ratio of apprentices to total employees). Such a scheme would perform a similar function to gender reporting by the Workplace Gender Equality Agency or the Safeguard Mechanism but would ideally draw on data already collected by agencies like </w:t>
            </w:r>
            <w:r w:rsidR="00387C58">
              <w:rPr>
                <w:rFonts w:cs="Arial"/>
                <w:color w:val="000000"/>
                <w:sz w:val="20"/>
                <w:szCs w:val="20"/>
                <w:bdr w:val="none" w:sz="0" w:space="0" w:color="auto" w:frame="1"/>
              </w:rPr>
              <w:t xml:space="preserve">the </w:t>
            </w:r>
            <w:r w:rsidRPr="000B6B3D">
              <w:rPr>
                <w:rFonts w:cs="Arial"/>
                <w:color w:val="000000"/>
                <w:sz w:val="20"/>
                <w:szCs w:val="20"/>
                <w:bdr w:val="none" w:sz="0" w:space="0" w:color="auto" w:frame="1"/>
              </w:rPr>
              <w:t>NCVER.</w:t>
            </w:r>
          </w:p>
        </w:tc>
      </w:tr>
      <w:tr w:rsidR="003F6D17" w:rsidRPr="00E5087D" w14:paraId="0E2D5C29" w14:textId="77777777" w:rsidTr="00336D8B">
        <w:tc>
          <w:tcPr>
            <w:tcW w:w="751" w:type="dxa"/>
            <w:shd w:val="clear" w:color="auto" w:fill="FFFFFF" w:themeFill="background1"/>
          </w:tcPr>
          <w:p w14:paraId="46C29E04" w14:textId="77777777" w:rsidR="003F6D17" w:rsidRPr="00E5087D" w:rsidRDefault="003F6D17" w:rsidP="003F6D17">
            <w:pPr>
              <w:spacing w:before="60" w:after="60"/>
              <w:rPr>
                <w:rFonts w:cs="Arial"/>
                <w:b/>
                <w:bCs/>
              </w:rPr>
            </w:pPr>
            <w:r w:rsidRPr="00E5087D">
              <w:rPr>
                <w:rFonts w:cs="Arial"/>
                <w:b/>
                <w:bCs/>
              </w:rPr>
              <w:t>8.9</w:t>
            </w:r>
          </w:p>
        </w:tc>
        <w:tc>
          <w:tcPr>
            <w:tcW w:w="8177" w:type="dxa"/>
            <w:shd w:val="clear" w:color="auto" w:fill="FFFFFF" w:themeFill="background1"/>
          </w:tcPr>
          <w:p w14:paraId="3334DDCA" w14:textId="1EC4EA66" w:rsidR="003F6D17" w:rsidRPr="00E5087D" w:rsidRDefault="003F6D17" w:rsidP="003F6D17">
            <w:pPr>
              <w:tabs>
                <w:tab w:val="left" w:pos="1085"/>
              </w:tabs>
              <w:spacing w:before="60" w:after="60"/>
              <w:rPr>
                <w:rFonts w:cs="Arial"/>
                <w:color w:val="000000"/>
                <w:sz w:val="20"/>
                <w:szCs w:val="20"/>
                <w:bdr w:val="none" w:sz="0" w:space="0" w:color="auto" w:frame="1"/>
              </w:rPr>
            </w:pPr>
            <w:r w:rsidRPr="00DB51DA">
              <w:rPr>
                <w:rFonts w:cs="Arial"/>
                <w:color w:val="000000"/>
                <w:sz w:val="20"/>
                <w:szCs w:val="20"/>
                <w:bdr w:val="none" w:sz="0" w:space="0" w:color="auto" w:frame="1"/>
              </w:rPr>
              <w:t>Continue to sponsor and promote reporting on apprenticeship training and completion rates by industry and employer size, to inform strategies to increase rates where appropriate.</w:t>
            </w:r>
          </w:p>
        </w:tc>
      </w:tr>
      <w:tr w:rsidR="003F6D17" w:rsidRPr="00E5087D" w14:paraId="16795C12" w14:textId="77777777" w:rsidTr="00336D8B">
        <w:tc>
          <w:tcPr>
            <w:tcW w:w="751" w:type="dxa"/>
            <w:shd w:val="clear" w:color="auto" w:fill="DABCF5" w:themeFill="text2" w:themeFillTint="33"/>
          </w:tcPr>
          <w:p w14:paraId="7D355932" w14:textId="77777777" w:rsidR="003F6D17" w:rsidRPr="00E5087D" w:rsidRDefault="003F6D17" w:rsidP="003F6D17">
            <w:pPr>
              <w:spacing w:before="60" w:after="60"/>
              <w:rPr>
                <w:rFonts w:cs="Arial"/>
                <w:b/>
                <w:bCs/>
              </w:rPr>
            </w:pPr>
            <w:r w:rsidRPr="00E5087D">
              <w:rPr>
                <w:rFonts w:cs="Arial"/>
                <w:b/>
                <w:bCs/>
              </w:rPr>
              <w:t>8.10</w:t>
            </w:r>
          </w:p>
        </w:tc>
        <w:tc>
          <w:tcPr>
            <w:tcW w:w="8177" w:type="dxa"/>
            <w:shd w:val="clear" w:color="auto" w:fill="DABCF5" w:themeFill="text2" w:themeFillTint="33"/>
          </w:tcPr>
          <w:p w14:paraId="02ABDE3C" w14:textId="3BC3B10F" w:rsidR="003F6D17" w:rsidRPr="00E5087D" w:rsidRDefault="003F6D17" w:rsidP="003F6D17">
            <w:pPr>
              <w:tabs>
                <w:tab w:val="left" w:pos="1085"/>
              </w:tabs>
              <w:spacing w:before="60" w:after="60"/>
              <w:rPr>
                <w:rFonts w:cs="Arial"/>
                <w:color w:val="000000"/>
                <w:sz w:val="20"/>
                <w:szCs w:val="20"/>
                <w:bdr w:val="none" w:sz="0" w:space="0" w:color="auto" w:frame="1"/>
              </w:rPr>
            </w:pPr>
            <w:r w:rsidRPr="00715817">
              <w:rPr>
                <w:rFonts w:cs="Arial"/>
                <w:color w:val="000000"/>
                <w:sz w:val="20"/>
                <w:szCs w:val="20"/>
                <w:bdr w:val="none" w:sz="0" w:space="0" w:color="auto" w:frame="1"/>
              </w:rPr>
              <w:t>Explore options to expand the Australian Skills Guarantee to energy generation and transmissions projects. Consideration should also be given to state and territory funded projects that are not already covered by existing mandated targets.</w:t>
            </w:r>
          </w:p>
        </w:tc>
      </w:tr>
      <w:tr w:rsidR="003F6D17" w:rsidRPr="00E5087D" w14:paraId="1FF3253E" w14:textId="77777777" w:rsidTr="00336D8B">
        <w:tc>
          <w:tcPr>
            <w:tcW w:w="751" w:type="dxa"/>
            <w:shd w:val="clear" w:color="auto" w:fill="FFFFFF" w:themeFill="background1"/>
          </w:tcPr>
          <w:p w14:paraId="48CDE1D4" w14:textId="77777777" w:rsidR="003F6D17" w:rsidRPr="00E5087D" w:rsidRDefault="003F6D17" w:rsidP="003F6D17">
            <w:pPr>
              <w:spacing w:before="60" w:after="60"/>
              <w:rPr>
                <w:rFonts w:cs="Arial"/>
                <w:b/>
                <w:bCs/>
              </w:rPr>
            </w:pPr>
            <w:r w:rsidRPr="00E5087D">
              <w:rPr>
                <w:rFonts w:cs="Arial"/>
                <w:b/>
                <w:bCs/>
              </w:rPr>
              <w:t>8.11</w:t>
            </w:r>
          </w:p>
        </w:tc>
        <w:tc>
          <w:tcPr>
            <w:tcW w:w="8177" w:type="dxa"/>
            <w:shd w:val="clear" w:color="auto" w:fill="FFFFFF" w:themeFill="background1"/>
          </w:tcPr>
          <w:p w14:paraId="1D5D50D8" w14:textId="247FE0D4" w:rsidR="003F6D17" w:rsidRPr="00E5087D" w:rsidRDefault="003F6D17" w:rsidP="003F6D17">
            <w:pPr>
              <w:tabs>
                <w:tab w:val="left" w:pos="1085"/>
              </w:tabs>
              <w:spacing w:before="60" w:after="60"/>
              <w:rPr>
                <w:rFonts w:cs="Arial"/>
                <w:color w:val="000000"/>
                <w:sz w:val="20"/>
                <w:szCs w:val="20"/>
                <w:bdr w:val="none" w:sz="0" w:space="0" w:color="auto" w:frame="1"/>
              </w:rPr>
            </w:pPr>
            <w:r w:rsidRPr="00DA3C25">
              <w:rPr>
                <w:rFonts w:cs="Arial"/>
                <w:sz w:val="20"/>
                <w:szCs w:val="20"/>
              </w:rPr>
              <w:t xml:space="preserve">In a similar vein to the Victorian Solar Homes Program, all levels of governments should explore ways to link government loans and rebates with training requirements for adoption of clean energy technologies and electrification across the residential, transport, commercial and industry sectors. </w:t>
            </w:r>
          </w:p>
        </w:tc>
      </w:tr>
      <w:tr w:rsidR="003F6D17" w:rsidRPr="00E5087D" w14:paraId="4C05BE3F" w14:textId="77777777" w:rsidTr="00336D8B">
        <w:tc>
          <w:tcPr>
            <w:tcW w:w="751" w:type="dxa"/>
            <w:shd w:val="clear" w:color="auto" w:fill="DABCF5" w:themeFill="text2" w:themeFillTint="33"/>
          </w:tcPr>
          <w:p w14:paraId="4DE88CE5" w14:textId="77777777" w:rsidR="003F6D17" w:rsidRPr="00E5087D" w:rsidRDefault="003F6D17" w:rsidP="003F6D17">
            <w:pPr>
              <w:spacing w:before="60" w:after="60"/>
              <w:rPr>
                <w:rFonts w:cs="Arial"/>
                <w:b/>
                <w:bCs/>
              </w:rPr>
            </w:pPr>
            <w:r w:rsidRPr="00E5087D">
              <w:rPr>
                <w:rFonts w:cs="Arial"/>
                <w:b/>
                <w:bCs/>
              </w:rPr>
              <w:t>8.12</w:t>
            </w:r>
          </w:p>
        </w:tc>
        <w:tc>
          <w:tcPr>
            <w:tcW w:w="8177" w:type="dxa"/>
            <w:shd w:val="clear" w:color="auto" w:fill="DABCF5" w:themeFill="text2" w:themeFillTint="33"/>
          </w:tcPr>
          <w:p w14:paraId="6D721112" w14:textId="4A47AD1C" w:rsidR="003F6D17" w:rsidRPr="00E5087D" w:rsidRDefault="003F6D17" w:rsidP="003F6D17">
            <w:pPr>
              <w:tabs>
                <w:tab w:val="left" w:pos="1085"/>
              </w:tabs>
              <w:spacing w:before="60" w:after="60"/>
              <w:rPr>
                <w:rFonts w:cs="Arial"/>
                <w:color w:val="000000"/>
                <w:sz w:val="20"/>
                <w:szCs w:val="20"/>
                <w:bdr w:val="none" w:sz="0" w:space="0" w:color="auto" w:frame="1"/>
              </w:rPr>
            </w:pPr>
            <w:r w:rsidRPr="0091332D">
              <w:rPr>
                <w:rStyle w:val="normaltextrun"/>
                <w:rFonts w:cs="Arial"/>
                <w:color w:val="000000"/>
                <w:sz w:val="20"/>
                <w:szCs w:val="20"/>
                <w:bdr w:val="none" w:sz="0" w:space="0" w:color="auto" w:frame="1"/>
              </w:rPr>
              <w:t>Jobs and Skills Councils should work with industry to ensure that proprietary training does not lead to the monopolisation of particular skills knowledge or technology</w:t>
            </w:r>
            <w:r>
              <w:rPr>
                <w:rStyle w:val="normaltextrun"/>
                <w:rFonts w:cs="Arial"/>
                <w:color w:val="000000"/>
                <w:sz w:val="20"/>
                <w:szCs w:val="20"/>
                <w:bdr w:val="none" w:sz="0" w:space="0" w:color="auto" w:frame="1"/>
              </w:rPr>
              <w:t xml:space="preserve"> </w:t>
            </w:r>
            <w:r w:rsidRPr="0091332D">
              <w:rPr>
                <w:rStyle w:val="normaltextrun"/>
                <w:rFonts w:cs="Arial"/>
                <w:color w:val="000000"/>
                <w:sz w:val="20"/>
                <w:szCs w:val="20"/>
                <w:bdr w:val="none" w:sz="0" w:space="0" w:color="auto" w:frame="1"/>
              </w:rPr>
              <w:t>and that there is a sustainable, whole-of-sector training culture.</w:t>
            </w:r>
          </w:p>
        </w:tc>
      </w:tr>
    </w:tbl>
    <w:p w14:paraId="203CA55E" w14:textId="77777777" w:rsidR="002C5A3D" w:rsidRDefault="002C5A3D">
      <w:r>
        <w:br w:type="page"/>
      </w:r>
    </w:p>
    <w:tbl>
      <w:tblPr>
        <w:tblStyle w:val="TableGrid"/>
        <w:tblW w:w="0" w:type="auto"/>
        <w:tblBorders>
          <w:top w:val="single" w:sz="6" w:space="0" w:color="DBB7FF"/>
          <w:left w:val="none" w:sz="0" w:space="0" w:color="auto"/>
          <w:bottom w:val="single" w:sz="6" w:space="0" w:color="DBB7FF"/>
          <w:right w:val="none" w:sz="0" w:space="0" w:color="auto"/>
          <w:insideH w:val="none" w:sz="0" w:space="0" w:color="auto"/>
          <w:insideV w:val="single" w:sz="6" w:space="0" w:color="DBB7FF"/>
        </w:tblBorders>
        <w:tblLook w:val="04A0" w:firstRow="1" w:lastRow="0" w:firstColumn="1" w:lastColumn="0" w:noHBand="0" w:noVBand="1"/>
      </w:tblPr>
      <w:tblGrid>
        <w:gridCol w:w="751"/>
        <w:gridCol w:w="8177"/>
      </w:tblGrid>
      <w:tr w:rsidR="003F6D17" w:rsidRPr="00E5087D" w14:paraId="7870FFAC" w14:textId="77777777" w:rsidTr="00336D8B">
        <w:tc>
          <w:tcPr>
            <w:tcW w:w="751" w:type="dxa"/>
            <w:shd w:val="clear" w:color="auto" w:fill="FFFFFF" w:themeFill="background1"/>
          </w:tcPr>
          <w:p w14:paraId="13606782" w14:textId="1F5F25DF" w:rsidR="003F6D17" w:rsidRPr="00E5087D" w:rsidRDefault="003F6D17" w:rsidP="003F6D17">
            <w:pPr>
              <w:spacing w:before="60" w:after="60"/>
              <w:rPr>
                <w:rFonts w:cs="Arial"/>
                <w:b/>
                <w:bCs/>
              </w:rPr>
            </w:pPr>
            <w:r w:rsidRPr="00E5087D">
              <w:rPr>
                <w:rFonts w:cs="Arial"/>
                <w:b/>
                <w:bCs/>
              </w:rPr>
              <w:t>8.13</w:t>
            </w:r>
          </w:p>
        </w:tc>
        <w:tc>
          <w:tcPr>
            <w:tcW w:w="8177" w:type="dxa"/>
            <w:shd w:val="clear" w:color="auto" w:fill="FFFFFF" w:themeFill="background1"/>
          </w:tcPr>
          <w:p w14:paraId="746F99ED" w14:textId="3DDFEF8E" w:rsidR="003F6D17" w:rsidRPr="00E5087D" w:rsidRDefault="005207CE" w:rsidP="003F6D17">
            <w:pPr>
              <w:tabs>
                <w:tab w:val="left" w:pos="1085"/>
              </w:tabs>
              <w:spacing w:before="60" w:after="60"/>
              <w:rPr>
                <w:rFonts w:cs="Arial"/>
                <w:sz w:val="20"/>
                <w:szCs w:val="20"/>
                <w:bdr w:val="none" w:sz="0" w:space="0" w:color="auto" w:frame="1"/>
              </w:rPr>
            </w:pPr>
            <w:r>
              <w:rPr>
                <w:rFonts w:cs="Arial"/>
                <w:sz w:val="20"/>
                <w:szCs w:val="20"/>
                <w:bdr w:val="none" w:sz="0" w:space="0" w:color="auto" w:frame="1"/>
              </w:rPr>
              <w:t>Government</w:t>
            </w:r>
            <w:r w:rsidR="003F6D17" w:rsidRPr="00DA3C25">
              <w:rPr>
                <w:rFonts w:cs="Arial"/>
                <w:sz w:val="20"/>
                <w:szCs w:val="20"/>
                <w:bdr w:val="none" w:sz="0" w:space="0" w:color="auto" w:frame="1"/>
              </w:rPr>
              <w:t xml:space="preserve"> entities should ensure transition outcomes aren’t predetermined for workers. While some workers may move into clean energy roles, government policy shouldn’t be based solely on the expectation of such a shift. The employment needs, circumstances and preferences of each worker should drive government interventions. </w:t>
            </w:r>
          </w:p>
        </w:tc>
      </w:tr>
      <w:tr w:rsidR="003F6D17" w:rsidRPr="00E5087D" w14:paraId="08F40686" w14:textId="77777777" w:rsidTr="00336D8B">
        <w:tc>
          <w:tcPr>
            <w:tcW w:w="751" w:type="dxa"/>
            <w:shd w:val="clear" w:color="auto" w:fill="DABCF5" w:themeFill="text2" w:themeFillTint="33"/>
          </w:tcPr>
          <w:p w14:paraId="220D5CF3" w14:textId="77777777" w:rsidR="003F6D17" w:rsidRPr="00E5087D" w:rsidRDefault="003F6D17" w:rsidP="003F6D17">
            <w:pPr>
              <w:spacing w:before="60" w:after="60"/>
              <w:rPr>
                <w:rFonts w:cs="Arial"/>
                <w:b/>
                <w:bCs/>
              </w:rPr>
            </w:pPr>
            <w:r w:rsidRPr="00E5087D">
              <w:rPr>
                <w:rFonts w:cs="Arial"/>
                <w:b/>
                <w:bCs/>
              </w:rPr>
              <w:t>8.14</w:t>
            </w:r>
          </w:p>
        </w:tc>
        <w:tc>
          <w:tcPr>
            <w:tcW w:w="8177" w:type="dxa"/>
            <w:shd w:val="clear" w:color="auto" w:fill="DABCF5" w:themeFill="text2" w:themeFillTint="33"/>
          </w:tcPr>
          <w:p w14:paraId="75B3ACAB" w14:textId="1C192560" w:rsidR="003F6D17" w:rsidRPr="00036AB6" w:rsidRDefault="009905B5" w:rsidP="003F6D17">
            <w:pPr>
              <w:tabs>
                <w:tab w:val="left" w:pos="1085"/>
              </w:tabs>
              <w:spacing w:before="60" w:after="60"/>
              <w:rPr>
                <w:rFonts w:cs="Arial"/>
                <w:sz w:val="20"/>
                <w:szCs w:val="20"/>
                <w:bdr w:val="none" w:sz="0" w:space="0" w:color="auto" w:frame="1"/>
              </w:rPr>
            </w:pPr>
            <w:r w:rsidRPr="00036AB6">
              <w:rPr>
                <w:rFonts w:cs="Arial"/>
                <w:sz w:val="20"/>
                <w:szCs w:val="20"/>
                <w:bdr w:val="none" w:sz="0" w:space="0" w:color="auto" w:frame="1"/>
              </w:rPr>
              <w:t>C</w:t>
            </w:r>
            <w:r w:rsidRPr="00036AB6">
              <w:rPr>
                <w:rFonts w:cs="Arial"/>
                <w:sz w:val="20"/>
                <w:szCs w:val="20"/>
              </w:rPr>
              <w:t xml:space="preserve">onsider </w:t>
            </w:r>
            <w:r w:rsidR="005727E7" w:rsidRPr="00036AB6">
              <w:rPr>
                <w:rFonts w:cs="Arial"/>
                <w:sz w:val="20"/>
                <w:szCs w:val="20"/>
                <w:bdr w:val="none" w:sz="0" w:space="0" w:color="auto" w:frame="1"/>
              </w:rPr>
              <w:t>e</w:t>
            </w:r>
            <w:r w:rsidR="003F6D17" w:rsidRPr="00036AB6">
              <w:rPr>
                <w:rFonts w:cs="Arial"/>
                <w:sz w:val="20"/>
                <w:szCs w:val="20"/>
                <w:bdr w:val="none" w:sz="0" w:space="0" w:color="auto" w:frame="1"/>
              </w:rPr>
              <w:t>stablish</w:t>
            </w:r>
            <w:r w:rsidR="005727E7" w:rsidRPr="00036AB6">
              <w:rPr>
                <w:rFonts w:cs="Arial"/>
                <w:sz w:val="20"/>
                <w:szCs w:val="20"/>
                <w:bdr w:val="none" w:sz="0" w:space="0" w:color="auto" w:frame="1"/>
              </w:rPr>
              <w:t>i</w:t>
            </w:r>
            <w:r w:rsidR="005727E7" w:rsidRPr="00036AB6">
              <w:rPr>
                <w:rFonts w:cs="Arial"/>
                <w:sz w:val="20"/>
                <w:szCs w:val="20"/>
              </w:rPr>
              <w:t>ng</w:t>
            </w:r>
            <w:r w:rsidR="003F6D17" w:rsidRPr="00036AB6">
              <w:rPr>
                <w:rFonts w:cs="Arial"/>
                <w:sz w:val="20"/>
                <w:szCs w:val="20"/>
                <w:bdr w:val="none" w:sz="0" w:space="0" w:color="auto" w:frame="1"/>
              </w:rPr>
              <w:t xml:space="preserve"> local skills recognition centres in communities experiencing clean energy growth and those transitioning from fossil fuels to provide intensive, individualised training plans and supports, with priority given to providing skills recognition for experienced workers without current post-school qualifications and delivering gap training to assist transitioning workers find new roles (whether in clean energy or other growing sectors).</w:t>
            </w:r>
          </w:p>
        </w:tc>
      </w:tr>
      <w:tr w:rsidR="007E70CF" w:rsidRPr="00E5087D" w14:paraId="109504E3" w14:textId="77777777" w:rsidTr="007E70CF">
        <w:tc>
          <w:tcPr>
            <w:tcW w:w="751" w:type="dxa"/>
            <w:tcBorders>
              <w:bottom w:val="nil"/>
            </w:tcBorders>
            <w:shd w:val="clear" w:color="auto" w:fill="FFFFFF" w:themeFill="background1"/>
          </w:tcPr>
          <w:p w14:paraId="164E97CA" w14:textId="6A2CA4CF" w:rsidR="007E70CF" w:rsidRPr="00E5087D" w:rsidRDefault="007E70CF" w:rsidP="007E70CF">
            <w:pPr>
              <w:spacing w:before="60" w:after="60"/>
              <w:rPr>
                <w:rFonts w:cs="Arial"/>
                <w:b/>
                <w:bCs/>
              </w:rPr>
            </w:pPr>
            <w:r w:rsidRPr="407CCB66">
              <w:rPr>
                <w:rFonts w:cs="Arial"/>
                <w:b/>
                <w:bCs/>
              </w:rPr>
              <w:t>8.1</w:t>
            </w:r>
            <w:r>
              <w:rPr>
                <w:rFonts w:cs="Arial"/>
                <w:b/>
                <w:bCs/>
              </w:rPr>
              <w:t>5</w:t>
            </w:r>
          </w:p>
        </w:tc>
        <w:tc>
          <w:tcPr>
            <w:tcW w:w="8177" w:type="dxa"/>
            <w:tcBorders>
              <w:bottom w:val="nil"/>
            </w:tcBorders>
            <w:shd w:val="clear" w:color="auto" w:fill="FFFFFF" w:themeFill="background1"/>
          </w:tcPr>
          <w:p w14:paraId="6021ED2F" w14:textId="313C11FF" w:rsidR="007E70CF" w:rsidRPr="00036AB6" w:rsidRDefault="007E70CF" w:rsidP="007E70CF">
            <w:pPr>
              <w:tabs>
                <w:tab w:val="left" w:pos="1085"/>
              </w:tabs>
              <w:spacing w:before="60" w:after="60"/>
              <w:rPr>
                <w:rFonts w:cs="Arial"/>
                <w:sz w:val="20"/>
                <w:szCs w:val="20"/>
                <w:bdr w:val="none" w:sz="0" w:space="0" w:color="auto" w:frame="1"/>
              </w:rPr>
            </w:pPr>
            <w:r w:rsidRPr="00036AB6">
              <w:rPr>
                <w:rFonts w:cs="Arial"/>
                <w:sz w:val="20"/>
                <w:szCs w:val="20"/>
                <w:bdr w:val="none" w:sz="0" w:space="0" w:color="auto" w:frame="1"/>
              </w:rPr>
              <w:t xml:space="preserve">Government should </w:t>
            </w:r>
            <w:r w:rsidR="005727E7" w:rsidRPr="00036AB6">
              <w:rPr>
                <w:rFonts w:cs="Arial"/>
                <w:sz w:val="20"/>
                <w:szCs w:val="20"/>
                <w:bdr w:val="none" w:sz="0" w:space="0" w:color="auto" w:frame="1"/>
              </w:rPr>
              <w:t>c</w:t>
            </w:r>
            <w:r w:rsidR="005727E7" w:rsidRPr="00036AB6">
              <w:rPr>
                <w:rFonts w:cs="Arial"/>
                <w:sz w:val="20"/>
                <w:szCs w:val="20"/>
              </w:rPr>
              <w:t xml:space="preserve">onsider </w:t>
            </w:r>
            <w:r w:rsidRPr="00036AB6">
              <w:rPr>
                <w:rFonts w:cs="Arial"/>
                <w:sz w:val="20"/>
                <w:szCs w:val="20"/>
                <w:bdr w:val="none" w:sz="0" w:space="0" w:color="auto" w:frame="1"/>
              </w:rPr>
              <w:t>develop</w:t>
            </w:r>
            <w:r w:rsidR="005727E7" w:rsidRPr="00036AB6">
              <w:rPr>
                <w:rFonts w:cs="Arial"/>
                <w:sz w:val="20"/>
                <w:szCs w:val="20"/>
                <w:bdr w:val="none" w:sz="0" w:space="0" w:color="auto" w:frame="1"/>
              </w:rPr>
              <w:t>i</w:t>
            </w:r>
            <w:r w:rsidR="005727E7" w:rsidRPr="00036AB6">
              <w:rPr>
                <w:rFonts w:cs="Arial"/>
                <w:sz w:val="20"/>
                <w:szCs w:val="20"/>
              </w:rPr>
              <w:t>ng</w:t>
            </w:r>
            <w:r w:rsidRPr="00036AB6">
              <w:rPr>
                <w:rFonts w:cs="Arial"/>
                <w:sz w:val="20"/>
                <w:szCs w:val="20"/>
                <w:bdr w:val="none" w:sz="0" w:space="0" w:color="auto" w:frame="1"/>
              </w:rPr>
              <w:t xml:space="preserve"> targeted education plans for communities experiencing clean energy growth and those transitioning from fossil fuels to ensure that there is a general uplift in educational attainment, including Year 12 equivalence and post-school qualifications.</w:t>
            </w:r>
          </w:p>
        </w:tc>
      </w:tr>
      <w:tr w:rsidR="007E70CF" w:rsidRPr="00E5087D" w14:paraId="020C2408" w14:textId="77777777" w:rsidTr="007E70CF">
        <w:tc>
          <w:tcPr>
            <w:tcW w:w="751" w:type="dxa"/>
            <w:tcBorders>
              <w:top w:val="nil"/>
              <w:bottom w:val="single" w:sz="4" w:space="0" w:color="auto"/>
            </w:tcBorders>
            <w:shd w:val="clear" w:color="auto" w:fill="DABCF5" w:themeFill="text2" w:themeFillTint="33"/>
          </w:tcPr>
          <w:p w14:paraId="3FE91FA7" w14:textId="30BC78CF" w:rsidR="007E70CF" w:rsidRPr="00E5087D" w:rsidRDefault="007E70CF" w:rsidP="007E70CF">
            <w:pPr>
              <w:spacing w:before="60" w:after="60"/>
              <w:rPr>
                <w:rFonts w:cs="Arial"/>
                <w:b/>
                <w:bCs/>
              </w:rPr>
            </w:pPr>
            <w:r w:rsidRPr="407CCB66">
              <w:rPr>
                <w:rFonts w:cs="Arial"/>
                <w:b/>
                <w:bCs/>
              </w:rPr>
              <w:t>8.1</w:t>
            </w:r>
            <w:r>
              <w:rPr>
                <w:rFonts w:cs="Arial"/>
                <w:b/>
                <w:bCs/>
              </w:rPr>
              <w:t>6</w:t>
            </w:r>
          </w:p>
        </w:tc>
        <w:tc>
          <w:tcPr>
            <w:tcW w:w="8177" w:type="dxa"/>
            <w:tcBorders>
              <w:top w:val="nil"/>
              <w:bottom w:val="single" w:sz="4" w:space="0" w:color="auto"/>
            </w:tcBorders>
            <w:shd w:val="clear" w:color="auto" w:fill="DABCF5" w:themeFill="text2" w:themeFillTint="33"/>
          </w:tcPr>
          <w:p w14:paraId="6D70236E" w14:textId="49735A0A" w:rsidR="007E70CF" w:rsidRPr="006A7650" w:rsidRDefault="007E70CF" w:rsidP="007E70CF">
            <w:pPr>
              <w:tabs>
                <w:tab w:val="left" w:pos="1085"/>
              </w:tabs>
              <w:spacing w:before="60" w:after="60"/>
              <w:rPr>
                <w:rFonts w:cs="Arial"/>
                <w:sz w:val="20"/>
                <w:szCs w:val="20"/>
                <w:bdr w:val="none" w:sz="0" w:space="0" w:color="auto" w:frame="1"/>
              </w:rPr>
            </w:pPr>
            <w:r w:rsidRPr="00DA3C25">
              <w:rPr>
                <w:rFonts w:cs="Arial"/>
                <w:sz w:val="20"/>
                <w:szCs w:val="20"/>
              </w:rPr>
              <w:t>Government</w:t>
            </w:r>
            <w:r w:rsidRPr="00DA3C25">
              <w:rPr>
                <w:rFonts w:cs="Arial"/>
                <w:color w:val="000000"/>
                <w:sz w:val="20"/>
                <w:szCs w:val="20"/>
                <w:bdr w:val="none" w:sz="0" w:space="0" w:color="auto" w:frame="1"/>
              </w:rPr>
              <w:t xml:space="preserve"> should provide support and leadership to ensure job opportunities from large clean energy projects (including during construction phases) are genuinely accessible by local communities. En</w:t>
            </w:r>
            <w:r w:rsidRPr="00DA3C25">
              <w:rPr>
                <w:rFonts w:cs="Arial"/>
                <w:sz w:val="20"/>
                <w:szCs w:val="20"/>
              </w:rPr>
              <w:t>suring</w:t>
            </w:r>
            <w:r w:rsidRPr="00DA3C25">
              <w:rPr>
                <w:rFonts w:cs="Arial"/>
                <w:color w:val="000000"/>
                <w:sz w:val="20"/>
                <w:szCs w:val="20"/>
                <w:bdr w:val="none" w:sz="0" w:space="0" w:color="auto" w:frame="1"/>
              </w:rPr>
              <w:t xml:space="preserve"> t</w:t>
            </w:r>
            <w:r w:rsidRPr="00DA3C25">
              <w:rPr>
                <w:rFonts w:cs="Arial"/>
                <w:sz w:val="20"/>
                <w:szCs w:val="20"/>
              </w:rPr>
              <w:t xml:space="preserve">he </w:t>
            </w:r>
            <w:r w:rsidRPr="00DA3C25">
              <w:rPr>
                <w:rFonts w:cs="Arial"/>
                <w:color w:val="000000"/>
                <w:sz w:val="20"/>
                <w:szCs w:val="20"/>
                <w:bdr w:val="none" w:sz="0" w:space="0" w:color="auto" w:frame="1"/>
              </w:rPr>
              <w:t>use of local workers w</w:t>
            </w:r>
            <w:r w:rsidRPr="00DA3C25">
              <w:rPr>
                <w:rFonts w:cs="Arial"/>
                <w:sz w:val="20"/>
                <w:szCs w:val="20"/>
              </w:rPr>
              <w:t xml:space="preserve">here possible </w:t>
            </w:r>
            <w:r w:rsidRPr="00DA3C25">
              <w:rPr>
                <w:rFonts w:cs="Arial"/>
                <w:color w:val="000000"/>
                <w:sz w:val="20"/>
                <w:szCs w:val="20"/>
                <w:bdr w:val="none" w:sz="0" w:space="0" w:color="auto" w:frame="1"/>
              </w:rPr>
              <w:t>and upskilling communities should key a key priority.</w:t>
            </w:r>
          </w:p>
        </w:tc>
      </w:tr>
    </w:tbl>
    <w:p w14:paraId="14AAF376" w14:textId="5C662F08" w:rsidR="002454BB" w:rsidRDefault="002454BB" w:rsidP="002454BB"/>
    <w:p w14:paraId="105E5FBC" w14:textId="58ACACFF" w:rsidR="00A8613E" w:rsidRPr="00212346" w:rsidDel="00827B37" w:rsidRDefault="0087346E" w:rsidP="000C34BE">
      <w:pPr>
        <w:spacing w:line="240" w:lineRule="auto"/>
        <w:rPr>
          <w:rFonts w:eastAsia="Arial" w:cs="Arial"/>
          <w:b/>
          <w:bCs/>
          <w:color w:val="404040" w:themeColor="text1" w:themeTint="BF"/>
          <w:sz w:val="32"/>
          <w:szCs w:val="32"/>
        </w:rPr>
      </w:pPr>
      <w:r w:rsidRPr="00212346">
        <w:rPr>
          <w:rFonts w:eastAsia="Arial" w:cs="Arial"/>
          <w:b/>
          <w:bCs/>
          <w:color w:val="404040" w:themeColor="text1" w:themeTint="BF"/>
          <w:sz w:val="32"/>
          <w:szCs w:val="32"/>
        </w:rPr>
        <w:t>Becoming a clean energy superpower likely offsets the cost of transition by 2050, but requires significant effort</w:t>
      </w:r>
    </w:p>
    <w:p w14:paraId="0F8B6F84" w14:textId="6E66DF38" w:rsidR="00A8613E" w:rsidRDefault="589AAD67" w:rsidP="00A8613E">
      <w:pPr>
        <w:spacing w:line="276" w:lineRule="auto"/>
        <w:rPr>
          <w:rFonts w:eastAsia="Arial" w:cs="Arial"/>
        </w:rPr>
      </w:pPr>
      <w:r w:rsidRPr="024359DF">
        <w:rPr>
          <w:rFonts w:eastAsia="Arial" w:cs="Arial"/>
        </w:rPr>
        <w:t xml:space="preserve">There is a </w:t>
      </w:r>
      <w:r w:rsidR="003F276F">
        <w:rPr>
          <w:rFonts w:eastAsia="Arial" w:cs="Arial"/>
        </w:rPr>
        <w:t>possible</w:t>
      </w:r>
      <w:r w:rsidRPr="024359DF">
        <w:rPr>
          <w:rFonts w:eastAsia="Arial" w:cs="Arial"/>
        </w:rPr>
        <w:t xml:space="preserve"> path for Australia to take even fuller advantage of decarbonisation, expanding its production of renewable energy beyond our current domestic requirement. This would see Australia exporting renewable energy to the world, in the form of hydrogen, as well as extending further along the minerals value chain to process and refine more iron, aluminium, and critical minerals such as lithium here in Australia. </w:t>
      </w:r>
    </w:p>
    <w:p w14:paraId="3CAD99BF" w14:textId="7E34497E" w:rsidR="00A8613E" w:rsidRDefault="589AAD67" w:rsidP="388C0A0B">
      <w:pPr>
        <w:spacing w:line="276" w:lineRule="auto"/>
        <w:rPr>
          <w:rFonts w:eastAsia="Arial" w:cs="Arial"/>
        </w:rPr>
      </w:pPr>
      <w:r w:rsidRPr="388C0A0B">
        <w:rPr>
          <w:rFonts w:eastAsia="Arial" w:cs="Arial"/>
        </w:rPr>
        <w:t xml:space="preserve">It </w:t>
      </w:r>
      <w:r w:rsidR="00B66FCD">
        <w:rPr>
          <w:rFonts w:eastAsia="Arial" w:cs="Arial"/>
        </w:rPr>
        <w:t>could</w:t>
      </w:r>
      <w:r w:rsidRPr="388C0A0B">
        <w:rPr>
          <w:rFonts w:eastAsia="Arial" w:cs="Arial"/>
        </w:rPr>
        <w:t xml:space="preserve"> provide communities impacted by decarbonisation – and deindustrialisation before that – with opportunities to expand industrial activities such as iron ore, bauxite and critical minerals processing, iron and alumina smelting. </w:t>
      </w:r>
      <w:r w:rsidR="1CDE67D2" w:rsidRPr="388C0A0B">
        <w:rPr>
          <w:rFonts w:eastAsia="Arial" w:cs="Arial"/>
        </w:rPr>
        <w:t xml:space="preserve">Other opportunities arise through </w:t>
      </w:r>
      <w:r w:rsidR="001C7755">
        <w:rPr>
          <w:rFonts w:eastAsia="Arial" w:cs="Arial"/>
        </w:rPr>
        <w:t>m</w:t>
      </w:r>
      <w:r w:rsidRPr="388C0A0B">
        <w:rPr>
          <w:rFonts w:eastAsia="Arial" w:cs="Arial"/>
        </w:rPr>
        <w:t xml:space="preserve">anufacturing clean energy technology components such as wind turbines, and other specialised areas of advanced manufacturing. </w:t>
      </w:r>
    </w:p>
    <w:p w14:paraId="0ADFCF90" w14:textId="768B3EE0" w:rsidR="00B66FCD" w:rsidRDefault="00A8613E" w:rsidP="00A8613E">
      <w:pPr>
        <w:spacing w:line="276" w:lineRule="auto"/>
        <w:rPr>
          <w:rFonts w:eastAsia="Arial" w:cs="Arial"/>
        </w:rPr>
      </w:pPr>
      <w:r w:rsidRPr="60D2A29F">
        <w:rPr>
          <w:rFonts w:eastAsia="Arial" w:cs="Arial"/>
        </w:rPr>
        <w:t>To achieve this</w:t>
      </w:r>
      <w:r w:rsidR="005727E7" w:rsidRPr="60D2A29F">
        <w:rPr>
          <w:rFonts w:eastAsia="Arial" w:cs="Arial"/>
        </w:rPr>
        <w:t>,</w:t>
      </w:r>
      <w:r w:rsidRPr="60D2A29F">
        <w:rPr>
          <w:rFonts w:eastAsia="Arial" w:cs="Arial"/>
        </w:rPr>
        <w:t xml:space="preserve"> we would need to expand our electricity production many-fold (by six, seven or eight times). </w:t>
      </w:r>
      <w:r w:rsidR="00A0541B">
        <w:rPr>
          <w:rFonts w:eastAsia="Arial" w:cs="Arial"/>
        </w:rPr>
        <w:t>The preliminary modelling suggests that under this scenarios t</w:t>
      </w:r>
      <w:r w:rsidRPr="60D2A29F">
        <w:rPr>
          <w:rFonts w:eastAsia="Arial" w:cs="Arial"/>
        </w:rPr>
        <w:t xml:space="preserve">he requirements for more </w:t>
      </w:r>
      <w:r w:rsidR="2EF62C4D" w:rsidRPr="60D2A29F">
        <w:rPr>
          <w:rFonts w:eastAsia="Arial" w:cs="Arial"/>
        </w:rPr>
        <w:t>E</w:t>
      </w:r>
      <w:r w:rsidRPr="60D2A29F">
        <w:rPr>
          <w:rFonts w:eastAsia="Arial" w:cs="Arial"/>
        </w:rPr>
        <w:t xml:space="preserve">lectricians and </w:t>
      </w:r>
      <w:r w:rsidR="43FD118F" w:rsidRPr="60D2A29F">
        <w:rPr>
          <w:rFonts w:eastAsia="Arial" w:cs="Arial"/>
        </w:rPr>
        <w:t>E</w:t>
      </w:r>
      <w:r w:rsidRPr="60D2A29F">
        <w:rPr>
          <w:rFonts w:eastAsia="Arial" w:cs="Arial"/>
        </w:rPr>
        <w:t xml:space="preserve">ngineers would increase and very high demand for these roles would need to be sustained over a longer period. More radical approaches to education and training (involving greater use of technology, accelerated modes of delivery, special measures to fast-track new teachers and trainers, and institutional and international collaboration), and higher levels of targeted migration, would be required. </w:t>
      </w:r>
    </w:p>
    <w:p w14:paraId="75EC42B8" w14:textId="77777777" w:rsidR="00C1219B" w:rsidRDefault="00C1219B">
      <w:pPr>
        <w:rPr>
          <w:rFonts w:eastAsia="Arial" w:cs="Arial"/>
          <w:b/>
          <w:bCs/>
          <w:color w:val="404040" w:themeColor="text1" w:themeTint="BF"/>
          <w:sz w:val="32"/>
          <w:szCs w:val="32"/>
        </w:rPr>
      </w:pPr>
      <w:r>
        <w:rPr>
          <w:rFonts w:eastAsia="Arial" w:cs="Arial"/>
          <w:bCs/>
          <w:color w:val="404040" w:themeColor="text1" w:themeTint="BF"/>
          <w:szCs w:val="32"/>
        </w:rPr>
        <w:br w:type="page"/>
      </w:r>
    </w:p>
    <w:p w14:paraId="186F80F3" w14:textId="75A5D513" w:rsidR="00A8613E" w:rsidRDefault="00A8613E" w:rsidP="00A8613E">
      <w:pPr>
        <w:pStyle w:val="Heading3"/>
        <w:rPr>
          <w:rFonts w:eastAsia="Arial" w:cs="Arial"/>
          <w:b w:val="0"/>
          <w:bCs/>
          <w:color w:val="404040" w:themeColor="text1" w:themeTint="BF"/>
          <w:szCs w:val="32"/>
        </w:rPr>
      </w:pPr>
      <w:r w:rsidRPr="6EB39DF7">
        <w:rPr>
          <w:rFonts w:eastAsia="Arial" w:cs="Arial"/>
          <w:bCs/>
          <w:color w:val="404040" w:themeColor="text1" w:themeTint="BF"/>
          <w:szCs w:val="32"/>
        </w:rPr>
        <w:t>Next steps for harnessing the Australian clean energy workforce</w:t>
      </w:r>
    </w:p>
    <w:p w14:paraId="08B2A673" w14:textId="0B427709" w:rsidR="00A8613E" w:rsidRDefault="00A8613E" w:rsidP="00A8613E">
      <w:pPr>
        <w:spacing w:after="120" w:line="276" w:lineRule="auto"/>
        <w:rPr>
          <w:rFonts w:eastAsia="Arial" w:cs="Arial"/>
        </w:rPr>
      </w:pPr>
      <w:r w:rsidRPr="6EB39DF7">
        <w:rPr>
          <w:rFonts w:eastAsia="Arial" w:cs="Arial"/>
        </w:rPr>
        <w:t>This report has sought to bring together the important, detailed work underway to develop strategies and action plans for the many components of the clean energy transition – different sectors and technologies, different states and territories and regions, separate parts of the education and training system. In doing so, we highlight areas of common cause as well as areas of potential conflict and competition for skills and resources.</w:t>
      </w:r>
    </w:p>
    <w:p w14:paraId="7870E1B9" w14:textId="457CE43C" w:rsidR="00A8613E" w:rsidRDefault="00A8613E" w:rsidP="00036AB6">
      <w:pPr>
        <w:spacing w:after="120" w:line="276" w:lineRule="auto"/>
        <w:rPr>
          <w:rFonts w:eastAsia="Arial" w:cs="Arial"/>
          <w:color w:val="404040" w:themeColor="text1" w:themeTint="BF"/>
          <w:sz w:val="32"/>
          <w:szCs w:val="32"/>
        </w:rPr>
      </w:pPr>
      <w:r w:rsidRPr="6EB39DF7">
        <w:rPr>
          <w:rFonts w:eastAsia="Arial" w:cs="Arial"/>
        </w:rPr>
        <w:t>This report has also used the clean energy transition to highlight the potential benefits of reform and innovation to our education and training system. To succeed, these reform ideas must move to concrete action through initiatives such as the Universities Accord</w:t>
      </w:r>
      <w:r w:rsidR="008067A3">
        <w:rPr>
          <w:rFonts w:eastAsia="Arial" w:cs="Arial"/>
        </w:rPr>
        <w:t xml:space="preserve">, </w:t>
      </w:r>
      <w:r w:rsidRPr="6EB39DF7">
        <w:rPr>
          <w:rFonts w:eastAsia="Arial" w:cs="Arial"/>
        </w:rPr>
        <w:t>National Skills Agreement</w:t>
      </w:r>
      <w:r w:rsidR="008067A3">
        <w:rPr>
          <w:rFonts w:eastAsia="Arial" w:cs="Arial"/>
        </w:rPr>
        <w:t xml:space="preserve"> and Working Future White Paper</w:t>
      </w:r>
      <w:r w:rsidRPr="6EB39DF7">
        <w:rPr>
          <w:rFonts w:eastAsia="Arial" w:cs="Arial"/>
        </w:rPr>
        <w:t>.</w:t>
      </w:r>
      <w:r w:rsidR="008067A3">
        <w:rPr>
          <w:rStyle w:val="EndnoteReference"/>
          <w:rFonts w:eastAsia="Arial" w:cs="Arial"/>
        </w:rPr>
        <w:endnoteReference w:id="256"/>
      </w:r>
    </w:p>
    <w:p w14:paraId="1D906FE5" w14:textId="13348BE3" w:rsidR="00A8613E" w:rsidRDefault="00A8613E" w:rsidP="00A8613E">
      <w:pPr>
        <w:pStyle w:val="Heading3"/>
        <w:rPr>
          <w:rFonts w:eastAsia="Arial" w:cs="Arial"/>
          <w:b w:val="0"/>
          <w:bCs/>
          <w:color w:val="404040" w:themeColor="text1" w:themeTint="BF"/>
          <w:szCs w:val="32"/>
        </w:rPr>
      </w:pPr>
      <w:r w:rsidRPr="6EB39DF7">
        <w:rPr>
          <w:rFonts w:eastAsia="Arial" w:cs="Arial"/>
          <w:bCs/>
          <w:color w:val="404040" w:themeColor="text1" w:themeTint="BF"/>
          <w:szCs w:val="32"/>
        </w:rPr>
        <w:t>Future possibilities for work</w:t>
      </w:r>
      <w:r w:rsidR="00E743CD">
        <w:rPr>
          <w:rFonts w:eastAsia="Arial" w:cs="Arial"/>
          <w:bCs/>
          <w:color w:val="404040" w:themeColor="text1" w:themeTint="BF"/>
          <w:szCs w:val="32"/>
        </w:rPr>
        <w:t>ers in Australia</w:t>
      </w:r>
    </w:p>
    <w:p w14:paraId="49215711" w14:textId="77777777" w:rsidR="00A8613E" w:rsidRDefault="00A8613E" w:rsidP="00A8613E">
      <w:pPr>
        <w:spacing w:after="120" w:line="276" w:lineRule="auto"/>
        <w:rPr>
          <w:rFonts w:eastAsia="Arial" w:cs="Arial"/>
        </w:rPr>
      </w:pPr>
      <w:r w:rsidRPr="6EB39DF7">
        <w:rPr>
          <w:rFonts w:eastAsia="Arial" w:cs="Arial"/>
        </w:rPr>
        <w:t xml:space="preserve">Embedded in this report, amongst the datapoints and charts, is analysis of changes that will impact the careers of multiple generations of Australians over the next thirty years. Some of these Australians are yet to be born or arrive here. </w:t>
      </w:r>
    </w:p>
    <w:p w14:paraId="1F160DD4" w14:textId="0CA9C2CC" w:rsidR="00A8613E" w:rsidRDefault="00A8613E" w:rsidP="00A8613E">
      <w:pPr>
        <w:spacing w:after="120" w:line="276" w:lineRule="auto"/>
        <w:rPr>
          <w:rFonts w:eastAsia="Arial" w:cs="Arial"/>
        </w:rPr>
      </w:pPr>
      <w:r w:rsidRPr="6EB39DF7">
        <w:rPr>
          <w:rFonts w:eastAsia="Arial" w:cs="Arial"/>
        </w:rPr>
        <w:t xml:space="preserve">For the 50-year-old working today in a coal-fired power station, this report sets out the framework that will hopefully provide </w:t>
      </w:r>
      <w:r w:rsidR="00884AFE">
        <w:rPr>
          <w:rFonts w:eastAsia="Arial" w:cs="Arial"/>
        </w:rPr>
        <w:t>them</w:t>
      </w:r>
      <w:r w:rsidRPr="6EB39DF7">
        <w:rPr>
          <w:rFonts w:eastAsia="Arial" w:cs="Arial"/>
        </w:rPr>
        <w:t xml:space="preserve"> with the starting point to plan to transition to the next phase of </w:t>
      </w:r>
      <w:r w:rsidR="00884AFE">
        <w:rPr>
          <w:rFonts w:eastAsia="Arial" w:cs="Arial"/>
        </w:rPr>
        <w:t>their</w:t>
      </w:r>
      <w:r w:rsidRPr="6EB39DF7">
        <w:rPr>
          <w:rFonts w:eastAsia="Arial" w:cs="Arial"/>
        </w:rPr>
        <w:t xml:space="preserve"> working life in a way that builds on </w:t>
      </w:r>
      <w:r w:rsidR="00884AFE">
        <w:rPr>
          <w:rFonts w:eastAsia="Arial" w:cs="Arial"/>
        </w:rPr>
        <w:t>their</w:t>
      </w:r>
      <w:r w:rsidRPr="6EB39DF7">
        <w:rPr>
          <w:rFonts w:eastAsia="Arial" w:cs="Arial"/>
        </w:rPr>
        <w:t xml:space="preserve"> skills, experience, values and community.</w:t>
      </w:r>
    </w:p>
    <w:p w14:paraId="2C1D5203" w14:textId="77777777" w:rsidR="00A8613E" w:rsidRDefault="00A8613E" w:rsidP="00A8613E">
      <w:pPr>
        <w:spacing w:after="120" w:line="276" w:lineRule="auto"/>
        <w:rPr>
          <w:rFonts w:eastAsia="Arial" w:cs="Arial"/>
        </w:rPr>
      </w:pPr>
      <w:r w:rsidRPr="6EB39DF7">
        <w:rPr>
          <w:rFonts w:eastAsia="Arial" w:cs="Arial"/>
        </w:rPr>
        <w:t xml:space="preserve">For the 38-year-old mid-career electrician who wants to enter the VET teaching workforce or make a career change to solar or EV battery production, there are training options, funding and incentives to explore and advocate for in this report. </w:t>
      </w:r>
    </w:p>
    <w:p w14:paraId="7BE00851" w14:textId="2839A8F6" w:rsidR="00A8613E" w:rsidRDefault="00A8613E" w:rsidP="00A8613E">
      <w:pPr>
        <w:spacing w:after="120" w:line="276" w:lineRule="auto"/>
        <w:rPr>
          <w:rFonts w:eastAsia="Arial" w:cs="Arial"/>
        </w:rPr>
      </w:pPr>
      <w:r w:rsidRPr="60D2A29F">
        <w:rPr>
          <w:rFonts w:eastAsia="Arial" w:cs="Arial"/>
        </w:rPr>
        <w:t>For the 22-year-old female electrical apprentice, there is recognition of the barriers still faced by women looking to enter the trades but also recommendations on how the classroom and workshop can become more inclusive</w:t>
      </w:r>
      <w:r w:rsidR="7281B000" w:rsidRPr="60D2A29F">
        <w:rPr>
          <w:rFonts w:eastAsia="Arial" w:cs="Arial"/>
        </w:rPr>
        <w:t>,</w:t>
      </w:r>
      <w:r w:rsidRPr="60D2A29F">
        <w:rPr>
          <w:rFonts w:eastAsia="Arial" w:cs="Arial"/>
        </w:rPr>
        <w:t xml:space="preserve"> as well as policies that can support and fund her to stay in the sector and thrive. </w:t>
      </w:r>
    </w:p>
    <w:p w14:paraId="5CABF35A" w14:textId="77777777" w:rsidR="00A8613E" w:rsidRDefault="00A8613E" w:rsidP="00A8613E">
      <w:pPr>
        <w:spacing w:after="120" w:line="276" w:lineRule="auto"/>
        <w:rPr>
          <w:rFonts w:eastAsia="Arial" w:cs="Arial"/>
        </w:rPr>
      </w:pPr>
      <w:r w:rsidRPr="6EB39DF7">
        <w:rPr>
          <w:rFonts w:eastAsia="Arial" w:cs="Arial"/>
        </w:rPr>
        <w:t>For the 17-year-old school leaver, there is advice on pathways to promising careers in existing trades and emerging occupations right across the clean energy value chain.</w:t>
      </w:r>
    </w:p>
    <w:p w14:paraId="4BA39B23" w14:textId="77777777" w:rsidR="00A8613E" w:rsidRDefault="00A8613E" w:rsidP="00A8613E">
      <w:pPr>
        <w:spacing w:after="120" w:line="276" w:lineRule="auto"/>
        <w:rPr>
          <w:rFonts w:eastAsia="Arial" w:cs="Arial"/>
        </w:rPr>
      </w:pPr>
      <w:r w:rsidRPr="6EB39DF7">
        <w:rPr>
          <w:rFonts w:eastAsia="Arial" w:cs="Arial"/>
        </w:rPr>
        <w:t xml:space="preserve">For the primary school student in regional Australia still ten years from full-time working life, there is confirmation that their schooling and post-school training matters – not just for them and a more equal Australia, but for realising the economic possibilities of a decarbonised economy. </w:t>
      </w:r>
    </w:p>
    <w:p w14:paraId="13B48BA8" w14:textId="523E7FB8" w:rsidR="00A8613E" w:rsidRPr="00E5087D" w:rsidRDefault="00A8613E" w:rsidP="00A8613E">
      <w:r w:rsidRPr="6EB39DF7">
        <w:rPr>
          <w:rFonts w:eastAsia="Arial" w:cs="Arial"/>
        </w:rPr>
        <w:t xml:space="preserve">This is the “capacity” to which our study refers – the human capacity to be found within every </w:t>
      </w:r>
      <w:r w:rsidR="00E743CD">
        <w:rPr>
          <w:rFonts w:eastAsia="Arial" w:cs="Arial"/>
        </w:rPr>
        <w:t xml:space="preserve">worker in </w:t>
      </w:r>
      <w:r w:rsidRPr="6EB39DF7">
        <w:rPr>
          <w:rFonts w:eastAsia="Arial" w:cs="Arial"/>
        </w:rPr>
        <w:t>Australia.</w:t>
      </w:r>
    </w:p>
    <w:p w14:paraId="23C42D3C" w14:textId="6E74DCA5" w:rsidR="00E41A8B" w:rsidRDefault="00E41A8B">
      <w:pPr>
        <w:rPr>
          <w:sz w:val="18"/>
          <w:szCs w:val="18"/>
        </w:rPr>
      </w:pPr>
      <w:r>
        <w:rPr>
          <w:sz w:val="18"/>
          <w:szCs w:val="18"/>
        </w:rPr>
        <w:br w:type="page"/>
      </w:r>
    </w:p>
    <w:p w14:paraId="14419716" w14:textId="57C876DA" w:rsidR="00D72814" w:rsidRPr="00E5087D" w:rsidRDefault="00E41A8B" w:rsidP="00945AF0">
      <w:pPr>
        <w:pStyle w:val="Heading1"/>
      </w:pPr>
      <w:bookmarkStart w:id="98" w:name="_Toc146892705"/>
      <w:r>
        <w:t>References</w:t>
      </w:r>
      <w:bookmarkEnd w:id="98"/>
    </w:p>
    <w:sectPr w:rsidR="00D72814" w:rsidRPr="00E5087D" w:rsidSect="001A4E0F">
      <w:headerReference w:type="default" r:id="rId238"/>
      <w:endnotePr>
        <w:numFmt w:val="decimal"/>
      </w:endnotePr>
      <w:pgSz w:w="11906" w:h="16838" w:code="9"/>
      <w:pgMar w:top="1440" w:right="1440" w:bottom="1440" w:left="1440"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CE8036" w14:textId="77777777" w:rsidR="004F53B0" w:rsidRDefault="004F53B0" w:rsidP="000D6745">
      <w:r>
        <w:separator/>
      </w:r>
    </w:p>
  </w:endnote>
  <w:endnote w:type="continuationSeparator" w:id="0">
    <w:p w14:paraId="189D7F16" w14:textId="77777777" w:rsidR="004F53B0" w:rsidRDefault="004F53B0" w:rsidP="000D6745">
      <w:r>
        <w:continuationSeparator/>
      </w:r>
    </w:p>
  </w:endnote>
  <w:endnote w:type="continuationNotice" w:id="1">
    <w:p w14:paraId="2F27F9BF" w14:textId="77777777" w:rsidR="004F53B0" w:rsidRDefault="004F53B0">
      <w:pPr>
        <w:spacing w:after="0" w:line="240" w:lineRule="auto"/>
      </w:pPr>
    </w:p>
  </w:endnote>
  <w:endnote w:id="2">
    <w:p w14:paraId="0C19C9DF" w14:textId="630D0BA6" w:rsidR="00D72814" w:rsidRPr="004906C5" w:rsidRDefault="00D72814" w:rsidP="004906C5">
      <w:pPr>
        <w:pStyle w:val="EndnoteText"/>
        <w:spacing w:before="120" w:after="120"/>
        <w:ind w:left="720" w:hanging="720"/>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sidRPr="004906C5">
        <w:rPr>
          <w:rFonts w:asciiTheme="minorHAnsi" w:hAnsiTheme="minorHAnsi" w:cstheme="minorHAnsi"/>
          <w:spacing w:val="2"/>
          <w14:ligatures w14:val="standard"/>
          <w14:numForm w14:val="lining"/>
          <w14:numSpacing w14:val="proportional"/>
        </w:rPr>
        <w:t xml:space="preserve">NSC </w:t>
      </w:r>
      <w:r w:rsidR="00625B18">
        <w:rPr>
          <w:rFonts w:asciiTheme="minorHAnsi" w:hAnsiTheme="minorHAnsi" w:cstheme="minorHAnsi"/>
          <w:spacing w:val="2"/>
          <w14:ligatures w14:val="standard"/>
          <w14:numForm w14:val="lining"/>
          <w14:numSpacing w14:val="proportional"/>
        </w:rPr>
        <w:t>(</w:t>
      </w:r>
      <w:r w:rsidR="00B44E87" w:rsidRPr="004906C5">
        <w:rPr>
          <w:rFonts w:asciiTheme="minorHAnsi" w:hAnsiTheme="minorHAnsi" w:cstheme="minorHAnsi"/>
          <w:spacing w:val="2"/>
          <w14:ligatures w14:val="standard"/>
          <w14:numForm w14:val="lining"/>
          <w14:numSpacing w14:val="proportional"/>
        </w:rPr>
        <w:t xml:space="preserve">National Skills Commission), </w:t>
      </w:r>
      <w:hyperlink r:id="rId1">
        <w:r w:rsidR="00B44E87" w:rsidRPr="004906C5">
          <w:rPr>
            <w:rStyle w:val="Hyperlink"/>
            <w:rFonts w:asciiTheme="minorHAnsi" w:hAnsiTheme="minorHAnsi" w:cstheme="minorHAnsi"/>
            <w:i/>
            <w:iCs/>
          </w:rPr>
          <w:t>Australia’s current, emerging and future workforce skills needs</w:t>
        </w:r>
      </w:hyperlink>
      <w:r w:rsidR="00B44E87" w:rsidRPr="004906C5">
        <w:rPr>
          <w:rFonts w:asciiTheme="minorHAnsi" w:hAnsiTheme="minorHAnsi" w:cstheme="minorHAnsi"/>
        </w:rPr>
        <w:t xml:space="preserve">, </w:t>
      </w:r>
      <w:r w:rsidR="00625B18">
        <w:rPr>
          <w:rFonts w:asciiTheme="minorHAnsi" w:hAnsiTheme="minorHAnsi" w:cstheme="minorHAnsi"/>
        </w:rPr>
        <w:t>DEWR (</w:t>
      </w:r>
      <w:r w:rsidR="00B44E87" w:rsidRPr="004906C5">
        <w:rPr>
          <w:rFonts w:asciiTheme="minorHAnsi" w:hAnsiTheme="minorHAnsi" w:cstheme="minorHAnsi"/>
        </w:rPr>
        <w:t>Department of Employment and Workplace Relations</w:t>
      </w:r>
      <w:r w:rsidR="00625B18">
        <w:rPr>
          <w:rFonts w:asciiTheme="minorHAnsi" w:hAnsiTheme="minorHAnsi" w:cstheme="minorHAnsi"/>
        </w:rPr>
        <w:t>)</w:t>
      </w:r>
      <w:r w:rsidR="00B44E87" w:rsidRPr="004906C5">
        <w:rPr>
          <w:rFonts w:asciiTheme="minorHAnsi" w:hAnsiTheme="minorHAnsi" w:cstheme="minorHAnsi"/>
        </w:rPr>
        <w:t>, Australian Government, 28 November 2022, accessed September 2023.</w:t>
      </w:r>
    </w:p>
  </w:endnote>
  <w:endnote w:id="3">
    <w:p w14:paraId="019C8FFF" w14:textId="691003EB" w:rsidR="00D72814" w:rsidRPr="004906C5" w:rsidRDefault="00D72814"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8A39E1" w:rsidRPr="004906C5">
        <w:rPr>
          <w:rFonts w:asciiTheme="minorHAnsi" w:hAnsiTheme="minorHAnsi" w:cstheme="minorHAnsi"/>
        </w:rPr>
        <w:t xml:space="preserve"> </w:t>
      </w:r>
      <w:r w:rsidR="008A39E1" w:rsidRPr="004906C5">
        <w:rPr>
          <w:rFonts w:asciiTheme="minorHAnsi" w:hAnsiTheme="minorHAnsi" w:cstheme="minorHAnsi"/>
        </w:rPr>
        <w:tab/>
        <w:t xml:space="preserve">P Karvelas, </w:t>
      </w:r>
      <w:hyperlink r:id="rId2" w:history="1">
        <w:r w:rsidR="008A39E1" w:rsidRPr="004906C5">
          <w:rPr>
            <w:rStyle w:val="Hyperlink"/>
            <w:rFonts w:asciiTheme="minorHAnsi" w:hAnsiTheme="minorHAnsi" w:cstheme="minorHAnsi"/>
            <w:i/>
          </w:rPr>
          <w:t>Patricia Karvelas interviews the Hon Chris Bowen MP: Interview with Patricia Karvelas, ABC Radio National</w:t>
        </w:r>
      </w:hyperlink>
      <w:r w:rsidR="008A39E1" w:rsidRPr="004906C5">
        <w:rPr>
          <w:rFonts w:asciiTheme="minorHAnsi" w:hAnsiTheme="minorHAnsi" w:cstheme="minorHAnsi"/>
        </w:rPr>
        <w:t xml:space="preserve"> [interview transcript], </w:t>
      </w:r>
      <w:r w:rsidR="00CA5A19">
        <w:rPr>
          <w:rFonts w:asciiTheme="minorHAnsi" w:hAnsiTheme="minorHAnsi" w:cstheme="minorHAnsi"/>
        </w:rPr>
        <w:t>DCCEEW</w:t>
      </w:r>
      <w:r w:rsidR="00CA5A19" w:rsidRPr="004906C5">
        <w:rPr>
          <w:rFonts w:asciiTheme="minorHAnsi" w:hAnsiTheme="minorHAnsi" w:cstheme="minorHAnsi"/>
        </w:rPr>
        <w:t xml:space="preserve"> </w:t>
      </w:r>
      <w:r w:rsidR="00CA5A19">
        <w:rPr>
          <w:rFonts w:asciiTheme="minorHAnsi" w:hAnsiTheme="minorHAnsi" w:cstheme="minorHAnsi"/>
        </w:rPr>
        <w:t>(</w:t>
      </w:r>
      <w:r w:rsidR="008A39E1" w:rsidRPr="004906C5">
        <w:rPr>
          <w:rFonts w:asciiTheme="minorHAnsi" w:hAnsiTheme="minorHAnsi" w:cstheme="minorHAnsi"/>
        </w:rPr>
        <w:t>Department of Climate Change, Energy, the Environment and Water</w:t>
      </w:r>
      <w:r w:rsidR="0033742E">
        <w:rPr>
          <w:rFonts w:asciiTheme="minorHAnsi" w:hAnsiTheme="minorHAnsi" w:cstheme="minorHAnsi"/>
        </w:rPr>
        <w:t>)</w:t>
      </w:r>
      <w:r w:rsidR="008A39E1" w:rsidRPr="004906C5">
        <w:rPr>
          <w:rFonts w:asciiTheme="minorHAnsi" w:hAnsiTheme="minorHAnsi" w:cstheme="minorHAnsi"/>
        </w:rPr>
        <w:t>, 16 August 2023, accessed September 2023.</w:t>
      </w:r>
    </w:p>
  </w:endnote>
  <w:endnote w:id="4">
    <w:p w14:paraId="08448B69" w14:textId="343EE253" w:rsidR="00B52752" w:rsidRPr="004906C5" w:rsidRDefault="00B52752" w:rsidP="004906C5">
      <w:pPr>
        <w:pStyle w:val="EndnoteText"/>
        <w:spacing w:before="120" w:after="120"/>
        <w:ind w:left="720" w:hanging="720"/>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sidRPr="004906C5">
        <w:rPr>
          <w:rFonts w:asciiTheme="minorHAnsi" w:hAnsiTheme="minorHAnsi" w:cstheme="minorHAnsi"/>
          <w:spacing w:val="2"/>
          <w14:ligatures w14:val="standard"/>
          <w14:numForm w14:val="lining"/>
          <w14:numSpacing w14:val="proportional"/>
        </w:rPr>
        <w:t>DCCEEW</w:t>
      </w:r>
      <w:r w:rsidR="00CA5A19">
        <w:rPr>
          <w:rFonts w:asciiTheme="minorHAnsi" w:hAnsiTheme="minorHAnsi" w:cstheme="minorHAnsi"/>
          <w:spacing w:val="2"/>
          <w14:ligatures w14:val="standard"/>
          <w14:numForm w14:val="lining"/>
          <w14:numSpacing w14:val="proportional"/>
        </w:rPr>
        <w:t>,</w:t>
      </w:r>
      <w:r w:rsidR="00625B18" w:rsidRPr="004906C5">
        <w:rPr>
          <w:rFonts w:asciiTheme="minorHAnsi" w:hAnsiTheme="minorHAnsi" w:cstheme="minorHAnsi"/>
          <w:spacing w:val="2"/>
          <w14:ligatures w14:val="standard"/>
          <w14:numForm w14:val="lining"/>
          <w14:numSpacing w14:val="proportional"/>
        </w:rPr>
        <w:t xml:space="preserve"> </w:t>
      </w:r>
      <w:hyperlink r:id="rId3" w:history="1">
        <w:r w:rsidR="00905519" w:rsidRPr="004906C5">
          <w:rPr>
            <w:rStyle w:val="Hyperlink"/>
            <w:rFonts w:asciiTheme="minorHAnsi" w:hAnsiTheme="minorHAnsi" w:cstheme="minorHAnsi"/>
            <w:i/>
            <w:iCs/>
            <w:spacing w:val="2"/>
            <w14:ligatures w14:val="standard"/>
            <w14:numForm w14:val="lining"/>
            <w14:numSpacing w14:val="proportional"/>
          </w:rPr>
          <w:t>Annual Climate Change Statement 2022</w:t>
        </w:r>
        <w:r w:rsidR="00905519" w:rsidRPr="004906C5">
          <w:rPr>
            <w:rFonts w:asciiTheme="minorHAnsi" w:hAnsiTheme="minorHAnsi" w:cstheme="minorHAnsi"/>
            <w:spacing w:val="2"/>
            <w14:ligatures w14:val="standard"/>
            <w14:numForm w14:val="lining"/>
            <w14:numSpacing w14:val="proportional"/>
          </w:rPr>
          <w:t>, DCCEEW, Australian Government, 1 December 2022, accessed September 2023.</w:t>
        </w:r>
      </w:hyperlink>
    </w:p>
  </w:endnote>
  <w:endnote w:id="5">
    <w:p w14:paraId="48A4FCDB" w14:textId="2223726C" w:rsidR="00B52752" w:rsidRPr="004906C5" w:rsidRDefault="00B52752" w:rsidP="004906C5">
      <w:pPr>
        <w:pStyle w:val="EndnoteText"/>
        <w:spacing w:before="120" w:after="120"/>
        <w:ind w:left="720" w:hanging="720"/>
        <w:rPr>
          <w:rFonts w:asciiTheme="minorHAnsi" w:hAnsiTheme="minorHAnsi" w:cstheme="minorHAnsi"/>
          <w: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D3074F" w:rsidRPr="004906C5">
        <w:rPr>
          <w:rFonts w:asciiTheme="minorHAnsi" w:hAnsiTheme="minorHAnsi" w:cstheme="minorHAnsi"/>
        </w:rPr>
        <w:t xml:space="preserve">The Treasury, </w:t>
      </w:r>
      <w:hyperlink r:id="rId4" w:history="1">
        <w:r w:rsidR="00D3074F" w:rsidRPr="00CF2D1F">
          <w:rPr>
            <w:rStyle w:val="Hyperlink"/>
            <w:rFonts w:asciiTheme="minorHAnsi" w:hAnsiTheme="minorHAnsi" w:cstheme="minorHAnsi"/>
            <w:i/>
          </w:rPr>
          <w:t>Budget 2023-24: Building a clean energy future</w:t>
        </w:r>
      </w:hyperlink>
      <w:r w:rsidR="00D3074F" w:rsidRPr="004906C5">
        <w:rPr>
          <w:rFonts w:asciiTheme="minorHAnsi" w:hAnsiTheme="minorHAnsi" w:cstheme="minorHAnsi"/>
          <w:i/>
        </w:rPr>
        <w:t xml:space="preserve"> </w:t>
      </w:r>
      <w:r w:rsidR="002A2631" w:rsidRPr="002A2631">
        <w:rPr>
          <w:rFonts w:asciiTheme="minorHAnsi" w:hAnsiTheme="minorHAnsi" w:cstheme="minorHAnsi"/>
          <w:iCs/>
        </w:rPr>
        <w:t>[</w:t>
      </w:r>
      <w:r w:rsidR="00D3074F" w:rsidRPr="002A2631">
        <w:rPr>
          <w:rFonts w:asciiTheme="minorHAnsi" w:hAnsiTheme="minorHAnsi" w:cstheme="minorHAnsi"/>
          <w:iCs/>
        </w:rPr>
        <w:t>fact sheet</w:t>
      </w:r>
      <w:r w:rsidR="002A2631" w:rsidRPr="002A2631">
        <w:rPr>
          <w:rFonts w:asciiTheme="minorHAnsi" w:hAnsiTheme="minorHAnsi" w:cstheme="minorHAnsi"/>
          <w:iCs/>
        </w:rPr>
        <w:t>]</w:t>
      </w:r>
      <w:r w:rsidR="00D3074F" w:rsidRPr="002A2631">
        <w:rPr>
          <w:rFonts w:asciiTheme="minorHAnsi" w:hAnsiTheme="minorHAnsi" w:cstheme="minorHAnsi"/>
          <w:iCs/>
        </w:rPr>
        <w:t>,</w:t>
      </w:r>
      <w:r w:rsidR="00D3074F" w:rsidRPr="004906C5">
        <w:rPr>
          <w:rFonts w:asciiTheme="minorHAnsi" w:hAnsiTheme="minorHAnsi" w:cstheme="minorHAnsi"/>
          <w:i/>
          <w:iCs/>
        </w:rPr>
        <w:t xml:space="preserve"> </w:t>
      </w:r>
      <w:r w:rsidR="00CA5A19">
        <w:rPr>
          <w:rFonts w:asciiTheme="minorHAnsi" w:hAnsiTheme="minorHAnsi" w:cstheme="minorHAnsi"/>
          <w:i/>
          <w:iCs/>
        </w:rPr>
        <w:t xml:space="preserve">IThe Treasury, </w:t>
      </w:r>
      <w:r w:rsidR="00D3074F" w:rsidRPr="004906C5">
        <w:rPr>
          <w:rFonts w:asciiTheme="minorHAnsi" w:hAnsiTheme="minorHAnsi" w:cstheme="minorHAnsi"/>
        </w:rPr>
        <w:t>Australian Government, n.d., accessed September 2023.</w:t>
      </w:r>
    </w:p>
  </w:endnote>
  <w:endnote w:id="6">
    <w:p w14:paraId="1B9DEDC4" w14:textId="131D0E1D" w:rsidR="00B52752" w:rsidRPr="004906C5" w:rsidRDefault="00B52752" w:rsidP="004906C5">
      <w:pPr>
        <w:pStyle w:val="EndnoteText"/>
        <w:spacing w:before="120" w:after="120"/>
        <w:ind w:left="720" w:hanging="720"/>
        <w:rPr>
          <w:rFonts w:asciiTheme="minorHAnsi" w:hAnsiTheme="minorHAnsi" w:cstheme="minorHAnsi"/>
          <w14:numForm w14:val="lining"/>
          <w14:numSpacing w14:val="proportional"/>
        </w:rPr>
      </w:pPr>
      <w:r w:rsidRPr="004906C5">
        <w:rPr>
          <w:rFonts w:asciiTheme="minorHAnsi" w:hAnsiTheme="minorHAnsi" w:cstheme="minorHAnsi"/>
          <w:spacing w:val="2"/>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AEMC (</w:t>
      </w:r>
      <w:r w:rsidRPr="004906C5">
        <w:rPr>
          <w:rFonts w:asciiTheme="minorHAnsi" w:hAnsiTheme="minorHAnsi" w:cstheme="minorHAnsi"/>
        </w:rPr>
        <w:t>Australian</w:t>
      </w:r>
      <w:r w:rsidRPr="004906C5">
        <w:rPr>
          <w:rFonts w:asciiTheme="minorHAnsi" w:hAnsiTheme="minorHAnsi" w:cstheme="minorHAnsi"/>
          <w:spacing w:val="2"/>
          <w14:ligatures w14:val="standard"/>
          <w14:numForm w14:val="lining"/>
          <w14:numSpacing w14:val="proportional"/>
        </w:rPr>
        <w:t xml:space="preserve"> Energy Market Commission</w:t>
      </w:r>
      <w:r w:rsidR="00625B18">
        <w:rPr>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hyperlink r:id="rId5" w:history="1">
        <w:r w:rsidRPr="004906C5">
          <w:rPr>
            <w:rStyle w:val="Hyperlink"/>
            <w:rFonts w:asciiTheme="minorHAnsi" w:hAnsiTheme="minorHAnsi" w:cstheme="minorHAnsi"/>
            <w:i/>
            <w:spacing w:val="2"/>
            <w14:ligatures w14:val="standard"/>
            <w14:numForm w14:val="lining"/>
            <w14:numSpacing w14:val="proportional"/>
          </w:rPr>
          <w:t>National Energy Governance,</w:t>
        </w:r>
        <w:r w:rsidRPr="004906C5">
          <w:rPr>
            <w:rFonts w:asciiTheme="minorHAnsi" w:hAnsiTheme="minorHAnsi" w:cstheme="minorHAnsi"/>
            <w:spacing w:val="2"/>
            <w14:ligatures w14:val="standard"/>
            <w14:numForm w14:val="lining"/>
            <w14:numSpacing w14:val="proportional"/>
          </w:rPr>
          <w:t xml:space="preserve"> AEMC website</w:t>
        </w:r>
        <w:r w:rsidR="00DC05FA" w:rsidRPr="004906C5">
          <w:rPr>
            <w:rFonts w:asciiTheme="minorHAnsi" w:hAnsiTheme="minorHAnsi" w:cstheme="minorHAnsi"/>
            <w:spacing w:val="2"/>
            <w14:ligatures w14:val="standard"/>
            <w14:numForm w14:val="lining"/>
            <w14:numSpacing w14:val="proportional"/>
          </w:rPr>
          <w:t>, n.d., accessed September 2023</w:t>
        </w:r>
        <w:r w:rsidRPr="004906C5">
          <w:rPr>
            <w:rFonts w:asciiTheme="minorHAnsi" w:hAnsiTheme="minorHAnsi" w:cstheme="minorHAnsi"/>
            <w:spacing w:val="2"/>
            <w14:ligatures w14:val="standard"/>
            <w14:numForm w14:val="lining"/>
            <w14:numSpacing w14:val="proportional"/>
          </w:rPr>
          <w:t xml:space="preserve">. </w:t>
        </w:r>
      </w:hyperlink>
    </w:p>
  </w:endnote>
  <w:endnote w:id="7">
    <w:p w14:paraId="3A7D8407" w14:textId="19E6C5A7" w:rsidR="68E9CD35" w:rsidRDefault="68E9CD35" w:rsidP="00625B18">
      <w:pPr>
        <w:spacing w:line="257" w:lineRule="auto"/>
        <w:ind w:left="709" w:hanging="709"/>
      </w:pPr>
      <w:r w:rsidRPr="00625B18">
        <w:rPr>
          <w:rFonts w:asciiTheme="minorHAnsi" w:hAnsiTheme="minorHAnsi" w:cstheme="minorHAnsi"/>
          <w:spacing w:val="2"/>
          <w:sz w:val="20"/>
          <w:szCs w:val="20"/>
          <w14:ligatures w14:val="standard"/>
          <w14:numForm w14:val="lining"/>
          <w14:numSpacing w14:val="proportional"/>
        </w:rPr>
        <w:endnoteRef/>
      </w:r>
      <w:r w:rsidRPr="00625B18">
        <w:rPr>
          <w:rFonts w:asciiTheme="minorHAnsi" w:hAnsiTheme="minorHAnsi" w:cstheme="minorHAnsi"/>
          <w:spacing w:val="2"/>
          <w:sz w:val="20"/>
          <w:szCs w:val="20"/>
          <w14:ligatures w14:val="standard"/>
          <w14:numForm w14:val="lining"/>
          <w14:numSpacing w14:val="proportional"/>
        </w:rPr>
        <w:t xml:space="preserve"> </w:t>
      </w:r>
      <w:r w:rsidR="00625B18">
        <w:tab/>
      </w:r>
      <w:r w:rsidRPr="68E9CD35">
        <w:rPr>
          <w:rFonts w:eastAsia="Arial" w:cs="Arial"/>
          <w:sz w:val="20"/>
          <w:szCs w:val="20"/>
        </w:rPr>
        <w:t xml:space="preserve">Energy Ministers, </w:t>
      </w:r>
      <w:hyperlink r:id="rId6">
        <w:r w:rsidRPr="68E9CD35">
          <w:rPr>
            <w:rStyle w:val="Hyperlink"/>
            <w:rFonts w:eastAsia="Arial" w:cs="Arial"/>
            <w:i/>
            <w:iCs/>
            <w:sz w:val="20"/>
            <w:szCs w:val="20"/>
          </w:rPr>
          <w:t xml:space="preserve">National Energy Transformation Partnership </w:t>
        </w:r>
        <w:r w:rsidRPr="68E9CD35">
          <w:rPr>
            <w:rStyle w:val="Hyperlink"/>
            <w:rFonts w:eastAsia="Arial" w:cs="Arial"/>
            <w:color w:val="0563C1"/>
            <w:sz w:val="20"/>
            <w:szCs w:val="20"/>
            <w:u w:val="none"/>
          </w:rPr>
          <w:t>[PDF 2.8MB]</w:t>
        </w:r>
      </w:hyperlink>
      <w:r w:rsidRPr="68E9CD35">
        <w:rPr>
          <w:rFonts w:eastAsia="Arial" w:cs="Arial"/>
          <w:sz w:val="20"/>
          <w:szCs w:val="20"/>
        </w:rPr>
        <w:t>, Commonwealth, State and Territory Energy Ministers, 2022, p 2, accessed September 2022.</w:t>
      </w:r>
    </w:p>
  </w:endnote>
  <w:endnote w:id="8">
    <w:p w14:paraId="3C586320" w14:textId="31910544" w:rsidR="00B52752" w:rsidRPr="004906C5" w:rsidRDefault="00B52752" w:rsidP="004906C5">
      <w:pPr>
        <w:pStyle w:val="EndnoteText"/>
        <w:spacing w:before="120" w:after="120"/>
        <w:ind w:left="720" w:hanging="720"/>
        <w:rPr>
          <w:rFonts w:asciiTheme="minorHAnsi" w:hAnsiTheme="minorHAnsi" w:cstheme="minorHAnsi"/>
          <w:i/>
          <w:iCs/>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DCCEEW</w:t>
      </w:r>
      <w:r w:rsidR="00800A36" w:rsidRPr="004906C5">
        <w:rPr>
          <w:rFonts w:asciiTheme="minorHAnsi" w:hAnsiTheme="minorHAnsi" w:cstheme="minorHAnsi"/>
          <w:spacing w:val="2"/>
          <w14:ligatures w14:val="standard"/>
          <w14:numForm w14:val="lining"/>
          <w14:numSpacing w14:val="proportional"/>
        </w:rPr>
        <w:t xml:space="preserve">, </w:t>
      </w:r>
      <w:hyperlink r:id="rId7" w:history="1">
        <w:r w:rsidR="00800A36" w:rsidRPr="004906C5">
          <w:rPr>
            <w:rStyle w:val="Hyperlink"/>
            <w:rFonts w:asciiTheme="minorHAnsi" w:hAnsiTheme="minorHAnsi" w:cstheme="minorHAnsi"/>
            <w:i/>
            <w:iCs/>
            <w:spacing w:val="2"/>
            <w14:ligatures w14:val="standard"/>
            <w14:numForm w14:val="lining"/>
            <w14:numSpacing w14:val="proportional"/>
          </w:rPr>
          <w:t>The National Electric Vehicle Strategy</w:t>
        </w:r>
      </w:hyperlink>
      <w:r w:rsidR="00800A36" w:rsidRPr="004906C5">
        <w:rPr>
          <w:rStyle w:val="Hyperlink"/>
          <w:rFonts w:asciiTheme="minorHAnsi" w:hAnsiTheme="minorHAnsi" w:cstheme="minorHAnsi"/>
          <w:spacing w:val="2"/>
          <w:u w:val="none"/>
          <w14:ligatures w14:val="standard"/>
          <w14:numForm w14:val="lining"/>
          <w14:numSpacing w14:val="proportional"/>
        </w:rPr>
        <w:t>,</w:t>
      </w:r>
      <w:r w:rsidR="00800A36" w:rsidRPr="00040EF3">
        <w:rPr>
          <w:rStyle w:val="Hyperlink"/>
          <w:rFonts w:asciiTheme="minorHAnsi" w:hAnsiTheme="minorHAnsi" w:cstheme="minorHAnsi"/>
          <w:color w:val="auto"/>
          <w:spacing w:val="2"/>
          <w:u w:val="none"/>
          <w14:ligatures w14:val="standard"/>
          <w14:numForm w14:val="lining"/>
          <w14:numSpacing w14:val="proportional"/>
        </w:rPr>
        <w:t xml:space="preserve"> DCCEEW website, </w:t>
      </w:r>
      <w:r w:rsidR="00040EF3" w:rsidRPr="004906C5">
        <w:rPr>
          <w:rFonts w:asciiTheme="minorHAnsi" w:hAnsiTheme="minorHAnsi" w:cstheme="minorHAnsi"/>
          <w:spacing w:val="2"/>
          <w14:ligatures w14:val="standard"/>
          <w14:numForm w14:val="lining"/>
          <w14:numSpacing w14:val="proportional"/>
        </w:rPr>
        <w:t>Australian Government</w:t>
      </w:r>
      <w:r w:rsidR="00040EF3">
        <w:rPr>
          <w:rFonts w:asciiTheme="minorHAnsi" w:hAnsiTheme="minorHAnsi" w:cstheme="minorHAnsi"/>
          <w:spacing w:val="2"/>
          <w14:ligatures w14:val="standard"/>
          <w14:numForm w14:val="lining"/>
          <w14:numSpacing w14:val="proportional"/>
        </w:rPr>
        <w:t>,</w:t>
      </w:r>
      <w:r w:rsidR="00040EF3" w:rsidRPr="004906C5">
        <w:rPr>
          <w:rFonts w:asciiTheme="minorHAnsi" w:hAnsiTheme="minorHAnsi" w:cstheme="minorHAnsi"/>
          <w:spacing w:val="2"/>
          <w14:ligatures w14:val="standard"/>
          <w14:numForm w14:val="lining"/>
          <w14:numSpacing w14:val="proportional"/>
        </w:rPr>
        <w:t xml:space="preserve"> </w:t>
      </w:r>
      <w:r w:rsidR="00800A36" w:rsidRPr="00040EF3">
        <w:rPr>
          <w:rStyle w:val="Hyperlink"/>
          <w:rFonts w:asciiTheme="minorHAnsi" w:hAnsiTheme="minorHAnsi" w:cstheme="minorHAnsi"/>
          <w:color w:val="auto"/>
          <w:spacing w:val="2"/>
          <w:u w:val="none"/>
          <w14:ligatures w14:val="standard"/>
          <w14:numForm w14:val="lining"/>
          <w14:numSpacing w14:val="proportional"/>
        </w:rPr>
        <w:t>19 April 2023, accessed September 2023.</w:t>
      </w:r>
    </w:p>
  </w:endnote>
  <w:endnote w:id="9">
    <w:p w14:paraId="34C92215" w14:textId="220BF095" w:rsidR="00B52752" w:rsidRPr="004906C5" w:rsidRDefault="00B52752" w:rsidP="004906C5">
      <w:pPr>
        <w:pStyle w:val="EndnoteText"/>
        <w:spacing w:before="120" w:after="120"/>
        <w:ind w:left="709" w:hanging="709"/>
        <w:rPr>
          <w:rFonts w:asciiTheme="minorHAnsi" w:hAnsiTheme="minorHAnsi" w:cstheme="minorHAnsi"/>
          <w: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335056" w:rsidRPr="004906C5">
        <w:rPr>
          <w:rFonts w:asciiTheme="minorHAnsi" w:hAnsiTheme="minorHAnsi" w:cstheme="minorHAnsi"/>
        </w:rPr>
        <w:t xml:space="preserve">airswift, </w:t>
      </w:r>
      <w:hyperlink r:id="rId8" w:history="1">
        <w:r w:rsidR="00335056" w:rsidRPr="004906C5">
          <w:rPr>
            <w:rStyle w:val="Hyperlink"/>
            <w:rFonts w:asciiTheme="minorHAnsi" w:hAnsiTheme="minorHAnsi" w:cstheme="minorHAnsi"/>
            <w:i/>
            <w:iCs/>
          </w:rPr>
          <w:t>The Global Energy Talent Index Report 2023</w:t>
        </w:r>
      </w:hyperlink>
      <w:r w:rsidR="00335056" w:rsidRPr="004906C5">
        <w:rPr>
          <w:rFonts w:asciiTheme="minorHAnsi" w:hAnsiTheme="minorHAnsi" w:cstheme="minorHAnsi"/>
        </w:rPr>
        <w:t>, airswift website, n.d., accessed September 2023.</w:t>
      </w:r>
    </w:p>
  </w:endnote>
  <w:endnote w:id="10">
    <w:p w14:paraId="232D40BE" w14:textId="765315D2" w:rsidR="00B52752" w:rsidRPr="004906C5" w:rsidRDefault="00B52752" w:rsidP="004906C5">
      <w:pPr>
        <w:pStyle w:val="EndnoteText"/>
        <w:spacing w:before="120" w:after="120"/>
        <w:ind w:left="720" w:hanging="720"/>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EU (</w:t>
      </w:r>
      <w:r w:rsidRPr="004906C5">
        <w:rPr>
          <w:rFonts w:asciiTheme="minorHAnsi" w:hAnsiTheme="minorHAnsi" w:cstheme="minorHAnsi"/>
          <w:spacing w:val="2"/>
          <w14:ligatures w14:val="standard"/>
          <w14:numForm w14:val="lining"/>
          <w14:numSpacing w14:val="proportional"/>
        </w:rPr>
        <w:t>European Commissio</w:t>
      </w:r>
      <w:r w:rsidR="00625B18">
        <w:rPr>
          <w:rFonts w:asciiTheme="minorHAnsi" w:hAnsiTheme="minorHAnsi" w:cstheme="minorHAnsi"/>
          <w:spacing w:val="2"/>
          <w14:ligatures w14:val="standard"/>
          <w14:numForm w14:val="lining"/>
          <w14:numSpacing w14:val="proportional"/>
        </w:rPr>
        <w:t>n</w:t>
      </w:r>
      <w:r w:rsidR="00342674">
        <w:rPr>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hyperlink r:id="rId9" w:history="1">
        <w:r w:rsidRPr="004906C5">
          <w:rPr>
            <w:rStyle w:val="Hyperlink"/>
            <w:rFonts w:asciiTheme="minorHAnsi" w:hAnsiTheme="minorHAnsi" w:cstheme="minorHAnsi"/>
            <w:i/>
            <w:spacing w:val="2"/>
            <w14:ligatures w14:val="standard"/>
            <w14:numForm w14:val="lining"/>
            <w14:numSpacing w14:val="proportional"/>
          </w:rPr>
          <w:t>The Grean Deal Industrial Plan: Putting Europe’s net-zero industry in the lead,</w:t>
        </w:r>
      </w:hyperlink>
      <w:r w:rsidRPr="004906C5">
        <w:rPr>
          <w:rFonts w:asciiTheme="minorHAnsi" w:hAnsiTheme="minorHAnsi" w:cstheme="minorHAnsi"/>
        </w:rPr>
        <w:t xml:space="preserve"> </w:t>
      </w:r>
      <w:r w:rsidR="00342674">
        <w:rPr>
          <w:rFonts w:asciiTheme="minorHAnsi" w:hAnsiTheme="minorHAnsi" w:cstheme="minorHAnsi"/>
        </w:rPr>
        <w:t>EU website</w:t>
      </w:r>
      <w:r w:rsidRPr="004906C5">
        <w:rPr>
          <w:rFonts w:asciiTheme="minorHAnsi" w:hAnsiTheme="minorHAnsi" w:cstheme="minorHAnsi"/>
        </w:rPr>
        <w:t>, 1 February 2023</w:t>
      </w:r>
      <w:r w:rsidR="00352226" w:rsidRPr="004906C5">
        <w:rPr>
          <w:rFonts w:asciiTheme="minorHAnsi" w:hAnsiTheme="minorHAnsi" w:cstheme="minorHAnsi"/>
        </w:rPr>
        <w:t>, accessed September 2023.</w:t>
      </w:r>
    </w:p>
  </w:endnote>
  <w:endnote w:id="11">
    <w:p w14:paraId="74EDC347" w14:textId="083CA447" w:rsidR="00BE714A" w:rsidRPr="004906C5" w:rsidRDefault="00BE714A" w:rsidP="00716B54">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0719B0" w:rsidRPr="000719B0">
        <w:rPr>
          <w:rFonts w:asciiTheme="minorHAnsi" w:hAnsiTheme="minorHAnsi" w:cstheme="minorHAnsi"/>
        </w:rPr>
        <w:t>Prime Minister, Treasurer, Minister for Climate Change and Energy</w:t>
      </w:r>
      <w:r w:rsidR="000719B0">
        <w:rPr>
          <w:rFonts w:asciiTheme="minorHAnsi" w:hAnsiTheme="minorHAnsi" w:cstheme="minorHAnsi"/>
        </w:rPr>
        <w:t xml:space="preserve">, </w:t>
      </w:r>
      <w:hyperlink r:id="rId10" w:history="1">
        <w:r w:rsidR="00716B54" w:rsidRPr="00716B54">
          <w:rPr>
            <w:rStyle w:val="Hyperlink"/>
            <w:rFonts w:asciiTheme="minorHAnsi" w:hAnsiTheme="minorHAnsi" w:cstheme="minorHAnsi"/>
            <w:i/>
            <w:iCs/>
          </w:rPr>
          <w:t>National Net Zero Authority</w:t>
        </w:r>
      </w:hyperlink>
      <w:r w:rsidR="00716B54">
        <w:rPr>
          <w:rFonts w:asciiTheme="minorHAnsi" w:hAnsiTheme="minorHAnsi" w:cstheme="minorHAnsi"/>
        </w:rPr>
        <w:t xml:space="preserve"> [media release],</w:t>
      </w:r>
      <w:r w:rsidR="000719B0" w:rsidRPr="000719B0">
        <w:t xml:space="preserve"> </w:t>
      </w:r>
      <w:r w:rsidR="000719B0" w:rsidRPr="00716B54">
        <w:rPr>
          <w:rFonts w:asciiTheme="minorHAnsi" w:hAnsiTheme="minorHAnsi" w:cstheme="minorHAnsi"/>
        </w:rPr>
        <w:t>Prime Minister</w:t>
      </w:r>
      <w:r w:rsidR="000719B0">
        <w:rPr>
          <w:rFonts w:asciiTheme="minorHAnsi" w:hAnsiTheme="minorHAnsi" w:cstheme="minorHAnsi"/>
        </w:rPr>
        <w:t xml:space="preserve"> of Australia website, Australian Government, 5 May 2023, accessed September 2023. </w:t>
      </w:r>
      <w:r w:rsidR="00716B54">
        <w:rPr>
          <w:rFonts w:asciiTheme="minorHAnsi" w:hAnsiTheme="minorHAnsi" w:cstheme="minorHAnsi"/>
        </w:rPr>
        <w:t xml:space="preserve"> </w:t>
      </w:r>
    </w:p>
  </w:endnote>
  <w:endnote w:id="12">
    <w:p w14:paraId="6C1CD4DC" w14:textId="3401B656" w:rsidR="004439CD" w:rsidRPr="004906C5" w:rsidRDefault="004439CD"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spacing w:val="2"/>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625B18">
        <w:rPr>
          <w:rFonts w:asciiTheme="minorHAnsi" w:hAnsiTheme="minorHAnsi" w:cstheme="minorHAnsi"/>
          <w:spacing w:val="2"/>
          <w14:ligatures w14:val="standard"/>
          <w14:numForm w14:val="lining"/>
          <w14:numSpacing w14:val="proportional"/>
        </w:rPr>
        <w:t>CEC (</w:t>
      </w:r>
      <w:r w:rsidRPr="004906C5">
        <w:rPr>
          <w:rFonts w:asciiTheme="minorHAnsi" w:hAnsiTheme="minorHAnsi" w:cstheme="minorHAnsi"/>
          <w:spacing w:val="2"/>
          <w14:ligatures w14:val="standard"/>
          <w14:numForm w14:val="lining"/>
          <w14:numSpacing w14:val="proportional"/>
        </w:rPr>
        <w:t>Clean Energy Council</w:t>
      </w:r>
      <w:r w:rsidR="00625B18">
        <w:rPr>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hyperlink r:id="rId11" w:history="1">
        <w:r w:rsidRPr="004906C5">
          <w:rPr>
            <w:rStyle w:val="Hyperlink"/>
            <w:rFonts w:asciiTheme="minorHAnsi" w:hAnsiTheme="minorHAnsi" w:cstheme="minorHAnsi"/>
            <w:i/>
            <w:spacing w:val="2"/>
            <w14:ligatures w14:val="standard"/>
            <w14:numForm w14:val="lining"/>
            <w14:numSpacing w14:val="proportional"/>
          </w:rPr>
          <w:t>Skilling the Energy Transition,</w:t>
        </w:r>
        <w:r w:rsidRPr="004906C5">
          <w:rPr>
            <w:rFonts w:asciiTheme="minorHAnsi" w:hAnsiTheme="minorHAnsi" w:cstheme="minorHAnsi"/>
            <w:spacing w:val="2"/>
            <w14:ligatures w14:val="standard"/>
            <w14:numForm w14:val="lining"/>
            <w14:numSpacing w14:val="proportional"/>
          </w:rPr>
          <w:t xml:space="preserve"> C</w:t>
        </w:r>
        <w:r w:rsidR="00625B18">
          <w:rPr>
            <w:rFonts w:asciiTheme="minorHAnsi" w:hAnsiTheme="minorHAnsi" w:cstheme="minorHAnsi"/>
            <w:spacing w:val="2"/>
            <w14:ligatures w14:val="standard"/>
            <w14:numForm w14:val="lining"/>
            <w14:numSpacing w14:val="proportional"/>
          </w:rPr>
          <w:t>EC</w:t>
        </w:r>
        <w:r w:rsidRPr="004906C5">
          <w:rPr>
            <w:rFonts w:asciiTheme="minorHAnsi" w:hAnsiTheme="minorHAnsi" w:cstheme="minorHAnsi"/>
            <w:spacing w:val="2"/>
            <w14:ligatures w14:val="standard"/>
            <w14:numForm w14:val="lining"/>
            <w14:numSpacing w14:val="proportional"/>
          </w:rPr>
          <w:t>, 25 August 2022</w:t>
        </w:r>
      </w:hyperlink>
      <w:r w:rsidR="001127C0" w:rsidRPr="004906C5">
        <w:rPr>
          <w:rFonts w:asciiTheme="minorHAnsi" w:hAnsiTheme="minorHAnsi" w:cstheme="minorHAnsi"/>
        </w:rPr>
        <w:t>, accessed September 2023.</w:t>
      </w:r>
    </w:p>
  </w:endnote>
  <w:endnote w:id="13">
    <w:p w14:paraId="291EDD2E" w14:textId="7586115C" w:rsidR="004439CD" w:rsidRPr="004906C5" w:rsidRDefault="004439CD"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spacing w:val="2"/>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374526" w:rsidRPr="004906C5">
        <w:rPr>
          <w:rFonts w:asciiTheme="minorHAnsi" w:hAnsiTheme="minorHAnsi" w:cstheme="minorHAnsi"/>
          <w:spacing w:val="2"/>
          <w14:ligatures w14:val="standard"/>
          <w14:numForm w14:val="lining"/>
          <w14:numSpacing w14:val="proportional"/>
        </w:rPr>
        <w:t xml:space="preserve">DCCEEW, </w:t>
      </w:r>
      <w:hyperlink r:id="rId12" w:history="1">
        <w:r w:rsidRPr="004906C5">
          <w:rPr>
            <w:rStyle w:val="Hyperlink"/>
            <w:rFonts w:asciiTheme="minorHAnsi" w:hAnsiTheme="minorHAnsi" w:cstheme="minorHAnsi"/>
            <w:i/>
            <w:spacing w:val="2"/>
            <w14:ligatures w14:val="standard"/>
            <w14:numForm w14:val="lining"/>
            <w14:numSpacing w14:val="proportional"/>
          </w:rPr>
          <w:t>National Energy Transformation Partnership</w:t>
        </w:r>
        <w:r w:rsidRPr="004906C5">
          <w:rPr>
            <w:rStyle w:val="Hyperlink"/>
            <w:rFonts w:asciiTheme="minorHAnsi" w:hAnsiTheme="minorHAnsi" w:cstheme="minorHAnsi"/>
            <w:spacing w:val="2"/>
            <w14:ligatures w14:val="standard"/>
            <w14:numForm w14:val="lining"/>
            <w14:numSpacing w14:val="proportional"/>
          </w:rPr>
          <w:t>,</w:t>
        </w:r>
        <w:r w:rsidRPr="004906C5">
          <w:rPr>
            <w:rFonts w:asciiTheme="minorHAnsi" w:hAnsiTheme="minorHAnsi" w:cstheme="minorHAnsi"/>
            <w:spacing w:val="2"/>
            <w14:ligatures w14:val="standard"/>
            <w14:numForm w14:val="lining"/>
            <w14:numSpacing w14:val="proportional"/>
          </w:rPr>
          <w:t xml:space="preserve"> </w:t>
        </w:r>
        <w:r w:rsidR="00374526" w:rsidRPr="004906C5">
          <w:rPr>
            <w:rFonts w:asciiTheme="minorHAnsi" w:hAnsiTheme="minorHAnsi" w:cstheme="minorHAnsi"/>
            <w:spacing w:val="2"/>
            <w14:ligatures w14:val="standard"/>
            <w14:numForm w14:val="lining"/>
            <w14:numSpacing w14:val="proportional"/>
          </w:rPr>
          <w:t>DCCEEW</w:t>
        </w:r>
        <w:r w:rsidRPr="004906C5">
          <w:rPr>
            <w:rFonts w:asciiTheme="minorHAnsi" w:hAnsiTheme="minorHAnsi" w:cstheme="minorHAnsi"/>
            <w:spacing w:val="2"/>
            <w14:ligatures w14:val="standard"/>
            <w14:numForm w14:val="lining"/>
            <w14:numSpacing w14:val="proportional"/>
          </w:rPr>
          <w:t xml:space="preserve"> website, </w:t>
        </w:r>
        <w:r w:rsidR="00F0119A" w:rsidRPr="004906C5">
          <w:rPr>
            <w:rFonts w:asciiTheme="minorHAnsi" w:hAnsiTheme="minorHAnsi" w:cstheme="minorHAnsi"/>
            <w:spacing w:val="2"/>
            <w14:ligatures w14:val="standard"/>
            <w14:numForm w14:val="lining"/>
            <w14:numSpacing w14:val="proportional"/>
          </w:rPr>
          <w:t>Australian Government</w:t>
        </w:r>
        <w:r w:rsidR="00F0119A">
          <w:rPr>
            <w:rFonts w:asciiTheme="minorHAnsi" w:hAnsiTheme="minorHAnsi" w:cstheme="minorHAnsi"/>
            <w:spacing w:val="2"/>
            <w14:ligatures w14:val="standard"/>
            <w14:numForm w14:val="lining"/>
            <w14:numSpacing w14:val="proportional"/>
          </w:rPr>
          <w:t>,</w:t>
        </w:r>
        <w:r w:rsidR="00F0119A"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12 August 2022</w:t>
        </w:r>
        <w:r w:rsidR="00374526" w:rsidRPr="004906C5">
          <w:rPr>
            <w:rFonts w:asciiTheme="minorHAnsi" w:hAnsiTheme="minorHAnsi" w:cstheme="minorHAnsi"/>
          </w:rPr>
          <w:t>, accessed September 2023</w:t>
        </w:r>
        <w:r w:rsidRPr="004906C5">
          <w:rPr>
            <w:rFonts w:asciiTheme="minorHAnsi" w:hAnsiTheme="minorHAnsi" w:cstheme="minorHAnsi"/>
          </w:rPr>
          <w:t>.</w:t>
        </w:r>
      </w:hyperlink>
    </w:p>
  </w:endnote>
  <w:endnote w:id="14">
    <w:p w14:paraId="2017FEDC" w14:textId="5310C5EE" w:rsidR="004439CD" w:rsidRPr="004906C5" w:rsidRDefault="004439CD"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A3A41" w:rsidRPr="004906C5">
        <w:rPr>
          <w:rFonts w:asciiTheme="minorHAnsi" w:hAnsiTheme="minorHAnsi" w:cstheme="minorHAnsi"/>
        </w:rPr>
        <w:tab/>
      </w:r>
      <w:r w:rsidR="00625B18">
        <w:rPr>
          <w:rFonts w:asciiTheme="minorHAnsi" w:hAnsiTheme="minorHAnsi" w:cstheme="minorHAnsi"/>
          <w:spacing w:val="2"/>
          <w14:ligatures w14:val="standard"/>
          <w14:numForm w14:val="lining"/>
          <w14:numSpacing w14:val="proportional"/>
        </w:rPr>
        <w:t>CEC</w:t>
      </w:r>
      <w:r w:rsidR="004A3A41" w:rsidRPr="004906C5">
        <w:rPr>
          <w:rFonts w:asciiTheme="minorHAnsi" w:hAnsiTheme="minorHAnsi" w:cstheme="minorHAnsi"/>
          <w:spacing w:val="2"/>
          <w14:ligatures w14:val="standard"/>
          <w14:numForm w14:val="lining"/>
          <w14:numSpacing w14:val="proportional"/>
        </w:rPr>
        <w:t xml:space="preserve">, </w:t>
      </w:r>
      <w:hyperlink r:id="rId13" w:history="1">
        <w:r w:rsidR="004A3A41" w:rsidRPr="004906C5">
          <w:rPr>
            <w:rStyle w:val="Hyperlink"/>
            <w:rFonts w:asciiTheme="minorHAnsi" w:hAnsiTheme="minorHAnsi" w:cstheme="minorHAnsi"/>
            <w:i/>
            <w:iCs/>
            <w:spacing w:val="2"/>
            <w14:ligatures w14:val="standard"/>
            <w14:numForm w14:val="lining"/>
            <w14:numSpacing w14:val="proportional"/>
          </w:rPr>
          <w:t>Skilling the Energy Transitio</w:t>
        </w:r>
        <w:r w:rsidR="003E2751">
          <w:rPr>
            <w:rStyle w:val="Hyperlink"/>
            <w:rFonts w:asciiTheme="minorHAnsi" w:hAnsiTheme="minorHAnsi" w:cstheme="minorHAnsi"/>
            <w:i/>
            <w:iCs/>
            <w:spacing w:val="2"/>
            <w14:ligatures w14:val="standard"/>
            <w14:numForm w14:val="lining"/>
            <w14:numSpacing w14:val="proportional"/>
          </w:rPr>
          <w:t xml:space="preserve">n </w:t>
        </w:r>
        <w:r w:rsidR="003E2751" w:rsidRPr="003E2751">
          <w:rPr>
            <w:rStyle w:val="Hyperlink"/>
            <w:rFonts w:asciiTheme="minorHAnsi" w:hAnsiTheme="minorHAnsi" w:cstheme="minorHAnsi"/>
            <w:spacing w:val="2"/>
            <w14:ligatures w14:val="standard"/>
            <w14:numForm w14:val="lining"/>
            <w14:numSpacing w14:val="proportional"/>
          </w:rPr>
          <w:t>[PDF 2.5MB]</w:t>
        </w:r>
        <w:r w:rsidR="003E2751" w:rsidRPr="003E2751">
          <w:rPr>
            <w:rFonts w:asciiTheme="minorHAnsi" w:hAnsiTheme="minorHAnsi" w:cstheme="minorHAnsi"/>
            <w:spacing w:val="2"/>
            <w14:ligatures w14:val="standard"/>
            <w14:numForm w14:val="lining"/>
            <w14:numSpacing w14:val="proportional"/>
          </w:rPr>
          <w:t>,</w:t>
        </w:r>
        <w:r w:rsidR="003E2751">
          <w:rPr>
            <w:rFonts w:asciiTheme="minorHAnsi" w:hAnsiTheme="minorHAnsi" w:cstheme="minorHAnsi"/>
            <w:spacing w:val="2"/>
            <w14:ligatures w14:val="standard"/>
            <w14:numForm w14:val="lining"/>
            <w14:numSpacing w14:val="proportional"/>
          </w:rPr>
          <w:t xml:space="preserve"> C</w:t>
        </w:r>
        <w:r w:rsidR="00625B18">
          <w:rPr>
            <w:rFonts w:asciiTheme="minorHAnsi" w:hAnsiTheme="minorHAnsi" w:cstheme="minorHAnsi"/>
            <w:spacing w:val="2"/>
            <w14:ligatures w14:val="standard"/>
            <w14:numForm w14:val="lining"/>
            <w14:numSpacing w14:val="proportional"/>
          </w:rPr>
          <w:t>EC</w:t>
        </w:r>
        <w:r w:rsidR="004A3A41" w:rsidRPr="004906C5">
          <w:rPr>
            <w:rFonts w:asciiTheme="minorHAnsi" w:hAnsiTheme="minorHAnsi" w:cstheme="minorHAnsi"/>
            <w:spacing w:val="2"/>
            <w14:ligatures w14:val="standard"/>
            <w14:numForm w14:val="lining"/>
            <w14:numSpacing w14:val="proportional"/>
          </w:rPr>
          <w:t>, 25 August 2022</w:t>
        </w:r>
      </w:hyperlink>
      <w:r w:rsidR="004A3A41" w:rsidRPr="004906C5">
        <w:rPr>
          <w:rFonts w:asciiTheme="minorHAnsi" w:hAnsiTheme="minorHAnsi" w:cstheme="minorHAnsi"/>
        </w:rPr>
        <w:t>, accessed September 2023.</w:t>
      </w:r>
    </w:p>
  </w:endnote>
  <w:endnote w:id="15">
    <w:p w14:paraId="23ECBD19" w14:textId="4A642D13" w:rsidR="001449D6" w:rsidRPr="004906C5" w:rsidRDefault="001449D6"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F5279" w:rsidRPr="004906C5">
        <w:rPr>
          <w:rFonts w:asciiTheme="minorHAnsi" w:hAnsiTheme="minorHAnsi" w:cstheme="minorHAnsi"/>
        </w:rPr>
        <w:tab/>
      </w:r>
      <w:r w:rsidR="00FA7468" w:rsidRPr="004906C5">
        <w:rPr>
          <w:rFonts w:asciiTheme="minorHAnsi" w:hAnsiTheme="minorHAnsi" w:cstheme="minorHAnsi"/>
        </w:rPr>
        <w:t>C</w:t>
      </w:r>
      <w:r w:rsidR="00625B18">
        <w:rPr>
          <w:rFonts w:asciiTheme="minorHAnsi" w:hAnsiTheme="minorHAnsi" w:cstheme="minorHAnsi"/>
        </w:rPr>
        <w:t>EC</w:t>
      </w:r>
      <w:r w:rsidR="00FA7468" w:rsidRPr="004906C5">
        <w:rPr>
          <w:rFonts w:asciiTheme="minorHAnsi" w:hAnsiTheme="minorHAnsi" w:cstheme="minorHAnsi"/>
        </w:rPr>
        <w:t xml:space="preserve">, </w:t>
      </w:r>
      <w:r w:rsidR="00455CB1">
        <w:rPr>
          <w:rFonts w:asciiTheme="minorHAnsi" w:hAnsiTheme="minorHAnsi" w:cstheme="minorHAnsi"/>
        </w:rPr>
        <w:t>‘</w:t>
      </w:r>
      <w:hyperlink r:id="rId14" w:history="1">
        <w:r w:rsidRPr="00455CB1">
          <w:rPr>
            <w:rStyle w:val="Hyperlink"/>
            <w:rFonts w:asciiTheme="minorHAnsi" w:hAnsiTheme="minorHAnsi" w:cstheme="minorHAnsi"/>
          </w:rPr>
          <w:t xml:space="preserve">Clean Energy </w:t>
        </w:r>
        <w:r w:rsidR="00FA7468" w:rsidRPr="00455CB1">
          <w:rPr>
            <w:rStyle w:val="Hyperlink"/>
            <w:rFonts w:asciiTheme="minorHAnsi" w:hAnsiTheme="minorHAnsi" w:cstheme="minorHAnsi"/>
          </w:rPr>
          <w:t xml:space="preserve">Australia </w:t>
        </w:r>
        <w:r w:rsidRPr="00455CB1">
          <w:rPr>
            <w:rStyle w:val="Hyperlink"/>
            <w:rFonts w:asciiTheme="minorHAnsi" w:hAnsiTheme="minorHAnsi" w:cstheme="minorHAnsi"/>
          </w:rPr>
          <w:t>Report</w:t>
        </w:r>
      </w:hyperlink>
      <w:r w:rsidR="00455CB1">
        <w:rPr>
          <w:rFonts w:asciiTheme="minorHAnsi" w:hAnsiTheme="minorHAnsi" w:cstheme="minorHAnsi"/>
        </w:rPr>
        <w:t>’</w:t>
      </w:r>
      <w:r w:rsidR="00FA7468" w:rsidRPr="004906C5">
        <w:rPr>
          <w:rFonts w:asciiTheme="minorHAnsi" w:hAnsiTheme="minorHAnsi" w:cstheme="minorHAnsi"/>
        </w:rPr>
        <w:t xml:space="preserve">, </w:t>
      </w:r>
      <w:r w:rsidR="00625B18">
        <w:rPr>
          <w:rFonts w:asciiTheme="minorHAnsi" w:hAnsiTheme="minorHAnsi" w:cstheme="minorHAnsi"/>
        </w:rPr>
        <w:t>CEC</w:t>
      </w:r>
      <w:r w:rsidR="00FA7468" w:rsidRPr="004906C5">
        <w:rPr>
          <w:rFonts w:asciiTheme="minorHAnsi" w:hAnsiTheme="minorHAnsi" w:cstheme="minorHAnsi"/>
        </w:rPr>
        <w:t>, 17 April 2023, accessed September 2023.</w:t>
      </w:r>
    </w:p>
  </w:endnote>
  <w:endnote w:id="16">
    <w:p w14:paraId="4C1F40A6" w14:textId="5CCA2919" w:rsidR="001449D6" w:rsidRPr="004906C5" w:rsidRDefault="001449D6"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D3AB4" w:rsidRPr="004906C5">
        <w:rPr>
          <w:rFonts w:asciiTheme="minorHAnsi" w:hAnsiTheme="minorHAnsi" w:cstheme="minorHAnsi"/>
        </w:rPr>
        <w:t>ABS</w:t>
      </w:r>
      <w:r w:rsidR="00625B18">
        <w:rPr>
          <w:rFonts w:asciiTheme="minorHAnsi" w:hAnsiTheme="minorHAnsi" w:cstheme="minorHAnsi"/>
        </w:rPr>
        <w:t xml:space="preserve"> (</w:t>
      </w:r>
      <w:r w:rsidR="00625B18" w:rsidRPr="00625B18">
        <w:rPr>
          <w:rFonts w:asciiTheme="minorHAnsi" w:hAnsiTheme="minorHAnsi" w:cstheme="minorHAnsi"/>
        </w:rPr>
        <w:t>Australian Bureau of Statistics</w:t>
      </w:r>
      <w:r w:rsidR="00625B18">
        <w:rPr>
          <w:rFonts w:asciiTheme="minorHAnsi" w:hAnsiTheme="minorHAnsi" w:cstheme="minorHAnsi"/>
        </w:rPr>
        <w:t>)</w:t>
      </w:r>
      <w:r w:rsidR="00ED3AB4" w:rsidRPr="004906C5">
        <w:rPr>
          <w:rFonts w:asciiTheme="minorHAnsi" w:hAnsiTheme="minorHAnsi" w:cstheme="minorHAnsi"/>
        </w:rPr>
        <w:t xml:space="preserve">, </w:t>
      </w:r>
      <w:hyperlink r:id="rId15" w:history="1">
        <w:r w:rsidR="00ED3AB4" w:rsidRPr="004A3A49">
          <w:rPr>
            <w:rStyle w:val="Hyperlink"/>
            <w:rFonts w:asciiTheme="minorHAnsi" w:hAnsiTheme="minorHAnsi" w:cstheme="minorHAnsi"/>
            <w:i/>
            <w:iCs/>
          </w:rPr>
          <w:t>Employment in Renewable Energy Activities, Australia</w:t>
        </w:r>
      </w:hyperlink>
      <w:r w:rsidR="00ED3AB4" w:rsidRPr="004906C5">
        <w:rPr>
          <w:rFonts w:asciiTheme="minorHAnsi" w:hAnsiTheme="minorHAnsi" w:cstheme="minorHAnsi"/>
        </w:rPr>
        <w:t>, ABS website, 6 April 2020, accessed September 2023</w:t>
      </w:r>
      <w:r w:rsidR="00ED3AB4">
        <w:rPr>
          <w:rFonts w:asciiTheme="minorHAnsi" w:hAnsiTheme="minorHAnsi" w:cstheme="minorHAnsi"/>
        </w:rPr>
        <w:t>.</w:t>
      </w:r>
    </w:p>
  </w:endnote>
  <w:endnote w:id="17">
    <w:p w14:paraId="00A557FF" w14:textId="156E8C01" w:rsidR="00B91567" w:rsidRPr="004906C5" w:rsidRDefault="00B91567"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906C5">
        <w:rPr>
          <w:rFonts w:asciiTheme="minorHAnsi" w:hAnsiTheme="minorHAnsi" w:cstheme="minorHAnsi"/>
        </w:rPr>
        <w:tab/>
      </w:r>
      <w:r w:rsidR="00CA3CC8" w:rsidRPr="004906C5">
        <w:rPr>
          <w:rFonts w:asciiTheme="minorHAnsi" w:hAnsiTheme="minorHAnsi" w:cstheme="minorHAnsi"/>
        </w:rPr>
        <w:t xml:space="preserve">ABS, </w:t>
      </w:r>
      <w:hyperlink r:id="rId16" w:history="1">
        <w:r w:rsidR="00CA3CC8" w:rsidRPr="004A3A49">
          <w:rPr>
            <w:rStyle w:val="Hyperlink"/>
            <w:rFonts w:asciiTheme="minorHAnsi" w:hAnsiTheme="minorHAnsi" w:cstheme="minorHAnsi"/>
            <w:i/>
            <w:iCs/>
          </w:rPr>
          <w:t>Employment in Renewable Energy Activities, Australia</w:t>
        </w:r>
      </w:hyperlink>
      <w:r w:rsidR="00CA3CC8" w:rsidRPr="004906C5">
        <w:rPr>
          <w:rFonts w:asciiTheme="minorHAnsi" w:hAnsiTheme="minorHAnsi" w:cstheme="minorHAnsi"/>
        </w:rPr>
        <w:t>, ABS website, 6 April 2020, accessed September 2023</w:t>
      </w:r>
      <w:r w:rsidR="00ED3AB4">
        <w:rPr>
          <w:rFonts w:asciiTheme="minorHAnsi" w:hAnsiTheme="minorHAnsi" w:cstheme="minorHAnsi"/>
        </w:rPr>
        <w:t>.</w:t>
      </w:r>
    </w:p>
  </w:endnote>
  <w:endnote w:id="18">
    <w:p w14:paraId="65FFEE9A" w14:textId="0F0B322A" w:rsidR="001449D6" w:rsidRPr="004906C5" w:rsidRDefault="001449D6"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25B18" w:rsidRPr="004906C5">
        <w:rPr>
          <w:rFonts w:asciiTheme="minorHAnsi" w:hAnsiTheme="minorHAnsi" w:cstheme="minorHAnsi"/>
        </w:rPr>
        <w:t xml:space="preserve">AEMO </w:t>
      </w:r>
      <w:r w:rsidR="00625B18">
        <w:rPr>
          <w:rFonts w:asciiTheme="minorHAnsi" w:hAnsiTheme="minorHAnsi" w:cstheme="minorHAnsi"/>
        </w:rPr>
        <w:t>(</w:t>
      </w:r>
      <w:r w:rsidR="00532FFD" w:rsidRPr="004906C5">
        <w:rPr>
          <w:rFonts w:asciiTheme="minorHAnsi" w:hAnsiTheme="minorHAnsi" w:cstheme="minorHAnsi"/>
        </w:rPr>
        <w:t xml:space="preserve">Australian Energy Market Operator), </w:t>
      </w:r>
      <w:hyperlink r:id="rId17" w:history="1">
        <w:r w:rsidR="00532FFD" w:rsidRPr="004906C5">
          <w:rPr>
            <w:rStyle w:val="Hyperlink"/>
            <w:rFonts w:asciiTheme="minorHAnsi" w:hAnsiTheme="minorHAnsi" w:cstheme="minorHAnsi"/>
            <w:i/>
            <w:iCs/>
          </w:rPr>
          <w:t>The Australian Electricity Workforce for the 2022 Integrated System Plan: Projections to 2050</w:t>
        </w:r>
      </w:hyperlink>
      <w:r w:rsidR="00532FFD" w:rsidRPr="004906C5">
        <w:rPr>
          <w:rFonts w:asciiTheme="minorHAnsi" w:hAnsiTheme="minorHAnsi" w:cstheme="minorHAnsi"/>
        </w:rPr>
        <w:t>, AEMO website,</w:t>
      </w:r>
      <w:r w:rsidR="00CE6149">
        <w:rPr>
          <w:rFonts w:asciiTheme="minorHAnsi" w:hAnsiTheme="minorHAnsi" w:cstheme="minorHAnsi"/>
        </w:rPr>
        <w:t xml:space="preserve"> </w:t>
      </w:r>
      <w:r w:rsidR="00532FFD" w:rsidRPr="004906C5">
        <w:rPr>
          <w:rFonts w:asciiTheme="minorHAnsi" w:hAnsiTheme="minorHAnsi" w:cstheme="minorHAnsi"/>
        </w:rPr>
        <w:t>January 2023, accessed September 2023.</w:t>
      </w:r>
    </w:p>
  </w:endnote>
  <w:endnote w:id="19">
    <w:p w14:paraId="70C4071E" w14:textId="3EF2EBA4" w:rsidR="005C1B0C" w:rsidRPr="004906C5" w:rsidRDefault="005C1B0C"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E0604" w:rsidRPr="004906C5">
        <w:rPr>
          <w:rFonts w:asciiTheme="minorHAnsi" w:hAnsiTheme="minorHAnsi" w:cstheme="minorHAnsi"/>
        </w:rPr>
        <w:t xml:space="preserve">ABS, </w:t>
      </w:r>
      <w:hyperlink r:id="rId18" w:history="1">
        <w:r w:rsidR="006E0604" w:rsidRPr="004A3A49">
          <w:rPr>
            <w:rStyle w:val="Hyperlink"/>
            <w:rFonts w:asciiTheme="minorHAnsi" w:hAnsiTheme="minorHAnsi" w:cstheme="minorHAnsi"/>
            <w:i/>
            <w:iCs/>
          </w:rPr>
          <w:t>Employment in Renewable Energy Activitie</w:t>
        </w:r>
        <w:r w:rsidR="003F4731">
          <w:rPr>
            <w:rStyle w:val="Hyperlink"/>
            <w:rFonts w:asciiTheme="minorHAnsi" w:hAnsiTheme="minorHAnsi" w:cstheme="minorHAnsi"/>
            <w:i/>
            <w:iCs/>
          </w:rPr>
          <w:t>s, Australia</w:t>
        </w:r>
      </w:hyperlink>
      <w:r w:rsidR="006E0604" w:rsidRPr="004906C5">
        <w:rPr>
          <w:rFonts w:asciiTheme="minorHAnsi" w:hAnsiTheme="minorHAnsi" w:cstheme="minorHAnsi"/>
        </w:rPr>
        <w:t xml:space="preserve">, ABS website, 6 April 2020, accessed September 2023. </w:t>
      </w:r>
      <w:r w:rsidRPr="004906C5">
        <w:rPr>
          <w:rFonts w:asciiTheme="minorHAnsi" w:hAnsiTheme="minorHAnsi" w:cstheme="minorHAnsi"/>
        </w:rPr>
        <w:t xml:space="preserve"> </w:t>
      </w:r>
    </w:p>
  </w:endnote>
  <w:endnote w:id="20">
    <w:p w14:paraId="2B5200BC" w14:textId="3BCECA29" w:rsidR="005C1B0C" w:rsidRPr="004906C5" w:rsidRDefault="005C1B0C"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CE6149">
        <w:rPr>
          <w:rFonts w:asciiTheme="minorHAnsi" w:hAnsiTheme="minorHAnsi" w:cstheme="minorHAnsi"/>
          <w:spacing w:val="2"/>
          <w14:ligatures w14:val="standard"/>
          <w14:numForm w14:val="lining"/>
          <w14:numSpacing w14:val="proportional"/>
        </w:rPr>
        <w:t xml:space="preserve">ABS, </w:t>
      </w:r>
      <w:hyperlink r:id="rId19" w:history="1">
        <w:r w:rsidR="004F229E" w:rsidRPr="004906C5">
          <w:rPr>
            <w:rStyle w:val="Hyperlink"/>
            <w:rFonts w:asciiTheme="minorHAnsi" w:hAnsiTheme="minorHAnsi" w:cstheme="minorHAnsi"/>
            <w:i/>
          </w:rPr>
          <w:t>Building Activity, Australia</w:t>
        </w:r>
      </w:hyperlink>
      <w:r w:rsidR="004F229E" w:rsidRPr="004906C5">
        <w:rPr>
          <w:rFonts w:asciiTheme="minorHAnsi" w:hAnsiTheme="minorHAnsi" w:cstheme="minorHAnsi"/>
        </w:rPr>
        <w:t>. ABS website, December 2022, accessed September 2023.</w:t>
      </w:r>
    </w:p>
  </w:endnote>
  <w:endnote w:id="21">
    <w:p w14:paraId="0AAE7B36" w14:textId="4E389967" w:rsidR="005C1B0C" w:rsidRPr="004906C5" w:rsidRDefault="005C1B0C"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D2C00" w:rsidRPr="004906C5">
        <w:rPr>
          <w:rFonts w:asciiTheme="minorHAnsi" w:hAnsiTheme="minorHAnsi" w:cstheme="minorHAnsi"/>
        </w:rPr>
        <w:tab/>
      </w:r>
      <w:r w:rsidR="00B406F3" w:rsidRPr="004906C5">
        <w:rPr>
          <w:rFonts w:asciiTheme="minorHAnsi" w:hAnsiTheme="minorHAnsi" w:cstheme="minorHAnsi"/>
        </w:rPr>
        <w:t xml:space="preserve">Federal Chamber of Automotive Industries (FCAI), </w:t>
      </w:r>
      <w:hyperlink r:id="rId20" w:history="1">
        <w:r w:rsidRPr="004906C5">
          <w:rPr>
            <w:rStyle w:val="Hyperlink"/>
            <w:rFonts w:asciiTheme="minorHAnsi" w:hAnsiTheme="minorHAnsi" w:cstheme="minorHAnsi"/>
            <w:i/>
          </w:rPr>
          <w:t>New Vehicle Sales Remain Solid at End of Financial Year</w:t>
        </w:r>
      </w:hyperlink>
      <w:r w:rsidR="00B406F3" w:rsidRPr="004906C5">
        <w:rPr>
          <w:rFonts w:asciiTheme="minorHAnsi" w:hAnsiTheme="minorHAnsi" w:cstheme="minorHAnsi"/>
        </w:rPr>
        <w:t xml:space="preserve"> [media release], FCAI, 5 July 2023, accessed September 2023.</w:t>
      </w:r>
    </w:p>
  </w:endnote>
  <w:endnote w:id="22">
    <w:p w14:paraId="038582E6" w14:textId="2AB548B1" w:rsidR="0076644A" w:rsidRDefault="0076644A"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567C49" w:rsidRPr="004906C5">
        <w:rPr>
          <w:rFonts w:asciiTheme="minorHAnsi" w:hAnsiTheme="minorHAnsi" w:cstheme="minorHAnsi"/>
        </w:rPr>
        <w:t xml:space="preserve">Australian Research Council, </w:t>
      </w:r>
      <w:hyperlink r:id="rId21" w:history="1">
        <w:r w:rsidR="00567C49" w:rsidRPr="004906C5">
          <w:rPr>
            <w:rStyle w:val="Hyperlink"/>
            <w:rFonts w:asciiTheme="minorHAnsi" w:hAnsiTheme="minorHAnsi" w:cstheme="minorHAnsi"/>
            <w:i/>
          </w:rPr>
          <w:t>Renewable Energy Research and Development in Australia’s Universities A Discussion Paper</w:t>
        </w:r>
      </w:hyperlink>
      <w:r w:rsidR="00567C49" w:rsidRPr="004906C5">
        <w:rPr>
          <w:rFonts w:asciiTheme="minorHAnsi" w:hAnsiTheme="minorHAnsi" w:cstheme="minorHAnsi"/>
        </w:rPr>
        <w:t>, ARENA website, 2013, accessed September 2023.</w:t>
      </w:r>
    </w:p>
    <w:p w14:paraId="61DF3B25" w14:textId="0F15B52C" w:rsidR="00D26033" w:rsidRPr="004906C5" w:rsidRDefault="00D26033" w:rsidP="004906C5">
      <w:pPr>
        <w:pStyle w:val="EndnoteText"/>
        <w:tabs>
          <w:tab w:val="left" w:pos="709"/>
        </w:tabs>
        <w:spacing w:before="120" w:after="120"/>
        <w:ind w:left="709" w:hanging="709"/>
        <w:rPr>
          <w:rFonts w:asciiTheme="minorHAnsi" w:hAnsiTheme="minorHAnsi" w:cstheme="minorHAnsi"/>
        </w:rPr>
      </w:pPr>
      <w:r>
        <w:rPr>
          <w:rFonts w:asciiTheme="minorHAnsi" w:hAnsiTheme="minorHAnsi" w:cstheme="minorHAnsi"/>
        </w:rPr>
        <w:tab/>
      </w:r>
      <w:r w:rsidRPr="004906C5">
        <w:rPr>
          <w:rFonts w:asciiTheme="minorHAnsi" w:hAnsiTheme="minorHAnsi" w:cstheme="minorHAnsi"/>
        </w:rPr>
        <w:tab/>
      </w:r>
      <w:r w:rsidRPr="004906C5">
        <w:rPr>
          <w:rFonts w:asciiTheme="minorHAnsi" w:hAnsiTheme="minorHAnsi" w:cstheme="minorHAnsi"/>
          <w:color w:val="000000"/>
        </w:rPr>
        <w:t>This report by ARENA found that 1-3% of university research outputs were related to renewables and increasing. Based on 2010 data – assume it would be closer to 5% now. The assumption is researchers are teaching in adjacent fields</w:t>
      </w:r>
      <w:r w:rsidR="003971EB">
        <w:rPr>
          <w:rFonts w:asciiTheme="minorHAnsi" w:hAnsiTheme="minorHAnsi" w:cstheme="minorHAnsi"/>
          <w:color w:val="000000"/>
        </w:rPr>
        <w:t>.</w:t>
      </w:r>
    </w:p>
  </w:endnote>
  <w:endnote w:id="23">
    <w:p w14:paraId="33FB55BF" w14:textId="5F0E2C74" w:rsidR="0076644A" w:rsidRPr="004906C5" w:rsidRDefault="0076644A" w:rsidP="004906C5">
      <w:pPr>
        <w:pStyle w:val="EndnoteText"/>
        <w:tabs>
          <w:tab w:val="left" w:pos="709"/>
        </w:tabs>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Pr="004906C5">
        <w:rPr>
          <w:rFonts w:asciiTheme="minorHAnsi" w:hAnsiTheme="minorHAnsi" w:cstheme="minorHAnsi"/>
        </w:rPr>
        <w:tab/>
      </w:r>
      <w:r w:rsidR="00625B18">
        <w:rPr>
          <w:rFonts w:asciiTheme="minorHAnsi" w:hAnsiTheme="minorHAnsi" w:cstheme="minorHAnsi"/>
        </w:rPr>
        <w:t>IEA (</w:t>
      </w:r>
      <w:r w:rsidRPr="004906C5">
        <w:rPr>
          <w:rFonts w:asciiTheme="minorHAnsi" w:hAnsiTheme="minorHAnsi" w:cstheme="minorHAnsi"/>
          <w:color w:val="000000"/>
        </w:rPr>
        <w:t>International</w:t>
      </w:r>
      <w:r w:rsidRPr="004906C5">
        <w:rPr>
          <w:rFonts w:asciiTheme="minorHAnsi" w:hAnsiTheme="minorHAnsi" w:cstheme="minorHAnsi"/>
        </w:rPr>
        <w:t xml:space="preserve"> Energy Agency</w:t>
      </w:r>
      <w:r w:rsidR="003A14FC" w:rsidRPr="004906C5">
        <w:rPr>
          <w:rFonts w:asciiTheme="minorHAnsi" w:hAnsiTheme="minorHAnsi" w:cstheme="minorHAnsi"/>
        </w:rPr>
        <w:t>),</w:t>
      </w:r>
      <w:r w:rsidRPr="004906C5">
        <w:rPr>
          <w:rFonts w:asciiTheme="minorHAnsi" w:hAnsiTheme="minorHAnsi" w:cstheme="minorHAnsi"/>
        </w:rPr>
        <w:t xml:space="preserve"> </w:t>
      </w:r>
      <w:hyperlink r:id="rId22" w:history="1">
        <w:r w:rsidR="003A14FC" w:rsidRPr="00D26033">
          <w:rPr>
            <w:rStyle w:val="Hyperlink"/>
            <w:rFonts w:asciiTheme="minorHAnsi" w:eastAsia="Calibri" w:hAnsiTheme="minorHAnsi" w:cstheme="minorHAnsi"/>
            <w:i/>
            <w:iCs/>
          </w:rPr>
          <w:t>World Energy Employment</w:t>
        </w:r>
      </w:hyperlink>
      <w:r w:rsidR="003A14FC" w:rsidRPr="00087968">
        <w:rPr>
          <w:rFonts w:asciiTheme="minorHAnsi" w:eastAsia="Calibri" w:hAnsiTheme="minorHAnsi" w:cstheme="minorHAnsi"/>
        </w:rPr>
        <w:t xml:space="preserve">, </w:t>
      </w:r>
      <w:r w:rsidR="00087968" w:rsidRPr="00087968">
        <w:rPr>
          <w:rFonts w:asciiTheme="minorHAnsi" w:eastAsia="Calibri" w:hAnsiTheme="minorHAnsi" w:cstheme="minorHAnsi"/>
        </w:rPr>
        <w:t>IEA</w:t>
      </w:r>
      <w:r w:rsidR="003A14FC" w:rsidRPr="00087968">
        <w:rPr>
          <w:rFonts w:asciiTheme="minorHAnsi" w:eastAsia="Calibri" w:hAnsiTheme="minorHAnsi" w:cstheme="minorHAnsi"/>
        </w:rPr>
        <w:t xml:space="preserve"> website, August 2022, accessed September 2023.</w:t>
      </w:r>
    </w:p>
  </w:endnote>
  <w:endnote w:id="24">
    <w:p w14:paraId="4C154FF6" w14:textId="3B088CDD" w:rsidR="0076644A" w:rsidRPr="004906C5" w:rsidRDefault="0076644A" w:rsidP="004906C5">
      <w:pPr>
        <w:pStyle w:val="EndnoteText"/>
        <w:tabs>
          <w:tab w:val="left" w:pos="709"/>
        </w:tabs>
        <w:spacing w:before="120" w:after="120"/>
        <w:ind w:left="709" w:hanging="709"/>
        <w:rPr>
          <w:rFonts w:asciiTheme="minorHAnsi" w:hAnsiTheme="minorHAnsi" w:cstheme="minorHAnsi"/>
          <w:color w:val="000000"/>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Pr="004906C5">
        <w:rPr>
          <w:rFonts w:asciiTheme="minorHAnsi" w:hAnsiTheme="minorHAnsi" w:cstheme="minorHAnsi"/>
        </w:rPr>
        <w:tab/>
      </w:r>
      <w:r w:rsidR="00E845BD" w:rsidRPr="004906C5">
        <w:rPr>
          <w:rFonts w:asciiTheme="minorHAnsi" w:hAnsiTheme="minorHAnsi" w:cstheme="minorHAnsi"/>
        </w:rPr>
        <w:t xml:space="preserve">ISF </w:t>
      </w:r>
      <w:r w:rsidR="00E845BD">
        <w:rPr>
          <w:rFonts w:asciiTheme="minorHAnsi" w:hAnsiTheme="minorHAnsi" w:cstheme="minorHAnsi"/>
        </w:rPr>
        <w:t>(</w:t>
      </w:r>
      <w:r w:rsidR="00881F43" w:rsidRPr="004906C5">
        <w:rPr>
          <w:rFonts w:asciiTheme="minorHAnsi" w:hAnsiTheme="minorHAnsi" w:cstheme="minorHAnsi"/>
        </w:rPr>
        <w:t>Institute of Sustainable Future</w:t>
      </w:r>
      <w:r w:rsidR="00E845BD">
        <w:rPr>
          <w:rFonts w:asciiTheme="minorHAnsi" w:hAnsiTheme="minorHAnsi" w:cstheme="minorHAnsi"/>
        </w:rPr>
        <w:t>s</w:t>
      </w:r>
      <w:r w:rsidR="00881F43" w:rsidRPr="004906C5">
        <w:rPr>
          <w:rFonts w:asciiTheme="minorHAnsi" w:hAnsiTheme="minorHAnsi" w:cstheme="minorHAnsi"/>
        </w:rPr>
        <w:t>), ‘</w:t>
      </w:r>
      <w:hyperlink r:id="rId23" w:history="1">
        <w:r w:rsidR="00881F43" w:rsidRPr="004906C5">
          <w:rPr>
            <w:rStyle w:val="Hyperlink"/>
            <w:rFonts w:asciiTheme="minorHAnsi" w:hAnsiTheme="minorHAnsi" w:cstheme="minorHAnsi"/>
          </w:rPr>
          <w:t>Renewable Energy Jobs in Australia 2020</w:t>
        </w:r>
      </w:hyperlink>
      <w:r w:rsidR="00881F43" w:rsidRPr="004906C5">
        <w:rPr>
          <w:rFonts w:asciiTheme="minorHAnsi" w:hAnsiTheme="minorHAnsi" w:cstheme="minorHAnsi"/>
        </w:rPr>
        <w:t>’ [published presentation], June 2020, accessed September 2023.</w:t>
      </w:r>
    </w:p>
  </w:endnote>
  <w:endnote w:id="25">
    <w:p w14:paraId="68A96675" w14:textId="6143CBDA" w:rsidR="0076644A" w:rsidRPr="004906C5" w:rsidRDefault="0076644A"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625B18" w:rsidRPr="004906C5">
        <w:rPr>
          <w:rFonts w:asciiTheme="minorHAnsi" w:hAnsiTheme="minorHAnsi" w:cstheme="minorHAnsi"/>
        </w:rPr>
        <w:t xml:space="preserve">APSC </w:t>
      </w:r>
      <w:r w:rsidR="00625B18">
        <w:rPr>
          <w:rFonts w:asciiTheme="minorHAnsi" w:hAnsiTheme="minorHAnsi" w:cstheme="minorHAnsi"/>
        </w:rPr>
        <w:t>(</w:t>
      </w:r>
      <w:r w:rsidR="00E76D9C" w:rsidRPr="004906C5">
        <w:rPr>
          <w:rFonts w:asciiTheme="minorHAnsi" w:hAnsiTheme="minorHAnsi" w:cstheme="minorHAnsi"/>
        </w:rPr>
        <w:t xml:space="preserve">Australian Public Service Commission), </w:t>
      </w:r>
      <w:hyperlink r:id="rId24" w:history="1">
        <w:r w:rsidRPr="004906C5">
          <w:rPr>
            <w:rStyle w:val="Hyperlink"/>
            <w:rFonts w:asciiTheme="minorHAnsi" w:hAnsiTheme="minorHAnsi" w:cstheme="minorHAnsi"/>
            <w:i/>
          </w:rPr>
          <w:t>APS Employment Data 31 December 2022</w:t>
        </w:r>
      </w:hyperlink>
      <w:r w:rsidR="00E76D9C" w:rsidRPr="004906C5">
        <w:rPr>
          <w:rFonts w:asciiTheme="minorHAnsi" w:hAnsiTheme="minorHAnsi" w:cstheme="minorHAnsi"/>
        </w:rPr>
        <w:t xml:space="preserve">, APSC website, </w:t>
      </w:r>
      <w:r w:rsidR="00087968">
        <w:rPr>
          <w:rFonts w:asciiTheme="minorHAnsi" w:hAnsiTheme="minorHAnsi" w:cstheme="minorHAnsi"/>
        </w:rPr>
        <w:t xml:space="preserve">Australian Government, </w:t>
      </w:r>
      <w:r w:rsidR="00E76D9C" w:rsidRPr="004906C5">
        <w:rPr>
          <w:rFonts w:asciiTheme="minorHAnsi" w:hAnsiTheme="minorHAnsi" w:cstheme="minorHAnsi"/>
        </w:rPr>
        <w:t>24 March 2023, accessed September 2023.</w:t>
      </w:r>
    </w:p>
  </w:endnote>
  <w:endnote w:id="26">
    <w:p w14:paraId="45CC8B64" w14:textId="4BEDC632" w:rsidR="0076644A" w:rsidRPr="004906C5" w:rsidRDefault="0076644A"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E13CA4" w:rsidRPr="004906C5">
        <w:rPr>
          <w:rFonts w:asciiTheme="minorHAnsi" w:hAnsiTheme="minorHAnsi" w:cstheme="minorHAnsi"/>
        </w:rPr>
        <w:t>Victoria</w:t>
      </w:r>
      <w:r w:rsidR="00E13CA4">
        <w:rPr>
          <w:rFonts w:asciiTheme="minorHAnsi" w:hAnsiTheme="minorHAnsi" w:cstheme="minorHAnsi"/>
        </w:rPr>
        <w:t>n</w:t>
      </w:r>
      <w:r w:rsidR="00E13CA4" w:rsidRPr="004906C5">
        <w:rPr>
          <w:rFonts w:asciiTheme="minorHAnsi" w:hAnsiTheme="minorHAnsi" w:cstheme="minorHAnsi"/>
        </w:rPr>
        <w:t xml:space="preserve"> Government, </w:t>
      </w:r>
      <w:hyperlink r:id="rId25" w:history="1">
        <w:r w:rsidR="00E13CA4" w:rsidRPr="004906C5">
          <w:rPr>
            <w:rStyle w:val="Hyperlink"/>
            <w:rFonts w:asciiTheme="minorHAnsi" w:hAnsiTheme="minorHAnsi" w:cstheme="minorHAnsi"/>
            <w:i/>
          </w:rPr>
          <w:t>Wind Turbines Bring Manufacturing Jobs To Geelong</w:t>
        </w:r>
      </w:hyperlink>
      <w:r w:rsidR="00E13CA4" w:rsidRPr="004906C5">
        <w:rPr>
          <w:rFonts w:asciiTheme="minorHAnsi" w:hAnsiTheme="minorHAnsi" w:cstheme="minorHAnsi"/>
        </w:rPr>
        <w:t xml:space="preserve"> [media release], Victoria</w:t>
      </w:r>
      <w:r w:rsidR="00E13CA4">
        <w:rPr>
          <w:rFonts w:asciiTheme="minorHAnsi" w:hAnsiTheme="minorHAnsi" w:cstheme="minorHAnsi"/>
        </w:rPr>
        <w:t>n</w:t>
      </w:r>
      <w:r w:rsidR="00E13CA4" w:rsidRPr="004906C5">
        <w:rPr>
          <w:rFonts w:asciiTheme="minorHAnsi" w:hAnsiTheme="minorHAnsi" w:cstheme="minorHAnsi"/>
        </w:rPr>
        <w:t xml:space="preserve"> Government, 14 February 2019, accessed September 2023.</w:t>
      </w:r>
    </w:p>
  </w:endnote>
  <w:endnote w:id="27">
    <w:p w14:paraId="21052613" w14:textId="734CC8B5" w:rsidR="007316A8" w:rsidRPr="004906C5" w:rsidRDefault="007316A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625B18">
        <w:rPr>
          <w:rFonts w:asciiTheme="minorHAnsi" w:hAnsiTheme="minorHAnsi" w:cstheme="minorHAnsi"/>
          <w:color w:val="auto"/>
          <w:spacing w:val="2"/>
          <w14:ligatures w14:val="standard"/>
          <w14:numForm w14:val="lining"/>
          <w14:numSpacing w14:val="proportional"/>
        </w:rPr>
        <w:t>DCCEEW</w:t>
      </w:r>
      <w:r w:rsidR="00244B43" w:rsidRPr="004D3ACD">
        <w:rPr>
          <w:rFonts w:asciiTheme="minorHAnsi" w:hAnsiTheme="minorHAnsi" w:cstheme="minorHAnsi"/>
          <w:color w:val="auto"/>
          <w:spacing w:val="2"/>
          <w14:ligatures w14:val="standard"/>
          <w14:numForm w14:val="lining"/>
          <w14:numSpacing w14:val="proportional"/>
        </w:rPr>
        <w:t xml:space="preserve">, </w:t>
      </w:r>
      <w:hyperlink r:id="rId26" w:history="1">
        <w:r w:rsidRPr="00B740B0">
          <w:rPr>
            <w:rStyle w:val="Hyperlink"/>
            <w:rFonts w:asciiTheme="minorHAnsi" w:hAnsiTheme="minorHAnsi" w:cstheme="minorHAnsi"/>
            <w:i/>
          </w:rPr>
          <w:t xml:space="preserve">National Waste Policy Action Plan </w:t>
        </w:r>
        <w:r w:rsidR="00244B43" w:rsidRPr="00B740B0">
          <w:rPr>
            <w:rStyle w:val="Hyperlink"/>
            <w:rFonts w:asciiTheme="minorHAnsi" w:hAnsiTheme="minorHAnsi" w:cstheme="minorHAnsi"/>
            <w:i/>
          </w:rPr>
          <w:t>2019</w:t>
        </w:r>
        <w:r w:rsidR="00B86BAD" w:rsidRPr="00B740B0">
          <w:rPr>
            <w:rStyle w:val="Hyperlink"/>
            <w:rFonts w:asciiTheme="minorHAnsi" w:hAnsiTheme="minorHAnsi" w:cstheme="minorHAnsi"/>
            <w:i/>
          </w:rPr>
          <w:t>, 20</w:t>
        </w:r>
        <w:r w:rsidR="00B740B0" w:rsidRPr="00B740B0">
          <w:rPr>
            <w:rStyle w:val="Hyperlink"/>
            <w:rFonts w:asciiTheme="minorHAnsi" w:hAnsiTheme="minorHAnsi" w:cstheme="minorHAnsi"/>
            <w:i/>
          </w:rPr>
          <w:t>22</w:t>
        </w:r>
        <w:r w:rsidR="00244B43" w:rsidRPr="00B740B0">
          <w:rPr>
            <w:rStyle w:val="Hyperlink"/>
            <w:rFonts w:asciiTheme="minorHAnsi" w:hAnsiTheme="minorHAnsi" w:cstheme="minorHAnsi"/>
            <w:i/>
          </w:rPr>
          <w:t>,</w:t>
        </w:r>
      </w:hyperlink>
      <w:r w:rsidR="00244B43" w:rsidRPr="004D3ACD">
        <w:rPr>
          <w:rFonts w:asciiTheme="minorHAnsi" w:hAnsiTheme="minorHAnsi" w:cstheme="minorHAnsi"/>
          <w:i/>
          <w:color w:val="auto"/>
        </w:rPr>
        <w:t xml:space="preserve"> </w:t>
      </w:r>
      <w:r w:rsidRPr="004D3ACD">
        <w:rPr>
          <w:rFonts w:asciiTheme="minorHAnsi" w:hAnsiTheme="minorHAnsi" w:cstheme="minorHAnsi"/>
          <w:color w:val="auto"/>
        </w:rPr>
        <w:t>DCCEEW</w:t>
      </w:r>
      <w:r w:rsidR="00244B43" w:rsidRPr="004D3ACD">
        <w:rPr>
          <w:rStyle w:val="Hyperlink"/>
          <w:rFonts w:asciiTheme="minorHAnsi" w:hAnsiTheme="minorHAnsi" w:cstheme="minorHAnsi"/>
          <w:color w:val="auto"/>
          <w:u w:val="none"/>
        </w:rPr>
        <w:t xml:space="preserve"> website,</w:t>
      </w:r>
      <w:r w:rsidR="001E04C0" w:rsidRPr="004D3ACD">
        <w:rPr>
          <w:rStyle w:val="Hyperlink"/>
          <w:rFonts w:asciiTheme="minorHAnsi" w:hAnsiTheme="minorHAnsi" w:cstheme="minorHAnsi"/>
          <w:color w:val="auto"/>
          <w:u w:val="none"/>
        </w:rPr>
        <w:t xml:space="preserve"> </w:t>
      </w:r>
      <w:r w:rsidR="001E04C0" w:rsidRPr="004D3ACD">
        <w:rPr>
          <w:rFonts w:asciiTheme="minorHAnsi" w:hAnsiTheme="minorHAnsi" w:cstheme="minorHAnsi"/>
          <w:color w:val="auto"/>
          <w:spacing w:val="2"/>
          <w14:ligatures w14:val="standard"/>
          <w14:numForm w14:val="lining"/>
          <w14:numSpacing w14:val="proportional"/>
        </w:rPr>
        <w:t>Australian Government</w:t>
      </w:r>
      <w:r w:rsidR="004D3ACD" w:rsidRPr="004D3ACD">
        <w:rPr>
          <w:rFonts w:asciiTheme="minorHAnsi" w:hAnsiTheme="minorHAnsi" w:cstheme="minorHAnsi"/>
          <w:color w:val="auto"/>
          <w:spacing w:val="2"/>
          <w14:ligatures w14:val="standard"/>
          <w14:numForm w14:val="lining"/>
          <w14:numSpacing w14:val="proportional"/>
        </w:rPr>
        <w:t>,</w:t>
      </w:r>
      <w:r w:rsidR="00244B43" w:rsidRPr="004D3ACD">
        <w:rPr>
          <w:rStyle w:val="Hyperlink"/>
          <w:rFonts w:asciiTheme="minorHAnsi" w:hAnsiTheme="minorHAnsi" w:cstheme="minorHAnsi"/>
          <w:color w:val="auto"/>
          <w:u w:val="none"/>
        </w:rPr>
        <w:t xml:space="preserve"> 9 December 2022, accessed September 2023.</w:t>
      </w:r>
    </w:p>
  </w:endnote>
  <w:endnote w:id="28">
    <w:p w14:paraId="5D92640B" w14:textId="4BDF1D67" w:rsidR="007316A8" w:rsidRPr="004906C5" w:rsidRDefault="007316A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AA5539" w:rsidRPr="004906C5">
        <w:rPr>
          <w:rFonts w:asciiTheme="minorHAnsi" w:hAnsiTheme="minorHAnsi" w:cstheme="minorHAnsi"/>
        </w:rPr>
        <w:t xml:space="preserve">The Hon Tanya Plibersek MP, </w:t>
      </w:r>
      <w:hyperlink r:id="rId27" w:history="1">
        <w:r w:rsidR="00AA5539" w:rsidRPr="004906C5">
          <w:rPr>
            <w:rStyle w:val="Hyperlink"/>
            <w:rFonts w:asciiTheme="minorHAnsi" w:hAnsiTheme="minorHAnsi" w:cstheme="minorHAnsi"/>
            <w:i/>
          </w:rPr>
          <w:t>Speech to launch the National Clothing Product Stewardship Scheme</w:t>
        </w:r>
      </w:hyperlink>
      <w:r w:rsidR="00AA5539" w:rsidRPr="004906C5">
        <w:rPr>
          <w:rFonts w:asciiTheme="minorHAnsi" w:hAnsiTheme="minorHAnsi" w:cstheme="minorHAnsi"/>
        </w:rPr>
        <w:t xml:space="preserve"> [speech], </w:t>
      </w:r>
      <w:r w:rsidR="00D2297A" w:rsidRPr="00D2297A">
        <w:rPr>
          <w:rFonts w:asciiTheme="minorHAnsi" w:hAnsiTheme="minorHAnsi" w:cstheme="minorHAnsi"/>
        </w:rPr>
        <w:t>Minister for the Environment and Water</w:t>
      </w:r>
      <w:r w:rsidR="00D2297A">
        <w:rPr>
          <w:rFonts w:asciiTheme="minorHAnsi" w:hAnsiTheme="minorHAnsi" w:cstheme="minorHAnsi"/>
        </w:rPr>
        <w:t>,</w:t>
      </w:r>
      <w:r w:rsidR="00D2297A" w:rsidRPr="00D2297A">
        <w:rPr>
          <w:rFonts w:asciiTheme="minorHAnsi" w:hAnsiTheme="minorHAnsi" w:cstheme="minorHAnsi"/>
        </w:rPr>
        <w:t xml:space="preserve"> </w:t>
      </w:r>
      <w:r w:rsidR="001E04C0" w:rsidRPr="004906C5">
        <w:rPr>
          <w:rFonts w:asciiTheme="minorHAnsi" w:hAnsiTheme="minorHAnsi" w:cstheme="minorHAnsi"/>
        </w:rPr>
        <w:t>Australian Government</w:t>
      </w:r>
      <w:r w:rsidR="001E04C0">
        <w:rPr>
          <w:rFonts w:asciiTheme="minorHAnsi" w:hAnsiTheme="minorHAnsi" w:cstheme="minorHAnsi"/>
        </w:rPr>
        <w:t>,</w:t>
      </w:r>
      <w:r w:rsidR="001E04C0" w:rsidRPr="004906C5">
        <w:rPr>
          <w:rFonts w:asciiTheme="minorHAnsi" w:hAnsiTheme="minorHAnsi" w:cstheme="minorHAnsi"/>
        </w:rPr>
        <w:t xml:space="preserve"> </w:t>
      </w:r>
      <w:r w:rsidR="00AA5539" w:rsidRPr="004906C5">
        <w:rPr>
          <w:rFonts w:asciiTheme="minorHAnsi" w:hAnsiTheme="minorHAnsi" w:cstheme="minorHAnsi"/>
        </w:rPr>
        <w:t>7 June 2023, accessed September 2023.</w:t>
      </w:r>
    </w:p>
  </w:endnote>
  <w:endnote w:id="29">
    <w:p w14:paraId="5414DC3A" w14:textId="60FE1B49" w:rsidR="007316A8" w:rsidRPr="004906C5" w:rsidRDefault="007316A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A63088" w:rsidRPr="00625B18">
        <w:rPr>
          <w:rFonts w:asciiTheme="minorHAnsi" w:hAnsiTheme="minorHAnsi" w:cstheme="minorHAnsi"/>
          <w:color w:val="auto"/>
        </w:rPr>
        <w:t>CSIRO</w:t>
      </w:r>
      <w:r w:rsidR="00625B18" w:rsidRPr="00625B18">
        <w:rPr>
          <w:rFonts w:asciiTheme="minorHAnsi" w:hAnsiTheme="minorHAnsi" w:cstheme="minorHAnsi"/>
          <w:color w:val="auto"/>
        </w:rPr>
        <w:t xml:space="preserve"> (</w:t>
      </w:r>
      <w:r w:rsidR="00625B18" w:rsidRPr="00625B18">
        <w:rPr>
          <w:rFonts w:eastAsiaTheme="majorEastAsia" w:cs="Arial"/>
          <w:color w:val="auto"/>
        </w:rPr>
        <w:t>Commonwealth Scientific and Industrial Research Organisation)</w:t>
      </w:r>
      <w:r w:rsidR="00A63088" w:rsidRPr="00625B18">
        <w:rPr>
          <w:rFonts w:asciiTheme="minorHAnsi" w:hAnsiTheme="minorHAnsi" w:cstheme="minorHAnsi"/>
          <w:color w:val="auto"/>
        </w:rPr>
        <w:t xml:space="preserve">, </w:t>
      </w:r>
      <w:hyperlink r:id="rId28" w:history="1">
        <w:r w:rsidR="00A63088" w:rsidRPr="004906C5">
          <w:rPr>
            <w:rStyle w:val="Hyperlink"/>
            <w:rFonts w:asciiTheme="minorHAnsi" w:hAnsiTheme="minorHAnsi" w:cstheme="minorHAnsi"/>
            <w:i/>
          </w:rPr>
          <w:t>Australia’s carbon sequestration potential</w:t>
        </w:r>
      </w:hyperlink>
      <w:r w:rsidR="00A63088" w:rsidRPr="004906C5">
        <w:rPr>
          <w:rFonts w:asciiTheme="minorHAnsi" w:hAnsiTheme="minorHAnsi" w:cstheme="minorHAnsi"/>
        </w:rPr>
        <w:t>, CSIRO website, November 2022, accessed September 2023.</w:t>
      </w:r>
    </w:p>
  </w:endnote>
  <w:endnote w:id="30">
    <w:p w14:paraId="240F483A" w14:textId="100C2C26" w:rsidR="00715737" w:rsidRPr="004906C5" w:rsidRDefault="00715737"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1C0988" w:rsidRPr="004906C5">
        <w:rPr>
          <w:rFonts w:asciiTheme="minorHAnsi" w:hAnsiTheme="minorHAnsi" w:cstheme="minorHAnsi"/>
        </w:rPr>
        <w:t xml:space="preserve">Clean Energy Regulator, </w:t>
      </w:r>
      <w:hyperlink r:id="rId29" w:history="1">
        <w:r w:rsidR="001C0988" w:rsidRPr="004906C5">
          <w:rPr>
            <w:rStyle w:val="Hyperlink"/>
            <w:rFonts w:asciiTheme="minorHAnsi" w:hAnsiTheme="minorHAnsi" w:cstheme="minorHAnsi"/>
            <w:i/>
          </w:rPr>
          <w:t>Australia’s scope 1 emissions by industry for NGER reporters</w:t>
        </w:r>
      </w:hyperlink>
      <w:r w:rsidR="001C0988" w:rsidRPr="004906C5">
        <w:rPr>
          <w:rFonts w:asciiTheme="minorHAnsi" w:hAnsiTheme="minorHAnsi" w:cstheme="minorHAnsi"/>
        </w:rPr>
        <w:t xml:space="preserve">, Clean Energy Regulator, </w:t>
      </w:r>
      <w:r w:rsidR="001E04C0">
        <w:rPr>
          <w:rFonts w:asciiTheme="minorHAnsi" w:hAnsiTheme="minorHAnsi" w:cstheme="minorHAnsi"/>
        </w:rPr>
        <w:t xml:space="preserve">Australian Government, </w:t>
      </w:r>
      <w:r w:rsidR="001C0988" w:rsidRPr="004906C5">
        <w:rPr>
          <w:rFonts w:asciiTheme="minorHAnsi" w:hAnsiTheme="minorHAnsi" w:cstheme="minorHAnsi"/>
        </w:rPr>
        <w:t>22 October 2019, accessed September 2023.</w:t>
      </w:r>
    </w:p>
  </w:endnote>
  <w:endnote w:id="31">
    <w:p w14:paraId="4F3F63E8" w14:textId="70F00542" w:rsidR="00636408" w:rsidRPr="004906C5" w:rsidRDefault="00636408" w:rsidP="004906C5">
      <w:pPr>
        <w:pStyle w:val="EndnoteText"/>
        <w:tabs>
          <w:tab w:val="left" w:pos="709"/>
        </w:tabs>
        <w:spacing w:before="120" w:after="120"/>
        <w:ind w:left="709" w:hanging="709"/>
        <w:rPr>
          <w:rFonts w:asciiTheme="minorHAnsi" w:hAnsiTheme="minorHAnsi" w:cstheme="minorHAnsi"/>
          <w:color w:val="000000"/>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Pr="004906C5">
        <w:rPr>
          <w:rFonts w:asciiTheme="minorHAnsi" w:hAnsiTheme="minorHAnsi" w:cstheme="minorHAnsi"/>
          <w:color w:val="000000"/>
        </w:rPr>
        <w:tab/>
      </w:r>
      <w:r w:rsidR="00F90053" w:rsidRPr="004906C5">
        <w:rPr>
          <w:rFonts w:asciiTheme="minorHAnsi" w:hAnsiTheme="minorHAnsi" w:cstheme="minorHAnsi"/>
        </w:rPr>
        <w:t xml:space="preserve">ABS, </w:t>
      </w:r>
      <w:hyperlink r:id="rId30" w:history="1">
        <w:r w:rsidR="00F90053" w:rsidRPr="004906C5">
          <w:rPr>
            <w:rStyle w:val="Hyperlink"/>
            <w:rFonts w:asciiTheme="minorHAnsi" w:hAnsiTheme="minorHAnsi" w:cstheme="minorHAnsi"/>
            <w:i/>
          </w:rPr>
          <w:t>Energy Account, Australia</w:t>
        </w:r>
      </w:hyperlink>
      <w:r w:rsidR="00F90053" w:rsidRPr="004906C5">
        <w:rPr>
          <w:rFonts w:asciiTheme="minorHAnsi" w:hAnsiTheme="minorHAnsi" w:cstheme="minorHAnsi"/>
        </w:rPr>
        <w:t>, ABS website, 27 April 2023, accessed September 2023.</w:t>
      </w:r>
      <w:r w:rsidR="00F90053" w:rsidRPr="004906C5">
        <w:rPr>
          <w:rFonts w:asciiTheme="minorHAnsi" w:hAnsiTheme="minorHAnsi" w:cstheme="minorHAnsi"/>
          <w:color w:val="000000"/>
        </w:rPr>
        <w:t xml:space="preserve"> </w:t>
      </w:r>
      <w:r w:rsidRPr="004906C5">
        <w:rPr>
          <w:rFonts w:asciiTheme="minorHAnsi" w:hAnsiTheme="minorHAnsi" w:cstheme="minorHAnsi"/>
          <w:color w:val="000000"/>
        </w:rPr>
        <w:t xml:space="preserve"> </w:t>
      </w:r>
    </w:p>
  </w:endnote>
  <w:endnote w:id="32">
    <w:p w14:paraId="124EBE55" w14:textId="7216E641" w:rsidR="00005F2D" w:rsidRPr="004906C5" w:rsidRDefault="00005F2D" w:rsidP="004906C5">
      <w:pPr>
        <w:pStyle w:val="EndnoteText"/>
        <w:tabs>
          <w:tab w:val="left" w:pos="709"/>
        </w:tabs>
        <w:spacing w:before="120" w:after="120"/>
        <w:ind w:left="709" w:hanging="709"/>
        <w:rPr>
          <w:rFonts w:asciiTheme="minorHAnsi" w:hAnsiTheme="minorHAnsi" w:cstheme="minorHAnsi"/>
          <w:spacing w:val="2"/>
          <w14:ligatures w14:val="standard"/>
          <w14:numForm w14:val="lining"/>
          <w14:numSpacing w14:val="proportional"/>
        </w:rPr>
      </w:pPr>
      <w:r w:rsidRPr="004906C5">
        <w:rPr>
          <w:rFonts w:asciiTheme="minorHAnsi" w:hAnsiTheme="minorHAnsi" w:cstheme="minorHAnsi"/>
          <w:color w:val="000000"/>
        </w:rPr>
        <w:endnoteRef/>
      </w:r>
      <w:r w:rsidRPr="004906C5">
        <w:rPr>
          <w:rFonts w:asciiTheme="minorHAnsi" w:hAnsiTheme="minorHAnsi" w:cstheme="minorHAnsi"/>
          <w:color w:val="000000"/>
        </w:rPr>
        <w:t xml:space="preserve"> </w:t>
      </w:r>
      <w:r w:rsidR="004D2C00" w:rsidRPr="004906C5">
        <w:rPr>
          <w:rFonts w:asciiTheme="minorHAnsi" w:hAnsiTheme="minorHAnsi" w:cstheme="minorHAnsi"/>
          <w:color w:val="000000"/>
        </w:rPr>
        <w:t xml:space="preserve">    </w:t>
      </w:r>
      <w:r w:rsidRPr="004906C5">
        <w:rPr>
          <w:rFonts w:asciiTheme="minorHAnsi" w:hAnsiTheme="minorHAnsi" w:cstheme="minorHAnsi"/>
          <w:color w:val="000000"/>
        </w:rPr>
        <w:t xml:space="preserve"> </w:t>
      </w:r>
      <w:r w:rsidR="0047056B" w:rsidRPr="004906C5">
        <w:rPr>
          <w:rFonts w:asciiTheme="minorHAnsi" w:hAnsiTheme="minorHAnsi" w:cstheme="minorHAnsi"/>
          <w:color w:val="000000"/>
        </w:rPr>
        <w:tab/>
      </w:r>
      <w:r w:rsidR="004D2C00" w:rsidRPr="004906C5">
        <w:rPr>
          <w:rFonts w:asciiTheme="minorHAnsi" w:hAnsiTheme="minorHAnsi" w:cstheme="minorHAnsi"/>
          <w:spacing w:val="2"/>
          <w14:ligatures w14:val="standard"/>
          <w14:numForm w14:val="lining"/>
          <w14:numSpacing w14:val="proportional"/>
        </w:rPr>
        <w:t>NSC,</w:t>
      </w:r>
      <w:r w:rsidRPr="004906C5">
        <w:rPr>
          <w:rFonts w:asciiTheme="minorHAnsi" w:hAnsiTheme="minorHAnsi" w:cstheme="minorHAnsi"/>
          <w:spacing w:val="2"/>
          <w14:ligatures w14:val="standard"/>
          <w14:numForm w14:val="lining"/>
          <w14:numSpacing w14:val="proportional"/>
        </w:rPr>
        <w:t xml:space="preserve"> </w:t>
      </w:r>
      <w:hyperlink r:id="rId31" w:history="1">
        <w:r w:rsidRPr="004906C5">
          <w:rPr>
            <w:rStyle w:val="Hyperlink"/>
            <w:rFonts w:asciiTheme="minorHAnsi" w:hAnsiTheme="minorHAnsi" w:cstheme="minorHAnsi"/>
            <w:i/>
          </w:rPr>
          <w:t>Emerging Occupations</w:t>
        </w:r>
      </w:hyperlink>
      <w:r w:rsidR="004D2C00" w:rsidRPr="004906C5">
        <w:rPr>
          <w:rFonts w:asciiTheme="minorHAnsi" w:hAnsiTheme="minorHAnsi" w:cstheme="minorHAnsi"/>
          <w:spacing w:val="2"/>
          <w14:ligatures w14:val="standard"/>
          <w14:numForm w14:val="lining"/>
          <w14:numSpacing w14:val="proportional"/>
        </w:rPr>
        <w:t>, NSC website, 26 August 2020, accessed September 2023.</w:t>
      </w:r>
      <w:r w:rsidRPr="004906C5">
        <w:rPr>
          <w:rFonts w:asciiTheme="minorHAnsi" w:hAnsiTheme="minorHAnsi" w:cstheme="minorHAnsi"/>
          <w:spacing w:val="2"/>
          <w14:ligatures w14:val="standard"/>
          <w14:numForm w14:val="lining"/>
          <w14:numSpacing w14:val="proportional"/>
        </w:rPr>
        <w:t xml:space="preserve"> </w:t>
      </w:r>
    </w:p>
  </w:endnote>
  <w:endnote w:id="33">
    <w:p w14:paraId="71E88D21" w14:textId="0EBBE03C" w:rsidR="00005F2D" w:rsidRPr="004906C5" w:rsidRDefault="00005F2D" w:rsidP="004906C5">
      <w:pPr>
        <w:pStyle w:val="EndnoteText"/>
        <w:spacing w:before="120" w:after="120"/>
        <w:ind w:left="709" w:hanging="709"/>
        <w:rPr>
          <w:rFonts w:asciiTheme="minorHAnsi" w:hAnsiTheme="minorHAnsi" w:cstheme="minorHAnsi"/>
          <w:spacing w:val="2"/>
          <w14:ligatures w14:val="standard"/>
          <w14:numForm w14:val="lining"/>
          <w14:numSpacing w14:val="proportional"/>
        </w:rPr>
      </w:pPr>
      <w:r w:rsidRPr="004906C5">
        <w:rPr>
          <w:rStyle w:val="EndnoteReference"/>
          <w:rFonts w:asciiTheme="minorHAnsi" w:hAnsiTheme="minorHAnsi" w:cstheme="minorHAnsi"/>
          <w:spacing w:val="2"/>
          <w:vertAlign w:val="baseline"/>
          <w14:ligatures w14:val="standard"/>
          <w14:numForm w14:val="lining"/>
          <w14:numSpacing w14:val="proportional"/>
        </w:rPr>
        <w:endnoteRef/>
      </w:r>
      <w:r w:rsidRPr="004906C5">
        <w:rPr>
          <w:rFonts w:asciiTheme="minorHAnsi" w:hAnsiTheme="minorHAnsi" w:cstheme="minorHAnsi"/>
          <w:spacing w:val="2"/>
          <w14:ligatures w14:val="standard"/>
          <w14:numForm w14:val="lining"/>
          <w14:numSpacing w14:val="proportional"/>
        </w:rPr>
        <w:t xml:space="preserve"> </w:t>
      </w:r>
      <w:r w:rsidRPr="004906C5">
        <w:rPr>
          <w:rFonts w:asciiTheme="minorHAnsi" w:hAnsiTheme="minorHAnsi" w:cstheme="minorHAnsi"/>
          <w:spacing w:val="2"/>
          <w14:ligatures w14:val="standard"/>
          <w14:numForm w14:val="lining"/>
          <w14:numSpacing w14:val="proportional"/>
        </w:rPr>
        <w:tab/>
      </w:r>
      <w:r w:rsidR="007021BA" w:rsidRPr="004906C5">
        <w:rPr>
          <w:rFonts w:asciiTheme="minorHAnsi" w:hAnsiTheme="minorHAnsi" w:cstheme="minorHAnsi"/>
          <w:spacing w:val="2"/>
          <w14:ligatures w14:val="standard"/>
          <w14:numForm w14:val="lining"/>
          <w14:numSpacing w14:val="proportional"/>
        </w:rPr>
        <w:t xml:space="preserve">ABS, </w:t>
      </w:r>
      <w:hyperlink r:id="rId32" w:history="1">
        <w:r w:rsidR="007021BA" w:rsidRPr="004906C5">
          <w:rPr>
            <w:rStyle w:val="Hyperlink"/>
            <w:rFonts w:asciiTheme="minorHAnsi" w:hAnsiTheme="minorHAnsi" w:cstheme="minorHAnsi"/>
            <w:i/>
            <w:iCs/>
            <w:spacing w:val="2"/>
            <w14:ligatures w14:val="standard"/>
            <w14:numForm w14:val="lining"/>
            <w14:numSpacing w14:val="proportional"/>
          </w:rPr>
          <w:t>2021 Targeted Update of Australian and New Zealand Standard (ANZSCO)</w:t>
        </w:r>
      </w:hyperlink>
      <w:r w:rsidR="007021BA" w:rsidRPr="004906C5">
        <w:rPr>
          <w:rFonts w:asciiTheme="minorHAnsi" w:hAnsiTheme="minorHAnsi" w:cstheme="minorHAnsi"/>
          <w:spacing w:val="2"/>
          <w14:ligatures w14:val="standard"/>
          <w14:numForm w14:val="lining"/>
          <w14:numSpacing w14:val="proportional"/>
        </w:rPr>
        <w:t>, ABS website, n.d, accessed September 2023.</w:t>
      </w:r>
    </w:p>
  </w:endnote>
  <w:endnote w:id="34">
    <w:p w14:paraId="5765EE13" w14:textId="690E023E" w:rsidR="00CE6D1F" w:rsidRPr="004906C5" w:rsidRDefault="00CE6D1F"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0360" w:rsidRPr="004906C5">
        <w:rPr>
          <w:rFonts w:asciiTheme="minorHAnsi" w:hAnsiTheme="minorHAnsi" w:cstheme="minorHAnsi"/>
        </w:rPr>
        <w:tab/>
        <w:t xml:space="preserve">CEC, </w:t>
      </w:r>
      <w:hyperlink r:id="rId33" w:history="1">
        <w:r w:rsidR="00680360" w:rsidRPr="00625B18">
          <w:rPr>
            <w:rStyle w:val="Hyperlink"/>
            <w:rFonts w:asciiTheme="minorHAnsi" w:hAnsiTheme="minorHAnsi" w:cstheme="minorHAnsi"/>
            <w:i/>
            <w:iCs/>
          </w:rPr>
          <w:t>Empowering Everyone: Diversity in the Australian Clean Energy Sector</w:t>
        </w:r>
      </w:hyperlink>
      <w:r w:rsidR="00680360" w:rsidRPr="00625B18">
        <w:rPr>
          <w:rFonts w:asciiTheme="minorHAnsi" w:hAnsiTheme="minorHAnsi" w:cstheme="minorHAnsi"/>
        </w:rPr>
        <w:t xml:space="preserve">, CEC website, 28 October 2021, accessed September 2023. </w:t>
      </w:r>
    </w:p>
  </w:endnote>
  <w:endnote w:id="35">
    <w:p w14:paraId="46D0F01B" w14:textId="3FE98A84" w:rsidR="005F6D5E" w:rsidRPr="004906C5" w:rsidRDefault="005F6D5E" w:rsidP="004E0016">
      <w:pPr>
        <w:spacing w:before="120" w:after="120" w:line="240" w:lineRule="auto"/>
        <w:ind w:left="709" w:hanging="709"/>
        <w:rPr>
          <w:rFonts w:asciiTheme="minorHAnsi" w:hAnsiTheme="minorHAnsi" w:cstheme="minorHAnsi"/>
          <w:sz w:val="20"/>
          <w:szCs w:val="20"/>
        </w:rPr>
      </w:pPr>
      <w:r w:rsidRPr="004906C5">
        <w:rPr>
          <w:rStyle w:val="EndnoteReference"/>
          <w:rFonts w:asciiTheme="minorHAnsi" w:hAnsiTheme="minorHAnsi" w:cstheme="minorHAnsi"/>
          <w:sz w:val="20"/>
          <w:szCs w:val="20"/>
          <w:vertAlign w:val="baseline"/>
        </w:rPr>
        <w:endnoteRef/>
      </w:r>
      <w:r w:rsidRPr="004906C5">
        <w:rPr>
          <w:rFonts w:asciiTheme="minorHAnsi" w:hAnsiTheme="minorHAnsi" w:cstheme="minorHAnsi"/>
          <w:sz w:val="20"/>
          <w:szCs w:val="20"/>
        </w:rPr>
        <w:t xml:space="preserve"> </w:t>
      </w:r>
      <w:r w:rsidR="00680360" w:rsidRPr="004906C5">
        <w:rPr>
          <w:rFonts w:asciiTheme="minorHAnsi" w:hAnsiTheme="minorHAnsi" w:cstheme="minorHAnsi"/>
          <w:sz w:val="20"/>
          <w:szCs w:val="20"/>
        </w:rPr>
        <w:tab/>
      </w:r>
      <w:r w:rsidRPr="004906C5">
        <w:rPr>
          <w:rFonts w:asciiTheme="minorHAnsi" w:hAnsiTheme="minorHAnsi" w:cstheme="minorHAnsi"/>
          <w:sz w:val="20"/>
          <w:szCs w:val="20"/>
        </w:rPr>
        <w:t>Source notes for Solar projects:</w:t>
      </w:r>
      <w:r w:rsidR="004E0016">
        <w:rPr>
          <w:rFonts w:asciiTheme="minorHAnsi" w:hAnsiTheme="minorHAnsi" w:cstheme="minorHAnsi"/>
          <w:sz w:val="20"/>
          <w:szCs w:val="20"/>
        </w:rPr>
        <w:t xml:space="preserve"> </w:t>
      </w:r>
      <w:r w:rsidR="00F251AA" w:rsidRPr="004906C5">
        <w:rPr>
          <w:rFonts w:asciiTheme="minorHAnsi" w:hAnsiTheme="minorHAnsi" w:cstheme="minorHAnsi"/>
          <w:sz w:val="20"/>
          <w:szCs w:val="20"/>
          <w:lang w:val="en-US"/>
        </w:rPr>
        <w:t xml:space="preserve">Energy Transition Hub, </w:t>
      </w:r>
      <w:hyperlink r:id="rId34" w:history="1">
        <w:r w:rsidRPr="004906C5">
          <w:rPr>
            <w:rStyle w:val="Hyperlink"/>
            <w:rFonts w:asciiTheme="minorHAnsi" w:hAnsiTheme="minorHAnsi" w:cstheme="minorHAnsi"/>
            <w:i/>
            <w:sz w:val="20"/>
            <w:szCs w:val="20"/>
          </w:rPr>
          <w:t>Fotowatio Renewable Ventures (FRV)</w:t>
        </w:r>
      </w:hyperlink>
      <w:r w:rsidR="00F251AA" w:rsidRPr="004906C5">
        <w:rPr>
          <w:rFonts w:asciiTheme="minorHAnsi" w:hAnsiTheme="minorHAnsi" w:cstheme="minorHAnsi"/>
          <w:sz w:val="20"/>
          <w:szCs w:val="20"/>
        </w:rPr>
        <w:t>, Energy Transition Hub, n.d, accessed September 2023</w:t>
      </w:r>
      <w:r w:rsidR="003522B7">
        <w:rPr>
          <w:rFonts w:asciiTheme="minorHAnsi" w:hAnsiTheme="minorHAnsi" w:cstheme="minorHAnsi"/>
          <w:sz w:val="20"/>
          <w:szCs w:val="20"/>
        </w:rPr>
        <w:t xml:space="preserve">; </w:t>
      </w:r>
      <w:r w:rsidR="003E6E03" w:rsidRPr="004906C5">
        <w:rPr>
          <w:rFonts w:asciiTheme="minorHAnsi" w:hAnsiTheme="minorHAnsi" w:cstheme="minorHAnsi"/>
          <w:sz w:val="20"/>
          <w:szCs w:val="20"/>
        </w:rPr>
        <w:t xml:space="preserve">J Gifford, </w:t>
      </w:r>
      <w:hyperlink r:id="rId35" w:history="1">
        <w:r w:rsidRPr="004906C5">
          <w:rPr>
            <w:rStyle w:val="Hyperlink"/>
            <w:rFonts w:asciiTheme="minorHAnsi" w:hAnsiTheme="minorHAnsi" w:cstheme="minorHAnsi"/>
            <w:i/>
            <w:sz w:val="20"/>
            <w:szCs w:val="20"/>
          </w:rPr>
          <w:t>Abdul Latif Jameel completes FRV acquisition</w:t>
        </w:r>
      </w:hyperlink>
      <w:r w:rsidR="003E6E03" w:rsidRPr="004906C5">
        <w:rPr>
          <w:rFonts w:asciiTheme="minorHAnsi" w:hAnsiTheme="minorHAnsi" w:cstheme="minorHAnsi"/>
          <w:sz w:val="20"/>
          <w:szCs w:val="20"/>
        </w:rPr>
        <w:t>, pv magazine website, April 8 2015, accessed September 2023</w:t>
      </w:r>
      <w:r w:rsidR="003522B7">
        <w:rPr>
          <w:rFonts w:asciiTheme="minorHAnsi" w:hAnsiTheme="minorHAnsi" w:cstheme="minorHAnsi"/>
          <w:sz w:val="20"/>
          <w:szCs w:val="20"/>
        </w:rPr>
        <w:t xml:space="preserve">; </w:t>
      </w:r>
      <w:r w:rsidR="0024759C" w:rsidRPr="004906C5">
        <w:rPr>
          <w:rFonts w:asciiTheme="minorHAnsi" w:hAnsiTheme="minorHAnsi" w:cstheme="minorHAnsi"/>
          <w:sz w:val="20"/>
          <w:szCs w:val="20"/>
        </w:rPr>
        <w:t xml:space="preserve">Neoen, </w:t>
      </w:r>
      <w:hyperlink r:id="rId36" w:history="1">
        <w:r w:rsidR="0024759C" w:rsidRPr="004906C5">
          <w:rPr>
            <w:rStyle w:val="Hyperlink"/>
            <w:rFonts w:asciiTheme="minorHAnsi" w:hAnsiTheme="minorHAnsi" w:cstheme="minorHAnsi"/>
            <w:i/>
            <w:iCs/>
            <w:sz w:val="20"/>
            <w:szCs w:val="20"/>
          </w:rPr>
          <w:t>About Us</w:t>
        </w:r>
      </w:hyperlink>
      <w:r w:rsidR="0024759C" w:rsidRPr="004906C5">
        <w:rPr>
          <w:rFonts w:asciiTheme="minorHAnsi" w:hAnsiTheme="minorHAnsi" w:cstheme="minorHAnsi"/>
          <w:sz w:val="20"/>
          <w:szCs w:val="20"/>
        </w:rPr>
        <w:t>, Neon website, n.d, accessed September 2023</w:t>
      </w:r>
      <w:r w:rsidR="003522B7">
        <w:rPr>
          <w:rFonts w:asciiTheme="minorHAnsi" w:hAnsiTheme="minorHAnsi" w:cstheme="minorHAnsi"/>
          <w:sz w:val="20"/>
          <w:szCs w:val="20"/>
        </w:rPr>
        <w:t xml:space="preserve">; </w:t>
      </w:r>
      <w:r w:rsidR="00CC0DDB" w:rsidRPr="004906C5">
        <w:rPr>
          <w:rFonts w:asciiTheme="minorHAnsi" w:hAnsiTheme="minorHAnsi" w:cstheme="minorHAnsi"/>
          <w:sz w:val="20"/>
          <w:szCs w:val="20"/>
        </w:rPr>
        <w:t xml:space="preserve">A Macdonald-Smith, </w:t>
      </w:r>
      <w:hyperlink r:id="rId37" w:history="1">
        <w:r w:rsidR="00CC0DDB" w:rsidRPr="004906C5">
          <w:rPr>
            <w:rStyle w:val="Hyperlink"/>
            <w:rFonts w:asciiTheme="minorHAnsi" w:hAnsiTheme="minorHAnsi" w:cstheme="minorHAnsi"/>
            <w:i/>
            <w:iCs/>
            <w:sz w:val="20"/>
            <w:szCs w:val="20"/>
          </w:rPr>
          <w:t>Neoen starts building its fifth big battery in Australia</w:t>
        </w:r>
      </w:hyperlink>
      <w:r w:rsidR="00CC0DDB" w:rsidRPr="004906C5">
        <w:rPr>
          <w:rFonts w:asciiTheme="minorHAnsi" w:hAnsiTheme="minorHAnsi" w:cstheme="minorHAnsi"/>
          <w:sz w:val="20"/>
          <w:szCs w:val="20"/>
        </w:rPr>
        <w:t>, Australian Financial Review website, 5 January 2023, accessed September 2023</w:t>
      </w:r>
      <w:r w:rsidR="000D7B5E">
        <w:rPr>
          <w:rFonts w:asciiTheme="minorHAnsi" w:hAnsiTheme="minorHAnsi" w:cstheme="minorHAnsi"/>
          <w:sz w:val="20"/>
          <w:szCs w:val="20"/>
        </w:rPr>
        <w:t xml:space="preserve">; </w:t>
      </w:r>
      <w:r w:rsidR="007E6669" w:rsidRPr="004906C5">
        <w:rPr>
          <w:rFonts w:asciiTheme="minorHAnsi" w:hAnsiTheme="minorHAnsi" w:cstheme="minorHAnsi"/>
          <w:sz w:val="20"/>
          <w:szCs w:val="20"/>
        </w:rPr>
        <w:t xml:space="preserve">D Carroll, </w:t>
      </w:r>
      <w:hyperlink r:id="rId38" w:history="1">
        <w:r w:rsidR="007E6669" w:rsidRPr="004906C5">
          <w:rPr>
            <w:rStyle w:val="Hyperlink"/>
            <w:rFonts w:asciiTheme="minorHAnsi" w:hAnsiTheme="minorHAnsi" w:cstheme="minorHAnsi"/>
            <w:i/>
            <w:iCs/>
            <w:sz w:val="20"/>
            <w:szCs w:val="20"/>
          </w:rPr>
          <w:t>Neoen connects 460 MW solar farm to grid in Australia</w:t>
        </w:r>
      </w:hyperlink>
      <w:r w:rsidR="007E6669" w:rsidRPr="004906C5">
        <w:rPr>
          <w:rFonts w:asciiTheme="minorHAnsi" w:hAnsiTheme="minorHAnsi" w:cstheme="minorHAnsi"/>
          <w:sz w:val="20"/>
          <w:szCs w:val="20"/>
        </w:rPr>
        <w:t>, pv magazine website, 29 October 2021, accessed September 2023</w:t>
      </w:r>
      <w:r w:rsidR="003522B7">
        <w:rPr>
          <w:rFonts w:asciiTheme="minorHAnsi" w:hAnsiTheme="minorHAnsi" w:cstheme="minorHAnsi"/>
          <w:sz w:val="20"/>
          <w:szCs w:val="20"/>
        </w:rPr>
        <w:t xml:space="preserve">; </w:t>
      </w:r>
      <w:r w:rsidR="00AE3A02" w:rsidRPr="004906C5">
        <w:rPr>
          <w:rFonts w:asciiTheme="minorHAnsi" w:hAnsiTheme="minorHAnsi" w:cstheme="minorHAnsi"/>
          <w:sz w:val="20"/>
          <w:szCs w:val="20"/>
        </w:rPr>
        <w:t xml:space="preserve">NSW Government Investment Concierge, </w:t>
      </w:r>
      <w:hyperlink r:id="rId39" w:history="1">
        <w:r w:rsidR="00AE3A02" w:rsidRPr="004906C5">
          <w:rPr>
            <w:rStyle w:val="Hyperlink"/>
            <w:rFonts w:asciiTheme="minorHAnsi" w:hAnsiTheme="minorHAnsi" w:cstheme="minorHAnsi"/>
            <w:i/>
            <w:iCs/>
            <w:sz w:val="20"/>
            <w:szCs w:val="20"/>
          </w:rPr>
          <w:t>Case study: The Future of Neoen Australia Made in Sydney and NSW</w:t>
        </w:r>
      </w:hyperlink>
      <w:r w:rsidR="00AE3A02" w:rsidRPr="004906C5">
        <w:rPr>
          <w:rFonts w:asciiTheme="minorHAnsi" w:hAnsiTheme="minorHAnsi" w:cstheme="minorHAnsi"/>
          <w:sz w:val="20"/>
          <w:szCs w:val="20"/>
        </w:rPr>
        <w:t>, Investment NSW website, 2019,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Griffith Solar Farm, </w:t>
      </w:r>
      <w:hyperlink r:id="rId40" w:history="1">
        <w:r w:rsidR="00D515DE" w:rsidRPr="004906C5">
          <w:rPr>
            <w:rStyle w:val="Hyperlink"/>
            <w:rFonts w:asciiTheme="minorHAnsi" w:hAnsiTheme="minorHAnsi" w:cstheme="minorHAnsi"/>
            <w:i/>
            <w:iCs/>
            <w:sz w:val="20"/>
            <w:szCs w:val="20"/>
          </w:rPr>
          <w:t>About</w:t>
        </w:r>
      </w:hyperlink>
      <w:r w:rsidR="00D515DE" w:rsidRPr="004906C5">
        <w:rPr>
          <w:rFonts w:asciiTheme="minorHAnsi" w:hAnsiTheme="minorHAnsi" w:cstheme="minorHAnsi"/>
          <w:sz w:val="20"/>
          <w:szCs w:val="20"/>
        </w:rPr>
        <w:t>, Griffith Solar Farm website, n.d.,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Numurkah Solar Farm, </w:t>
      </w:r>
      <w:hyperlink r:id="rId41" w:history="1">
        <w:r w:rsidR="00D515DE" w:rsidRPr="004906C5">
          <w:rPr>
            <w:rStyle w:val="Hyperlink"/>
            <w:rFonts w:asciiTheme="minorHAnsi" w:hAnsiTheme="minorHAnsi" w:cstheme="minorHAnsi"/>
            <w:i/>
            <w:iCs/>
            <w:sz w:val="20"/>
            <w:szCs w:val="20"/>
          </w:rPr>
          <w:t>About</w:t>
        </w:r>
      </w:hyperlink>
      <w:r w:rsidR="00D515DE" w:rsidRPr="004906C5">
        <w:rPr>
          <w:rFonts w:asciiTheme="minorHAnsi" w:hAnsiTheme="minorHAnsi" w:cstheme="minorHAnsi"/>
          <w:sz w:val="20"/>
          <w:szCs w:val="20"/>
        </w:rPr>
        <w:t>, Numurkah Solar Farm website, n.d.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Enel, </w:t>
      </w:r>
      <w:hyperlink r:id="rId42" w:history="1">
        <w:r w:rsidR="00D515DE" w:rsidRPr="004906C5">
          <w:rPr>
            <w:rStyle w:val="Hyperlink"/>
            <w:rFonts w:asciiTheme="minorHAnsi" w:hAnsiTheme="minorHAnsi" w:cstheme="minorHAnsi"/>
            <w:i/>
            <w:iCs/>
            <w:sz w:val="20"/>
            <w:szCs w:val="20"/>
          </w:rPr>
          <w:t>Enel signs deal to sell 50% of Enel Green Power Australia to INPEX corporation</w:t>
        </w:r>
      </w:hyperlink>
      <w:r w:rsidR="00D515DE" w:rsidRPr="004906C5">
        <w:rPr>
          <w:rFonts w:asciiTheme="minorHAnsi" w:hAnsiTheme="minorHAnsi" w:cstheme="minorHAnsi"/>
          <w:sz w:val="20"/>
          <w:szCs w:val="20"/>
        </w:rPr>
        <w:t xml:space="preserve"> [media release], Enel, 13 July 2023, accessed September 2023</w:t>
      </w:r>
      <w:r w:rsidR="003522B7">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D Carroll, </w:t>
      </w:r>
      <w:hyperlink r:id="rId43" w:history="1">
        <w:r w:rsidR="00D515DE" w:rsidRPr="004906C5">
          <w:rPr>
            <w:rStyle w:val="Hyperlink"/>
            <w:rFonts w:asciiTheme="minorHAnsi" w:hAnsiTheme="minorHAnsi" w:cstheme="minorHAnsi"/>
            <w:i/>
            <w:iCs/>
            <w:sz w:val="20"/>
            <w:szCs w:val="20"/>
          </w:rPr>
          <w:t>Enel looks to sell maj</w:t>
        </w:r>
        <w:r w:rsidR="000336C3">
          <w:rPr>
            <w:rStyle w:val="Hyperlink"/>
            <w:rFonts w:asciiTheme="minorHAnsi" w:hAnsiTheme="minorHAnsi" w:cstheme="minorHAnsi"/>
            <w:i/>
            <w:iCs/>
            <w:sz w:val="20"/>
            <w:szCs w:val="20"/>
          </w:rPr>
          <w:t>or</w:t>
        </w:r>
        <w:r w:rsidR="00D515DE" w:rsidRPr="004906C5">
          <w:rPr>
            <w:rStyle w:val="Hyperlink"/>
            <w:rFonts w:asciiTheme="minorHAnsi" w:hAnsiTheme="minorHAnsi" w:cstheme="minorHAnsi"/>
            <w:i/>
            <w:iCs/>
            <w:sz w:val="20"/>
            <w:szCs w:val="20"/>
          </w:rPr>
          <w:t xml:space="preserve"> stake in Australian wind, solar portfolio</w:t>
        </w:r>
      </w:hyperlink>
      <w:r w:rsidR="00D515DE" w:rsidRPr="004906C5">
        <w:rPr>
          <w:rFonts w:asciiTheme="minorHAnsi" w:hAnsiTheme="minorHAnsi" w:cstheme="minorHAnsi"/>
          <w:sz w:val="20"/>
          <w:szCs w:val="20"/>
        </w:rPr>
        <w:t>, pv magazine website, 25 July 2022, accessed September 2023</w:t>
      </w:r>
      <w:r w:rsidR="004E0016">
        <w:rPr>
          <w:rFonts w:asciiTheme="minorHAnsi" w:hAnsiTheme="minorHAnsi" w:cstheme="minorHAnsi"/>
          <w:sz w:val="20"/>
          <w:szCs w:val="20"/>
        </w:rPr>
        <w:t xml:space="preserve">; </w:t>
      </w:r>
      <w:r w:rsidR="00D515DE" w:rsidRPr="004906C5">
        <w:rPr>
          <w:rFonts w:asciiTheme="minorHAnsi" w:hAnsiTheme="minorHAnsi" w:cstheme="minorHAnsi"/>
          <w:sz w:val="20"/>
          <w:szCs w:val="20"/>
        </w:rPr>
        <w:t xml:space="preserve">AGL, </w:t>
      </w:r>
      <w:hyperlink r:id="rId44" w:history="1">
        <w:r w:rsidR="00D515DE" w:rsidRPr="004906C5">
          <w:rPr>
            <w:rStyle w:val="Hyperlink"/>
            <w:rFonts w:asciiTheme="minorHAnsi" w:hAnsiTheme="minorHAnsi" w:cstheme="minorHAnsi"/>
            <w:i/>
            <w:iCs/>
            <w:sz w:val="20"/>
            <w:szCs w:val="20"/>
          </w:rPr>
          <w:t>How we source Energy</w:t>
        </w:r>
      </w:hyperlink>
      <w:r w:rsidR="00D515DE" w:rsidRPr="004906C5">
        <w:rPr>
          <w:rFonts w:asciiTheme="minorHAnsi" w:hAnsiTheme="minorHAnsi" w:cstheme="minorHAnsi"/>
          <w:sz w:val="20"/>
          <w:szCs w:val="20"/>
        </w:rPr>
        <w:t>, AGL website, n.d., accessed September 2023.</w:t>
      </w:r>
      <w:r w:rsidR="00D515DE" w:rsidRPr="004906C5" w:rsidDel="00690159">
        <w:rPr>
          <w:rFonts w:asciiTheme="minorHAnsi" w:hAnsiTheme="minorHAnsi" w:cstheme="minorHAnsi"/>
          <w:sz w:val="20"/>
          <w:szCs w:val="20"/>
        </w:rPr>
        <w:t xml:space="preserve"> </w:t>
      </w:r>
    </w:p>
  </w:endnote>
  <w:endnote w:id="36">
    <w:p w14:paraId="078FFF41" w14:textId="38437020" w:rsidR="005F6D5E" w:rsidRPr="004906C5" w:rsidRDefault="005F6D5E" w:rsidP="003522B7">
      <w:pPr>
        <w:spacing w:before="120" w:after="120" w:line="240" w:lineRule="auto"/>
        <w:ind w:left="709" w:hanging="709"/>
        <w:rPr>
          <w:rFonts w:asciiTheme="minorHAnsi" w:hAnsiTheme="minorHAnsi" w:cstheme="minorHAnsi"/>
          <w:sz w:val="20"/>
          <w:szCs w:val="20"/>
        </w:rPr>
      </w:pPr>
      <w:r w:rsidRPr="004906C5">
        <w:rPr>
          <w:rStyle w:val="EndnoteReference"/>
          <w:rFonts w:asciiTheme="minorHAnsi" w:hAnsiTheme="minorHAnsi" w:cstheme="minorHAnsi"/>
          <w:sz w:val="20"/>
          <w:szCs w:val="20"/>
          <w:vertAlign w:val="baseline"/>
        </w:rPr>
        <w:endnoteRef/>
      </w:r>
      <w:r w:rsidR="00B46376" w:rsidRPr="004906C5">
        <w:rPr>
          <w:rFonts w:asciiTheme="minorHAnsi" w:hAnsiTheme="minorHAnsi" w:cstheme="minorHAnsi"/>
          <w:sz w:val="20"/>
          <w:szCs w:val="20"/>
        </w:rPr>
        <w:t xml:space="preserve"> </w:t>
      </w:r>
      <w:r w:rsidR="00D515DE" w:rsidRPr="004906C5">
        <w:rPr>
          <w:rFonts w:asciiTheme="minorHAnsi" w:hAnsiTheme="minorHAnsi" w:cstheme="minorHAnsi"/>
          <w:sz w:val="20"/>
          <w:szCs w:val="20"/>
        </w:rPr>
        <w:tab/>
      </w:r>
      <w:r w:rsidRPr="004906C5">
        <w:rPr>
          <w:rFonts w:asciiTheme="minorHAnsi" w:hAnsiTheme="minorHAnsi" w:cstheme="minorHAnsi"/>
          <w:sz w:val="20"/>
          <w:szCs w:val="20"/>
        </w:rPr>
        <w:t>Source notes for Wind energy</w:t>
      </w:r>
      <w:r w:rsidR="00A47CC1">
        <w:rPr>
          <w:rFonts w:asciiTheme="minorHAnsi" w:hAnsiTheme="minorHAnsi" w:cstheme="minorHAnsi"/>
          <w:sz w:val="20"/>
          <w:szCs w:val="20"/>
        </w:rPr>
        <w:t>:</w:t>
      </w:r>
      <w:r w:rsidR="003522B7">
        <w:rPr>
          <w:rFonts w:asciiTheme="minorHAnsi" w:hAnsiTheme="minorHAnsi" w:cstheme="minorHAnsi"/>
          <w:sz w:val="20"/>
          <w:szCs w:val="20"/>
        </w:rPr>
        <w:t xml:space="preserve"> </w:t>
      </w:r>
      <w:r w:rsidR="00E77FC6" w:rsidRPr="004906C5">
        <w:rPr>
          <w:rFonts w:asciiTheme="minorHAnsi" w:hAnsiTheme="minorHAnsi" w:cstheme="minorHAnsi"/>
          <w:sz w:val="20"/>
          <w:szCs w:val="20"/>
        </w:rPr>
        <w:t xml:space="preserve">AGL, </w:t>
      </w:r>
      <w:hyperlink r:id="rId45" w:history="1">
        <w:r w:rsidR="00E77FC6" w:rsidRPr="004906C5">
          <w:rPr>
            <w:rStyle w:val="Hyperlink"/>
            <w:rFonts w:asciiTheme="minorHAnsi" w:hAnsiTheme="minorHAnsi" w:cstheme="minorHAnsi"/>
            <w:i/>
            <w:iCs/>
            <w:sz w:val="20"/>
            <w:szCs w:val="20"/>
          </w:rPr>
          <w:t>How we source Energy</w:t>
        </w:r>
      </w:hyperlink>
      <w:r w:rsidR="00E77FC6" w:rsidRPr="004906C5">
        <w:rPr>
          <w:rFonts w:asciiTheme="minorHAnsi" w:hAnsiTheme="minorHAnsi" w:cstheme="minorHAnsi"/>
          <w:sz w:val="20"/>
          <w:szCs w:val="20"/>
        </w:rPr>
        <w:t>, AGL website, n.d., accessed September 2023</w:t>
      </w:r>
      <w:r w:rsidR="003522B7">
        <w:rPr>
          <w:rFonts w:asciiTheme="minorHAnsi" w:hAnsiTheme="minorHAnsi" w:cstheme="minorHAnsi"/>
          <w:sz w:val="20"/>
          <w:szCs w:val="20"/>
        </w:rPr>
        <w:t xml:space="preserve">; </w:t>
      </w:r>
      <w:r w:rsidR="00877E14" w:rsidRPr="004906C5">
        <w:rPr>
          <w:rFonts w:asciiTheme="minorHAnsi" w:hAnsiTheme="minorHAnsi" w:cstheme="minorHAnsi"/>
          <w:sz w:val="20"/>
          <w:szCs w:val="20"/>
        </w:rPr>
        <w:t xml:space="preserve">Iberdrola Australia, </w:t>
      </w:r>
      <w:hyperlink r:id="rId46" w:history="1">
        <w:r w:rsidR="00877E14" w:rsidRPr="004906C5">
          <w:rPr>
            <w:rStyle w:val="Hyperlink"/>
            <w:rFonts w:asciiTheme="minorHAnsi" w:hAnsiTheme="minorHAnsi" w:cstheme="minorHAnsi"/>
            <w:i/>
            <w:iCs/>
            <w:sz w:val="20"/>
            <w:szCs w:val="20"/>
          </w:rPr>
          <w:t>Home page</w:t>
        </w:r>
      </w:hyperlink>
      <w:r w:rsidR="00877E14" w:rsidRPr="004906C5">
        <w:rPr>
          <w:rFonts w:asciiTheme="minorHAnsi" w:hAnsiTheme="minorHAnsi" w:cstheme="minorHAnsi"/>
          <w:sz w:val="20"/>
          <w:szCs w:val="20"/>
        </w:rPr>
        <w:t>, Iberdrola Australia website, n.d., accessed September 2023</w:t>
      </w:r>
      <w:r w:rsidR="003522B7">
        <w:rPr>
          <w:rFonts w:asciiTheme="minorHAnsi" w:hAnsiTheme="minorHAnsi" w:cstheme="minorHAnsi"/>
          <w:sz w:val="20"/>
          <w:szCs w:val="20"/>
        </w:rPr>
        <w:t xml:space="preserve">; </w:t>
      </w:r>
      <w:r w:rsidR="00877E14" w:rsidRPr="004906C5">
        <w:rPr>
          <w:rFonts w:asciiTheme="minorHAnsi" w:hAnsiTheme="minorHAnsi" w:cstheme="minorHAnsi"/>
          <w:sz w:val="20"/>
          <w:szCs w:val="20"/>
        </w:rPr>
        <w:t xml:space="preserve">Iberdrola Australia, </w:t>
      </w:r>
      <w:hyperlink r:id="rId47" w:history="1">
        <w:r w:rsidR="00877E14" w:rsidRPr="004906C5">
          <w:rPr>
            <w:rStyle w:val="Hyperlink"/>
            <w:rFonts w:asciiTheme="minorHAnsi" w:hAnsiTheme="minorHAnsi" w:cstheme="minorHAnsi"/>
            <w:i/>
            <w:iCs/>
            <w:sz w:val="20"/>
            <w:szCs w:val="20"/>
          </w:rPr>
          <w:t>Interactive Asset Map</w:t>
        </w:r>
      </w:hyperlink>
      <w:r w:rsidR="00877E14" w:rsidRPr="004906C5">
        <w:rPr>
          <w:rFonts w:asciiTheme="minorHAnsi" w:hAnsiTheme="minorHAnsi" w:cstheme="minorHAnsi"/>
          <w:sz w:val="20"/>
          <w:szCs w:val="20"/>
        </w:rPr>
        <w:t>, Iberdrola Australia website, n.d., accessed September 2023</w:t>
      </w:r>
      <w:r w:rsidR="003522B7">
        <w:rPr>
          <w:rFonts w:asciiTheme="minorHAnsi" w:hAnsiTheme="minorHAnsi" w:cstheme="minorHAnsi"/>
          <w:sz w:val="20"/>
          <w:szCs w:val="20"/>
        </w:rPr>
        <w:t xml:space="preserve">; </w:t>
      </w:r>
      <w:r w:rsidR="00877E14" w:rsidRPr="004906C5">
        <w:rPr>
          <w:rFonts w:asciiTheme="minorHAnsi" w:hAnsiTheme="minorHAnsi" w:cstheme="minorHAnsi"/>
          <w:sz w:val="20"/>
          <w:szCs w:val="20"/>
        </w:rPr>
        <w:t xml:space="preserve">Squadron Energy, </w:t>
      </w:r>
      <w:hyperlink r:id="rId48" w:history="1">
        <w:r w:rsidR="00877E14" w:rsidRPr="004906C5">
          <w:rPr>
            <w:rStyle w:val="Hyperlink"/>
            <w:rFonts w:asciiTheme="minorHAnsi" w:hAnsiTheme="minorHAnsi" w:cstheme="minorHAnsi"/>
            <w:i/>
            <w:iCs/>
            <w:sz w:val="20"/>
            <w:szCs w:val="20"/>
          </w:rPr>
          <w:t>Our Wind Products</w:t>
        </w:r>
      </w:hyperlink>
      <w:r w:rsidR="00877E14" w:rsidRPr="004906C5">
        <w:rPr>
          <w:rFonts w:asciiTheme="minorHAnsi" w:hAnsiTheme="minorHAnsi" w:cstheme="minorHAnsi"/>
          <w:sz w:val="20"/>
          <w:szCs w:val="20"/>
        </w:rPr>
        <w:t xml:space="preserve">, Squadron Energy website, n.d., accessed September 2023. </w:t>
      </w:r>
    </w:p>
  </w:endnote>
  <w:endnote w:id="37">
    <w:p w14:paraId="463014F6" w14:textId="492B5671" w:rsidR="005F6D5E" w:rsidRPr="004906C5" w:rsidRDefault="005F6D5E" w:rsidP="004906C5">
      <w:pPr>
        <w:pStyle w:val="EndnoteText"/>
        <w:spacing w:before="120" w:after="1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407A4D" w:rsidRPr="004906C5">
        <w:rPr>
          <w:rFonts w:asciiTheme="minorHAnsi" w:hAnsiTheme="minorHAnsi" w:cstheme="minorHAnsi"/>
        </w:rPr>
        <w:tab/>
      </w:r>
      <w:r w:rsidR="00407A4D" w:rsidRPr="00A47CC1">
        <w:rPr>
          <w:rFonts w:asciiTheme="minorHAnsi" w:hAnsiTheme="minorHAnsi" w:cstheme="minorHAnsi"/>
        </w:rPr>
        <w:t>CSIRO,</w:t>
      </w:r>
      <w:hyperlink r:id="rId49" w:history="1">
        <w:r w:rsidR="00407A4D" w:rsidRPr="00A47CC1">
          <w:rPr>
            <w:rStyle w:val="Hyperlink"/>
            <w:rFonts w:asciiTheme="minorHAnsi" w:hAnsiTheme="minorHAnsi" w:cstheme="minorHAnsi"/>
            <w:i/>
            <w:iCs/>
          </w:rPr>
          <w:t xml:space="preserve"> </w:t>
        </w:r>
        <w:r w:rsidRPr="00A47CC1">
          <w:rPr>
            <w:rStyle w:val="Hyperlink"/>
            <w:rFonts w:asciiTheme="minorHAnsi" w:hAnsiTheme="minorHAnsi" w:cstheme="minorHAnsi"/>
            <w:i/>
          </w:rPr>
          <w:t>Hydrogen storage and distribution</w:t>
        </w:r>
      </w:hyperlink>
      <w:r w:rsidR="00407A4D" w:rsidRPr="00A47CC1">
        <w:rPr>
          <w:rFonts w:asciiTheme="minorHAnsi" w:hAnsiTheme="minorHAnsi" w:cstheme="minorHAnsi"/>
        </w:rPr>
        <w:t>, CSIRO website, n.d., accessed September 2023.</w:t>
      </w:r>
    </w:p>
  </w:endnote>
  <w:endnote w:id="38">
    <w:p w14:paraId="3DA0F0DE" w14:textId="44B01C4C" w:rsidR="005F6D5E" w:rsidRPr="004906C5" w:rsidRDefault="005F6D5E" w:rsidP="004906C5">
      <w:pPr>
        <w:pStyle w:val="EndnoteText"/>
        <w:spacing w:before="120" w:after="1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54CF7" w:rsidRPr="004906C5">
        <w:rPr>
          <w:rFonts w:asciiTheme="minorHAnsi" w:hAnsiTheme="minorHAnsi" w:cstheme="minorHAnsi"/>
        </w:rPr>
        <w:tab/>
        <w:t xml:space="preserve">CSIRO, </w:t>
      </w:r>
      <w:hyperlink r:id="rId50" w:history="1">
        <w:r w:rsidRPr="004906C5">
          <w:rPr>
            <w:rStyle w:val="Hyperlink"/>
            <w:rFonts w:asciiTheme="minorHAnsi" w:hAnsiTheme="minorHAnsi" w:cstheme="minorHAnsi"/>
            <w:i/>
          </w:rPr>
          <w:t>Hunter Hydrogen Hub</w:t>
        </w:r>
      </w:hyperlink>
      <w:r w:rsidR="00054CF7" w:rsidRPr="004906C5">
        <w:rPr>
          <w:rFonts w:asciiTheme="minorHAnsi" w:hAnsiTheme="minorHAnsi" w:cstheme="minorHAnsi"/>
        </w:rPr>
        <w:t>, CSIRO website, 7 August 2023, accessed September 2023.</w:t>
      </w:r>
    </w:p>
  </w:endnote>
  <w:endnote w:id="39">
    <w:p w14:paraId="624543C5" w14:textId="4686BBA5"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3C31B4" w:rsidRPr="004906C5">
        <w:rPr>
          <w:rFonts w:asciiTheme="minorHAnsi" w:hAnsiTheme="minorHAnsi" w:cstheme="minorHAnsi"/>
        </w:rPr>
        <w:tab/>
        <w:t xml:space="preserve">CSIRO, </w:t>
      </w:r>
      <w:hyperlink r:id="rId51" w:history="1">
        <w:r w:rsidRPr="004906C5">
          <w:rPr>
            <w:rStyle w:val="Hyperlink"/>
            <w:rFonts w:asciiTheme="minorHAnsi" w:hAnsiTheme="minorHAnsi" w:cstheme="minorHAnsi"/>
            <w:i/>
          </w:rPr>
          <w:t>Central Queensland Hydrogen Project</w:t>
        </w:r>
      </w:hyperlink>
      <w:r w:rsidR="003C31B4" w:rsidRPr="004906C5">
        <w:rPr>
          <w:rFonts w:asciiTheme="minorHAnsi" w:hAnsiTheme="minorHAnsi" w:cstheme="minorHAnsi"/>
        </w:rPr>
        <w:t>, CSIRO website, 30 July 2023, accessed September 2023.</w:t>
      </w:r>
    </w:p>
  </w:endnote>
  <w:endnote w:id="40">
    <w:p w14:paraId="1645D594" w14:textId="6CEA26BA"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3C31B4" w:rsidRPr="004906C5">
        <w:rPr>
          <w:rFonts w:asciiTheme="minorHAnsi" w:hAnsiTheme="minorHAnsi" w:cstheme="minorHAnsi"/>
        </w:rPr>
        <w:tab/>
        <w:t xml:space="preserve">CSIRO, </w:t>
      </w:r>
      <w:hyperlink r:id="rId52" w:history="1">
        <w:r w:rsidRPr="004906C5">
          <w:rPr>
            <w:rStyle w:val="Hyperlink"/>
            <w:rFonts w:asciiTheme="minorHAnsi" w:hAnsiTheme="minorHAnsi" w:cstheme="minorHAnsi"/>
            <w:i/>
          </w:rPr>
          <w:t>Central Queensland Hydrogen Project</w:t>
        </w:r>
      </w:hyperlink>
      <w:r w:rsidR="003C31B4" w:rsidRPr="004906C5">
        <w:rPr>
          <w:rFonts w:asciiTheme="minorHAnsi" w:hAnsiTheme="minorHAnsi" w:cstheme="minorHAnsi"/>
        </w:rPr>
        <w:t>, CSIRO website, 30 July 2023, accessed September 2023.</w:t>
      </w:r>
    </w:p>
  </w:endnote>
  <w:endnote w:id="41">
    <w:p w14:paraId="101F4FA8" w14:textId="78259B75"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05B36" w:rsidRPr="004906C5">
        <w:rPr>
          <w:rFonts w:asciiTheme="minorHAnsi" w:hAnsiTheme="minorHAnsi" w:cstheme="minorHAnsi"/>
        </w:rPr>
        <w:tab/>
        <w:t xml:space="preserve">Australasian Bus and Coach, </w:t>
      </w:r>
      <w:hyperlink r:id="rId53" w:history="1">
        <w:r w:rsidR="00605B36" w:rsidRPr="004906C5">
          <w:rPr>
            <w:rStyle w:val="Hyperlink"/>
            <w:rFonts w:asciiTheme="minorHAnsi" w:hAnsiTheme="minorHAnsi" w:cstheme="minorHAnsi"/>
            <w:i/>
            <w:iCs/>
          </w:rPr>
          <w:t>Inside the State of the Current Australian Electric Bus Industry</w:t>
        </w:r>
      </w:hyperlink>
      <w:r w:rsidR="00605B36" w:rsidRPr="004906C5">
        <w:rPr>
          <w:rFonts w:asciiTheme="minorHAnsi" w:hAnsiTheme="minorHAnsi" w:cstheme="minorHAnsi"/>
        </w:rPr>
        <w:t>, Australasian Bus and Coach website, 21 March 2023, accessed September 2023.</w:t>
      </w:r>
    </w:p>
  </w:endnote>
  <w:endnote w:id="42">
    <w:p w14:paraId="1C3F9F0C" w14:textId="675EAAC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AF1D8F" w:rsidRPr="004906C5">
        <w:rPr>
          <w:rFonts w:asciiTheme="minorHAnsi" w:hAnsiTheme="minorHAnsi" w:cstheme="minorHAnsi"/>
        </w:rPr>
        <w:tab/>
      </w:r>
      <w:r w:rsidR="00AF1D8F" w:rsidRPr="00A47CC1">
        <w:rPr>
          <w:rFonts w:asciiTheme="minorHAnsi" w:hAnsiTheme="minorHAnsi" w:cstheme="minorHAnsi"/>
        </w:rPr>
        <w:t xml:space="preserve">Government News, </w:t>
      </w:r>
      <w:hyperlink r:id="rId54" w:history="1">
        <w:r w:rsidRPr="00A47CC1">
          <w:rPr>
            <w:rStyle w:val="Hyperlink"/>
            <w:rFonts w:asciiTheme="minorHAnsi" w:hAnsiTheme="minorHAnsi" w:cstheme="minorHAnsi"/>
            <w:i/>
          </w:rPr>
          <w:t>Queensland boosts electric bus fleet</w:t>
        </w:r>
      </w:hyperlink>
      <w:r w:rsidR="00AF1D8F" w:rsidRPr="00A47CC1">
        <w:rPr>
          <w:rFonts w:asciiTheme="minorHAnsi" w:hAnsiTheme="minorHAnsi" w:cstheme="minorHAnsi"/>
        </w:rPr>
        <w:t xml:space="preserve">, </w:t>
      </w:r>
      <w:r w:rsidR="003F6C10">
        <w:rPr>
          <w:rFonts w:asciiTheme="minorHAnsi" w:hAnsiTheme="minorHAnsi" w:cstheme="minorHAnsi"/>
        </w:rPr>
        <w:t>Government</w:t>
      </w:r>
      <w:r w:rsidR="00AF1D8F" w:rsidRPr="00A47CC1">
        <w:rPr>
          <w:rFonts w:asciiTheme="minorHAnsi" w:hAnsiTheme="minorHAnsi" w:cstheme="minorHAnsi"/>
        </w:rPr>
        <w:t xml:space="preserve"> News website, 18 January 2023, accessed September 2023.</w:t>
      </w:r>
    </w:p>
  </w:endnote>
  <w:endnote w:id="43">
    <w:p w14:paraId="4FC55FFB" w14:textId="7D477F27"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B5167A" w:rsidRPr="004906C5">
        <w:rPr>
          <w:rFonts w:asciiTheme="minorHAnsi" w:hAnsiTheme="minorHAnsi" w:cstheme="minorHAnsi"/>
        </w:rPr>
        <w:tab/>
      </w:r>
      <w:r w:rsidR="00B5167A" w:rsidRPr="00A47CC1">
        <w:rPr>
          <w:rFonts w:asciiTheme="minorHAnsi" w:hAnsiTheme="minorHAnsi" w:cstheme="minorHAnsi"/>
        </w:rPr>
        <w:t xml:space="preserve">Australasian Fleet Management Association (AfMA), </w:t>
      </w:r>
      <w:hyperlink r:id="rId55" w:history="1">
        <w:r w:rsidRPr="00A47CC1">
          <w:rPr>
            <w:rStyle w:val="Hyperlink"/>
            <w:rFonts w:asciiTheme="minorHAnsi" w:hAnsiTheme="minorHAnsi" w:cstheme="minorHAnsi"/>
            <w:i/>
          </w:rPr>
          <w:t>Australian New Car Sales Surge in June 2023</w:t>
        </w:r>
      </w:hyperlink>
      <w:r w:rsidR="00B5167A" w:rsidRPr="00A47CC1">
        <w:rPr>
          <w:rFonts w:asciiTheme="minorHAnsi" w:hAnsiTheme="minorHAnsi" w:cstheme="minorHAnsi"/>
        </w:rPr>
        <w:t>, AfMA website, 7 July 2023, accessed September 2023.</w:t>
      </w:r>
    </w:p>
  </w:endnote>
  <w:endnote w:id="44">
    <w:p w14:paraId="62000B1B" w14:textId="6072CEF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380714" w:rsidRPr="004906C5">
        <w:rPr>
          <w:rFonts w:asciiTheme="minorHAnsi" w:hAnsiTheme="minorHAnsi" w:cstheme="minorHAnsi"/>
        </w:rPr>
        <w:tab/>
      </w:r>
      <w:r w:rsidR="00380714" w:rsidRPr="00A47CC1">
        <w:rPr>
          <w:rFonts w:asciiTheme="minorHAnsi" w:hAnsiTheme="minorHAnsi" w:cstheme="minorHAnsi"/>
        </w:rPr>
        <w:t xml:space="preserve">H Man, </w:t>
      </w:r>
      <w:hyperlink r:id="rId56" w:history="1">
        <w:r w:rsidRPr="00A47CC1">
          <w:rPr>
            <w:rStyle w:val="Hyperlink"/>
            <w:rFonts w:asciiTheme="minorHAnsi" w:hAnsiTheme="minorHAnsi" w:cstheme="minorHAnsi"/>
            <w:i/>
          </w:rPr>
          <w:t>Electric car servicing explained: What do EVs cost to maintain</w:t>
        </w:r>
        <w:r w:rsidR="00380714" w:rsidRPr="00A47CC1">
          <w:rPr>
            <w:rStyle w:val="Hyperlink"/>
            <w:rFonts w:asciiTheme="minorHAnsi" w:hAnsiTheme="minorHAnsi" w:cstheme="minorHAnsi"/>
            <w:i/>
            <w:iCs/>
          </w:rPr>
          <w:t>?</w:t>
        </w:r>
      </w:hyperlink>
      <w:r w:rsidR="00380714" w:rsidRPr="00A47CC1">
        <w:rPr>
          <w:rFonts w:asciiTheme="minorHAnsi" w:hAnsiTheme="minorHAnsi" w:cstheme="minorHAnsi"/>
        </w:rPr>
        <w:t>, Which Car? website, 25 June 2023, accessed September 2023.</w:t>
      </w:r>
    </w:p>
  </w:endnote>
  <w:endnote w:id="45">
    <w:p w14:paraId="63CEBC1A" w14:textId="1751431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9E152A" w:rsidRPr="004906C5">
        <w:rPr>
          <w:rFonts w:asciiTheme="minorHAnsi" w:hAnsiTheme="minorHAnsi" w:cstheme="minorHAnsi"/>
        </w:rPr>
        <w:tab/>
        <w:t xml:space="preserve">R Proudlove, C Bravo, A Denis-Ryan, </w:t>
      </w:r>
      <w:hyperlink r:id="rId57" w:history="1">
        <w:r w:rsidR="009E152A" w:rsidRPr="004906C5">
          <w:rPr>
            <w:rStyle w:val="Hyperlink"/>
            <w:rFonts w:asciiTheme="minorHAnsi" w:hAnsiTheme="minorHAnsi" w:cstheme="minorHAnsi"/>
            <w:i/>
            <w:iCs/>
          </w:rPr>
          <w:t>Net Zero Momentum Tracker – Banking Report</w:t>
        </w:r>
      </w:hyperlink>
      <w:r w:rsidR="009E152A" w:rsidRPr="004906C5">
        <w:rPr>
          <w:rFonts w:asciiTheme="minorHAnsi" w:hAnsiTheme="minorHAnsi" w:cstheme="minorHAnsi"/>
        </w:rPr>
        <w:t>, Climateworks Centre website, October 2019, accessed September 2023.</w:t>
      </w:r>
    </w:p>
  </w:endnote>
  <w:endnote w:id="46">
    <w:p w14:paraId="0D131601" w14:textId="3F94D31B"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A064EE" w:rsidRPr="004906C5">
        <w:rPr>
          <w:rFonts w:asciiTheme="minorHAnsi" w:hAnsiTheme="minorHAnsi" w:cstheme="minorHAnsi"/>
        </w:rPr>
        <w:tab/>
        <w:t xml:space="preserve">R Proudlove, C Bravo, A Denis-Ryan, </w:t>
      </w:r>
      <w:hyperlink r:id="rId58" w:history="1">
        <w:r w:rsidR="00A064EE" w:rsidRPr="004906C5">
          <w:rPr>
            <w:rStyle w:val="Hyperlink"/>
            <w:rFonts w:asciiTheme="minorHAnsi" w:hAnsiTheme="minorHAnsi" w:cstheme="minorHAnsi"/>
            <w:i/>
            <w:iCs/>
          </w:rPr>
          <w:t>Net Zero Momentum Tracker – Superannuation Sector</w:t>
        </w:r>
      </w:hyperlink>
      <w:r w:rsidR="00A064EE" w:rsidRPr="004906C5">
        <w:rPr>
          <w:rFonts w:asciiTheme="minorHAnsi" w:hAnsiTheme="minorHAnsi" w:cstheme="minorHAnsi"/>
        </w:rPr>
        <w:t>, Climateworks Centre website, September 2020, accessed September 2023.</w:t>
      </w:r>
    </w:p>
  </w:endnote>
  <w:endnote w:id="47">
    <w:p w14:paraId="65E3A7DC" w14:textId="7D046395" w:rsidR="00CE445E" w:rsidRPr="004906C5" w:rsidRDefault="00CE445E" w:rsidP="00CE445E">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25B18" w:rsidRPr="00682F5D">
        <w:rPr>
          <w:rFonts w:asciiTheme="minorHAnsi" w:hAnsiTheme="minorHAnsi" w:cstheme="minorHAnsi"/>
        </w:rPr>
        <w:t xml:space="preserve">DISR </w:t>
      </w:r>
      <w:r w:rsidR="00625B18">
        <w:rPr>
          <w:rFonts w:asciiTheme="minorHAnsi" w:hAnsiTheme="minorHAnsi" w:cstheme="minorHAnsi"/>
        </w:rPr>
        <w:t>(</w:t>
      </w:r>
      <w:r w:rsidRPr="00682F5D">
        <w:rPr>
          <w:rFonts w:asciiTheme="minorHAnsi" w:hAnsiTheme="minorHAnsi" w:cstheme="minorHAnsi"/>
        </w:rPr>
        <w:t xml:space="preserve">Department of Industry, Science and Resources), </w:t>
      </w:r>
      <w:hyperlink r:id="rId59" w:history="1">
        <w:r w:rsidRPr="00682F5D">
          <w:rPr>
            <w:rStyle w:val="Hyperlink"/>
            <w:rFonts w:asciiTheme="minorHAnsi" w:hAnsiTheme="minorHAnsi" w:cstheme="minorHAnsi"/>
            <w:i/>
          </w:rPr>
          <w:t>Critical Minerals Strategy 2023–2030</w:t>
        </w:r>
      </w:hyperlink>
      <w:r w:rsidRPr="00682F5D">
        <w:rPr>
          <w:rFonts w:asciiTheme="minorHAnsi" w:hAnsiTheme="minorHAnsi" w:cstheme="minorHAnsi"/>
        </w:rPr>
        <w:t>, DISR website,</w:t>
      </w:r>
      <w:r w:rsidRPr="00A31B08">
        <w:rPr>
          <w:rFonts w:asciiTheme="minorHAnsi" w:hAnsiTheme="minorHAnsi" w:cstheme="minorHAnsi"/>
        </w:rPr>
        <w:t xml:space="preserve"> </w:t>
      </w:r>
      <w:r w:rsidRPr="004906C5">
        <w:rPr>
          <w:rFonts w:asciiTheme="minorHAnsi" w:hAnsiTheme="minorHAnsi" w:cstheme="minorHAnsi"/>
        </w:rPr>
        <w:t>Australian Government</w:t>
      </w:r>
      <w:r>
        <w:rPr>
          <w:rFonts w:asciiTheme="minorHAnsi" w:hAnsiTheme="minorHAnsi" w:cstheme="minorHAnsi"/>
        </w:rPr>
        <w:t>,</w:t>
      </w:r>
      <w:r w:rsidRPr="004906C5">
        <w:rPr>
          <w:rFonts w:asciiTheme="minorHAnsi" w:hAnsiTheme="minorHAnsi" w:cstheme="minorHAnsi"/>
        </w:rPr>
        <w:t xml:space="preserve"> </w:t>
      </w:r>
      <w:r w:rsidRPr="00682F5D">
        <w:rPr>
          <w:rFonts w:asciiTheme="minorHAnsi" w:hAnsiTheme="minorHAnsi" w:cstheme="minorHAnsi"/>
        </w:rPr>
        <w:t>June 2023, accessed September 2023.</w:t>
      </w:r>
    </w:p>
  </w:endnote>
  <w:endnote w:id="48">
    <w:p w14:paraId="69AB9E54" w14:textId="77777777" w:rsidR="00CE445E" w:rsidRPr="004906C5" w:rsidRDefault="00CE445E" w:rsidP="00CE445E">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t xml:space="preserve">Australian Trade and Investment Commission (Austrade), </w:t>
      </w:r>
      <w:hyperlink r:id="rId60" w:history="1">
        <w:r w:rsidRPr="004906C5">
          <w:rPr>
            <w:rStyle w:val="Hyperlink"/>
            <w:rFonts w:asciiTheme="minorHAnsi" w:hAnsiTheme="minorHAnsi" w:cstheme="minorHAnsi"/>
            <w:i/>
            <w:iCs/>
          </w:rPr>
          <w:t>Australian Critical Minerals Prospectus 2022</w:t>
        </w:r>
      </w:hyperlink>
      <w:r w:rsidRPr="004906C5">
        <w:rPr>
          <w:rFonts w:asciiTheme="minorHAnsi" w:hAnsiTheme="minorHAnsi" w:cstheme="minorHAnsi"/>
        </w:rPr>
        <w:t>, Austrade website, Australian Government</w:t>
      </w:r>
      <w:r>
        <w:rPr>
          <w:rFonts w:asciiTheme="minorHAnsi" w:hAnsiTheme="minorHAnsi" w:cstheme="minorHAnsi"/>
        </w:rPr>
        <w:t>,</w:t>
      </w:r>
      <w:r w:rsidRPr="004906C5">
        <w:rPr>
          <w:rFonts w:asciiTheme="minorHAnsi" w:hAnsiTheme="minorHAnsi" w:cstheme="minorHAnsi"/>
        </w:rPr>
        <w:t xml:space="preserve"> December 2022, pp 21-22, accessed September 2023.</w:t>
      </w:r>
    </w:p>
  </w:endnote>
  <w:endnote w:id="49">
    <w:p w14:paraId="303FCEB3" w14:textId="7512CE87"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FA3625" w:rsidRPr="004906C5">
        <w:rPr>
          <w:rFonts w:asciiTheme="minorHAnsi" w:hAnsiTheme="minorHAnsi" w:cstheme="minorHAnsi"/>
        </w:rPr>
        <w:tab/>
        <w:t xml:space="preserve">DISR, </w:t>
      </w:r>
      <w:hyperlink r:id="rId61" w:history="1">
        <w:r w:rsidR="00FA3625" w:rsidRPr="004906C5">
          <w:rPr>
            <w:rStyle w:val="Hyperlink"/>
            <w:rFonts w:asciiTheme="minorHAnsi" w:hAnsiTheme="minorHAnsi" w:cstheme="minorHAnsi"/>
            <w:i/>
            <w:iCs/>
          </w:rPr>
          <w:t>Resources and Energy Quarterly June 2023</w:t>
        </w:r>
      </w:hyperlink>
      <w:r w:rsidR="00FA3625" w:rsidRPr="004906C5">
        <w:rPr>
          <w:rFonts w:asciiTheme="minorHAnsi" w:hAnsiTheme="minorHAnsi" w:cstheme="minorHAnsi"/>
        </w:rPr>
        <w:t xml:space="preserve">, DISR website, </w:t>
      </w:r>
      <w:r w:rsidR="00A31B08" w:rsidRPr="004906C5">
        <w:rPr>
          <w:rFonts w:asciiTheme="minorHAnsi" w:hAnsiTheme="minorHAnsi" w:cstheme="minorHAnsi"/>
        </w:rPr>
        <w:t>Australian Government</w:t>
      </w:r>
      <w:r w:rsidR="00A31B08">
        <w:rPr>
          <w:rFonts w:asciiTheme="minorHAnsi" w:hAnsiTheme="minorHAnsi" w:cstheme="minorHAnsi"/>
        </w:rPr>
        <w:t>,</w:t>
      </w:r>
      <w:r w:rsidR="00A31B08" w:rsidRPr="004906C5">
        <w:rPr>
          <w:rFonts w:asciiTheme="minorHAnsi" w:hAnsiTheme="minorHAnsi" w:cstheme="minorHAnsi"/>
        </w:rPr>
        <w:t xml:space="preserve"> </w:t>
      </w:r>
      <w:r w:rsidR="00FA3625" w:rsidRPr="004906C5">
        <w:rPr>
          <w:rFonts w:asciiTheme="minorHAnsi" w:hAnsiTheme="minorHAnsi" w:cstheme="minorHAnsi"/>
        </w:rPr>
        <w:t xml:space="preserve">June 2023, p 149, accessed September 2023. </w:t>
      </w:r>
    </w:p>
  </w:endnote>
  <w:endnote w:id="50">
    <w:p w14:paraId="1AE9748F" w14:textId="613538B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7B492D" w:rsidRPr="004906C5">
        <w:rPr>
          <w:rFonts w:asciiTheme="minorHAnsi" w:hAnsiTheme="minorHAnsi" w:cstheme="minorHAnsi"/>
        </w:rPr>
        <w:tab/>
        <w:t xml:space="preserve">DISR, </w:t>
      </w:r>
      <w:hyperlink r:id="rId62" w:history="1">
        <w:r w:rsidR="007B492D" w:rsidRPr="004906C5">
          <w:rPr>
            <w:rStyle w:val="Hyperlink"/>
            <w:rFonts w:asciiTheme="minorHAnsi" w:hAnsiTheme="minorHAnsi" w:cstheme="minorHAnsi"/>
            <w:i/>
            <w:iCs/>
          </w:rPr>
          <w:t>Resources and Energy Quarterly June 2023</w:t>
        </w:r>
      </w:hyperlink>
      <w:r w:rsidR="007B492D" w:rsidRPr="004906C5">
        <w:rPr>
          <w:rFonts w:asciiTheme="minorHAnsi" w:hAnsiTheme="minorHAnsi" w:cstheme="minorHAnsi"/>
        </w:rPr>
        <w:t>, DISR website,</w:t>
      </w:r>
      <w:r w:rsidR="00A31B08" w:rsidRPr="00A31B08">
        <w:rPr>
          <w:rFonts w:asciiTheme="minorHAnsi" w:hAnsiTheme="minorHAnsi" w:cstheme="minorHAnsi"/>
        </w:rPr>
        <w:t xml:space="preserve"> </w:t>
      </w:r>
      <w:r w:rsidR="00A31B08" w:rsidRPr="004906C5">
        <w:rPr>
          <w:rFonts w:asciiTheme="minorHAnsi" w:hAnsiTheme="minorHAnsi" w:cstheme="minorHAnsi"/>
        </w:rPr>
        <w:t>Australian Government</w:t>
      </w:r>
      <w:r w:rsidR="00A31B08">
        <w:rPr>
          <w:rFonts w:asciiTheme="minorHAnsi" w:hAnsiTheme="minorHAnsi" w:cstheme="minorHAnsi"/>
        </w:rPr>
        <w:t>,</w:t>
      </w:r>
      <w:r w:rsidR="007B492D" w:rsidRPr="004906C5">
        <w:rPr>
          <w:rFonts w:asciiTheme="minorHAnsi" w:hAnsiTheme="minorHAnsi" w:cstheme="minorHAnsi"/>
        </w:rPr>
        <w:t xml:space="preserve"> June 2023, p 150, accessed September 2023.</w:t>
      </w:r>
    </w:p>
  </w:endnote>
  <w:endnote w:id="51">
    <w:p w14:paraId="1A046336" w14:textId="5A879DDC"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B30EA9" w:rsidRPr="004906C5">
        <w:rPr>
          <w:rFonts w:asciiTheme="minorHAnsi" w:hAnsiTheme="minorHAnsi" w:cstheme="minorHAnsi"/>
        </w:rPr>
        <w:tab/>
        <w:t>Victoria</w:t>
      </w:r>
      <w:r w:rsidR="005D6294">
        <w:rPr>
          <w:rFonts w:asciiTheme="minorHAnsi" w:hAnsiTheme="minorHAnsi" w:cstheme="minorHAnsi"/>
        </w:rPr>
        <w:t>n</w:t>
      </w:r>
      <w:r w:rsidR="00B30EA9" w:rsidRPr="004906C5">
        <w:rPr>
          <w:rFonts w:asciiTheme="minorHAnsi" w:hAnsiTheme="minorHAnsi" w:cstheme="minorHAnsi"/>
        </w:rPr>
        <w:t xml:space="preserve"> Government, </w:t>
      </w:r>
      <w:hyperlink r:id="rId63" w:history="1">
        <w:r w:rsidRPr="004906C5">
          <w:rPr>
            <w:rStyle w:val="Hyperlink"/>
            <w:rFonts w:asciiTheme="minorHAnsi" w:hAnsiTheme="minorHAnsi" w:cstheme="minorHAnsi"/>
            <w:i/>
          </w:rPr>
          <w:t>Wind Turbines Bring Manufacturing Jobs To Geelong</w:t>
        </w:r>
      </w:hyperlink>
      <w:r w:rsidR="00B30EA9" w:rsidRPr="004906C5">
        <w:rPr>
          <w:rFonts w:asciiTheme="minorHAnsi" w:hAnsiTheme="minorHAnsi" w:cstheme="minorHAnsi"/>
        </w:rPr>
        <w:t xml:space="preserve"> [media release], Victoria</w:t>
      </w:r>
      <w:r w:rsidR="005D6294">
        <w:rPr>
          <w:rFonts w:asciiTheme="minorHAnsi" w:hAnsiTheme="minorHAnsi" w:cstheme="minorHAnsi"/>
        </w:rPr>
        <w:t>n</w:t>
      </w:r>
      <w:r w:rsidR="00B30EA9" w:rsidRPr="004906C5">
        <w:rPr>
          <w:rFonts w:asciiTheme="minorHAnsi" w:hAnsiTheme="minorHAnsi" w:cstheme="minorHAnsi"/>
        </w:rPr>
        <w:t xml:space="preserve"> Government, 14 February 2019, accessed September 2023.</w:t>
      </w:r>
    </w:p>
  </w:endnote>
  <w:endnote w:id="52">
    <w:p w14:paraId="355EC876" w14:textId="4BFC4C34"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7F1F14" w:rsidRPr="004906C5">
        <w:rPr>
          <w:rFonts w:asciiTheme="minorHAnsi" w:hAnsiTheme="minorHAnsi" w:cstheme="minorHAnsi"/>
        </w:rPr>
        <w:tab/>
      </w:r>
      <w:r w:rsidR="007F1F14" w:rsidRPr="00682F5D">
        <w:rPr>
          <w:rFonts w:asciiTheme="minorHAnsi" w:hAnsiTheme="minorHAnsi" w:cstheme="minorHAnsi"/>
        </w:rPr>
        <w:t xml:space="preserve">Government News, </w:t>
      </w:r>
      <w:hyperlink r:id="rId64" w:history="1">
        <w:r w:rsidRPr="00682F5D">
          <w:rPr>
            <w:rStyle w:val="Hyperlink"/>
            <w:rFonts w:asciiTheme="minorHAnsi" w:hAnsiTheme="minorHAnsi" w:cstheme="minorHAnsi"/>
            <w:i/>
          </w:rPr>
          <w:t>Queensland boosts electric bus fleet</w:t>
        </w:r>
      </w:hyperlink>
      <w:r w:rsidR="007F1F14" w:rsidRPr="00682F5D">
        <w:rPr>
          <w:rFonts w:asciiTheme="minorHAnsi" w:hAnsiTheme="minorHAnsi" w:cstheme="minorHAnsi"/>
        </w:rPr>
        <w:t xml:space="preserve">, </w:t>
      </w:r>
      <w:r w:rsidR="00A31B08">
        <w:rPr>
          <w:rFonts w:asciiTheme="minorHAnsi" w:hAnsiTheme="minorHAnsi" w:cstheme="minorHAnsi"/>
        </w:rPr>
        <w:t>Government</w:t>
      </w:r>
      <w:r w:rsidR="007F1F14" w:rsidRPr="00682F5D">
        <w:rPr>
          <w:rFonts w:asciiTheme="minorHAnsi" w:hAnsiTheme="minorHAnsi" w:cstheme="minorHAnsi"/>
        </w:rPr>
        <w:t xml:space="preserve"> News website, 18 January 2023, accessed September 2023</w:t>
      </w:r>
      <w:r w:rsidR="003F4731">
        <w:rPr>
          <w:rFonts w:asciiTheme="minorHAnsi" w:hAnsiTheme="minorHAnsi" w:cstheme="minorHAnsi"/>
        </w:rPr>
        <w:t xml:space="preserve">; </w:t>
      </w:r>
      <w:r w:rsidR="003F4731" w:rsidRPr="004906C5">
        <w:rPr>
          <w:rFonts w:asciiTheme="minorHAnsi" w:hAnsiTheme="minorHAnsi" w:cstheme="minorHAnsi"/>
        </w:rPr>
        <w:t xml:space="preserve">J Dudley-Nicholson, </w:t>
      </w:r>
      <w:hyperlink r:id="rId65" w:history="1">
        <w:r w:rsidR="003F4731" w:rsidRPr="005D6294">
          <w:rPr>
            <w:rStyle w:val="Hyperlink"/>
            <w:rFonts w:asciiTheme="minorHAnsi" w:hAnsiTheme="minorHAnsi" w:cstheme="minorHAnsi"/>
            <w:i/>
          </w:rPr>
          <w:t>Australia to make electric buses go round</w:t>
        </w:r>
      </w:hyperlink>
      <w:r w:rsidR="003F4731" w:rsidRPr="005D6294">
        <w:rPr>
          <w:rStyle w:val="Hyperlink"/>
          <w:rFonts w:asciiTheme="minorHAnsi" w:hAnsiTheme="minorHAnsi" w:cstheme="minorHAnsi"/>
          <w:iCs/>
          <w:color w:val="auto"/>
          <w:u w:val="none"/>
        </w:rPr>
        <w:t>, The Canberra Times website, 18 January 2023, accessed September 2023.</w:t>
      </w:r>
    </w:p>
  </w:endnote>
  <w:endnote w:id="53">
    <w:p w14:paraId="17CFD26D" w14:textId="4C9755ED"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5771BA" w:rsidRPr="004906C5">
        <w:rPr>
          <w:rFonts w:asciiTheme="minorHAnsi" w:hAnsiTheme="minorHAnsi" w:cstheme="minorHAnsi"/>
        </w:rPr>
        <w:tab/>
        <w:t xml:space="preserve">DCCEEW, </w:t>
      </w:r>
      <w:hyperlink r:id="rId66" w:history="1">
        <w:r w:rsidR="005771BA" w:rsidRPr="004906C5">
          <w:rPr>
            <w:rStyle w:val="Hyperlink"/>
            <w:rFonts w:asciiTheme="minorHAnsi" w:hAnsiTheme="minorHAnsi" w:cstheme="minorHAnsi"/>
            <w:i/>
            <w:iCs/>
          </w:rPr>
          <w:t>National Waste Report 2022</w:t>
        </w:r>
      </w:hyperlink>
      <w:r w:rsidR="005771BA" w:rsidRPr="004906C5">
        <w:rPr>
          <w:rFonts w:asciiTheme="minorHAnsi" w:hAnsiTheme="minorHAnsi" w:cstheme="minorHAnsi"/>
        </w:rPr>
        <w:t xml:space="preserve">, report prepared by Blue Environment Pty Ltd, DCCEEW website, </w:t>
      </w:r>
      <w:r w:rsidR="00027CAF" w:rsidRPr="004906C5">
        <w:rPr>
          <w:rFonts w:asciiTheme="minorHAnsi" w:hAnsiTheme="minorHAnsi" w:cstheme="minorHAnsi"/>
        </w:rPr>
        <w:t>Australian Government</w:t>
      </w:r>
      <w:r w:rsidR="00027CAF">
        <w:rPr>
          <w:rFonts w:asciiTheme="minorHAnsi" w:hAnsiTheme="minorHAnsi" w:cstheme="minorHAnsi"/>
        </w:rPr>
        <w:t>,</w:t>
      </w:r>
      <w:r w:rsidR="00027CAF" w:rsidRPr="004906C5">
        <w:rPr>
          <w:rFonts w:asciiTheme="minorHAnsi" w:hAnsiTheme="minorHAnsi" w:cstheme="minorHAnsi"/>
        </w:rPr>
        <w:t xml:space="preserve"> </w:t>
      </w:r>
      <w:r w:rsidR="005771BA" w:rsidRPr="004906C5">
        <w:rPr>
          <w:rFonts w:asciiTheme="minorHAnsi" w:hAnsiTheme="minorHAnsi" w:cstheme="minorHAnsi"/>
        </w:rPr>
        <w:t>16 December 2022, accessed September 2023.</w:t>
      </w:r>
    </w:p>
  </w:endnote>
  <w:endnote w:id="54">
    <w:p w14:paraId="1AC8674E" w14:textId="45538D2F"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965EA" w:rsidRPr="004906C5">
        <w:rPr>
          <w:rFonts w:asciiTheme="minorHAnsi" w:hAnsiTheme="minorHAnsi" w:cstheme="minorHAnsi"/>
        </w:rPr>
        <w:tab/>
      </w:r>
      <w:r w:rsidR="00625B18" w:rsidRPr="00682F5D">
        <w:rPr>
          <w:rFonts w:asciiTheme="minorHAnsi" w:hAnsiTheme="minorHAnsi" w:cstheme="minorHAnsi"/>
        </w:rPr>
        <w:t xml:space="preserve">ARENA </w:t>
      </w:r>
      <w:r w:rsidR="00625B18">
        <w:rPr>
          <w:rFonts w:asciiTheme="minorHAnsi" w:hAnsiTheme="minorHAnsi" w:cstheme="minorHAnsi"/>
        </w:rPr>
        <w:t>(</w:t>
      </w:r>
      <w:r w:rsidR="000965EA" w:rsidRPr="00682F5D">
        <w:rPr>
          <w:rFonts w:asciiTheme="minorHAnsi" w:hAnsiTheme="minorHAnsi" w:cstheme="minorHAnsi"/>
        </w:rPr>
        <w:t xml:space="preserve">Australian Renewable Energy Agency), </w:t>
      </w:r>
      <w:hyperlink r:id="rId67" w:history="1">
        <w:r w:rsidRPr="00682F5D">
          <w:rPr>
            <w:rStyle w:val="Hyperlink"/>
            <w:rFonts w:asciiTheme="minorHAnsi" w:hAnsiTheme="minorHAnsi" w:cstheme="minorHAnsi"/>
            <w:i/>
          </w:rPr>
          <w:t>Kwinana Waste to Energy Project</w:t>
        </w:r>
      </w:hyperlink>
      <w:r w:rsidR="000965EA" w:rsidRPr="00682F5D">
        <w:rPr>
          <w:rFonts w:asciiTheme="minorHAnsi" w:hAnsiTheme="minorHAnsi" w:cstheme="minorHAnsi"/>
        </w:rPr>
        <w:t xml:space="preserve">, ARENA website, </w:t>
      </w:r>
      <w:r w:rsidR="004263FF">
        <w:rPr>
          <w:rFonts w:asciiTheme="minorHAnsi" w:hAnsiTheme="minorHAnsi" w:cstheme="minorHAnsi"/>
        </w:rPr>
        <w:t xml:space="preserve">Australian Government, </w:t>
      </w:r>
      <w:r w:rsidR="000965EA" w:rsidRPr="00682F5D">
        <w:rPr>
          <w:rFonts w:asciiTheme="minorHAnsi" w:hAnsiTheme="minorHAnsi" w:cstheme="minorHAnsi"/>
        </w:rPr>
        <w:t>n.d., accessed September 2023.</w:t>
      </w:r>
    </w:p>
  </w:endnote>
  <w:endnote w:id="55">
    <w:p w14:paraId="152FEEA9" w14:textId="338A5F4C" w:rsidR="005F6D5E" w:rsidRPr="004906C5" w:rsidRDefault="005F6D5E"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C1F34" w:rsidRPr="004906C5">
        <w:rPr>
          <w:rFonts w:asciiTheme="minorHAnsi" w:hAnsiTheme="minorHAnsi" w:cstheme="minorHAnsi"/>
        </w:rPr>
        <w:tab/>
      </w:r>
      <w:r w:rsidR="000C1F34" w:rsidRPr="00682F5D">
        <w:rPr>
          <w:rFonts w:asciiTheme="minorHAnsi" w:hAnsiTheme="minorHAnsi" w:cstheme="minorHAnsi"/>
        </w:rPr>
        <w:t xml:space="preserve">bp Australia, </w:t>
      </w:r>
      <w:hyperlink r:id="rId68" w:history="1">
        <w:r w:rsidRPr="00682F5D">
          <w:rPr>
            <w:rStyle w:val="Hyperlink"/>
            <w:rFonts w:asciiTheme="minorHAnsi" w:hAnsiTheme="minorHAnsi" w:cstheme="minorHAnsi"/>
            <w:i/>
          </w:rPr>
          <w:t>bp plans for biorefinery at Kwinana energy hub reach new milestone</w:t>
        </w:r>
      </w:hyperlink>
      <w:r w:rsidR="000C1F34" w:rsidRPr="00682F5D">
        <w:rPr>
          <w:rFonts w:asciiTheme="minorHAnsi" w:hAnsiTheme="minorHAnsi" w:cstheme="minorHAnsi"/>
        </w:rPr>
        <w:t xml:space="preserve"> [media release], bp Australia, 17 February 2023, accessed September 2023.</w:t>
      </w:r>
    </w:p>
  </w:endnote>
  <w:endnote w:id="56">
    <w:p w14:paraId="39F8F766" w14:textId="76487EE7" w:rsidR="005F6D5E" w:rsidRPr="004E0016" w:rsidRDefault="005F6D5E" w:rsidP="004E0016">
      <w:pPr>
        <w:pStyle w:val="EndnoteText"/>
        <w:spacing w:before="120" w:after="120"/>
        <w:ind w:left="709" w:hanging="709"/>
        <w:rPr>
          <w:rFonts w:asciiTheme="minorHAnsi" w:hAnsiTheme="minorHAnsi" w:cstheme="minorHAnsi"/>
          <w:lang w:val="en-US"/>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0C1F34" w:rsidRPr="004906C5">
        <w:rPr>
          <w:rFonts w:asciiTheme="minorHAnsi" w:hAnsiTheme="minorHAnsi" w:cstheme="minorHAnsi"/>
        </w:rPr>
        <w:tab/>
      </w:r>
      <w:r w:rsidRPr="004906C5">
        <w:rPr>
          <w:rFonts w:asciiTheme="minorHAnsi" w:hAnsiTheme="minorHAnsi" w:cstheme="minorHAnsi"/>
        </w:rPr>
        <w:t>Source notes for coal and gas-fired power stations</w:t>
      </w:r>
      <w:r w:rsidR="004E0016">
        <w:rPr>
          <w:rFonts w:asciiTheme="minorHAnsi" w:hAnsiTheme="minorHAnsi" w:cstheme="minorHAnsi"/>
        </w:rPr>
        <w:t xml:space="preserve">: </w:t>
      </w:r>
      <w:r w:rsidR="00E21DFC" w:rsidRPr="004906C5">
        <w:rPr>
          <w:rFonts w:asciiTheme="minorHAnsi" w:hAnsiTheme="minorHAnsi" w:cstheme="minorHAnsi"/>
        </w:rPr>
        <w:t xml:space="preserve">AGL, </w:t>
      </w:r>
      <w:hyperlink r:id="rId69" w:history="1">
        <w:r w:rsidR="00E21DFC" w:rsidRPr="004906C5">
          <w:rPr>
            <w:rStyle w:val="Hyperlink"/>
            <w:rFonts w:asciiTheme="minorHAnsi" w:hAnsiTheme="minorHAnsi" w:cstheme="minorHAnsi"/>
            <w:i/>
            <w:iCs/>
          </w:rPr>
          <w:t>How we source Energy</w:t>
        </w:r>
      </w:hyperlink>
      <w:r w:rsidR="00E21DFC" w:rsidRPr="004906C5">
        <w:rPr>
          <w:rFonts w:asciiTheme="minorHAnsi" w:hAnsiTheme="minorHAnsi" w:cstheme="minorHAnsi"/>
        </w:rPr>
        <w:t>, AGL website, n.d., accessed September 2023</w:t>
      </w:r>
      <w:r w:rsidR="004E0016">
        <w:rPr>
          <w:rFonts w:asciiTheme="minorHAnsi" w:hAnsiTheme="minorHAnsi" w:cstheme="minorHAnsi"/>
        </w:rPr>
        <w:t xml:space="preserve">; </w:t>
      </w:r>
      <w:r w:rsidR="00E21DFC" w:rsidRPr="004906C5">
        <w:rPr>
          <w:rFonts w:asciiTheme="minorHAnsi" w:hAnsiTheme="minorHAnsi" w:cstheme="minorHAnsi"/>
        </w:rPr>
        <w:t xml:space="preserve">EnergyAustralia, </w:t>
      </w:r>
      <w:hyperlink r:id="rId70" w:history="1">
        <w:r w:rsidR="00E21DFC" w:rsidRPr="004906C5">
          <w:rPr>
            <w:rStyle w:val="Hyperlink"/>
            <w:rFonts w:asciiTheme="minorHAnsi" w:hAnsiTheme="minorHAnsi" w:cstheme="minorHAnsi"/>
            <w:i/>
            <w:iCs/>
          </w:rPr>
          <w:t>Generating energy</w:t>
        </w:r>
      </w:hyperlink>
      <w:r w:rsidR="00E21DFC" w:rsidRPr="004906C5">
        <w:rPr>
          <w:rFonts w:asciiTheme="minorHAnsi" w:hAnsiTheme="minorHAnsi" w:cstheme="minorHAnsi"/>
        </w:rPr>
        <w:t>, EnergyAustralia website, n.d. accessed September 2023</w:t>
      </w:r>
      <w:r w:rsidR="004E0016">
        <w:rPr>
          <w:rFonts w:asciiTheme="minorHAnsi" w:hAnsiTheme="minorHAnsi" w:cstheme="minorHAnsi"/>
        </w:rPr>
        <w:t xml:space="preserve">; </w:t>
      </w:r>
      <w:r w:rsidR="00E21DFC" w:rsidRPr="004906C5">
        <w:rPr>
          <w:rFonts w:asciiTheme="minorHAnsi" w:hAnsiTheme="minorHAnsi" w:cstheme="minorHAnsi"/>
        </w:rPr>
        <w:t xml:space="preserve">M Carabott, </w:t>
      </w:r>
      <w:hyperlink r:id="rId71" w:anchor=":~:text=The%20AEMO%20report%20quotes%20various,two%20years%2C%20to%202040)." w:history="1">
        <w:r w:rsidR="00E21DFC" w:rsidRPr="004906C5">
          <w:rPr>
            <w:rStyle w:val="Hyperlink"/>
            <w:rFonts w:asciiTheme="minorHAnsi" w:hAnsiTheme="minorHAnsi" w:cstheme="minorHAnsi"/>
            <w:i/>
            <w:iCs/>
          </w:rPr>
          <w:t>The timeline for coal exit in Australia’s power generation fleet</w:t>
        </w:r>
      </w:hyperlink>
      <w:r w:rsidR="00E21DFC" w:rsidRPr="004906C5">
        <w:rPr>
          <w:rFonts w:asciiTheme="minorHAnsi" w:hAnsiTheme="minorHAnsi" w:cstheme="minorHAnsi"/>
        </w:rPr>
        <w:t>, Leading Edge Energy website, March 28 2022, accessed September 2023.</w:t>
      </w:r>
      <w:r w:rsidR="00E21DFC" w:rsidRPr="004906C5" w:rsidDel="00E54B7E">
        <w:rPr>
          <w:rFonts w:asciiTheme="minorHAnsi" w:hAnsiTheme="minorHAnsi" w:cstheme="minorHAnsi"/>
        </w:rPr>
        <w:t xml:space="preserve"> </w:t>
      </w:r>
    </w:p>
  </w:endnote>
  <w:endnote w:id="57">
    <w:p w14:paraId="17F10A12" w14:textId="42C25325" w:rsidR="4563A599" w:rsidRDefault="4563A599" w:rsidP="00625B18">
      <w:pPr>
        <w:spacing w:line="257" w:lineRule="auto"/>
        <w:ind w:left="709" w:hanging="709"/>
      </w:pPr>
      <w:r w:rsidRPr="00625B18">
        <w:rPr>
          <w:rStyle w:val="EndnoteReference"/>
          <w:rFonts w:asciiTheme="minorHAnsi" w:hAnsiTheme="minorHAnsi" w:cstheme="minorHAnsi"/>
          <w:sz w:val="20"/>
          <w:szCs w:val="20"/>
          <w:vertAlign w:val="baseline"/>
        </w:rPr>
        <w:endnoteRef/>
      </w:r>
      <w:r w:rsidRPr="00625B18">
        <w:rPr>
          <w:rStyle w:val="EndnoteReference"/>
          <w:rFonts w:asciiTheme="minorHAnsi" w:hAnsiTheme="minorHAnsi" w:cstheme="minorHAnsi"/>
          <w:sz w:val="20"/>
          <w:szCs w:val="20"/>
          <w:vertAlign w:val="baseline"/>
        </w:rPr>
        <w:t xml:space="preserve"> </w:t>
      </w:r>
      <w:r w:rsidR="00625B18">
        <w:tab/>
      </w:r>
      <w:r w:rsidR="00A5153D">
        <w:t>EEC (</w:t>
      </w:r>
      <w:r w:rsidRPr="4563A599">
        <w:rPr>
          <w:rFonts w:eastAsia="Arial" w:cs="Arial"/>
          <w:sz w:val="20"/>
          <w:szCs w:val="20"/>
        </w:rPr>
        <w:t>Energy Efficiency Council</w:t>
      </w:r>
      <w:r w:rsidR="00A5153D">
        <w:rPr>
          <w:rFonts w:eastAsia="Arial" w:cs="Arial"/>
          <w:sz w:val="20"/>
          <w:szCs w:val="20"/>
        </w:rPr>
        <w:t>)</w:t>
      </w:r>
      <w:r w:rsidRPr="4563A599">
        <w:rPr>
          <w:rFonts w:eastAsia="Arial" w:cs="Arial"/>
          <w:sz w:val="20"/>
          <w:szCs w:val="20"/>
        </w:rPr>
        <w:t>, Submission 10, Clean Energy Capacity Study Discussion paper, p 3</w:t>
      </w:r>
      <w:r w:rsidR="00A5153D">
        <w:rPr>
          <w:rFonts w:eastAsia="Arial" w:cs="Arial"/>
          <w:sz w:val="20"/>
          <w:szCs w:val="20"/>
        </w:rPr>
        <w:t>.</w:t>
      </w:r>
    </w:p>
  </w:endnote>
  <w:endnote w:id="58">
    <w:p w14:paraId="592C3D75" w14:textId="2F8300D7" w:rsidR="24B937FE" w:rsidRDefault="24B937FE" w:rsidP="00625B18">
      <w:pPr>
        <w:spacing w:line="257" w:lineRule="auto"/>
        <w:ind w:left="709" w:hanging="709"/>
      </w:pPr>
      <w:r w:rsidRPr="00625B18">
        <w:rPr>
          <w:rStyle w:val="EndnoteReference"/>
          <w:rFonts w:asciiTheme="minorHAnsi" w:hAnsiTheme="minorHAnsi" w:cstheme="minorHAnsi"/>
          <w:sz w:val="20"/>
          <w:szCs w:val="20"/>
          <w:vertAlign w:val="baseline"/>
        </w:rPr>
        <w:endnoteRef/>
      </w:r>
      <w:r>
        <w:t xml:space="preserve"> </w:t>
      </w:r>
      <w:r w:rsidR="00625B18">
        <w:tab/>
      </w:r>
      <w:r w:rsidRPr="24B937FE">
        <w:rPr>
          <w:rFonts w:eastAsia="Arial" w:cs="Arial"/>
          <w:sz w:val="20"/>
          <w:szCs w:val="20"/>
        </w:rPr>
        <w:t>Department of Education, ‘</w:t>
      </w:r>
      <w:hyperlink r:id="rId72">
        <w:r w:rsidRPr="24B937FE">
          <w:rPr>
            <w:rStyle w:val="Hyperlink"/>
            <w:rFonts w:eastAsia="Arial" w:cs="Arial"/>
            <w:i/>
            <w:iCs/>
            <w:color w:val="215E9E"/>
            <w:sz w:val="20"/>
            <w:szCs w:val="20"/>
          </w:rPr>
          <w:t>Universities Accord Interim Report</w:t>
        </w:r>
      </w:hyperlink>
      <w:r w:rsidRPr="24B937FE">
        <w:rPr>
          <w:rFonts w:eastAsia="Arial" w:cs="Arial"/>
          <w:sz w:val="20"/>
          <w:szCs w:val="20"/>
        </w:rPr>
        <w:t>’, Department of Education, Australian Government, 19 July 2023, p 58, accessed September 2023.</w:t>
      </w:r>
    </w:p>
  </w:endnote>
  <w:endnote w:id="59">
    <w:p w14:paraId="488D4AF6" w14:textId="234BEAA1" w:rsidR="00A91D01" w:rsidRPr="004906C5" w:rsidRDefault="00A91D01"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EF1C56" w:rsidRPr="004906C5">
        <w:rPr>
          <w:rFonts w:asciiTheme="minorHAnsi" w:hAnsiTheme="minorHAnsi" w:cstheme="minorHAnsi"/>
        </w:rPr>
        <w:tab/>
        <w:t xml:space="preserve">P Canavan, </w:t>
      </w:r>
      <w:hyperlink r:id="rId73" w:history="1">
        <w:r w:rsidR="00EF1C56" w:rsidRPr="004906C5">
          <w:rPr>
            <w:rStyle w:val="Hyperlink"/>
            <w:rFonts w:asciiTheme="minorHAnsi" w:hAnsiTheme="minorHAnsi" w:cstheme="minorHAnsi"/>
            <w:i/>
            <w:iCs/>
          </w:rPr>
          <w:t>Degree Apprenticeships are coming to Queensland</w:t>
        </w:r>
      </w:hyperlink>
      <w:r w:rsidR="00EF1C56" w:rsidRPr="004906C5">
        <w:rPr>
          <w:rFonts w:asciiTheme="minorHAnsi" w:hAnsiTheme="minorHAnsi" w:cstheme="minorHAnsi"/>
        </w:rPr>
        <w:t>, Ai Group website, 1 March 2023, accessed September 2023.</w:t>
      </w:r>
      <w:r w:rsidRPr="004906C5">
        <w:rPr>
          <w:rFonts w:asciiTheme="minorHAnsi" w:hAnsiTheme="minorHAnsi" w:cstheme="minorHAnsi"/>
        </w:rPr>
        <w:t xml:space="preserve"> </w:t>
      </w:r>
    </w:p>
  </w:endnote>
  <w:endnote w:id="60">
    <w:p w14:paraId="3E1A3B6C" w14:textId="3D668F93" w:rsidR="001D6ADD" w:rsidRPr="004906C5" w:rsidRDefault="001D6ADD"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t xml:space="preserve">RMIT </w:t>
      </w:r>
      <w:r w:rsidRPr="004906C5">
        <w:rPr>
          <w:rFonts w:asciiTheme="minorHAnsi" w:hAnsiTheme="minorHAnsi" w:cstheme="minorHAnsi"/>
          <w14:numForm w14:val="lining"/>
          <w14:numSpacing w14:val="proportional"/>
        </w:rPr>
        <w:t>University</w:t>
      </w:r>
      <w:r w:rsidRPr="004906C5">
        <w:rPr>
          <w:rFonts w:asciiTheme="minorHAnsi" w:hAnsiTheme="minorHAnsi" w:cstheme="minorHAnsi"/>
        </w:rPr>
        <w:t xml:space="preserve">, </w:t>
      </w:r>
      <w:hyperlink r:id="rId74" w:history="1">
        <w:r w:rsidRPr="004906C5">
          <w:rPr>
            <w:rStyle w:val="Hyperlink"/>
            <w:rFonts w:asciiTheme="minorHAnsi" w:hAnsiTheme="minorHAnsi" w:cstheme="minorHAnsi"/>
            <w:i/>
          </w:rPr>
          <w:t xml:space="preserve">Bachelor of Environmental Science/Bachelor of Engineering </w:t>
        </w:r>
        <w:r w:rsidR="00622C40" w:rsidRPr="004906C5">
          <w:rPr>
            <w:rStyle w:val="Hyperlink"/>
            <w:rFonts w:asciiTheme="minorHAnsi" w:hAnsiTheme="minorHAnsi" w:cstheme="minorHAnsi"/>
            <w:i/>
            <w:iCs/>
          </w:rPr>
          <w:t xml:space="preserve">(Environmental Engineering) </w:t>
        </w:r>
        <w:r w:rsidRPr="004906C5">
          <w:rPr>
            <w:rStyle w:val="Hyperlink"/>
            <w:rFonts w:asciiTheme="minorHAnsi" w:hAnsiTheme="minorHAnsi" w:cstheme="minorHAnsi"/>
            <w:i/>
          </w:rPr>
          <w:t>overview</w:t>
        </w:r>
      </w:hyperlink>
      <w:r w:rsidR="00622C40" w:rsidRPr="004906C5">
        <w:rPr>
          <w:rStyle w:val="Hyperlink"/>
          <w:rFonts w:asciiTheme="minorHAnsi" w:hAnsiTheme="minorHAnsi" w:cstheme="minorHAnsi"/>
          <w:color w:val="auto"/>
          <w:u w:val="none"/>
        </w:rPr>
        <w:t>, RMIT website, accessed September 2023.</w:t>
      </w:r>
    </w:p>
  </w:endnote>
  <w:endnote w:id="61">
    <w:p w14:paraId="5AC95CC8" w14:textId="7538291C" w:rsidR="00EE37C8" w:rsidRPr="004906C5" w:rsidRDefault="00EE37C8"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25B18">
        <w:rPr>
          <w:rFonts w:asciiTheme="minorHAnsi" w:hAnsiTheme="minorHAnsi" w:cstheme="minorHAnsi"/>
        </w:rPr>
        <w:t>EU (</w:t>
      </w:r>
      <w:r w:rsidR="00A37CF4" w:rsidRPr="00682F5D">
        <w:rPr>
          <w:rFonts w:asciiTheme="minorHAnsi" w:hAnsiTheme="minorHAnsi" w:cstheme="minorHAnsi"/>
        </w:rPr>
        <w:t xml:space="preserve">European Commission), </w:t>
      </w:r>
      <w:hyperlink r:id="rId75" w:history="1">
        <w:r w:rsidRPr="00682F5D">
          <w:rPr>
            <w:rStyle w:val="Hyperlink"/>
            <w:rFonts w:asciiTheme="minorHAnsi" w:hAnsiTheme="minorHAnsi" w:cstheme="minorHAnsi"/>
            <w:i/>
          </w:rPr>
          <w:t>European approach to micro-credentials</w:t>
        </w:r>
      </w:hyperlink>
      <w:r w:rsidRPr="00682F5D">
        <w:rPr>
          <w:rFonts w:asciiTheme="minorHAnsi" w:hAnsiTheme="minorHAnsi" w:cstheme="minorHAnsi"/>
        </w:rPr>
        <w:t xml:space="preserve">, </w:t>
      </w:r>
      <w:r w:rsidR="00A37CF4" w:rsidRPr="00682F5D">
        <w:rPr>
          <w:rFonts w:asciiTheme="minorHAnsi" w:hAnsiTheme="minorHAnsi" w:cstheme="minorHAnsi"/>
        </w:rPr>
        <w:t>EU website, 2022, accessed September 2023.</w:t>
      </w:r>
    </w:p>
  </w:endnote>
  <w:endnote w:id="62">
    <w:p w14:paraId="79F94BD4" w14:textId="71CA97BC" w:rsidR="00EE37C8" w:rsidRPr="004906C5" w:rsidRDefault="00EE37C8"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67350" w:rsidRPr="00682F5D">
        <w:rPr>
          <w:rFonts w:asciiTheme="minorHAnsi" w:hAnsiTheme="minorHAnsi" w:cstheme="minorHAnsi"/>
        </w:rPr>
        <w:t xml:space="preserve">Department of Education, </w:t>
      </w:r>
      <w:hyperlink r:id="rId76" w:history="1">
        <w:r w:rsidRPr="00682F5D">
          <w:rPr>
            <w:rStyle w:val="Hyperlink"/>
            <w:rFonts w:asciiTheme="minorHAnsi" w:hAnsiTheme="minorHAnsi" w:cstheme="minorHAnsi"/>
            <w:i/>
          </w:rPr>
          <w:t>Microcredentials Pilot in Higher Education</w:t>
        </w:r>
      </w:hyperlink>
      <w:r w:rsidRPr="00682F5D">
        <w:rPr>
          <w:rFonts w:asciiTheme="minorHAnsi" w:hAnsiTheme="minorHAnsi" w:cstheme="minorHAnsi"/>
        </w:rPr>
        <w:t xml:space="preserve">, </w:t>
      </w:r>
      <w:r w:rsidR="00E67350" w:rsidRPr="00682F5D">
        <w:rPr>
          <w:rFonts w:asciiTheme="minorHAnsi" w:hAnsiTheme="minorHAnsi" w:cstheme="minorHAnsi"/>
        </w:rPr>
        <w:t xml:space="preserve">   Department of Education website, </w:t>
      </w:r>
      <w:r w:rsidR="00816148" w:rsidRPr="00682F5D">
        <w:rPr>
          <w:rFonts w:asciiTheme="minorHAnsi" w:hAnsiTheme="minorHAnsi" w:cstheme="minorHAnsi"/>
        </w:rPr>
        <w:t>Australian Government</w:t>
      </w:r>
      <w:r w:rsidR="00816148">
        <w:rPr>
          <w:rFonts w:asciiTheme="minorHAnsi" w:hAnsiTheme="minorHAnsi" w:cstheme="minorHAnsi"/>
        </w:rPr>
        <w:t>,</w:t>
      </w:r>
      <w:r w:rsidR="00816148" w:rsidRPr="00682F5D">
        <w:rPr>
          <w:rFonts w:asciiTheme="minorHAnsi" w:hAnsiTheme="minorHAnsi" w:cstheme="minorHAnsi"/>
        </w:rPr>
        <w:t xml:space="preserve"> </w:t>
      </w:r>
      <w:r w:rsidR="00E67350" w:rsidRPr="00682F5D">
        <w:rPr>
          <w:rFonts w:asciiTheme="minorHAnsi" w:hAnsiTheme="minorHAnsi" w:cstheme="minorHAnsi"/>
        </w:rPr>
        <w:t>13 June 2023, accessed September 2023.</w:t>
      </w:r>
      <w:r w:rsidR="00E67350" w:rsidRPr="004906C5">
        <w:rPr>
          <w:rFonts w:asciiTheme="minorHAnsi" w:hAnsiTheme="minorHAnsi" w:cstheme="minorHAnsi"/>
        </w:rPr>
        <w:t xml:space="preserve"> </w:t>
      </w:r>
      <w:r w:rsidRPr="004906C5">
        <w:rPr>
          <w:rFonts w:asciiTheme="minorHAnsi" w:hAnsiTheme="minorHAnsi" w:cstheme="minorHAnsi"/>
        </w:rPr>
        <w:t xml:space="preserve">  </w:t>
      </w:r>
    </w:p>
  </w:endnote>
  <w:endnote w:id="63">
    <w:p w14:paraId="6BDF08C9" w14:textId="1C7BA7C1" w:rsidR="00EE37C8" w:rsidRPr="004906C5" w:rsidRDefault="00EE37C8"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0269CD" w:rsidRPr="004906C5">
        <w:rPr>
          <w:rFonts w:asciiTheme="minorHAnsi" w:hAnsiTheme="minorHAnsi" w:cstheme="minorHAnsi"/>
        </w:rPr>
        <w:t>Star of the South, ‘</w:t>
      </w:r>
      <w:hyperlink r:id="rId77" w:history="1">
        <w:r w:rsidR="000269CD" w:rsidRPr="004906C5">
          <w:rPr>
            <w:rStyle w:val="Hyperlink"/>
            <w:rFonts w:asciiTheme="minorHAnsi" w:hAnsiTheme="minorHAnsi" w:cstheme="minorHAnsi"/>
          </w:rPr>
          <w:t>Making the move to offshore wind: A guide for workers</w:t>
        </w:r>
      </w:hyperlink>
      <w:r w:rsidR="000269CD" w:rsidRPr="004906C5">
        <w:rPr>
          <w:rFonts w:asciiTheme="minorHAnsi" w:hAnsiTheme="minorHAnsi" w:cstheme="minorHAnsi"/>
        </w:rPr>
        <w:t>’, Star of the South website, 2023, accessed September 2023.</w:t>
      </w:r>
    </w:p>
  </w:endnote>
  <w:endnote w:id="64">
    <w:p w14:paraId="66610220" w14:textId="10385CD6" w:rsidR="00EE37C8" w:rsidRPr="004906C5" w:rsidRDefault="00EE37C8" w:rsidP="004906C5">
      <w:pPr>
        <w:pStyle w:val="EndnoteText"/>
        <w:tabs>
          <w:tab w:val="left" w:pos="709"/>
        </w:tabs>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DB3AAD" w:rsidRPr="00682F5D">
        <w:rPr>
          <w:rFonts w:asciiTheme="minorHAnsi" w:hAnsiTheme="minorHAnsi" w:cstheme="minorHAnsi"/>
          <w14:numForm w14:val="lining"/>
          <w14:numSpacing w14:val="proportional"/>
        </w:rPr>
        <w:t xml:space="preserve">ARENA, </w:t>
      </w:r>
      <w:hyperlink r:id="rId78" w:history="1">
        <w:r w:rsidRPr="00682F5D">
          <w:rPr>
            <w:rStyle w:val="Hyperlink"/>
            <w:rFonts w:asciiTheme="minorHAnsi" w:hAnsiTheme="minorHAnsi" w:cstheme="minorHAnsi"/>
            <w:i/>
            <w14:numForm w14:val="lining"/>
            <w14:numSpacing w14:val="proportional"/>
          </w:rPr>
          <w:t>Renewable Energy Projects</w:t>
        </w:r>
      </w:hyperlink>
      <w:r w:rsidRPr="00682F5D">
        <w:rPr>
          <w:rFonts w:asciiTheme="minorHAnsi" w:hAnsiTheme="minorHAnsi" w:cstheme="minorHAnsi"/>
          <w14:numForm w14:val="lining"/>
          <w14:numSpacing w14:val="proportional"/>
        </w:rPr>
        <w:t xml:space="preserve">, </w:t>
      </w:r>
      <w:r w:rsidR="00DB3AAD" w:rsidRPr="00682F5D">
        <w:rPr>
          <w:rFonts w:asciiTheme="minorHAnsi" w:hAnsiTheme="minorHAnsi" w:cstheme="minorHAnsi"/>
          <w14:numForm w14:val="lining"/>
          <w14:numSpacing w14:val="proportional"/>
        </w:rPr>
        <w:t xml:space="preserve">ARENA website, </w:t>
      </w:r>
      <w:r w:rsidR="00816148" w:rsidRPr="00682F5D">
        <w:rPr>
          <w:rFonts w:asciiTheme="minorHAnsi" w:hAnsiTheme="minorHAnsi" w:cstheme="minorHAnsi"/>
          <w14:numForm w14:val="lining"/>
          <w14:numSpacing w14:val="proportional"/>
        </w:rPr>
        <w:t>Australian Government</w:t>
      </w:r>
      <w:r w:rsidR="00816148">
        <w:rPr>
          <w:rFonts w:asciiTheme="minorHAnsi" w:hAnsiTheme="minorHAnsi" w:cstheme="minorHAnsi"/>
          <w14:numForm w14:val="lining"/>
          <w14:numSpacing w14:val="proportional"/>
        </w:rPr>
        <w:t>,</w:t>
      </w:r>
      <w:r w:rsidR="00816148" w:rsidRPr="00682F5D">
        <w:rPr>
          <w:rFonts w:asciiTheme="minorHAnsi" w:hAnsiTheme="minorHAnsi" w:cstheme="minorHAnsi"/>
          <w14:numForm w14:val="lining"/>
          <w14:numSpacing w14:val="proportional"/>
        </w:rPr>
        <w:t xml:space="preserve"> </w:t>
      </w:r>
      <w:r w:rsidR="00DB3AAD" w:rsidRPr="00682F5D">
        <w:rPr>
          <w:rFonts w:asciiTheme="minorHAnsi" w:hAnsiTheme="minorHAnsi" w:cstheme="minorHAnsi"/>
          <w14:numForm w14:val="lining"/>
          <w14:numSpacing w14:val="proportional"/>
        </w:rPr>
        <w:t>2023, accessed September 2023.</w:t>
      </w:r>
      <w:r w:rsidR="00DB3AAD"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 xml:space="preserve">   </w:t>
      </w:r>
    </w:p>
  </w:endnote>
  <w:endnote w:id="65">
    <w:p w14:paraId="31BA9546" w14:textId="569F658E" w:rsidR="342F2CB6" w:rsidRDefault="342F2CB6" w:rsidP="00625B18">
      <w:pPr>
        <w:pStyle w:val="EndnoteText"/>
        <w:ind w:left="709" w:hanging="709"/>
        <w:rPr>
          <w:rFonts w:asciiTheme="minorHAnsi" w:eastAsiaTheme="minorEastAsia" w:hAnsiTheme="minorHAnsi"/>
        </w:rPr>
      </w:pPr>
      <w:r w:rsidRPr="002E5F1F">
        <w:rPr>
          <w:rStyle w:val="EndnoteReference"/>
          <w:rFonts w:asciiTheme="minorHAnsi" w:hAnsiTheme="minorHAnsi" w:cstheme="minorHAnsi"/>
          <w:vertAlign w:val="baseline"/>
          <w14:numForm w14:val="lining"/>
          <w14:numSpacing w14:val="proportional"/>
        </w:rPr>
        <w:endnoteRef/>
      </w:r>
      <w:r>
        <w:t xml:space="preserve"> </w:t>
      </w:r>
      <w:r w:rsidR="00625B18">
        <w:tab/>
      </w:r>
      <w:r w:rsidRPr="342F2CB6">
        <w:rPr>
          <w:rFonts w:asciiTheme="minorHAnsi" w:eastAsiaTheme="minorEastAsia" w:hAnsiTheme="minorHAnsi"/>
        </w:rPr>
        <w:t xml:space="preserve">S Findlay, </w:t>
      </w:r>
      <w:hyperlink r:id="rId79" w:anchor=":~:text=In%20a%20clean%20energy%20breakthrough,green%2C%20hydrogen%20closer%20to%20reality.">
        <w:r w:rsidRPr="342F2CB6">
          <w:rPr>
            <w:rStyle w:val="Hyperlink"/>
            <w:rFonts w:asciiTheme="minorHAnsi" w:eastAsiaTheme="minorEastAsia" w:hAnsiTheme="minorHAnsi"/>
            <w:i/>
            <w:iCs/>
            <w:color w:val="0563C1"/>
          </w:rPr>
          <w:t>Breakthrough opens door to low-cost green hydrogen</w:t>
        </w:r>
      </w:hyperlink>
      <w:r w:rsidRPr="342F2CB6">
        <w:rPr>
          <w:rFonts w:asciiTheme="minorHAnsi" w:eastAsiaTheme="minorEastAsia" w:hAnsiTheme="minorHAnsi"/>
          <w:i/>
          <w:iCs/>
        </w:rPr>
        <w:t xml:space="preserve"> </w:t>
      </w:r>
      <w:r w:rsidRPr="342F2CB6">
        <w:rPr>
          <w:rFonts w:asciiTheme="minorHAnsi" w:eastAsiaTheme="minorEastAsia" w:hAnsiTheme="minorHAnsi"/>
        </w:rPr>
        <w:t>[media release], University of Wollongong Australia website, 16 March 2022, accessed September 2023.</w:t>
      </w:r>
    </w:p>
  </w:endnote>
  <w:endnote w:id="66">
    <w:p w14:paraId="329B7040" w14:textId="2F155B1A"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425430" w:rsidRPr="004906C5">
        <w:rPr>
          <w:rFonts w:asciiTheme="minorHAnsi" w:hAnsiTheme="minorHAnsi" w:cstheme="minorHAnsi"/>
        </w:rPr>
        <w:t xml:space="preserve">Australian Institute for Teaching and School Leadership (AITSL), </w:t>
      </w:r>
      <w:hyperlink r:id="rId80" w:history="1">
        <w:r w:rsidR="00425430" w:rsidRPr="004906C5">
          <w:rPr>
            <w:rStyle w:val="Hyperlink"/>
            <w:rFonts w:asciiTheme="minorHAnsi" w:hAnsiTheme="minorHAnsi" w:cstheme="minorHAnsi"/>
            <w:i/>
            <w:iCs/>
          </w:rPr>
          <w:t>Australian Teacher Workforce Data (ATWD) National Trends</w:t>
        </w:r>
      </w:hyperlink>
      <w:r w:rsidR="00425430" w:rsidRPr="004906C5">
        <w:rPr>
          <w:rFonts w:asciiTheme="minorHAnsi" w:hAnsiTheme="minorHAnsi" w:cstheme="minorHAnsi"/>
        </w:rPr>
        <w:t>, AITSL website, 2023, accessed September 2023.</w:t>
      </w:r>
    </w:p>
  </w:endnote>
  <w:endnote w:id="67">
    <w:p w14:paraId="102E0CF0" w14:textId="1482015E"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5F41ED" w:rsidRPr="004906C5">
        <w:rPr>
          <w:rFonts w:asciiTheme="minorHAnsi" w:hAnsiTheme="minorHAnsi" w:cstheme="minorHAnsi"/>
        </w:rPr>
        <w:t xml:space="preserve">DISR, </w:t>
      </w:r>
      <w:hyperlink r:id="rId81" w:history="1">
        <w:r w:rsidR="005F41ED" w:rsidRPr="004906C5">
          <w:rPr>
            <w:rStyle w:val="Hyperlink"/>
            <w:rFonts w:asciiTheme="minorHAnsi" w:hAnsiTheme="minorHAnsi" w:cstheme="minorHAnsi"/>
            <w:i/>
            <w:iCs/>
          </w:rPr>
          <w:t>Stem Equity Monitor</w:t>
        </w:r>
      </w:hyperlink>
      <w:r w:rsidR="005F41ED" w:rsidRPr="004906C5">
        <w:rPr>
          <w:rFonts w:asciiTheme="minorHAnsi" w:hAnsiTheme="minorHAnsi" w:cstheme="minorHAnsi"/>
        </w:rPr>
        <w:t xml:space="preserve">, DISR website, </w:t>
      </w:r>
      <w:r w:rsidR="00816148" w:rsidRPr="004906C5">
        <w:rPr>
          <w:rFonts w:asciiTheme="minorHAnsi" w:hAnsiTheme="minorHAnsi" w:cstheme="minorHAnsi"/>
        </w:rPr>
        <w:t>Australian Government</w:t>
      </w:r>
      <w:r w:rsidR="00816148">
        <w:rPr>
          <w:rFonts w:asciiTheme="minorHAnsi" w:hAnsiTheme="minorHAnsi" w:cstheme="minorHAnsi"/>
        </w:rPr>
        <w:t>,</w:t>
      </w:r>
      <w:r w:rsidR="00816148" w:rsidRPr="004906C5">
        <w:rPr>
          <w:rFonts w:asciiTheme="minorHAnsi" w:hAnsiTheme="minorHAnsi" w:cstheme="minorHAnsi"/>
        </w:rPr>
        <w:t xml:space="preserve"> </w:t>
      </w:r>
      <w:r w:rsidR="005F41ED" w:rsidRPr="004906C5">
        <w:rPr>
          <w:rFonts w:asciiTheme="minorHAnsi" w:hAnsiTheme="minorHAnsi" w:cstheme="minorHAnsi"/>
        </w:rPr>
        <w:t>accessed September 2023.</w:t>
      </w:r>
    </w:p>
  </w:endnote>
  <w:endnote w:id="68">
    <w:p w14:paraId="51B303D1" w14:textId="47A01700"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B45BB" w:rsidRPr="00682F5D">
        <w:rPr>
          <w:rFonts w:asciiTheme="minorHAnsi" w:hAnsiTheme="minorHAnsi" w:cstheme="minorHAnsi"/>
        </w:rPr>
        <w:t>G Casati, V Savic, V de Miguel, T Gruzin and Y Tachibana, ‘</w:t>
      </w:r>
      <w:hyperlink r:id="rId82" w:history="1">
        <w:r w:rsidR="00EB45BB" w:rsidRPr="00682F5D">
          <w:rPr>
            <w:rStyle w:val="Hyperlink"/>
            <w:rFonts w:asciiTheme="minorHAnsi" w:hAnsiTheme="minorHAnsi" w:cstheme="minorHAnsi"/>
          </w:rPr>
          <w:t>Youthquake meets green economy: Why businesses need to care</w:t>
        </w:r>
      </w:hyperlink>
      <w:r w:rsidR="00EB45BB" w:rsidRPr="00682F5D">
        <w:rPr>
          <w:rFonts w:asciiTheme="minorHAnsi" w:hAnsiTheme="minorHAnsi" w:cstheme="minorHAnsi"/>
        </w:rPr>
        <w:t>’, Accenture, 2022, accessed September 2023.</w:t>
      </w:r>
    </w:p>
  </w:endnote>
  <w:endnote w:id="69">
    <w:p w14:paraId="5BA63E58" w14:textId="2B59F569"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80ABA" w:rsidRPr="004906C5">
        <w:rPr>
          <w:rFonts w:asciiTheme="minorHAnsi" w:hAnsiTheme="minorHAnsi" w:cstheme="minorHAnsi"/>
        </w:rPr>
        <w:t xml:space="preserve">DISR, </w:t>
      </w:r>
      <w:hyperlink r:id="rId83" w:history="1">
        <w:r w:rsidR="00F80ABA" w:rsidRPr="004906C5">
          <w:rPr>
            <w:rStyle w:val="Hyperlink"/>
            <w:rFonts w:asciiTheme="minorHAnsi" w:hAnsiTheme="minorHAnsi" w:cstheme="minorHAnsi"/>
            <w:i/>
            <w:iCs/>
          </w:rPr>
          <w:t>Stem Equity Monitor</w:t>
        </w:r>
      </w:hyperlink>
      <w:r w:rsidR="00F80ABA" w:rsidRPr="004906C5">
        <w:rPr>
          <w:rFonts w:asciiTheme="minorHAnsi" w:hAnsiTheme="minorHAnsi" w:cstheme="minorHAnsi"/>
        </w:rPr>
        <w:t xml:space="preserve">, DISR website, </w:t>
      </w:r>
      <w:r w:rsidR="00816148" w:rsidRPr="004906C5">
        <w:rPr>
          <w:rFonts w:asciiTheme="minorHAnsi" w:hAnsiTheme="minorHAnsi" w:cstheme="minorHAnsi"/>
        </w:rPr>
        <w:t>Australian Government</w:t>
      </w:r>
      <w:r w:rsidR="00816148">
        <w:rPr>
          <w:rFonts w:asciiTheme="minorHAnsi" w:hAnsiTheme="minorHAnsi" w:cstheme="minorHAnsi"/>
        </w:rPr>
        <w:t>,</w:t>
      </w:r>
      <w:r w:rsidR="00816148" w:rsidRPr="004906C5">
        <w:rPr>
          <w:rFonts w:asciiTheme="minorHAnsi" w:hAnsiTheme="minorHAnsi" w:cstheme="minorHAnsi"/>
        </w:rPr>
        <w:t xml:space="preserve"> </w:t>
      </w:r>
      <w:r w:rsidR="00F80ABA" w:rsidRPr="004906C5">
        <w:rPr>
          <w:rFonts w:asciiTheme="minorHAnsi" w:hAnsiTheme="minorHAnsi" w:cstheme="minorHAnsi"/>
        </w:rPr>
        <w:t>accessed September 2023.</w:t>
      </w:r>
    </w:p>
  </w:endnote>
  <w:endnote w:id="70">
    <w:p w14:paraId="13B29282" w14:textId="13876009" w:rsidR="00EE37C8" w:rsidRPr="004906C5" w:rsidRDefault="00EE37C8" w:rsidP="002E5F1F">
      <w:pPr>
        <w:pStyle w:val="EndnoteText"/>
        <w:spacing w:before="120" w:after="120"/>
        <w:ind w:left="709" w:hanging="709"/>
        <w:rPr>
          <w:rFonts w:asciiTheme="minorHAnsi" w:hAnsiTheme="minorHAnsi" w:cstheme="minorHAnsi"/>
        </w:rPr>
      </w:pPr>
      <w:r w:rsidRPr="002E5F1F">
        <w:rPr>
          <w:rFonts w:asciiTheme="minorHAnsi" w:hAnsiTheme="minorHAnsi" w:cstheme="minorHAnsi"/>
        </w:rPr>
        <w:endnoteRef/>
      </w:r>
      <w:r w:rsidRPr="002E5F1F">
        <w:rPr>
          <w:rFonts w:asciiTheme="minorHAnsi" w:hAnsiTheme="minorHAnsi" w:cstheme="minorHAnsi"/>
        </w:rPr>
        <w:t xml:space="preserve"> </w:t>
      </w:r>
      <w:r w:rsidRPr="002E5F1F">
        <w:rPr>
          <w:rFonts w:asciiTheme="minorHAnsi" w:hAnsiTheme="minorHAnsi" w:cstheme="minorHAnsi"/>
        </w:rPr>
        <w:tab/>
      </w:r>
      <w:r w:rsidR="00625B18" w:rsidRPr="002E5F1F">
        <w:rPr>
          <w:rFonts w:asciiTheme="minorHAnsi" w:hAnsiTheme="minorHAnsi" w:cstheme="minorHAnsi"/>
        </w:rPr>
        <w:t>NCVER</w:t>
      </w:r>
      <w:r w:rsidR="002E5F1F">
        <w:rPr>
          <w:rFonts w:asciiTheme="minorHAnsi" w:hAnsiTheme="minorHAnsi" w:cstheme="minorHAnsi"/>
        </w:rPr>
        <w:t xml:space="preserve"> (</w:t>
      </w:r>
      <w:r w:rsidR="002E5F1F" w:rsidRPr="009F2059">
        <w:rPr>
          <w:rFonts w:eastAsiaTheme="majorEastAsia" w:cs="Arial"/>
          <w:color w:val="414141"/>
        </w:rPr>
        <w:t>National Centre for Vocational Education Research</w:t>
      </w:r>
      <w:r w:rsidR="002E5F1F">
        <w:rPr>
          <w:rFonts w:eastAsiaTheme="majorEastAsia" w:cs="Arial"/>
          <w:color w:val="414141"/>
        </w:rPr>
        <w:t>)</w:t>
      </w:r>
      <w:r w:rsidR="00625B18" w:rsidRPr="002E5F1F">
        <w:rPr>
          <w:rFonts w:asciiTheme="minorHAnsi" w:hAnsiTheme="minorHAnsi" w:cstheme="minorHAnsi"/>
        </w:rPr>
        <w:t xml:space="preserve">, </w:t>
      </w:r>
      <w:r w:rsidR="00625B18" w:rsidRPr="00CC7FBB">
        <w:rPr>
          <w:rFonts w:asciiTheme="minorHAnsi" w:hAnsiTheme="minorHAnsi" w:cstheme="minorHAnsi"/>
        </w:rPr>
        <w:t>VOCSTATS Apprentices and Trainees</w:t>
      </w:r>
      <w:r w:rsidR="00625B18" w:rsidRPr="002E5F1F">
        <w:rPr>
          <w:rFonts w:asciiTheme="minorHAnsi" w:hAnsiTheme="minorHAnsi" w:cstheme="minorHAnsi"/>
        </w:rPr>
        <w:t>, NCVER, September 2022, accessed September 2023.</w:t>
      </w:r>
    </w:p>
  </w:endnote>
  <w:endnote w:id="71">
    <w:p w14:paraId="44AB4537" w14:textId="5FA52D1E" w:rsidR="00EE37C8" w:rsidRPr="004906C5" w:rsidRDefault="00EE37C8"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C2989" w:rsidRPr="004906C5">
        <w:rPr>
          <w:rFonts w:asciiTheme="minorHAnsi" w:hAnsiTheme="minorHAnsi" w:cstheme="minorHAnsi"/>
        </w:rPr>
        <w:t xml:space="preserve">YouthInsight, </w:t>
      </w:r>
      <w:hyperlink r:id="rId84" w:history="1">
        <w:r w:rsidR="004E3D56">
          <w:rPr>
            <w:rStyle w:val="Hyperlink"/>
            <w:rFonts w:asciiTheme="minorHAnsi" w:hAnsiTheme="minorHAnsi" w:cstheme="minorHAnsi"/>
            <w:i/>
          </w:rPr>
          <w:t>2021 Y</w:t>
        </w:r>
        <w:r w:rsidRPr="004906C5">
          <w:rPr>
            <w:rStyle w:val="Hyperlink"/>
            <w:rFonts w:asciiTheme="minorHAnsi" w:hAnsiTheme="minorHAnsi" w:cstheme="minorHAnsi"/>
            <w:i/>
          </w:rPr>
          <w:t>outh in STEM report</w:t>
        </w:r>
      </w:hyperlink>
      <w:r w:rsidRPr="004906C5">
        <w:rPr>
          <w:rFonts w:asciiTheme="minorHAnsi" w:hAnsiTheme="minorHAnsi" w:cstheme="minorHAnsi"/>
        </w:rPr>
        <w:t xml:space="preserve">, </w:t>
      </w:r>
      <w:r w:rsidR="00FC2989" w:rsidRPr="004906C5">
        <w:rPr>
          <w:rFonts w:asciiTheme="minorHAnsi" w:hAnsiTheme="minorHAnsi" w:cstheme="minorHAnsi"/>
        </w:rPr>
        <w:t xml:space="preserve">report to the Australian Government </w:t>
      </w:r>
      <w:r w:rsidRPr="004906C5">
        <w:rPr>
          <w:rFonts w:asciiTheme="minorHAnsi" w:hAnsiTheme="minorHAnsi" w:cstheme="minorHAnsi"/>
        </w:rPr>
        <w:t>Department of Industry, Science, Energy and Resources</w:t>
      </w:r>
      <w:r w:rsidR="00FC2989" w:rsidRPr="004906C5">
        <w:rPr>
          <w:rFonts w:asciiTheme="minorHAnsi" w:hAnsiTheme="minorHAnsi" w:cstheme="minorHAnsi"/>
        </w:rPr>
        <w:t xml:space="preserve"> (DISR), YouthInsight, 2021, accessed September 2023.</w:t>
      </w:r>
    </w:p>
  </w:endnote>
  <w:endnote w:id="72">
    <w:p w14:paraId="6D44B511" w14:textId="0C5756D5" w:rsidR="6BF1F664" w:rsidRDefault="6BF1F664" w:rsidP="00625B18">
      <w:pPr>
        <w:spacing w:line="257" w:lineRule="auto"/>
        <w:ind w:left="709" w:hanging="709"/>
      </w:pPr>
      <w:r w:rsidRPr="002E5F1F">
        <w:rPr>
          <w:rFonts w:asciiTheme="minorHAnsi" w:hAnsiTheme="minorHAnsi" w:cstheme="minorHAnsi"/>
          <w:sz w:val="20"/>
          <w:szCs w:val="20"/>
        </w:rPr>
        <w:endnoteRef/>
      </w:r>
      <w:r w:rsidRPr="002E5F1F">
        <w:rPr>
          <w:rFonts w:asciiTheme="minorHAnsi" w:hAnsiTheme="minorHAnsi" w:cstheme="minorHAnsi"/>
          <w:sz w:val="20"/>
          <w:szCs w:val="20"/>
        </w:rPr>
        <w:t xml:space="preserve"> </w:t>
      </w:r>
      <w:r w:rsidR="00625B18">
        <w:tab/>
      </w:r>
      <w:r w:rsidRPr="6BF1F664">
        <w:rPr>
          <w:rFonts w:eastAsia="Arial" w:cs="Arial"/>
          <w:sz w:val="20"/>
          <w:szCs w:val="20"/>
        </w:rPr>
        <w:t>L Simon</w:t>
      </w:r>
      <w:r w:rsidRPr="6BF1F664">
        <w:rPr>
          <w:rFonts w:ascii="Calibri" w:eastAsia="Calibri" w:hAnsi="Calibri" w:cs="Calibri"/>
        </w:rPr>
        <w:t>, K Clarke,</w:t>
      </w:r>
      <w:r w:rsidRPr="6BF1F664">
        <w:rPr>
          <w:rFonts w:ascii="Calibri" w:eastAsia="Calibri" w:hAnsi="Calibri" w:cs="Calibri"/>
          <w:i/>
          <w:iCs/>
        </w:rPr>
        <w:t xml:space="preserve"> </w:t>
      </w:r>
      <w:hyperlink r:id="rId85">
        <w:r w:rsidRPr="6BF1F664">
          <w:rPr>
            <w:rStyle w:val="Hyperlink"/>
            <w:rFonts w:eastAsia="Arial" w:cs="Arial"/>
            <w:color w:val="215E9E"/>
            <w:sz w:val="20"/>
            <w:szCs w:val="20"/>
          </w:rPr>
          <w:t>Apprenticeships should work for women too!</w:t>
        </w:r>
      </w:hyperlink>
      <w:r w:rsidRPr="6BF1F664">
        <w:rPr>
          <w:rFonts w:eastAsia="Arial" w:cs="Arial"/>
          <w:sz w:val="20"/>
          <w:szCs w:val="20"/>
        </w:rPr>
        <w:t xml:space="preserve">, </w:t>
      </w:r>
      <w:r w:rsidRPr="00625B18">
        <w:rPr>
          <w:rFonts w:eastAsia="Arial" w:cs="Arial"/>
          <w:i/>
          <w:iCs/>
          <w:sz w:val="20"/>
          <w:szCs w:val="20"/>
        </w:rPr>
        <w:t>Education &amp; Training</w:t>
      </w:r>
      <w:r w:rsidRPr="6BF1F664">
        <w:rPr>
          <w:rFonts w:eastAsia="Arial" w:cs="Arial"/>
          <w:sz w:val="20"/>
          <w:szCs w:val="20"/>
        </w:rPr>
        <w:t>, 2016, 58(6): 578 – 596, doi:10.1108/ET-01-2016-0013</w:t>
      </w:r>
      <w:r w:rsidR="00625B18">
        <w:rPr>
          <w:rFonts w:eastAsia="Arial" w:cs="Arial"/>
          <w:sz w:val="20"/>
          <w:szCs w:val="20"/>
        </w:rPr>
        <w:t>, accessed September 2023.</w:t>
      </w:r>
    </w:p>
  </w:endnote>
  <w:endnote w:id="73">
    <w:p w14:paraId="798B2D76" w14:textId="5CA5F6EE" w:rsidR="00EE37C8" w:rsidRPr="002E5F1F" w:rsidRDefault="00EE37C8" w:rsidP="002E5F1F">
      <w:pPr>
        <w:spacing w:before="120" w:after="120"/>
        <w:ind w:left="709" w:hanging="709"/>
        <w:rPr>
          <w:rFonts w:cs="Arial"/>
          <w:sz w:val="20"/>
          <w:szCs w:val="20"/>
        </w:rPr>
      </w:pPr>
      <w:r w:rsidRPr="002E5F1F">
        <w:rPr>
          <w:rFonts w:asciiTheme="minorHAnsi" w:hAnsiTheme="minorHAnsi" w:cstheme="minorHAnsi"/>
        </w:rPr>
        <w:endnoteRef/>
      </w:r>
      <w:r w:rsidRPr="002E5F1F">
        <w:rPr>
          <w:rFonts w:asciiTheme="minorHAnsi" w:hAnsiTheme="minorHAnsi" w:cstheme="minorHAnsi"/>
        </w:rPr>
        <w:t xml:space="preserve"> </w:t>
      </w:r>
      <w:r w:rsidRPr="002E5F1F">
        <w:rPr>
          <w:rFonts w:asciiTheme="minorHAnsi" w:hAnsiTheme="minorHAnsi" w:cstheme="minorHAnsi"/>
        </w:rPr>
        <w:tab/>
      </w:r>
      <w:r w:rsidR="002E5F1F" w:rsidRPr="00605B24">
        <w:rPr>
          <w:rFonts w:cs="Arial"/>
          <w:sz w:val="20"/>
          <w:szCs w:val="20"/>
        </w:rPr>
        <w:t xml:space="preserve">NCVER, </w:t>
      </w:r>
      <w:r w:rsidR="00A5153D" w:rsidRPr="00CC7FBB">
        <w:rPr>
          <w:rFonts w:asciiTheme="minorHAnsi" w:hAnsiTheme="minorHAnsi" w:cstheme="minorHAnsi"/>
        </w:rPr>
        <w:t>VOCSTATS Apprentices and Trainees</w:t>
      </w:r>
      <w:r w:rsidR="00A5153D" w:rsidRPr="002E5F1F">
        <w:rPr>
          <w:rFonts w:asciiTheme="minorHAnsi" w:hAnsiTheme="minorHAnsi" w:cstheme="minorHAnsi"/>
        </w:rPr>
        <w:t>, NCVER, September 2022,</w:t>
      </w:r>
      <w:r w:rsidR="002E5F1F" w:rsidRPr="00605B24">
        <w:rPr>
          <w:rFonts w:cs="Arial"/>
          <w:sz w:val="20"/>
          <w:szCs w:val="20"/>
        </w:rPr>
        <w:t xml:space="preserve"> accessed September 2023.</w:t>
      </w:r>
    </w:p>
  </w:endnote>
  <w:endnote w:id="74">
    <w:p w14:paraId="45907B46" w14:textId="3D0615DC" w:rsidR="004248D0" w:rsidRPr="004906C5" w:rsidRDefault="004248D0" w:rsidP="004906C5">
      <w:pPr>
        <w:pStyle w:val="EndnoteText"/>
        <w:spacing w:before="120" w:after="120"/>
        <w:ind w:left="709" w:hanging="709"/>
        <w:rPr>
          <w:rFonts w:asciiTheme="minorHAnsi" w:hAnsiTheme="minorHAnsi" w:cstheme="minorHAnsi"/>
          <w14:numForm w14:val="lining"/>
          <w14:numSpacing w14:val="proportional"/>
        </w:rPr>
      </w:pPr>
      <w:r w:rsidRPr="00682F5D">
        <w:rPr>
          <w:rStyle w:val="EndnoteReference"/>
          <w:rFonts w:asciiTheme="minorHAnsi" w:hAnsiTheme="minorHAnsi" w:cstheme="minorHAnsi"/>
          <w:vertAlign w:val="baseline"/>
          <w14:numForm w14:val="lining"/>
          <w14:numSpacing w14:val="proportional"/>
        </w:rPr>
        <w:endnoteRef/>
      </w:r>
      <w:r w:rsidRPr="00682F5D">
        <w:rPr>
          <w:rFonts w:asciiTheme="minorHAnsi" w:hAnsiTheme="minorHAnsi" w:cstheme="minorHAnsi"/>
          <w14:numForm w14:val="lining"/>
          <w14:numSpacing w14:val="proportional"/>
        </w:rPr>
        <w:t xml:space="preserve"> </w:t>
      </w:r>
      <w:r w:rsidRPr="00682F5D">
        <w:rPr>
          <w:rFonts w:asciiTheme="minorHAnsi" w:hAnsiTheme="minorHAnsi" w:cstheme="minorHAnsi"/>
          <w14:numForm w14:val="lining"/>
          <w14:numSpacing w14:val="proportional"/>
        </w:rPr>
        <w:tab/>
      </w:r>
      <w:r w:rsidR="009E0E02" w:rsidRPr="00682F5D">
        <w:rPr>
          <w:rFonts w:asciiTheme="minorHAnsi" w:hAnsiTheme="minorHAnsi" w:cstheme="minorHAnsi"/>
        </w:rPr>
        <w:t xml:space="preserve">International Renewable Energy Agency (IRENA) and International Labour Organization (ILO), </w:t>
      </w:r>
      <w:hyperlink r:id="rId86" w:history="1">
        <w:r w:rsidR="009E0E02" w:rsidRPr="00682F5D">
          <w:rPr>
            <w:rStyle w:val="Hyperlink"/>
            <w:rFonts w:asciiTheme="minorHAnsi" w:hAnsiTheme="minorHAnsi" w:cstheme="minorHAnsi"/>
            <w:i/>
            <w:iCs/>
          </w:rPr>
          <w:t>Renewable energy and jobs: Annual review 2022</w:t>
        </w:r>
        <w:r w:rsidR="009E0E02" w:rsidRPr="00682F5D">
          <w:rPr>
            <w:rStyle w:val="Hyperlink"/>
            <w:rFonts w:asciiTheme="minorHAnsi" w:hAnsiTheme="minorHAnsi" w:cstheme="minorHAnsi"/>
          </w:rPr>
          <w:t xml:space="preserve"> [PDF 12.4MB]</w:t>
        </w:r>
      </w:hyperlink>
      <w:r w:rsidR="009E0E02" w:rsidRPr="00682F5D">
        <w:rPr>
          <w:rFonts w:asciiTheme="minorHAnsi" w:hAnsiTheme="minorHAnsi" w:cstheme="minorHAnsi"/>
        </w:rPr>
        <w:t>, IRENA, Abu Dhabi and ILO, Geneva, 2022, accessed September 2023.</w:t>
      </w:r>
    </w:p>
  </w:endnote>
  <w:endnote w:id="75">
    <w:p w14:paraId="52D600B9" w14:textId="3DA27051" w:rsidR="004248D0" w:rsidRPr="004906C5" w:rsidRDefault="004248D0"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58700E" w:rsidRPr="004906C5">
        <w:rPr>
          <w:rFonts w:asciiTheme="minorHAnsi" w:hAnsiTheme="minorHAnsi" w:cstheme="minorHAnsi"/>
        </w:rPr>
        <w:t xml:space="preserve">A Tyagi, C Lata, J Korsh, A Nagarwal, D Rai, S Kwatra, N Kuldeep and P Saxena, </w:t>
      </w:r>
      <w:hyperlink r:id="rId87" w:history="1">
        <w:r w:rsidR="0058700E" w:rsidRPr="004906C5">
          <w:rPr>
            <w:rStyle w:val="Hyperlink"/>
            <w:rFonts w:asciiTheme="minorHAnsi" w:hAnsiTheme="minorHAnsi" w:cstheme="minorHAnsi"/>
            <w:i/>
            <w:iCs/>
          </w:rPr>
          <w:t>India’s Expanding Clean Energy Workforce</w:t>
        </w:r>
        <w:r w:rsidR="0058700E" w:rsidRPr="004906C5">
          <w:rPr>
            <w:rStyle w:val="Hyperlink"/>
            <w:rFonts w:asciiTheme="minorHAnsi" w:hAnsiTheme="minorHAnsi" w:cstheme="minorHAnsi"/>
          </w:rPr>
          <w:t xml:space="preserve"> [PDF 2.6MB]</w:t>
        </w:r>
      </w:hyperlink>
      <w:r w:rsidR="0058700E" w:rsidRPr="004906C5">
        <w:rPr>
          <w:rFonts w:asciiTheme="minorHAnsi" w:hAnsiTheme="minorHAnsi" w:cstheme="minorHAnsi"/>
        </w:rPr>
        <w:t>, Council on Energy, Environment and Water, Natural Resources Defense Council, and Skill Council for Green Jobs, 2022, accessed September 2023.</w:t>
      </w:r>
    </w:p>
  </w:endnote>
  <w:endnote w:id="76">
    <w:p w14:paraId="76580684" w14:textId="77777777" w:rsidR="00281848" w:rsidRPr="004906C5" w:rsidRDefault="00281848" w:rsidP="00281848">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t xml:space="preserve">Centre for World University Rankings, </w:t>
      </w:r>
      <w:hyperlink r:id="rId88" w:history="1">
        <w:r w:rsidRPr="004906C5">
          <w:rPr>
            <w:rStyle w:val="Hyperlink"/>
            <w:rFonts w:asciiTheme="minorHAnsi" w:hAnsiTheme="minorHAnsi" w:cstheme="minorHAnsi"/>
            <w:i/>
            <w14:numForm w14:val="lining"/>
            <w14:numSpacing w14:val="proportional"/>
          </w:rPr>
          <w:t>Global 2000 List: 2022-23 Edition</w:t>
        </w:r>
      </w:hyperlink>
      <w:r w:rsidRPr="004906C5">
        <w:rPr>
          <w:rFonts w:asciiTheme="minorHAnsi" w:hAnsiTheme="minorHAnsi" w:cstheme="minorHAnsi"/>
          <w14:numForm w14:val="lining"/>
          <w14:numSpacing w14:val="proportional"/>
        </w:rPr>
        <w:t>, Centre for World University Rankings website, 2023, accessed September 2023.</w:t>
      </w:r>
    </w:p>
  </w:endnote>
  <w:endnote w:id="77">
    <w:p w14:paraId="44F648FA" w14:textId="76582180" w:rsidR="00EE37C8" w:rsidRPr="004906C5" w:rsidRDefault="00EE37C8"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A23057" w:rsidRPr="004906C5">
        <w:rPr>
          <w:rFonts w:asciiTheme="minorHAnsi" w:hAnsiTheme="minorHAnsi" w:cstheme="minorHAnsi"/>
          <w14:numForm w14:val="lining"/>
          <w14:numSpacing w14:val="proportional"/>
        </w:rPr>
        <w:t xml:space="preserve">D Matthews, A Radloff, J Doyle and L Clarke, </w:t>
      </w:r>
      <w:hyperlink r:id="rId89" w:history="1">
        <w:r w:rsidRPr="004906C5">
          <w:rPr>
            <w:rStyle w:val="Hyperlink"/>
            <w:rFonts w:asciiTheme="minorHAnsi" w:hAnsiTheme="minorHAnsi" w:cstheme="minorHAnsi"/>
            <w:i/>
            <w14:numForm w14:val="lining"/>
            <w14:numSpacing w14:val="proportional"/>
          </w:rPr>
          <w:t>International Graduate Outcomes Survey – 2018</w:t>
        </w:r>
        <w:r w:rsidR="00A23057" w:rsidRPr="004906C5">
          <w:rPr>
            <w:rStyle w:val="Hyperlink"/>
            <w:rFonts w:asciiTheme="minorHAnsi" w:hAnsiTheme="minorHAnsi" w:cstheme="minorHAnsi"/>
            <w14:numForm w14:val="lining"/>
            <w14:numSpacing w14:val="proportional"/>
          </w:rPr>
          <w:t xml:space="preserve"> [PDF 1.9MB]</w:t>
        </w:r>
      </w:hyperlink>
      <w:r w:rsidR="00A23057" w:rsidRPr="004906C5">
        <w:rPr>
          <w:rFonts w:asciiTheme="minorHAnsi" w:hAnsiTheme="minorHAnsi" w:cstheme="minorHAnsi"/>
          <w14:numForm w14:val="lining"/>
          <w14:numSpacing w14:val="proportional"/>
        </w:rPr>
        <w:t>, report to the Australian Government Department of Education, ACER, 2019, accessed September 2023.</w:t>
      </w:r>
    </w:p>
  </w:endnote>
  <w:endnote w:id="78">
    <w:p w14:paraId="375A8459" w14:textId="6AF43B8A" w:rsidR="00EE37C8" w:rsidRPr="004906C5" w:rsidRDefault="00EE37C8"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CB4903" w:rsidRPr="004906C5">
        <w:rPr>
          <w:rFonts w:asciiTheme="minorHAnsi" w:hAnsiTheme="minorHAnsi" w:cstheme="minorHAnsi"/>
          <w14:numForm w14:val="lining"/>
          <w14:numSpacing w14:val="proportional"/>
        </w:rPr>
        <w:t>F Martin,</w:t>
      </w:r>
      <w:r w:rsidR="00CB4903" w:rsidRPr="004906C5">
        <w:rPr>
          <w:rFonts w:asciiTheme="minorHAnsi" w:hAnsiTheme="minorHAnsi" w:cstheme="minorHAnsi"/>
        </w:rPr>
        <w:t xml:space="preserve"> </w:t>
      </w:r>
      <w:r w:rsidRPr="002E5F1F">
        <w:rPr>
          <w:rFonts w:asciiTheme="minorHAnsi" w:hAnsiTheme="minorHAnsi" w:cstheme="minorHAnsi"/>
          <w:i/>
          <w14:numForm w14:val="lining"/>
          <w14:numSpacing w14:val="proportional"/>
        </w:rPr>
        <w:t>Dreams of Flight: mobility and gendered subjectivity among China’s student transmigrants</w:t>
      </w:r>
      <w:r w:rsidR="00CB4903" w:rsidRPr="004906C5">
        <w:rPr>
          <w:rStyle w:val="Hyperlink"/>
          <w:rFonts w:asciiTheme="minorHAnsi" w:hAnsiTheme="minorHAnsi" w:cstheme="minorHAnsi"/>
          <w:i/>
          <w:iCs/>
          <w14:numForm w14:val="lining"/>
          <w14:numSpacing w14:val="proportional"/>
        </w:rPr>
        <w:t>,</w:t>
      </w:r>
      <w:r w:rsidR="0081192B" w:rsidRPr="004906C5">
        <w:rPr>
          <w:rStyle w:val="Hyperlink"/>
          <w:rFonts w:asciiTheme="minorHAnsi" w:hAnsiTheme="minorHAnsi" w:cstheme="minorHAnsi"/>
          <w:i/>
          <w:iCs/>
          <w14:numForm w14:val="lining"/>
          <w14:numSpacing w14:val="proportional"/>
        </w:rPr>
        <w:t xml:space="preserve"> </w:t>
      </w:r>
      <w:r w:rsidR="0081192B" w:rsidRPr="004906C5">
        <w:rPr>
          <w:rStyle w:val="Hyperlink"/>
          <w:rFonts w:asciiTheme="minorHAnsi" w:hAnsiTheme="minorHAnsi" w:cstheme="minorHAnsi"/>
          <w:color w:val="auto"/>
          <w:u w:val="none"/>
          <w14:numForm w14:val="lining"/>
          <w14:numSpacing w14:val="proportional"/>
        </w:rPr>
        <w:t>Duke University Press,</w:t>
      </w:r>
      <w:r w:rsidR="0081192B" w:rsidRPr="004906C5">
        <w:rPr>
          <w:rFonts w:asciiTheme="minorHAnsi" w:hAnsiTheme="minorHAnsi" w:cstheme="minorHAnsi"/>
          <w:color w:val="auto"/>
          <w14:numForm w14:val="lining"/>
          <w14:numSpacing w14:val="proportional"/>
        </w:rPr>
        <w:t xml:space="preserve"> </w:t>
      </w:r>
      <w:r w:rsidR="0081192B" w:rsidRPr="004906C5">
        <w:rPr>
          <w:rFonts w:asciiTheme="minorHAnsi" w:hAnsiTheme="minorHAnsi" w:cstheme="minorHAnsi"/>
          <w14:numForm w14:val="lining"/>
          <w14:numSpacing w14:val="proportional"/>
        </w:rPr>
        <w:t>2022.</w:t>
      </w:r>
    </w:p>
  </w:endnote>
  <w:endnote w:id="79">
    <w:p w14:paraId="5C3815B9" w14:textId="42494585" w:rsidR="009A1A50" w:rsidRPr="002E5F1F" w:rsidRDefault="009A1A50" w:rsidP="002E5F1F">
      <w:pPr>
        <w:spacing w:before="120" w:after="120"/>
        <w:ind w:left="709" w:hanging="709"/>
        <w:rPr>
          <w:rFonts w:cs="Arial"/>
          <w:sz w:val="20"/>
          <w:szCs w:val="20"/>
        </w:rPr>
      </w:pPr>
      <w:r w:rsidRPr="00342569">
        <w:rPr>
          <w:rStyle w:val="EndnoteReference"/>
          <w:rFonts w:asciiTheme="minorHAnsi" w:hAnsiTheme="minorHAnsi" w:cstheme="minorHAnsi"/>
          <w:sz w:val="20"/>
          <w:szCs w:val="20"/>
          <w:vertAlign w:val="baseline"/>
          <w14:numForm w14:val="lining"/>
          <w14:numSpacing w14:val="proportional"/>
        </w:rPr>
        <w:endnoteRef/>
      </w:r>
      <w:r w:rsidRPr="002E5F1F">
        <w:rPr>
          <w:rStyle w:val="EndnoteReference"/>
          <w:rFonts w:asciiTheme="minorHAnsi" w:hAnsiTheme="minorHAnsi" w:cstheme="minorHAnsi"/>
          <w:vertAlign w:val="baseline"/>
          <w14:numForm w14:val="lining"/>
          <w14:numSpacing w14:val="proportional"/>
        </w:rPr>
        <w:t xml:space="preserve"> </w:t>
      </w:r>
      <w:r w:rsidRPr="002E5F1F">
        <w:rPr>
          <w:rFonts w:asciiTheme="minorHAnsi" w:hAnsiTheme="minorHAnsi" w:cstheme="minorHAnsi"/>
        </w:rPr>
        <w:tab/>
      </w:r>
      <w:r w:rsidR="002E5F1F" w:rsidRPr="00605B24">
        <w:rPr>
          <w:rFonts w:cs="Arial"/>
          <w:sz w:val="20"/>
          <w:szCs w:val="20"/>
        </w:rPr>
        <w:t>Department of Home Affairs, ‘</w:t>
      </w:r>
      <w:hyperlink r:id="rId90" w:history="1">
        <w:r w:rsidR="002E5F1F" w:rsidRPr="00605B24">
          <w:rPr>
            <w:rStyle w:val="Hyperlink"/>
            <w:rFonts w:cs="Arial"/>
            <w:sz w:val="20"/>
            <w:szCs w:val="20"/>
          </w:rPr>
          <w:t>Review of The Migration System Final Report</w:t>
        </w:r>
      </w:hyperlink>
      <w:r w:rsidR="002E5F1F" w:rsidRPr="00605B24">
        <w:rPr>
          <w:rFonts w:cs="Arial"/>
          <w:sz w:val="20"/>
          <w:szCs w:val="20"/>
        </w:rPr>
        <w:t>’, Department of Home Affairs website, Australian Government, 2023, accessed September 2023</w:t>
      </w:r>
    </w:p>
  </w:endnote>
  <w:endnote w:id="80">
    <w:p w14:paraId="7853E93E" w14:textId="420B9DFC" w:rsidR="00ED4902" w:rsidRPr="004906C5" w:rsidRDefault="00ED4902"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592ACF" w:rsidRPr="00682F5D">
        <w:rPr>
          <w:rFonts w:asciiTheme="minorHAnsi" w:hAnsiTheme="minorHAnsi" w:cstheme="minorHAnsi"/>
          <w14:numForm w14:val="lining"/>
          <w14:numSpacing w14:val="proportional"/>
        </w:rPr>
        <w:t xml:space="preserve">The Hon Clare O’Neil MP, </w:t>
      </w:r>
      <w:hyperlink r:id="rId91" w:history="1">
        <w:r w:rsidRPr="00682F5D">
          <w:rPr>
            <w:rStyle w:val="Hyperlink"/>
            <w:rFonts w:asciiTheme="minorHAnsi" w:hAnsiTheme="minorHAnsi" w:cstheme="minorHAnsi"/>
            <w:i/>
            <w14:numForm w14:val="lining"/>
            <w14:numSpacing w14:val="proportional"/>
          </w:rPr>
          <w:t>Jobs and Skills Summit - A migration system for Australia’s future</w:t>
        </w:r>
      </w:hyperlink>
      <w:r w:rsidRPr="00682F5D">
        <w:rPr>
          <w:rFonts w:asciiTheme="minorHAnsi" w:hAnsiTheme="minorHAnsi" w:cstheme="minorHAnsi"/>
          <w14:numForm w14:val="lining"/>
          <w14:numSpacing w14:val="proportional"/>
        </w:rPr>
        <w:t xml:space="preserve"> </w:t>
      </w:r>
      <w:r w:rsidR="00592ACF" w:rsidRPr="00682F5D">
        <w:rPr>
          <w:rFonts w:asciiTheme="minorHAnsi" w:hAnsiTheme="minorHAnsi" w:cstheme="minorHAnsi"/>
          <w14:numForm w14:val="lining"/>
          <w14:numSpacing w14:val="proportional"/>
        </w:rPr>
        <w:t xml:space="preserve">[media release], </w:t>
      </w:r>
      <w:r w:rsidRPr="00682F5D">
        <w:rPr>
          <w:rFonts w:asciiTheme="minorHAnsi" w:hAnsiTheme="minorHAnsi" w:cstheme="minorHAnsi"/>
          <w14:numForm w14:val="lining"/>
          <w14:numSpacing w14:val="proportional"/>
        </w:rPr>
        <w:t>Minister for Home Affairs</w:t>
      </w:r>
      <w:r w:rsidR="00592ACF" w:rsidRPr="00682F5D">
        <w:rPr>
          <w:rFonts w:asciiTheme="minorHAnsi" w:hAnsiTheme="minorHAnsi" w:cstheme="minorHAnsi"/>
          <w14:numForm w14:val="lining"/>
          <w14:numSpacing w14:val="proportional"/>
        </w:rPr>
        <w:t xml:space="preserve">, </w:t>
      </w:r>
      <w:r w:rsidR="002E5F1F" w:rsidRPr="00682F5D">
        <w:rPr>
          <w:rFonts w:asciiTheme="minorHAnsi" w:hAnsiTheme="minorHAnsi" w:cstheme="minorHAnsi"/>
          <w14:numForm w14:val="lining"/>
          <w14:numSpacing w14:val="proportional"/>
        </w:rPr>
        <w:t>Australian Government</w:t>
      </w:r>
      <w:r w:rsidR="002E5F1F">
        <w:rPr>
          <w:rFonts w:asciiTheme="minorHAnsi" w:hAnsiTheme="minorHAnsi" w:cstheme="minorHAnsi"/>
          <w14:numForm w14:val="lining"/>
          <w14:numSpacing w14:val="proportional"/>
        </w:rPr>
        <w:t>,</w:t>
      </w:r>
      <w:r w:rsidR="002E5F1F" w:rsidRPr="00682F5D">
        <w:rPr>
          <w:rFonts w:asciiTheme="minorHAnsi" w:hAnsiTheme="minorHAnsi" w:cstheme="minorHAnsi"/>
          <w14:numForm w14:val="lining"/>
          <w14:numSpacing w14:val="proportional"/>
        </w:rPr>
        <w:t xml:space="preserve"> </w:t>
      </w:r>
      <w:r w:rsidR="00592ACF" w:rsidRPr="00682F5D">
        <w:rPr>
          <w:rFonts w:asciiTheme="minorHAnsi" w:hAnsiTheme="minorHAnsi" w:cstheme="minorHAnsi"/>
          <w14:numForm w14:val="lining"/>
          <w14:numSpacing w14:val="proportional"/>
        </w:rPr>
        <w:t>2 September 2022, accessed September 2023.</w:t>
      </w:r>
      <w:r w:rsidR="00592ACF" w:rsidRPr="004906C5">
        <w:rPr>
          <w:rFonts w:asciiTheme="minorHAnsi" w:hAnsiTheme="minorHAnsi" w:cstheme="minorHAnsi"/>
          <w14:numForm w14:val="lining"/>
          <w14:numSpacing w14:val="proportional"/>
        </w:rPr>
        <w:t xml:space="preserve">  </w:t>
      </w:r>
    </w:p>
  </w:endnote>
  <w:endnote w:id="81">
    <w:p w14:paraId="4627F652" w14:textId="3948897E" w:rsidR="00ED4902" w:rsidRPr="004906C5" w:rsidRDefault="00ED4902" w:rsidP="00957CCA">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500D7D" w:rsidRPr="004906C5">
        <w:rPr>
          <w:rFonts w:asciiTheme="minorHAnsi" w:hAnsiTheme="minorHAnsi" w:cstheme="minorHAnsi"/>
        </w:rPr>
        <w:t xml:space="preserve">O Kovács-Ondrejkovic, R Strack, J Baier, P Antebi, K Kavanagh, and A López Gobernado, </w:t>
      </w:r>
      <w:hyperlink r:id="rId92" w:history="1">
        <w:r w:rsidRPr="004906C5">
          <w:rPr>
            <w:rStyle w:val="Hyperlink"/>
            <w:rFonts w:asciiTheme="minorHAnsi" w:hAnsiTheme="minorHAnsi" w:cstheme="minorHAnsi"/>
            <w:i/>
            <w14:numForm w14:val="lining"/>
            <w14:numSpacing w14:val="proportional"/>
          </w:rPr>
          <w:t>Decoding Global Talent, Onsite and Virtual</w:t>
        </w:r>
        <w:r w:rsidR="00500D7D" w:rsidRPr="004906C5">
          <w:rPr>
            <w:rStyle w:val="Hyperlink"/>
            <w:rFonts w:asciiTheme="minorHAnsi" w:hAnsiTheme="minorHAnsi" w:cstheme="minorHAnsi"/>
            <w:i/>
            <w:iCs/>
            <w14:numForm w14:val="lining"/>
            <w14:numSpacing w14:val="proportional"/>
          </w:rPr>
          <w:t xml:space="preserve"> </w:t>
        </w:r>
        <w:r w:rsidR="00500D7D" w:rsidRPr="004906C5">
          <w:rPr>
            <w:rStyle w:val="Hyperlink"/>
            <w:rFonts w:asciiTheme="minorHAnsi" w:hAnsiTheme="minorHAnsi" w:cstheme="minorHAnsi"/>
            <w14:numForm w14:val="lining"/>
            <w14:numSpacing w14:val="proportional"/>
          </w:rPr>
          <w:t>[PDF 4.1MB]</w:t>
        </w:r>
      </w:hyperlink>
      <w:r w:rsidR="00500D7D" w:rsidRPr="004906C5">
        <w:rPr>
          <w:rStyle w:val="Hyperlink"/>
          <w:rFonts w:asciiTheme="minorHAnsi" w:hAnsiTheme="minorHAnsi" w:cstheme="minorHAnsi"/>
          <w14:numForm w14:val="lining"/>
          <w14:numSpacing w14:val="proportional"/>
        </w:rPr>
        <w:t>,</w:t>
      </w:r>
      <w:r w:rsidR="00500D7D"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Boston Consulting Group</w:t>
      </w:r>
      <w:r w:rsidR="00500D7D" w:rsidRPr="004906C5">
        <w:rPr>
          <w:rFonts w:asciiTheme="minorHAnsi" w:hAnsiTheme="minorHAnsi" w:cstheme="minorHAnsi"/>
          <w14:numForm w14:val="lining"/>
          <w14:numSpacing w14:val="proportional"/>
        </w:rPr>
        <w:t>, 2021, accessed September 2023.</w:t>
      </w:r>
    </w:p>
  </w:endnote>
  <w:endnote w:id="82">
    <w:p w14:paraId="7629DFFE" w14:textId="29AFF56F" w:rsidR="001045A5" w:rsidRDefault="001045A5" w:rsidP="002E5F1F">
      <w:pPr>
        <w:pStyle w:val="EndnoteText"/>
        <w:spacing w:before="120" w:after="120"/>
        <w:ind w:left="709" w:hanging="709"/>
      </w:pPr>
      <w:r w:rsidRPr="001045A5">
        <w:rPr>
          <w:rStyle w:val="EndnoteReference"/>
          <w:rFonts w:asciiTheme="minorHAnsi" w:hAnsiTheme="minorHAnsi" w:cstheme="minorHAnsi"/>
          <w:vertAlign w:val="baseline"/>
          <w14:numForm w14:val="lining"/>
          <w14:numSpacing w14:val="proportional"/>
        </w:rPr>
        <w:endnoteRef/>
      </w:r>
      <w:r w:rsidR="002E5F1F">
        <w:rPr>
          <w:rFonts w:asciiTheme="minorHAnsi" w:hAnsiTheme="minorHAnsi" w:cstheme="minorHAnsi"/>
          <w14:numForm w14:val="lining"/>
          <w14:numSpacing w14:val="proportional"/>
        </w:rPr>
        <w:t xml:space="preserve"> </w:t>
      </w:r>
      <w:r w:rsidR="002E5F1F">
        <w:rPr>
          <w:rFonts w:asciiTheme="minorHAnsi" w:hAnsiTheme="minorHAnsi" w:cstheme="minorHAnsi"/>
          <w14:numForm w14:val="lining"/>
          <w14:numSpacing w14:val="proportional"/>
        </w:rPr>
        <w:tab/>
      </w:r>
      <w:r w:rsidR="002E5F1F" w:rsidRPr="00605B24">
        <w:rPr>
          <w:rFonts w:cs="Arial"/>
        </w:rPr>
        <w:t>OECD</w:t>
      </w:r>
      <w:r w:rsidR="002E5F1F">
        <w:rPr>
          <w:rFonts w:cs="Arial"/>
        </w:rPr>
        <w:t xml:space="preserve"> (</w:t>
      </w:r>
      <w:r w:rsidR="002E5F1F" w:rsidRPr="007A5E06">
        <w:rPr>
          <w:rFonts w:eastAsiaTheme="majorEastAsia" w:cs="Arial"/>
          <w:color w:val="414141"/>
        </w:rPr>
        <w:t>Organisation for Economic Co-operation and Development</w:t>
      </w:r>
      <w:r w:rsidR="002E5F1F">
        <w:rPr>
          <w:rFonts w:eastAsiaTheme="majorEastAsia" w:cs="Arial"/>
          <w:color w:val="414141"/>
        </w:rPr>
        <w:t>)</w:t>
      </w:r>
      <w:r w:rsidR="002E5F1F" w:rsidRPr="00605B24">
        <w:rPr>
          <w:rFonts w:cs="Arial"/>
        </w:rPr>
        <w:t xml:space="preserve">, </w:t>
      </w:r>
      <w:bookmarkStart w:id="46" w:name="_Hlk146614485"/>
      <w:r w:rsidR="002E5F1F" w:rsidRPr="00605B24">
        <w:rPr>
          <w:rFonts w:cs="Arial"/>
          <w:i/>
          <w:iCs/>
        </w:rPr>
        <w:fldChar w:fldCharType="begin"/>
      </w:r>
      <w:r w:rsidR="002E5F1F" w:rsidRPr="00605B24">
        <w:rPr>
          <w:rFonts w:cs="Arial"/>
          <w:i/>
          <w:iCs/>
        </w:rPr>
        <w:instrText>HYPERLINK "https://www.oecd.org/migration/talent-attractiveness/"</w:instrText>
      </w:r>
      <w:r w:rsidR="002E5F1F" w:rsidRPr="00605B24">
        <w:rPr>
          <w:rFonts w:cs="Arial"/>
          <w:i/>
          <w:iCs/>
        </w:rPr>
      </w:r>
      <w:r w:rsidR="002E5F1F" w:rsidRPr="00605B24">
        <w:rPr>
          <w:rFonts w:cs="Arial"/>
          <w:i/>
          <w:iCs/>
        </w:rPr>
        <w:fldChar w:fldCharType="separate"/>
      </w:r>
      <w:r w:rsidR="002E5F1F" w:rsidRPr="00605B24">
        <w:rPr>
          <w:rStyle w:val="Hyperlink"/>
          <w:rFonts w:cs="Arial"/>
          <w:i/>
          <w:iCs/>
        </w:rPr>
        <w:t>Talent attractiveness 2023</w:t>
      </w:r>
      <w:r w:rsidR="002E5F1F" w:rsidRPr="00605B24">
        <w:rPr>
          <w:rFonts w:cs="Arial"/>
          <w:i/>
          <w:iCs/>
        </w:rPr>
        <w:fldChar w:fldCharType="end"/>
      </w:r>
      <w:r w:rsidR="002E5F1F" w:rsidRPr="00605B24">
        <w:rPr>
          <w:rFonts w:cs="Arial"/>
        </w:rPr>
        <w:t xml:space="preserve">, </w:t>
      </w:r>
      <w:bookmarkEnd w:id="46"/>
      <w:r w:rsidR="002E5F1F" w:rsidRPr="00605B24">
        <w:rPr>
          <w:rFonts w:cs="Arial"/>
        </w:rPr>
        <w:t>OECD website, 2023, accessed September 2023</w:t>
      </w:r>
      <w:r w:rsidRPr="001045A5">
        <w:rPr>
          <w:rStyle w:val="EndnoteReference"/>
          <w:rFonts w:asciiTheme="minorHAnsi" w:hAnsiTheme="minorHAnsi" w:cstheme="minorHAnsi"/>
          <w:vertAlign w:val="baseline"/>
          <w14:numForm w14:val="lining"/>
          <w14:numSpacing w14:val="proportional"/>
        </w:rPr>
        <w:t>.</w:t>
      </w:r>
    </w:p>
  </w:endnote>
  <w:endnote w:id="83">
    <w:p w14:paraId="062178F1" w14:textId="6BC26663"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2E5F1F">
        <w:rPr>
          <w:rFonts w:asciiTheme="minorHAnsi" w:hAnsiTheme="minorHAnsi" w:cstheme="minorHAnsi"/>
          <w14:numForm w14:val="lining"/>
          <w14:numSpacing w14:val="proportional"/>
        </w:rPr>
        <w:t>IEA</w:t>
      </w:r>
      <w:r w:rsidR="007D3195" w:rsidRPr="004906C5">
        <w:rPr>
          <w:rFonts w:asciiTheme="minorHAnsi" w:hAnsiTheme="minorHAnsi" w:cstheme="minorHAnsi"/>
        </w:rPr>
        <w:t xml:space="preserve">, </w:t>
      </w:r>
      <w:bookmarkStart w:id="47" w:name="_Hlk133793171"/>
      <w:r w:rsidR="004677AE" w:rsidRPr="004906C5">
        <w:fldChar w:fldCharType="begin"/>
      </w:r>
      <w:r w:rsidR="004677AE" w:rsidRPr="004906C5">
        <w:rPr>
          <w:rFonts w:asciiTheme="minorHAnsi" w:hAnsiTheme="minorHAnsi" w:cstheme="minorHAnsi"/>
        </w:rPr>
        <w:instrText>HYPERLINK "https://iea.blob.core.windows.net/assets/a0432c97-14af-4fc7-b3bf-c409fb7e4ab8/WorldEnergyEmployment.pdf"</w:instrText>
      </w:r>
      <w:r w:rsidR="004677AE" w:rsidRPr="004906C5">
        <w:fldChar w:fldCharType="separate"/>
      </w:r>
      <w:r w:rsidRPr="004906C5">
        <w:rPr>
          <w:rStyle w:val="Hyperlink"/>
          <w:rFonts w:asciiTheme="minorHAnsi" w:hAnsiTheme="minorHAnsi" w:cstheme="minorHAnsi"/>
          <w:i/>
          <w14:numForm w14:val="lining"/>
          <w14:numSpacing w14:val="proportional"/>
        </w:rPr>
        <w:t>World Energy Employment</w:t>
      </w:r>
      <w:r w:rsidR="007D3195" w:rsidRPr="004906C5">
        <w:rPr>
          <w:rStyle w:val="Hyperlink"/>
          <w:rFonts w:asciiTheme="minorHAnsi" w:hAnsiTheme="minorHAnsi" w:cstheme="minorHAnsi"/>
          <w:i/>
          <w:iCs/>
          <w14:numForm w14:val="lining"/>
          <w14:numSpacing w14:val="proportional"/>
        </w:rPr>
        <w:t xml:space="preserve"> </w:t>
      </w:r>
      <w:r w:rsidR="007D3195" w:rsidRPr="004906C5">
        <w:rPr>
          <w:rStyle w:val="Hyperlink"/>
          <w:rFonts w:asciiTheme="minorHAnsi" w:hAnsiTheme="minorHAnsi" w:cstheme="minorHAnsi"/>
          <w14:numForm w14:val="lining"/>
          <w14:numSpacing w14:val="proportional"/>
        </w:rPr>
        <w:t>[PDF 2.1MB]</w:t>
      </w:r>
      <w:r w:rsidR="004677AE" w:rsidRPr="004906C5">
        <w:rPr>
          <w:rStyle w:val="Hyperlink"/>
          <w:rFonts w:asciiTheme="minorHAnsi" w:hAnsiTheme="minorHAnsi" w:cstheme="minorHAnsi"/>
          <w14:numForm w14:val="lining"/>
          <w14:numSpacing w14:val="proportional"/>
        </w:rPr>
        <w:fldChar w:fldCharType="end"/>
      </w:r>
      <w:bookmarkEnd w:id="47"/>
      <w:r w:rsidR="007D3195" w:rsidRPr="004906C5">
        <w:rPr>
          <w:rStyle w:val="Hyperlink"/>
          <w:rFonts w:asciiTheme="minorHAnsi" w:hAnsiTheme="minorHAnsi" w:cstheme="minorHAnsi"/>
          <w14:numForm w14:val="lining"/>
          <w14:numSpacing w14:val="proportional"/>
        </w:rPr>
        <w:t>,</w:t>
      </w:r>
      <w:r w:rsidR="007D3195" w:rsidRPr="004906C5">
        <w:rPr>
          <w:rFonts w:asciiTheme="minorHAnsi" w:hAnsiTheme="minorHAnsi" w:cstheme="minorHAnsi"/>
          <w14:numForm w14:val="lining"/>
          <w14:numSpacing w14:val="proportional"/>
        </w:rPr>
        <w:t xml:space="preserve"> IEA, 2022, accessed September 2023.</w:t>
      </w:r>
    </w:p>
  </w:endnote>
  <w:endnote w:id="84">
    <w:p w14:paraId="4D295E29" w14:textId="5C5DD8F1" w:rsidR="00ED4902" w:rsidRPr="004906C5" w:rsidRDefault="00ED4902" w:rsidP="004906C5">
      <w:pPr>
        <w:pStyle w:val="EndnoteText"/>
        <w:spacing w:before="120" w:after="120"/>
        <w:ind w:left="720" w:hanging="720"/>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214C0D" w:rsidRPr="00682F5D">
        <w:rPr>
          <w:rFonts w:asciiTheme="minorHAnsi" w:hAnsiTheme="minorHAnsi" w:cstheme="minorHAnsi"/>
          <w14:numForm w14:val="lining"/>
          <w14:numSpacing w14:val="proportional"/>
        </w:rPr>
        <w:t>Government of Canada,</w:t>
      </w:r>
      <w:r w:rsidR="00214C0D" w:rsidRPr="00682F5D">
        <w:rPr>
          <w:rFonts w:asciiTheme="minorHAnsi" w:hAnsiTheme="minorHAnsi" w:cstheme="minorHAnsi"/>
        </w:rPr>
        <w:t xml:space="preserve"> </w:t>
      </w:r>
      <w:hyperlink r:id="rId93" w:history="1">
        <w:r w:rsidRPr="00682F5D">
          <w:rPr>
            <w:rStyle w:val="Hyperlink"/>
            <w:rFonts w:asciiTheme="minorHAnsi" w:hAnsiTheme="minorHAnsi" w:cstheme="minorHAnsi"/>
            <w:i/>
            <w14:numForm w14:val="lining"/>
            <w14:numSpacing w14:val="proportional"/>
          </w:rPr>
          <w:t>Eligibility to apply for the Federal Skilled Trades Program (Express Entry)</w:t>
        </w:r>
      </w:hyperlink>
      <w:r w:rsidR="00214C0D" w:rsidRPr="00682F5D">
        <w:rPr>
          <w:rFonts w:asciiTheme="minorHAnsi" w:hAnsiTheme="minorHAnsi" w:cstheme="minorHAnsi"/>
          <w14:numForm w14:val="lining"/>
          <w14:numSpacing w14:val="proportional"/>
        </w:rPr>
        <w:t>, Government of Canada website, 25 August 2023, accessed September 2023.</w:t>
      </w:r>
    </w:p>
  </w:endnote>
  <w:endnote w:id="85">
    <w:p w14:paraId="470E35F8" w14:textId="570DFE9B"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A953D5">
        <w:rPr>
          <w:rFonts w:asciiTheme="minorHAnsi" w:hAnsiTheme="minorHAnsi" w:cstheme="minorHAnsi"/>
        </w:rPr>
        <w:t xml:space="preserve">M Tuccio, </w:t>
      </w:r>
      <w:hyperlink r:id="rId94" w:history="1">
        <w:r w:rsidRPr="004906C5">
          <w:rPr>
            <w:rStyle w:val="Hyperlink"/>
            <w:rFonts w:asciiTheme="minorHAnsi" w:hAnsiTheme="minorHAnsi" w:cstheme="minorHAnsi"/>
            <w:i/>
            <w14:numForm w14:val="lining"/>
            <w14:numSpacing w14:val="proportional"/>
          </w:rPr>
          <w:t>Measuring and Assessing Talent Attractiveness in OECD Countries</w:t>
        </w:r>
        <w:r w:rsidR="00091D7D" w:rsidRPr="004906C5">
          <w:rPr>
            <w:rStyle w:val="Hyperlink"/>
            <w:rFonts w:asciiTheme="minorHAnsi" w:hAnsiTheme="minorHAnsi" w:cstheme="minorHAnsi"/>
            <w:i/>
            <w:iCs/>
            <w14:numForm w14:val="lining"/>
            <w14:numSpacing w14:val="proportional"/>
          </w:rPr>
          <w:t xml:space="preserve"> [PDF 3.0MB],</w:t>
        </w:r>
      </w:hyperlink>
      <w:r w:rsidR="00091D7D" w:rsidRPr="004906C5">
        <w:rPr>
          <w:rFonts w:asciiTheme="minorHAnsi" w:hAnsiTheme="minorHAnsi" w:cstheme="minorHAnsi"/>
          <w14:numForm w14:val="lining"/>
          <w14:numSpacing w14:val="proportional"/>
        </w:rPr>
        <w:t xml:space="preserve"> </w:t>
      </w:r>
      <w:r w:rsidR="00091D7D" w:rsidRPr="004906C5">
        <w:rPr>
          <w:rFonts w:asciiTheme="minorHAnsi" w:hAnsiTheme="minorHAnsi" w:cstheme="minorHAnsi"/>
        </w:rPr>
        <w:t>OECD Social, Employment and Migration Working Papers No. 229,</w:t>
      </w:r>
      <w:r w:rsidR="00091D7D" w:rsidRPr="004906C5">
        <w:rPr>
          <w:rFonts w:asciiTheme="minorHAnsi" w:hAnsiTheme="minorHAnsi" w:cstheme="minorHAnsi"/>
          <w14:numForm w14:val="lining"/>
          <w14:numSpacing w14:val="proportional"/>
        </w:rPr>
        <w:t xml:space="preserve"> </w:t>
      </w:r>
      <w:r w:rsidR="00FB32AD">
        <w:rPr>
          <w:rFonts w:asciiTheme="minorHAnsi" w:hAnsiTheme="minorHAnsi" w:cstheme="minorHAnsi"/>
          <w14:numForm w14:val="lining"/>
          <w14:numSpacing w14:val="proportional"/>
        </w:rPr>
        <w:t xml:space="preserve">OECD, </w:t>
      </w:r>
      <w:r w:rsidR="00091D7D" w:rsidRPr="004906C5">
        <w:rPr>
          <w:rFonts w:asciiTheme="minorHAnsi" w:hAnsiTheme="minorHAnsi" w:cstheme="minorHAnsi"/>
          <w14:numForm w14:val="lining"/>
          <w14:numSpacing w14:val="proportional"/>
        </w:rPr>
        <w:t>2019, accessed September 2023.</w:t>
      </w:r>
    </w:p>
  </w:endnote>
  <w:endnote w:id="86">
    <w:p w14:paraId="0739343A" w14:textId="68FCA4F2"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87427B">
        <w:rPr>
          <w:rFonts w:asciiTheme="minorHAnsi" w:hAnsiTheme="minorHAnsi" w:cstheme="minorHAnsi"/>
        </w:rPr>
        <w:t>OECD,</w:t>
      </w:r>
      <w:r w:rsidR="008872E6" w:rsidRPr="004906C5">
        <w:rPr>
          <w:rFonts w:asciiTheme="minorHAnsi" w:hAnsiTheme="minorHAnsi" w:cstheme="minorHAnsi"/>
        </w:rPr>
        <w:t xml:space="preserve"> </w:t>
      </w:r>
      <w:hyperlink r:id="rId95" w:history="1">
        <w:r w:rsidRPr="004906C5">
          <w:rPr>
            <w:rStyle w:val="Hyperlink"/>
            <w:rFonts w:asciiTheme="minorHAnsi" w:hAnsiTheme="minorHAnsi" w:cstheme="minorHAnsi"/>
            <w:i/>
            <w14:numForm w14:val="lining"/>
            <w14:numSpacing w14:val="proportional"/>
          </w:rPr>
          <w:t>Talent attractiveness</w:t>
        </w:r>
        <w:r w:rsidR="008872E6" w:rsidRPr="004906C5">
          <w:rPr>
            <w:rStyle w:val="Hyperlink"/>
            <w:rFonts w:asciiTheme="minorHAnsi" w:hAnsiTheme="minorHAnsi" w:cstheme="minorHAnsi"/>
            <w:i/>
            <w14:numForm w14:val="lining"/>
            <w14:numSpacing w14:val="proportional"/>
          </w:rPr>
          <w:t xml:space="preserve"> 2023</w:t>
        </w:r>
        <w:r w:rsidR="008872E6" w:rsidRPr="004906C5">
          <w:rPr>
            <w:rStyle w:val="Hyperlink"/>
            <w:rFonts w:asciiTheme="minorHAnsi" w:hAnsiTheme="minorHAnsi" w:cstheme="minorHAnsi"/>
            <w14:numForm w14:val="lining"/>
            <w14:numSpacing w14:val="proportional"/>
          </w:rPr>
          <w:t>,</w:t>
        </w:r>
      </w:hyperlink>
      <w:r w:rsidR="008872E6" w:rsidRPr="004906C5">
        <w:rPr>
          <w:rFonts w:asciiTheme="minorHAnsi" w:hAnsiTheme="minorHAnsi" w:cstheme="minorHAnsi"/>
          <w14:numForm w14:val="lining"/>
          <w14:numSpacing w14:val="proportional"/>
        </w:rPr>
        <w:t xml:space="preserve"> OECD website, 2023, accessed September 2023.</w:t>
      </w:r>
    </w:p>
  </w:endnote>
  <w:endnote w:id="87">
    <w:p w14:paraId="38955356" w14:textId="627C5A43" w:rsidR="00ED4902" w:rsidRPr="004906C5" w:rsidRDefault="00ED4902" w:rsidP="004906C5">
      <w:pPr>
        <w:pStyle w:val="EndnoteText"/>
        <w:spacing w:before="120" w:after="120"/>
        <w:ind w:left="709" w:hanging="709"/>
        <w:rPr>
          <w:rFonts w:asciiTheme="minorHAnsi" w:hAnsiTheme="minorHAnsi" w:cstheme="minorHAnsi"/>
          <w14:numForm w14:val="lining"/>
          <w14:numSpacing w14:val="proportional"/>
        </w:rPr>
      </w:pPr>
      <w:r w:rsidRPr="004906C5">
        <w:rPr>
          <w:rStyle w:val="EndnoteReference"/>
          <w:rFonts w:asciiTheme="minorHAnsi" w:hAnsiTheme="minorHAnsi" w:cstheme="minorHAnsi"/>
          <w:vertAlign w:val="baseline"/>
          <w14:numForm w14:val="lining"/>
          <w14:numSpacing w14:val="proportional"/>
        </w:rPr>
        <w:endnoteRef/>
      </w:r>
      <w:r w:rsidRPr="004906C5">
        <w:rPr>
          <w:rFonts w:asciiTheme="minorHAnsi" w:hAnsiTheme="minorHAnsi" w:cstheme="minorHAnsi"/>
          <w14:numForm w14:val="lining"/>
          <w14:numSpacing w14:val="proportional"/>
        </w:rPr>
        <w:t xml:space="preserve"> </w:t>
      </w:r>
      <w:r w:rsidRPr="004906C5">
        <w:rPr>
          <w:rFonts w:asciiTheme="minorHAnsi" w:hAnsiTheme="minorHAnsi" w:cstheme="minorHAnsi"/>
          <w14:numForm w14:val="lining"/>
          <w14:numSpacing w14:val="proportional"/>
        </w:rPr>
        <w:tab/>
      </w:r>
      <w:r w:rsidR="00314DAA" w:rsidRPr="004906C5">
        <w:rPr>
          <w:rFonts w:asciiTheme="minorHAnsi" w:hAnsiTheme="minorHAnsi" w:cstheme="minorHAnsi"/>
          <w14:numForm w14:val="lining"/>
          <w14:numSpacing w14:val="proportional"/>
        </w:rPr>
        <w:t>Department of Home Affairs,</w:t>
      </w:r>
      <w:r w:rsidR="00314DAA" w:rsidRPr="004906C5">
        <w:rPr>
          <w:rFonts w:asciiTheme="minorHAnsi" w:hAnsiTheme="minorHAnsi" w:cstheme="minorHAnsi"/>
        </w:rPr>
        <w:t xml:space="preserve"> ‘</w:t>
      </w:r>
      <w:bookmarkStart w:id="48" w:name="_Hlk133795176"/>
      <w:r w:rsidR="004677AE" w:rsidRPr="004906C5">
        <w:fldChar w:fldCharType="begin"/>
      </w:r>
      <w:r w:rsidR="004677AE" w:rsidRPr="004906C5">
        <w:rPr>
          <w:rFonts w:asciiTheme="minorHAnsi" w:hAnsiTheme="minorHAnsi" w:cstheme="minorHAnsi"/>
        </w:rPr>
        <w:instrText>HYPERLINK "https://www.homeaffairs.gov.au/reports-and-publications/reviews-and-inquiries/departmental-reviews/migration-system-for-australias-future"</w:instrText>
      </w:r>
      <w:r w:rsidR="004677AE" w:rsidRPr="004906C5">
        <w:fldChar w:fldCharType="separate"/>
      </w:r>
      <w:r w:rsidRPr="004906C5">
        <w:rPr>
          <w:rStyle w:val="Hyperlink"/>
          <w:rFonts w:asciiTheme="minorHAnsi" w:hAnsiTheme="minorHAnsi" w:cstheme="minorHAnsi"/>
          <w14:numForm w14:val="lining"/>
          <w14:numSpacing w14:val="proportional"/>
        </w:rPr>
        <w:t>Review of the Migration System</w:t>
      </w:r>
      <w:r w:rsidR="00314DAA" w:rsidRPr="004906C5">
        <w:rPr>
          <w:rStyle w:val="Hyperlink"/>
          <w:rFonts w:asciiTheme="minorHAnsi" w:hAnsiTheme="minorHAnsi" w:cstheme="minorHAnsi"/>
          <w14:numForm w14:val="lining"/>
          <w14:numSpacing w14:val="proportional"/>
        </w:rPr>
        <w:t xml:space="preserve"> – Final Report 2023</w:t>
      </w:r>
      <w:r w:rsidR="004677AE" w:rsidRPr="004906C5">
        <w:rPr>
          <w:rStyle w:val="Hyperlink"/>
          <w:rFonts w:asciiTheme="minorHAnsi" w:hAnsiTheme="minorHAnsi" w:cstheme="minorHAnsi"/>
          <w14:numForm w14:val="lining"/>
          <w14:numSpacing w14:val="proportional"/>
        </w:rPr>
        <w:fldChar w:fldCharType="end"/>
      </w:r>
      <w:r w:rsidR="00314DAA" w:rsidRPr="004906C5">
        <w:rPr>
          <w:rStyle w:val="Hyperlink"/>
          <w:rFonts w:asciiTheme="minorHAnsi" w:hAnsiTheme="minorHAnsi" w:cstheme="minorHAnsi"/>
          <w14:numForm w14:val="lining"/>
          <w14:numSpacing w14:val="proportional"/>
        </w:rPr>
        <w:t>’</w:t>
      </w:r>
      <w:r w:rsidRPr="004906C5">
        <w:rPr>
          <w:rStyle w:val="Hyperlink"/>
          <w:rFonts w:asciiTheme="minorHAnsi" w:hAnsiTheme="minorHAnsi" w:cstheme="minorHAnsi"/>
          <w14:numForm w14:val="lining"/>
          <w14:numSpacing w14:val="proportional"/>
        </w:rPr>
        <w:t>,</w:t>
      </w:r>
      <w:r w:rsidRPr="004906C5">
        <w:rPr>
          <w:rFonts w:asciiTheme="minorHAnsi" w:hAnsiTheme="minorHAnsi" w:cstheme="minorHAnsi"/>
          <w14:numForm w14:val="lining"/>
          <w14:numSpacing w14:val="proportional"/>
        </w:rPr>
        <w:t xml:space="preserve"> Department of Home Affairs</w:t>
      </w:r>
      <w:bookmarkEnd w:id="48"/>
      <w:r w:rsidR="00314DAA" w:rsidRPr="004906C5">
        <w:rPr>
          <w:rFonts w:asciiTheme="minorHAnsi" w:hAnsiTheme="minorHAnsi" w:cstheme="minorHAnsi"/>
          <w14:numForm w14:val="lining"/>
          <w14:numSpacing w14:val="proportional"/>
        </w:rPr>
        <w:t xml:space="preserve">, </w:t>
      </w:r>
      <w:r w:rsidR="0087427B">
        <w:rPr>
          <w:rFonts w:asciiTheme="minorHAnsi" w:hAnsiTheme="minorHAnsi" w:cstheme="minorHAnsi"/>
        </w:rPr>
        <w:t>Australian Government,</w:t>
      </w:r>
      <w:r w:rsidR="0087427B" w:rsidRPr="004906C5">
        <w:rPr>
          <w:rFonts w:asciiTheme="minorHAnsi" w:hAnsiTheme="minorHAnsi" w:cstheme="minorHAnsi"/>
        </w:rPr>
        <w:t xml:space="preserve"> </w:t>
      </w:r>
      <w:r w:rsidR="00314DAA" w:rsidRPr="004906C5">
        <w:rPr>
          <w:rFonts w:asciiTheme="minorHAnsi" w:hAnsiTheme="minorHAnsi" w:cstheme="minorHAnsi"/>
          <w14:numForm w14:val="lining"/>
          <w14:numSpacing w14:val="proportional"/>
        </w:rPr>
        <w:t>2023, accessed September 2023.</w:t>
      </w:r>
    </w:p>
  </w:endnote>
  <w:endnote w:id="88">
    <w:p w14:paraId="5DA96F0D" w14:textId="6BECAB8E" w:rsidR="00ED4902" w:rsidRPr="004906C5" w:rsidRDefault="00ED4902" w:rsidP="00AC70B8">
      <w:pPr>
        <w:pStyle w:val="EndnoteText"/>
        <w:spacing w:before="120" w:after="120"/>
        <w:ind w:left="709" w:hanging="709"/>
        <w:rPr>
          <w:rFonts w:asciiTheme="minorHAnsi" w:hAnsiTheme="minorHAnsi" w:cstheme="minorHAnsi"/>
          <w14:numForm w14:val="lining"/>
          <w14:numSpacing w14:val="proportional"/>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vertAlign w:val="baseline"/>
        </w:rPr>
        <w:t xml:space="preserve"> </w:t>
      </w:r>
      <w:r w:rsidRPr="004906C5">
        <w:rPr>
          <w:rFonts w:asciiTheme="minorHAnsi" w:hAnsiTheme="minorHAnsi" w:cstheme="minorHAnsi"/>
          <w14:numForm w14:val="lining"/>
          <w14:numSpacing w14:val="proportional"/>
        </w:rPr>
        <w:tab/>
      </w:r>
      <w:r w:rsidR="002E5F1F" w:rsidRPr="004906C5">
        <w:rPr>
          <w:rFonts w:asciiTheme="minorHAnsi" w:hAnsiTheme="minorHAnsi" w:cstheme="minorHAnsi"/>
        </w:rPr>
        <w:t>PALM</w:t>
      </w:r>
      <w:r w:rsidR="002E5F1F" w:rsidRPr="004906C5">
        <w:rPr>
          <w:rFonts w:asciiTheme="minorHAnsi" w:hAnsiTheme="minorHAnsi" w:cstheme="minorHAnsi"/>
          <w14:numForm w14:val="lining"/>
          <w14:numSpacing w14:val="proportional"/>
        </w:rPr>
        <w:t xml:space="preserve"> </w:t>
      </w:r>
      <w:r w:rsidR="002E5F1F">
        <w:rPr>
          <w:rFonts w:asciiTheme="minorHAnsi" w:hAnsiTheme="minorHAnsi" w:cstheme="minorHAnsi"/>
          <w14:numForm w14:val="lining"/>
          <w14:numSpacing w14:val="proportional"/>
        </w:rPr>
        <w:t>(</w:t>
      </w:r>
      <w:r w:rsidR="006A00F5" w:rsidRPr="004906C5">
        <w:rPr>
          <w:rFonts w:asciiTheme="minorHAnsi" w:hAnsiTheme="minorHAnsi" w:cstheme="minorHAnsi"/>
          <w14:numForm w14:val="lining"/>
          <w14:numSpacing w14:val="proportional"/>
        </w:rPr>
        <w:t>Pacific Australia Labour Mobility</w:t>
      </w:r>
      <w:r w:rsidR="006A00F5" w:rsidRPr="004906C5">
        <w:rPr>
          <w:rFonts w:asciiTheme="minorHAnsi" w:hAnsiTheme="minorHAnsi" w:cstheme="minorHAnsi"/>
        </w:rPr>
        <w:t xml:space="preserve">), </w:t>
      </w:r>
      <w:hyperlink r:id="rId96" w:history="1">
        <w:r w:rsidRPr="00AC70B8">
          <w:rPr>
            <w:rStyle w:val="Hyperlink"/>
            <w:rFonts w:asciiTheme="minorHAnsi" w:hAnsiTheme="minorHAnsi" w:cstheme="minorHAnsi"/>
            <w:i/>
            <w:iCs/>
            <w14:numForm w14:val="lining"/>
            <w14:numSpacing w14:val="proportional"/>
          </w:rPr>
          <w:t>Welcome to the PALM scheme</w:t>
        </w:r>
      </w:hyperlink>
      <w:r w:rsidR="006A00F5">
        <w:rPr>
          <w:rFonts w:asciiTheme="minorHAnsi" w:hAnsiTheme="minorHAnsi" w:cstheme="minorHAnsi"/>
          <w14:numForm w14:val="lining"/>
          <w14:numSpacing w14:val="proportional"/>
        </w:rPr>
        <w:t>,</w:t>
      </w:r>
      <w:r w:rsidR="00AC70B8">
        <w:rPr>
          <w:rFonts w:asciiTheme="minorHAnsi" w:hAnsiTheme="minorHAnsi" w:cstheme="minorHAnsi"/>
          <w14:numForm w14:val="lining"/>
          <w14:numSpacing w14:val="proportional"/>
        </w:rPr>
        <w:t xml:space="preserve"> </w:t>
      </w:r>
      <w:r w:rsidR="006A00F5">
        <w:rPr>
          <w:rFonts w:asciiTheme="minorHAnsi" w:hAnsiTheme="minorHAnsi" w:cstheme="minorHAnsi"/>
          <w14:numForm w14:val="lining"/>
          <w14:numSpacing w14:val="proportional"/>
        </w:rPr>
        <w:t xml:space="preserve">PALM website, </w:t>
      </w:r>
      <w:r w:rsidR="0087427B">
        <w:rPr>
          <w:rFonts w:asciiTheme="minorHAnsi" w:hAnsiTheme="minorHAnsi" w:cstheme="minorHAnsi"/>
          <w14:numForm w14:val="lining"/>
          <w14:numSpacing w14:val="proportional"/>
        </w:rPr>
        <w:t xml:space="preserve">Australian Government, </w:t>
      </w:r>
      <w:r w:rsidR="00AC70B8">
        <w:rPr>
          <w:rFonts w:asciiTheme="minorHAnsi" w:hAnsiTheme="minorHAnsi" w:cstheme="minorHAnsi"/>
          <w14:numForm w14:val="lining"/>
          <w14:numSpacing w14:val="proportional"/>
        </w:rPr>
        <w:t>accessed September 2023.</w:t>
      </w:r>
    </w:p>
  </w:endnote>
  <w:endnote w:id="89">
    <w:p w14:paraId="48162388" w14:textId="516B315D" w:rsidR="00ED4902" w:rsidRPr="004906C5" w:rsidRDefault="00ED4902" w:rsidP="004906C5">
      <w:pPr>
        <w:pStyle w:val="EndnoteText"/>
        <w:spacing w:before="120" w:after="120"/>
        <w:ind w:left="720" w:hanging="720"/>
        <w:rPr>
          <w:rFonts w:asciiTheme="minorHAnsi" w:hAnsiTheme="minorHAnsi" w:cstheme="minorHAnsi"/>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rFonts w:asciiTheme="minorHAnsi" w:hAnsiTheme="minorHAnsi" w:cstheme="minorHAnsi"/>
          <w:vertAlign w:val="baseline"/>
          <w14:numForm w14:val="lining"/>
          <w14:numSpacing w14:val="proportional"/>
        </w:rPr>
        <w:t xml:space="preserve"> </w:t>
      </w:r>
      <w:r w:rsidRPr="004906C5">
        <w:rPr>
          <w:rFonts w:asciiTheme="minorHAnsi" w:hAnsiTheme="minorHAnsi" w:cstheme="minorHAnsi"/>
          <w14:numForm w14:val="lining"/>
          <w14:numSpacing w14:val="proportional"/>
        </w:rPr>
        <w:tab/>
      </w:r>
      <w:r w:rsidR="00B245A8" w:rsidRPr="004906C5">
        <w:rPr>
          <w:rFonts w:asciiTheme="minorHAnsi" w:hAnsiTheme="minorHAnsi" w:cstheme="minorHAnsi"/>
        </w:rPr>
        <w:t xml:space="preserve">PALM, </w:t>
      </w:r>
      <w:hyperlink r:id="rId97" w:history="1">
        <w:r w:rsidRPr="004906C5">
          <w:rPr>
            <w:rStyle w:val="Hyperlink"/>
            <w:rFonts w:asciiTheme="minorHAnsi" w:hAnsiTheme="minorHAnsi" w:cstheme="minorHAnsi"/>
            <w:i/>
            <w14:numForm w14:val="lining"/>
            <w14:numSpacing w14:val="proportional"/>
          </w:rPr>
          <w:t>Budget 2022-23: Building a stronger Pacific family - reforming the PALM schem</w:t>
        </w:r>
        <w:r w:rsidR="006A00F5">
          <w:rPr>
            <w:rStyle w:val="Hyperlink"/>
            <w:rFonts w:asciiTheme="minorHAnsi" w:hAnsiTheme="minorHAnsi" w:cstheme="minorHAnsi"/>
            <w:i/>
            <w14:numForm w14:val="lining"/>
            <w14:numSpacing w14:val="proportional"/>
          </w:rPr>
          <w:t xml:space="preserve">e </w:t>
        </w:r>
        <w:r w:rsidR="006A00F5" w:rsidRPr="006A00F5">
          <w:rPr>
            <w:rStyle w:val="Hyperlink"/>
            <w:rFonts w:asciiTheme="minorHAnsi" w:hAnsiTheme="minorHAnsi" w:cstheme="minorHAnsi"/>
            <w:iCs/>
            <w14:numForm w14:val="lining"/>
            <w14:numSpacing w14:val="proportional"/>
          </w:rPr>
          <w:t>[PDF 133KB]</w:t>
        </w:r>
      </w:hyperlink>
      <w:r w:rsidR="00B245A8" w:rsidRPr="004906C5">
        <w:rPr>
          <w:rFonts w:asciiTheme="minorHAnsi" w:hAnsiTheme="minorHAnsi" w:cstheme="minorHAnsi"/>
          <w14:numForm w14:val="lining"/>
          <w14:numSpacing w14:val="proportional"/>
        </w:rPr>
        <w:t>, PAL</w:t>
      </w:r>
      <w:r w:rsidR="006A00F5">
        <w:rPr>
          <w:rFonts w:asciiTheme="minorHAnsi" w:hAnsiTheme="minorHAnsi" w:cstheme="minorHAnsi"/>
          <w14:numForm w14:val="lining"/>
          <w14:numSpacing w14:val="proportional"/>
        </w:rPr>
        <w:t>M</w:t>
      </w:r>
      <w:r w:rsidR="00B245A8" w:rsidRPr="004906C5">
        <w:rPr>
          <w:rFonts w:asciiTheme="minorHAnsi" w:hAnsiTheme="minorHAnsi" w:cstheme="minorHAnsi"/>
          <w14:numForm w14:val="lining"/>
          <w14:numSpacing w14:val="proportional"/>
        </w:rPr>
        <w:t xml:space="preserve">, </w:t>
      </w:r>
      <w:r w:rsidR="0087427B">
        <w:rPr>
          <w:rFonts w:asciiTheme="minorHAnsi" w:hAnsiTheme="minorHAnsi" w:cstheme="minorHAnsi"/>
          <w14:numForm w14:val="lining"/>
          <w14:numSpacing w14:val="proportional"/>
        </w:rPr>
        <w:t xml:space="preserve">Australian Government, </w:t>
      </w:r>
      <w:r w:rsidR="00B245A8" w:rsidRPr="004906C5">
        <w:rPr>
          <w:rFonts w:asciiTheme="minorHAnsi" w:hAnsiTheme="minorHAnsi" w:cstheme="minorHAnsi"/>
          <w14:numForm w14:val="lining"/>
          <w14:numSpacing w14:val="proportional"/>
        </w:rPr>
        <w:t>2023, accessed September 2023.</w:t>
      </w:r>
    </w:p>
  </w:endnote>
  <w:endnote w:id="90">
    <w:p w14:paraId="1EDB0F8A" w14:textId="2E8B0DE1" w:rsidR="7F405116" w:rsidRDefault="7F405116" w:rsidP="002E5F1F">
      <w:pPr>
        <w:spacing w:line="257" w:lineRule="auto"/>
        <w:ind w:left="709" w:hanging="709"/>
        <w:rPr>
          <w:rFonts w:ascii="Calibri" w:eastAsia="Calibri" w:hAnsi="Calibri" w:cs="Calibri"/>
        </w:rPr>
      </w:pPr>
      <w:r w:rsidRPr="003F4731">
        <w:rPr>
          <w:rStyle w:val="EndnoteReference"/>
          <w:rFonts w:asciiTheme="minorHAnsi" w:hAnsiTheme="minorHAnsi" w:cstheme="minorHAnsi"/>
          <w:sz w:val="20"/>
          <w:szCs w:val="20"/>
          <w:vertAlign w:val="baseline"/>
          <w14:numForm w14:val="lining"/>
          <w14:numSpacing w14:val="proportional"/>
        </w:rPr>
        <w:endnoteRef/>
      </w:r>
      <w:r w:rsidRPr="003F4731">
        <w:rPr>
          <w:rStyle w:val="EndnoteReference"/>
          <w:rFonts w:asciiTheme="minorHAnsi" w:hAnsiTheme="minorHAnsi" w:cstheme="minorHAnsi"/>
          <w:sz w:val="20"/>
          <w:szCs w:val="20"/>
          <w:vertAlign w:val="baseline"/>
          <w14:numForm w14:val="lining"/>
          <w14:numSpacing w14:val="proportional"/>
        </w:rPr>
        <w:t xml:space="preserve"> </w:t>
      </w:r>
      <w:r w:rsidR="002E5F1F" w:rsidRPr="003F4731">
        <w:tab/>
      </w:r>
      <w:r w:rsidRPr="003F4731">
        <w:rPr>
          <w:rFonts w:cs="Arial"/>
          <w:sz w:val="20"/>
          <w:szCs w:val="20"/>
        </w:rPr>
        <w:t xml:space="preserve">R Garnaut, </w:t>
      </w:r>
      <w:r w:rsidRPr="003F4731">
        <w:rPr>
          <w:rFonts w:cs="Arial"/>
          <w:i/>
          <w:iCs/>
          <w:sz w:val="20"/>
          <w:szCs w:val="20"/>
        </w:rPr>
        <w:t>The Superpower Transformation</w:t>
      </w:r>
      <w:r w:rsidRPr="003F4731">
        <w:rPr>
          <w:rFonts w:cs="Arial"/>
          <w:sz w:val="20"/>
          <w:szCs w:val="20"/>
        </w:rPr>
        <w:t>, La Trobe University Press, 2022.</w:t>
      </w:r>
    </w:p>
  </w:endnote>
  <w:endnote w:id="91">
    <w:p w14:paraId="4A579CAF" w14:textId="37998BFC" w:rsidR="00490BA1" w:rsidRPr="002E5F1F" w:rsidRDefault="00490BA1" w:rsidP="002E5F1F">
      <w:pPr>
        <w:spacing w:before="120" w:after="120"/>
        <w:ind w:left="709" w:hanging="709"/>
        <w:rPr>
          <w:rFonts w:cs="Arial"/>
          <w:sz w:val="20"/>
          <w:szCs w:val="20"/>
        </w:rPr>
      </w:pPr>
      <w:r w:rsidRPr="002E5F1F">
        <w:rPr>
          <w:rStyle w:val="EndnoteReference"/>
          <w:rFonts w:asciiTheme="minorHAnsi" w:hAnsiTheme="minorHAnsi" w:cstheme="minorHAnsi"/>
          <w:sz w:val="20"/>
          <w:szCs w:val="20"/>
          <w:vertAlign w:val="baseline"/>
          <w14:numForm w14:val="lining"/>
          <w14:numSpacing w14:val="proportional"/>
        </w:rPr>
        <w:endnoteRef/>
      </w:r>
      <w:r w:rsidRPr="002E5F1F">
        <w:rPr>
          <w:rStyle w:val="EndnoteReference"/>
          <w:rFonts w:asciiTheme="minorHAnsi" w:hAnsiTheme="minorHAnsi" w:cstheme="minorHAnsi"/>
          <w:sz w:val="20"/>
          <w:szCs w:val="20"/>
          <w:vertAlign w:val="baseline"/>
          <w14:numForm w14:val="lining"/>
          <w14:numSpacing w14:val="proportional"/>
        </w:rPr>
        <w:t xml:space="preserve"> </w:t>
      </w:r>
      <w:r w:rsidR="002E5F1F">
        <w:tab/>
      </w:r>
      <w:r w:rsidR="002E5F1F" w:rsidRPr="00605B24">
        <w:rPr>
          <w:rFonts w:cs="Arial"/>
          <w:sz w:val="20"/>
          <w:szCs w:val="20"/>
        </w:rPr>
        <w:t xml:space="preserve">JSA </w:t>
      </w:r>
      <w:r w:rsidR="002E5F1F">
        <w:rPr>
          <w:rFonts w:cs="Arial"/>
          <w:sz w:val="20"/>
          <w:szCs w:val="20"/>
        </w:rPr>
        <w:t>(</w:t>
      </w:r>
      <w:r w:rsidR="002E5F1F" w:rsidRPr="00605B24">
        <w:rPr>
          <w:rFonts w:cs="Arial"/>
          <w:sz w:val="20"/>
          <w:szCs w:val="20"/>
        </w:rPr>
        <w:t>Jobs and Skills Australia), ‘</w:t>
      </w:r>
      <w:hyperlink r:id="rId98" w:history="1">
        <w:r w:rsidR="002E5F1F" w:rsidRPr="00605B24">
          <w:rPr>
            <w:rStyle w:val="Hyperlink"/>
            <w:rFonts w:cs="Arial"/>
            <w:sz w:val="20"/>
            <w:szCs w:val="20"/>
          </w:rPr>
          <w:t>Skills Shortage Quarterly June 2023</w:t>
        </w:r>
      </w:hyperlink>
      <w:r w:rsidR="002E5F1F" w:rsidRPr="00605B24">
        <w:rPr>
          <w:rFonts w:cs="Arial"/>
          <w:sz w:val="20"/>
          <w:szCs w:val="20"/>
        </w:rPr>
        <w:t>’, JSA website, accessed September 2023.</w:t>
      </w:r>
    </w:p>
  </w:endnote>
  <w:endnote w:id="92">
    <w:p w14:paraId="619CFFB7" w14:textId="70A370BF" w:rsidR="009E09C1" w:rsidRPr="004906C5" w:rsidRDefault="009E09C1" w:rsidP="00961EF2">
      <w:pPr>
        <w:pStyle w:val="EndnoteText"/>
        <w:spacing w:before="120" w:after="120"/>
        <w:ind w:left="709" w:hanging="709"/>
        <w:rPr>
          <w:rFonts w:asciiTheme="minorHAnsi" w:hAnsiTheme="minorHAnsi" w:cstheme="minorHAnsi"/>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vertAlign w:val="baseline"/>
          <w14:numForm w14:val="lining"/>
          <w14:numSpacing w14:val="proportional"/>
        </w:rPr>
        <w:t xml:space="preserve"> </w:t>
      </w:r>
      <w:r w:rsidRPr="004906C5">
        <w:rPr>
          <w:rFonts w:asciiTheme="minorHAnsi" w:hAnsiTheme="minorHAnsi" w:cstheme="minorHAnsi"/>
        </w:rPr>
        <w:tab/>
      </w:r>
      <w:r w:rsidR="00961EF2">
        <w:rPr>
          <w:rFonts w:asciiTheme="minorHAnsi" w:hAnsiTheme="minorHAnsi" w:cstheme="minorHAnsi"/>
        </w:rPr>
        <w:t>DCCEEW</w:t>
      </w:r>
      <w:r w:rsidR="00E5314E" w:rsidRPr="004906C5">
        <w:rPr>
          <w:rFonts w:asciiTheme="minorHAnsi" w:hAnsiTheme="minorHAnsi" w:cstheme="minorHAnsi"/>
        </w:rPr>
        <w:t>, ‘</w:t>
      </w:r>
      <w:hyperlink r:id="rId99" w:history="1">
        <w:r w:rsidR="00E5314E" w:rsidRPr="004906C5">
          <w:rPr>
            <w:rStyle w:val="Hyperlink"/>
            <w:rFonts w:asciiTheme="minorHAnsi" w:hAnsiTheme="minorHAnsi" w:cstheme="minorHAnsi"/>
          </w:rPr>
          <w:t>State of Hydrogen 2022</w:t>
        </w:r>
      </w:hyperlink>
      <w:r w:rsidR="00E5314E" w:rsidRPr="004906C5">
        <w:rPr>
          <w:rFonts w:asciiTheme="minorHAnsi" w:hAnsiTheme="minorHAnsi" w:cstheme="minorHAnsi"/>
        </w:rPr>
        <w:t xml:space="preserve">’, DCCEEW, </w:t>
      </w:r>
      <w:r w:rsidR="0039718F">
        <w:rPr>
          <w:rFonts w:asciiTheme="minorHAnsi" w:hAnsiTheme="minorHAnsi" w:cstheme="minorHAnsi"/>
        </w:rPr>
        <w:t>Australian Government,</w:t>
      </w:r>
      <w:r w:rsidR="0039718F" w:rsidRPr="004906C5">
        <w:rPr>
          <w:rFonts w:asciiTheme="minorHAnsi" w:hAnsiTheme="minorHAnsi" w:cstheme="minorHAnsi"/>
        </w:rPr>
        <w:t xml:space="preserve"> </w:t>
      </w:r>
      <w:r w:rsidR="00E5314E" w:rsidRPr="004906C5">
        <w:rPr>
          <w:rFonts w:asciiTheme="minorHAnsi" w:hAnsiTheme="minorHAnsi" w:cstheme="minorHAnsi"/>
        </w:rPr>
        <w:t>2023, accessed September 2023.</w:t>
      </w:r>
    </w:p>
  </w:endnote>
  <w:endnote w:id="93">
    <w:p w14:paraId="5F0AF35C" w14:textId="0D1D51DD" w:rsidR="009E09C1" w:rsidRPr="002E5F1F" w:rsidRDefault="009E09C1" w:rsidP="002E5F1F">
      <w:pPr>
        <w:spacing w:before="120" w:after="120"/>
        <w:ind w:left="709" w:hanging="709"/>
        <w:rPr>
          <w:rFonts w:cs="Arial"/>
          <w:color w:val="auto"/>
          <w:sz w:val="20"/>
          <w:szCs w:val="20"/>
        </w:rPr>
      </w:pPr>
      <w:r w:rsidRPr="00CC7FBB">
        <w:rPr>
          <w:rStyle w:val="EndnoteReference"/>
          <w:rFonts w:asciiTheme="minorHAnsi" w:hAnsiTheme="minorHAnsi" w:cstheme="minorHAnsi"/>
          <w:sz w:val="20"/>
          <w:szCs w:val="20"/>
          <w:vertAlign w:val="baseline"/>
          <w14:numForm w14:val="lining"/>
          <w14:numSpacing w14:val="proportional"/>
        </w:rPr>
        <w:endnoteRef/>
      </w:r>
      <w:r w:rsidRPr="00CC7FBB">
        <w:rPr>
          <w:rStyle w:val="EndnoteReference"/>
          <w:sz w:val="20"/>
          <w:szCs w:val="20"/>
          <w:vertAlign w:val="baseline"/>
          <w14:numForm w14:val="lining"/>
          <w14:numSpacing w14:val="proportional"/>
        </w:rPr>
        <w:t xml:space="preserve"> </w:t>
      </w:r>
      <w:r w:rsidRPr="002E5F1F">
        <w:rPr>
          <w:rFonts w:asciiTheme="minorHAnsi" w:hAnsiTheme="minorHAnsi" w:cstheme="minorHAnsi"/>
        </w:rPr>
        <w:tab/>
      </w:r>
      <w:r w:rsidR="002E5F1F" w:rsidRPr="00605B24">
        <w:rPr>
          <w:rFonts w:cs="Arial"/>
          <w:sz w:val="20"/>
          <w:szCs w:val="20"/>
        </w:rPr>
        <w:t xml:space="preserve">ABS, Occupation by Industry of Employment, </w:t>
      </w:r>
      <w:r w:rsidR="002E5F1F" w:rsidRPr="00605B24">
        <w:rPr>
          <w:rFonts w:cs="Arial"/>
          <w:i/>
          <w:iCs/>
          <w:sz w:val="20"/>
          <w:szCs w:val="20"/>
        </w:rPr>
        <w:t xml:space="preserve">2021 </w:t>
      </w:r>
      <w:r w:rsidR="002E5F1F" w:rsidRPr="00605B24">
        <w:rPr>
          <w:rFonts w:cs="Arial"/>
          <w:i/>
          <w:sz w:val="20"/>
          <w:szCs w:val="20"/>
        </w:rPr>
        <w:t>Census of Population and Housing</w:t>
      </w:r>
      <w:r w:rsidR="002E5F1F" w:rsidRPr="00605B24">
        <w:rPr>
          <w:rFonts w:cs="Arial"/>
          <w:i/>
          <w:iCs/>
          <w:sz w:val="20"/>
          <w:szCs w:val="20"/>
        </w:rPr>
        <w:t xml:space="preserve">, </w:t>
      </w:r>
      <w:r w:rsidR="002E5F1F" w:rsidRPr="00605B24">
        <w:rPr>
          <w:rFonts w:cs="Arial"/>
          <w:sz w:val="20"/>
          <w:szCs w:val="20"/>
        </w:rPr>
        <w:t>ABS, 2022, accessed September 2023.</w:t>
      </w:r>
    </w:p>
  </w:endnote>
  <w:endnote w:id="94">
    <w:p w14:paraId="3F6AD809" w14:textId="4A884E27" w:rsidR="4AB85293" w:rsidRDefault="4AB85293" w:rsidP="002E5F1F">
      <w:pPr>
        <w:pStyle w:val="EndnoteText"/>
        <w:ind w:left="709" w:hanging="709"/>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rFonts w:asciiTheme="minorHAnsi" w:hAnsiTheme="minorHAnsi" w:cstheme="minorHAnsi"/>
          <w:vertAlign w:val="baseline"/>
          <w14:numForm w14:val="lining"/>
          <w14:numSpacing w14:val="proportional"/>
        </w:rPr>
        <w:t xml:space="preserve"> </w:t>
      </w:r>
      <w:r w:rsidR="002E5F1F">
        <w:rPr>
          <w:rFonts w:asciiTheme="minorHAnsi" w:hAnsiTheme="minorHAnsi" w:cstheme="minorHAnsi"/>
          <w14:numForm w14:val="lining"/>
          <w14:numSpacing w14:val="proportional"/>
        </w:rPr>
        <w:tab/>
      </w:r>
      <w:r>
        <w:t>Minerals Council of Australia, Submission 21, Clean Energy Capacity Study Discussion paper, p 4.</w:t>
      </w:r>
    </w:p>
  </w:endnote>
  <w:endnote w:id="95">
    <w:p w14:paraId="4226EF22" w14:textId="239C0CED" w:rsidR="009E09C1" w:rsidRPr="002E5F1F" w:rsidRDefault="009E09C1" w:rsidP="002E5F1F">
      <w:pPr>
        <w:spacing w:before="120" w:after="120"/>
        <w:ind w:left="709" w:hanging="709"/>
        <w:rPr>
          <w:rFonts w:cs="Arial"/>
          <w:sz w:val="20"/>
          <w:szCs w:val="20"/>
        </w:rPr>
      </w:pPr>
      <w:r w:rsidRPr="00CC7FBB">
        <w:rPr>
          <w:rStyle w:val="EndnoteReference"/>
          <w:rFonts w:asciiTheme="minorHAnsi" w:hAnsiTheme="minorHAnsi" w:cstheme="minorHAnsi"/>
          <w:sz w:val="20"/>
          <w:szCs w:val="20"/>
          <w:vertAlign w:val="baseline"/>
          <w14:numForm w14:val="lining"/>
          <w14:numSpacing w14:val="proportional"/>
        </w:rPr>
        <w:endnoteRef/>
      </w:r>
      <w:r w:rsidRPr="00CC7FBB">
        <w:rPr>
          <w:rStyle w:val="EndnoteReference"/>
          <w:sz w:val="20"/>
          <w:szCs w:val="20"/>
          <w:vertAlign w:val="baseline"/>
          <w14:numForm w14:val="lining"/>
          <w14:numSpacing w14:val="proportional"/>
        </w:rPr>
        <w:t xml:space="preserve"> </w:t>
      </w:r>
      <w:r w:rsidRPr="002E5F1F">
        <w:rPr>
          <w:rFonts w:asciiTheme="minorHAnsi" w:hAnsiTheme="minorHAnsi" w:cstheme="minorHAnsi"/>
        </w:rPr>
        <w:tab/>
      </w:r>
      <w:r w:rsidR="002E5F1F" w:rsidRPr="002E5F1F">
        <w:rPr>
          <w:rFonts w:cs="Arial"/>
          <w:sz w:val="20"/>
          <w:szCs w:val="20"/>
        </w:rPr>
        <w:t xml:space="preserve">training.gov.au, </w:t>
      </w:r>
      <w:hyperlink r:id="rId100" w:history="1">
        <w:r w:rsidR="002E5F1F" w:rsidRPr="002E5F1F">
          <w:rPr>
            <w:rStyle w:val="Hyperlink"/>
            <w:rFonts w:cs="Arial"/>
            <w:i/>
            <w:iCs/>
            <w:sz w:val="20"/>
            <w:szCs w:val="20"/>
          </w:rPr>
          <w:t>UEG – Gas Industry Training Package</w:t>
        </w:r>
      </w:hyperlink>
      <w:r w:rsidR="002E5F1F" w:rsidRPr="002E5F1F">
        <w:rPr>
          <w:rFonts w:cs="Arial"/>
          <w:sz w:val="20"/>
          <w:szCs w:val="20"/>
        </w:rPr>
        <w:t>, training.gov.au website, 9 December 2022, accessed September 2023.</w:t>
      </w:r>
    </w:p>
  </w:endnote>
  <w:endnote w:id="96">
    <w:p w14:paraId="6AB0B59A" w14:textId="442389B3" w:rsidR="009E09C1" w:rsidRPr="004906C5" w:rsidRDefault="009E09C1" w:rsidP="000066B5">
      <w:pPr>
        <w:pStyle w:val="EndnoteText"/>
        <w:spacing w:before="120" w:after="120"/>
        <w:ind w:left="709" w:hanging="709"/>
        <w:rPr>
          <w:rFonts w:asciiTheme="minorHAnsi" w:hAnsiTheme="minorHAnsi" w:cstheme="minorHAnsi"/>
        </w:rPr>
      </w:pPr>
      <w:r w:rsidRPr="002E5F1F">
        <w:rPr>
          <w:rStyle w:val="EndnoteReference"/>
          <w:rFonts w:asciiTheme="minorHAnsi" w:hAnsiTheme="minorHAnsi" w:cstheme="minorHAnsi"/>
          <w:vertAlign w:val="baseline"/>
          <w14:numForm w14:val="lining"/>
          <w14:numSpacing w14:val="proportional"/>
        </w:rPr>
        <w:endnoteRef/>
      </w:r>
      <w:r w:rsidRPr="002E5F1F">
        <w:rPr>
          <w:rStyle w:val="EndnoteReference"/>
          <w:vertAlign w:val="baseline"/>
          <w14:numForm w14:val="lining"/>
          <w14:numSpacing w14:val="proportional"/>
        </w:rPr>
        <w:t xml:space="preserve"> </w:t>
      </w:r>
      <w:r w:rsidRPr="004906C5">
        <w:rPr>
          <w:rFonts w:asciiTheme="minorHAnsi" w:hAnsiTheme="minorHAnsi" w:cstheme="minorHAnsi"/>
        </w:rPr>
        <w:tab/>
      </w:r>
      <w:r w:rsidR="000758F2">
        <w:rPr>
          <w:rFonts w:asciiTheme="minorHAnsi" w:hAnsiTheme="minorHAnsi" w:cstheme="minorHAnsi"/>
        </w:rPr>
        <w:t>AEMO</w:t>
      </w:r>
      <w:r w:rsidRPr="004906C5">
        <w:rPr>
          <w:rFonts w:asciiTheme="minorHAnsi" w:hAnsiTheme="minorHAnsi" w:cstheme="minorHAnsi"/>
        </w:rPr>
        <w:t xml:space="preserve">, </w:t>
      </w:r>
      <w:hyperlink r:id="rId101" w:history="1">
        <w:r w:rsidR="00EF45E6">
          <w:rPr>
            <w:rStyle w:val="Hyperlink"/>
            <w:rFonts w:asciiTheme="minorHAnsi" w:hAnsiTheme="minorHAnsi" w:cstheme="minorHAnsi"/>
            <w:i/>
          </w:rPr>
          <w:t>2022 I</w:t>
        </w:r>
        <w:r w:rsidRPr="000758F2">
          <w:rPr>
            <w:rStyle w:val="Hyperlink"/>
            <w:rFonts w:asciiTheme="minorHAnsi" w:hAnsiTheme="minorHAnsi" w:cstheme="minorHAnsi"/>
            <w:i/>
          </w:rPr>
          <w:t>ntegrated System Pla</w:t>
        </w:r>
        <w:r w:rsidR="00EF45E6">
          <w:rPr>
            <w:rStyle w:val="Hyperlink"/>
            <w:rFonts w:asciiTheme="minorHAnsi" w:hAnsiTheme="minorHAnsi" w:cstheme="minorHAnsi"/>
            <w:i/>
          </w:rPr>
          <w:t>n (ISP)</w:t>
        </w:r>
      </w:hyperlink>
      <w:r w:rsidR="00EF45E6" w:rsidRPr="004906C5">
        <w:rPr>
          <w:rFonts w:asciiTheme="minorHAnsi" w:hAnsiTheme="minorHAnsi" w:cstheme="minorHAnsi"/>
          <w:i/>
        </w:rPr>
        <w:t xml:space="preserve"> </w:t>
      </w:r>
      <w:r w:rsidRPr="004906C5">
        <w:rPr>
          <w:rFonts w:asciiTheme="minorHAnsi" w:hAnsiTheme="minorHAnsi" w:cstheme="minorHAnsi"/>
          <w:i/>
        </w:rPr>
        <w:t>,</w:t>
      </w:r>
      <w:r w:rsidRPr="004906C5">
        <w:rPr>
          <w:rFonts w:asciiTheme="minorHAnsi" w:hAnsiTheme="minorHAnsi" w:cstheme="minorHAnsi"/>
        </w:rPr>
        <w:t xml:space="preserve"> </w:t>
      </w:r>
      <w:r w:rsidR="00EF45E6">
        <w:rPr>
          <w:rFonts w:asciiTheme="minorHAnsi" w:hAnsiTheme="minorHAnsi" w:cstheme="minorHAnsi"/>
        </w:rPr>
        <w:t xml:space="preserve">AEMO website, </w:t>
      </w:r>
      <w:r w:rsidRPr="004906C5">
        <w:rPr>
          <w:rFonts w:asciiTheme="minorHAnsi" w:hAnsiTheme="minorHAnsi" w:cstheme="minorHAnsi"/>
        </w:rPr>
        <w:t>June 2022</w:t>
      </w:r>
      <w:r w:rsidR="00EF45E6">
        <w:rPr>
          <w:rFonts w:asciiTheme="minorHAnsi" w:hAnsiTheme="minorHAnsi" w:cstheme="minorHAnsi"/>
        </w:rPr>
        <w:t>, accessed September 2023.</w:t>
      </w:r>
    </w:p>
  </w:endnote>
  <w:endnote w:id="97">
    <w:p w14:paraId="1833D560" w14:textId="51040F3C"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5038F" w:rsidRPr="004906C5">
        <w:rPr>
          <w:rFonts w:asciiTheme="minorHAnsi" w:hAnsiTheme="minorHAnsi" w:cstheme="minorHAnsi"/>
        </w:rPr>
        <w:t>Department of Agriculture, Fisheries and Forestry</w:t>
      </w:r>
      <w:r w:rsidR="00D5038F">
        <w:rPr>
          <w:rFonts w:asciiTheme="minorHAnsi" w:hAnsiTheme="minorHAnsi" w:cstheme="minorHAnsi"/>
        </w:rPr>
        <w:t xml:space="preserve"> (DAFF)</w:t>
      </w:r>
      <w:r w:rsidR="00D5038F" w:rsidRPr="004906C5">
        <w:rPr>
          <w:rFonts w:asciiTheme="minorHAnsi" w:hAnsiTheme="minorHAnsi" w:cstheme="minorHAnsi"/>
        </w:rPr>
        <w:t xml:space="preserve">, </w:t>
      </w:r>
      <w:hyperlink r:id="rId102" w:history="1">
        <w:r w:rsidR="00D5038F" w:rsidRPr="00E45E2F">
          <w:rPr>
            <w:rStyle w:val="Hyperlink"/>
            <w:rFonts w:asciiTheme="minorHAnsi" w:hAnsiTheme="minorHAnsi" w:cstheme="minorHAnsi"/>
            <w:i/>
          </w:rPr>
          <w:t xml:space="preserve">Snapshot </w:t>
        </w:r>
        <w:r w:rsidR="00997741">
          <w:rPr>
            <w:rStyle w:val="Hyperlink"/>
            <w:rFonts w:asciiTheme="minorHAnsi" w:hAnsiTheme="minorHAnsi" w:cstheme="minorHAnsi"/>
            <w:i/>
          </w:rPr>
          <w:t>-</w:t>
        </w:r>
        <w:r w:rsidR="00D5038F" w:rsidRPr="00E45E2F">
          <w:rPr>
            <w:rStyle w:val="Hyperlink"/>
            <w:rFonts w:asciiTheme="minorHAnsi" w:hAnsiTheme="minorHAnsi" w:cstheme="minorHAnsi"/>
            <w:i/>
          </w:rPr>
          <w:t xml:space="preserve"> </w:t>
        </w:r>
        <w:r w:rsidR="00997741">
          <w:rPr>
            <w:rStyle w:val="Hyperlink"/>
            <w:rFonts w:asciiTheme="minorHAnsi" w:hAnsiTheme="minorHAnsi" w:cstheme="minorHAnsi"/>
            <w:i/>
          </w:rPr>
          <w:t>W</w:t>
        </w:r>
        <w:r w:rsidR="00D5038F" w:rsidRPr="00E45E2F">
          <w:rPr>
            <w:rStyle w:val="Hyperlink"/>
            <w:rFonts w:asciiTheme="minorHAnsi" w:hAnsiTheme="minorHAnsi" w:cstheme="minorHAnsi"/>
            <w:i/>
          </w:rPr>
          <w:t>orld biofuel</w:t>
        </w:r>
        <w:r w:rsidR="00997741">
          <w:rPr>
            <w:rStyle w:val="Hyperlink"/>
            <w:rFonts w:asciiTheme="minorHAnsi" w:hAnsiTheme="minorHAnsi" w:cstheme="minorHAnsi"/>
            <w:i/>
          </w:rPr>
          <w:t>s trade</w:t>
        </w:r>
      </w:hyperlink>
      <w:r w:rsidR="00D5038F" w:rsidRPr="004906C5">
        <w:rPr>
          <w:rFonts w:asciiTheme="minorHAnsi" w:hAnsiTheme="minorHAnsi" w:cstheme="minorHAnsi"/>
        </w:rPr>
        <w:t xml:space="preserve">, </w:t>
      </w:r>
      <w:r w:rsidR="00D5038F">
        <w:rPr>
          <w:rFonts w:asciiTheme="minorHAnsi" w:hAnsiTheme="minorHAnsi" w:cstheme="minorHAnsi"/>
        </w:rPr>
        <w:t>DAFF website,</w:t>
      </w:r>
      <w:r w:rsidR="00997741">
        <w:rPr>
          <w:rFonts w:asciiTheme="minorHAnsi" w:hAnsiTheme="minorHAnsi" w:cstheme="minorHAnsi"/>
        </w:rPr>
        <w:t xml:space="preserve"> Australian Government, </w:t>
      </w:r>
      <w:r w:rsidR="00D5038F">
        <w:rPr>
          <w:rFonts w:asciiTheme="minorHAnsi" w:hAnsiTheme="minorHAnsi" w:cstheme="minorHAnsi"/>
        </w:rPr>
        <w:t xml:space="preserve">12 </w:t>
      </w:r>
      <w:r w:rsidR="00D5038F" w:rsidRPr="004906C5">
        <w:rPr>
          <w:rFonts w:asciiTheme="minorHAnsi" w:hAnsiTheme="minorHAnsi" w:cstheme="minorHAnsi"/>
        </w:rPr>
        <w:t>December 2022</w:t>
      </w:r>
      <w:r w:rsidR="00D5038F">
        <w:rPr>
          <w:rFonts w:asciiTheme="minorHAnsi" w:hAnsiTheme="minorHAnsi" w:cstheme="minorHAnsi"/>
        </w:rPr>
        <w:t>, accessed September 2023.</w:t>
      </w:r>
    </w:p>
  </w:endnote>
  <w:endnote w:id="98">
    <w:p w14:paraId="178D8417" w14:textId="5FBC13E8"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966C00" w:rsidRPr="00966C00">
        <w:rPr>
          <w:rFonts w:asciiTheme="minorHAnsi" w:hAnsiTheme="minorHAnsi" w:cstheme="minorHAnsi"/>
        </w:rPr>
        <w:t>ENEA Australia and Deloitte Financial Advisory</w:t>
      </w:r>
      <w:r w:rsidRPr="004906C5">
        <w:rPr>
          <w:rFonts w:asciiTheme="minorHAnsi" w:hAnsiTheme="minorHAnsi" w:cstheme="minorHAnsi"/>
        </w:rPr>
        <w:t xml:space="preserve">, </w:t>
      </w:r>
      <w:r w:rsidR="00966C00">
        <w:rPr>
          <w:rFonts w:asciiTheme="minorHAnsi" w:hAnsiTheme="minorHAnsi" w:cstheme="minorHAnsi"/>
        </w:rPr>
        <w:t>‘</w:t>
      </w:r>
      <w:hyperlink r:id="rId103" w:history="1">
        <w:r w:rsidRPr="00966C00">
          <w:rPr>
            <w:rStyle w:val="Hyperlink"/>
            <w:rFonts w:asciiTheme="minorHAnsi" w:hAnsiTheme="minorHAnsi" w:cstheme="minorHAnsi"/>
            <w:iCs/>
          </w:rPr>
          <w:t xml:space="preserve">Australia’s Bioenergy </w:t>
        </w:r>
        <w:r w:rsidR="00966C00" w:rsidRPr="00966C00">
          <w:rPr>
            <w:rStyle w:val="Hyperlink"/>
            <w:rFonts w:asciiTheme="minorHAnsi" w:hAnsiTheme="minorHAnsi" w:cstheme="minorHAnsi"/>
            <w:iCs/>
          </w:rPr>
          <w:t>R</w:t>
        </w:r>
        <w:r w:rsidRPr="00966C00">
          <w:rPr>
            <w:rStyle w:val="Hyperlink"/>
            <w:rFonts w:asciiTheme="minorHAnsi" w:hAnsiTheme="minorHAnsi" w:cstheme="minorHAnsi"/>
            <w:iCs/>
          </w:rPr>
          <w:t>oadmap</w:t>
        </w:r>
      </w:hyperlink>
      <w:r w:rsidR="00966C00">
        <w:rPr>
          <w:rFonts w:asciiTheme="minorHAnsi" w:hAnsiTheme="minorHAnsi" w:cstheme="minorHAnsi"/>
        </w:rPr>
        <w:t>’</w:t>
      </w:r>
      <w:r w:rsidRPr="004906C5">
        <w:rPr>
          <w:rFonts w:asciiTheme="minorHAnsi" w:hAnsiTheme="minorHAnsi" w:cstheme="minorHAnsi"/>
        </w:rPr>
        <w:t>,</w:t>
      </w:r>
      <w:r w:rsidR="00966C00">
        <w:rPr>
          <w:rFonts w:asciiTheme="minorHAnsi" w:hAnsiTheme="minorHAnsi" w:cstheme="minorHAnsi"/>
        </w:rPr>
        <w:t xml:space="preserve"> report</w:t>
      </w:r>
      <w:r w:rsidRPr="004906C5">
        <w:rPr>
          <w:rFonts w:asciiTheme="minorHAnsi" w:hAnsiTheme="minorHAnsi" w:cstheme="minorHAnsi"/>
        </w:rPr>
        <w:t xml:space="preserve"> </w:t>
      </w:r>
      <w:r w:rsidR="009E641F">
        <w:rPr>
          <w:rFonts w:asciiTheme="minorHAnsi" w:hAnsiTheme="minorHAnsi" w:cstheme="minorHAnsi"/>
        </w:rPr>
        <w:t>to</w:t>
      </w:r>
      <w:r w:rsidR="00966C00" w:rsidRPr="00966C00">
        <w:rPr>
          <w:rFonts w:asciiTheme="minorHAnsi" w:hAnsiTheme="minorHAnsi" w:cstheme="minorHAnsi"/>
        </w:rPr>
        <w:t xml:space="preserve"> </w:t>
      </w:r>
      <w:r w:rsidR="00966C00" w:rsidRPr="004906C5">
        <w:rPr>
          <w:rFonts w:asciiTheme="minorHAnsi" w:hAnsiTheme="minorHAnsi" w:cstheme="minorHAnsi"/>
        </w:rPr>
        <w:t>Australian Renewable Energy Agency</w:t>
      </w:r>
      <w:r w:rsidR="00966C00">
        <w:rPr>
          <w:rFonts w:asciiTheme="minorHAnsi" w:hAnsiTheme="minorHAnsi" w:cstheme="minorHAnsi"/>
        </w:rPr>
        <w:t xml:space="preserve"> (</w:t>
      </w:r>
      <w:r w:rsidR="00966C00" w:rsidRPr="00966C00">
        <w:rPr>
          <w:rFonts w:asciiTheme="minorHAnsi" w:hAnsiTheme="minorHAnsi" w:cstheme="minorHAnsi"/>
        </w:rPr>
        <w:t>ARENA</w:t>
      </w:r>
      <w:r w:rsidR="00966C00">
        <w:rPr>
          <w:rFonts w:asciiTheme="minorHAnsi" w:hAnsiTheme="minorHAnsi" w:cstheme="minorHAnsi"/>
        </w:rPr>
        <w:t>),</w:t>
      </w:r>
      <w:r w:rsidR="00966C00" w:rsidRPr="00966C00">
        <w:rPr>
          <w:rFonts w:asciiTheme="minorHAnsi" w:hAnsiTheme="minorHAnsi" w:cstheme="minorHAnsi"/>
        </w:rPr>
        <w:t xml:space="preserve"> ENEA Australia and Deloitte Financial Advisory</w:t>
      </w:r>
      <w:r w:rsidR="00966C00">
        <w:rPr>
          <w:rFonts w:asciiTheme="minorHAnsi" w:hAnsiTheme="minorHAnsi" w:cstheme="minorHAnsi"/>
        </w:rPr>
        <w:t xml:space="preserve">, ARENA website, </w:t>
      </w:r>
      <w:r w:rsidRPr="004906C5">
        <w:rPr>
          <w:rFonts w:asciiTheme="minorHAnsi" w:hAnsiTheme="minorHAnsi" w:cstheme="minorHAnsi"/>
        </w:rPr>
        <w:t>2021</w:t>
      </w:r>
      <w:r w:rsidR="00966C00">
        <w:rPr>
          <w:rFonts w:asciiTheme="minorHAnsi" w:hAnsiTheme="minorHAnsi" w:cstheme="minorHAnsi"/>
        </w:rPr>
        <w:t>, accessed September 2023.</w:t>
      </w:r>
    </w:p>
  </w:endnote>
  <w:endnote w:id="99">
    <w:p w14:paraId="2B113362" w14:textId="517E288D"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45E2F">
        <w:rPr>
          <w:rFonts w:asciiTheme="minorHAnsi" w:hAnsiTheme="minorHAnsi" w:cstheme="minorHAnsi"/>
        </w:rPr>
        <w:t>DAFF</w:t>
      </w:r>
      <w:r w:rsidRPr="004906C5">
        <w:rPr>
          <w:rFonts w:asciiTheme="minorHAnsi" w:hAnsiTheme="minorHAnsi" w:cstheme="minorHAnsi"/>
        </w:rPr>
        <w:t xml:space="preserve">, </w:t>
      </w:r>
      <w:hyperlink r:id="rId104" w:history="1">
        <w:r w:rsidR="009C0A43" w:rsidRPr="00E45E2F">
          <w:rPr>
            <w:rStyle w:val="Hyperlink"/>
            <w:rFonts w:asciiTheme="minorHAnsi" w:hAnsiTheme="minorHAnsi" w:cstheme="minorHAnsi"/>
            <w:i/>
          </w:rPr>
          <w:t xml:space="preserve">Snapshot </w:t>
        </w:r>
        <w:r w:rsidR="009C0A43">
          <w:rPr>
            <w:rStyle w:val="Hyperlink"/>
            <w:rFonts w:asciiTheme="minorHAnsi" w:hAnsiTheme="minorHAnsi" w:cstheme="minorHAnsi"/>
            <w:i/>
          </w:rPr>
          <w:t>-</w:t>
        </w:r>
        <w:r w:rsidR="009C0A43" w:rsidRPr="00E45E2F">
          <w:rPr>
            <w:rStyle w:val="Hyperlink"/>
            <w:rFonts w:asciiTheme="minorHAnsi" w:hAnsiTheme="minorHAnsi" w:cstheme="minorHAnsi"/>
            <w:i/>
          </w:rPr>
          <w:t xml:space="preserve"> </w:t>
        </w:r>
        <w:r w:rsidR="009C0A43">
          <w:rPr>
            <w:rStyle w:val="Hyperlink"/>
            <w:rFonts w:asciiTheme="minorHAnsi" w:hAnsiTheme="minorHAnsi" w:cstheme="minorHAnsi"/>
            <w:i/>
          </w:rPr>
          <w:t>W</w:t>
        </w:r>
        <w:r w:rsidR="009C0A43" w:rsidRPr="00E45E2F">
          <w:rPr>
            <w:rStyle w:val="Hyperlink"/>
            <w:rFonts w:asciiTheme="minorHAnsi" w:hAnsiTheme="minorHAnsi" w:cstheme="minorHAnsi"/>
            <w:i/>
          </w:rPr>
          <w:t>orld biofuel</w:t>
        </w:r>
        <w:r w:rsidR="009C0A43">
          <w:rPr>
            <w:rStyle w:val="Hyperlink"/>
            <w:rFonts w:asciiTheme="minorHAnsi" w:hAnsiTheme="minorHAnsi" w:cstheme="minorHAnsi"/>
            <w:i/>
          </w:rPr>
          <w:t>s trade</w:t>
        </w:r>
      </w:hyperlink>
      <w:r w:rsidRPr="004906C5">
        <w:rPr>
          <w:rFonts w:asciiTheme="minorHAnsi" w:hAnsiTheme="minorHAnsi" w:cstheme="minorHAnsi"/>
        </w:rPr>
        <w:t xml:space="preserve">, </w:t>
      </w:r>
      <w:r w:rsidR="00E45E2F">
        <w:rPr>
          <w:rFonts w:asciiTheme="minorHAnsi" w:hAnsiTheme="minorHAnsi" w:cstheme="minorHAnsi"/>
        </w:rPr>
        <w:t>DAFF website,</w:t>
      </w:r>
      <w:r w:rsidR="0039718F" w:rsidRPr="0039718F">
        <w:rPr>
          <w:rFonts w:asciiTheme="minorHAnsi" w:hAnsiTheme="minorHAnsi" w:cstheme="minorHAnsi"/>
        </w:rPr>
        <w:t xml:space="preserve"> </w:t>
      </w:r>
      <w:r w:rsidR="0039718F">
        <w:rPr>
          <w:rFonts w:asciiTheme="minorHAnsi" w:hAnsiTheme="minorHAnsi" w:cstheme="minorHAnsi"/>
        </w:rPr>
        <w:t xml:space="preserve">Australian Government, </w:t>
      </w:r>
      <w:r w:rsidR="00E45E2F">
        <w:rPr>
          <w:rFonts w:asciiTheme="minorHAnsi" w:hAnsiTheme="minorHAnsi" w:cstheme="minorHAnsi"/>
        </w:rPr>
        <w:t xml:space="preserve">12 </w:t>
      </w:r>
      <w:r w:rsidRPr="004906C5">
        <w:rPr>
          <w:rFonts w:asciiTheme="minorHAnsi" w:hAnsiTheme="minorHAnsi" w:cstheme="minorHAnsi"/>
        </w:rPr>
        <w:t>December 2022</w:t>
      </w:r>
      <w:r w:rsidR="00E45E2F">
        <w:rPr>
          <w:rFonts w:asciiTheme="minorHAnsi" w:hAnsiTheme="minorHAnsi" w:cstheme="minorHAnsi"/>
        </w:rPr>
        <w:t>, accessed September 2023.</w:t>
      </w:r>
    </w:p>
  </w:endnote>
  <w:endnote w:id="100">
    <w:p w14:paraId="4DED05F3" w14:textId="34F701EC" w:rsidR="009E09C1" w:rsidRPr="002E5F1F" w:rsidRDefault="009E09C1" w:rsidP="002E5F1F">
      <w:pPr>
        <w:spacing w:before="120" w:after="120"/>
        <w:ind w:left="709" w:hanging="709"/>
        <w:rPr>
          <w:rFonts w:cs="Arial"/>
          <w:sz w:val="20"/>
          <w:szCs w:val="20"/>
        </w:rPr>
      </w:pPr>
      <w:r w:rsidRPr="00CC7FBB">
        <w:rPr>
          <w:rFonts w:asciiTheme="minorHAnsi" w:hAnsiTheme="minorHAnsi" w:cstheme="minorHAnsi"/>
          <w:sz w:val="20"/>
          <w:szCs w:val="20"/>
        </w:rPr>
        <w:endnoteRef/>
      </w:r>
      <w:r w:rsidRPr="00CC7FBB">
        <w:rPr>
          <w:rFonts w:asciiTheme="minorHAnsi" w:hAnsiTheme="minorHAnsi" w:cstheme="minorHAnsi"/>
          <w:sz w:val="20"/>
          <w:szCs w:val="20"/>
        </w:rPr>
        <w:t xml:space="preserve"> </w:t>
      </w:r>
      <w:r w:rsidRPr="002E5F1F">
        <w:rPr>
          <w:rFonts w:asciiTheme="minorHAnsi" w:hAnsiTheme="minorHAnsi" w:cstheme="minorHAnsi"/>
        </w:rPr>
        <w:tab/>
      </w:r>
      <w:r w:rsidR="002E5F1F" w:rsidRPr="002E5F1F">
        <w:rPr>
          <w:rFonts w:cs="Arial"/>
          <w:sz w:val="20"/>
          <w:szCs w:val="20"/>
        </w:rPr>
        <w:t>training</w:t>
      </w:r>
      <w:r w:rsidR="002E5F1F" w:rsidRPr="00605B24">
        <w:rPr>
          <w:rFonts w:cs="Arial"/>
          <w:sz w:val="20"/>
          <w:szCs w:val="20"/>
        </w:rPr>
        <w:t xml:space="preserve">.gov.au, </w:t>
      </w:r>
      <w:hyperlink r:id="rId105" w:history="1">
        <w:r w:rsidR="002E5F1F" w:rsidRPr="00605B24">
          <w:rPr>
            <w:rStyle w:val="Hyperlink"/>
            <w:rFonts w:cs="Arial"/>
            <w:i/>
            <w:iCs/>
            <w:sz w:val="20"/>
            <w:szCs w:val="20"/>
          </w:rPr>
          <w:t>MSM - Manufacturing Training Package</w:t>
        </w:r>
      </w:hyperlink>
      <w:r w:rsidR="002E5F1F" w:rsidRPr="00605B24">
        <w:rPr>
          <w:rFonts w:cs="Arial"/>
          <w:sz w:val="20"/>
          <w:szCs w:val="20"/>
        </w:rPr>
        <w:t>, training.gov.au website, 8 February 2023, accessed September 2023.</w:t>
      </w:r>
    </w:p>
  </w:endnote>
  <w:endnote w:id="101">
    <w:p w14:paraId="190A22D5" w14:textId="45D657D9" w:rsidR="009E09C1" w:rsidRPr="004906C5" w:rsidRDefault="009E09C1" w:rsidP="000066B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5038F" w:rsidRPr="00966C00">
        <w:rPr>
          <w:rFonts w:asciiTheme="minorHAnsi" w:hAnsiTheme="minorHAnsi" w:cstheme="minorHAnsi"/>
        </w:rPr>
        <w:t>ENEA Australia and Deloitte Financial Advisory</w:t>
      </w:r>
      <w:r w:rsidR="00D5038F" w:rsidRPr="004906C5">
        <w:rPr>
          <w:rFonts w:asciiTheme="minorHAnsi" w:hAnsiTheme="minorHAnsi" w:cstheme="minorHAnsi"/>
        </w:rPr>
        <w:t xml:space="preserve">, </w:t>
      </w:r>
      <w:r w:rsidR="00D5038F">
        <w:rPr>
          <w:rFonts w:asciiTheme="minorHAnsi" w:hAnsiTheme="minorHAnsi" w:cstheme="minorHAnsi"/>
        </w:rPr>
        <w:t>‘</w:t>
      </w:r>
      <w:hyperlink r:id="rId106" w:history="1">
        <w:r w:rsidR="00D5038F" w:rsidRPr="00966C00">
          <w:rPr>
            <w:rStyle w:val="Hyperlink"/>
            <w:rFonts w:asciiTheme="minorHAnsi" w:hAnsiTheme="minorHAnsi" w:cstheme="minorHAnsi"/>
            <w:iCs/>
          </w:rPr>
          <w:t>Australia’s Bioenergy Roadmap</w:t>
        </w:r>
      </w:hyperlink>
      <w:r w:rsidR="00D5038F">
        <w:rPr>
          <w:rFonts w:asciiTheme="minorHAnsi" w:hAnsiTheme="minorHAnsi" w:cstheme="minorHAnsi"/>
        </w:rPr>
        <w:t>’</w:t>
      </w:r>
      <w:r w:rsidR="00D5038F" w:rsidRPr="004906C5">
        <w:rPr>
          <w:rFonts w:asciiTheme="minorHAnsi" w:hAnsiTheme="minorHAnsi" w:cstheme="minorHAnsi"/>
        </w:rPr>
        <w:t>,</w:t>
      </w:r>
      <w:r w:rsidR="00D5038F">
        <w:rPr>
          <w:rFonts w:asciiTheme="minorHAnsi" w:hAnsiTheme="minorHAnsi" w:cstheme="minorHAnsi"/>
        </w:rPr>
        <w:t xml:space="preserve"> report</w:t>
      </w:r>
      <w:r w:rsidR="00D5038F" w:rsidRPr="004906C5">
        <w:rPr>
          <w:rFonts w:asciiTheme="minorHAnsi" w:hAnsiTheme="minorHAnsi" w:cstheme="minorHAnsi"/>
        </w:rPr>
        <w:t xml:space="preserve"> </w:t>
      </w:r>
      <w:r w:rsidR="00D5038F" w:rsidRPr="00966C00">
        <w:rPr>
          <w:rFonts w:asciiTheme="minorHAnsi" w:hAnsiTheme="minorHAnsi" w:cstheme="minorHAnsi"/>
        </w:rPr>
        <w:t xml:space="preserve">for </w:t>
      </w:r>
      <w:r w:rsidR="00D5038F" w:rsidRPr="004906C5">
        <w:rPr>
          <w:rFonts w:asciiTheme="minorHAnsi" w:hAnsiTheme="minorHAnsi" w:cstheme="minorHAnsi"/>
        </w:rPr>
        <w:t>Australian Renewable Energy Agency</w:t>
      </w:r>
      <w:r w:rsidR="00D5038F">
        <w:rPr>
          <w:rFonts w:asciiTheme="minorHAnsi" w:hAnsiTheme="minorHAnsi" w:cstheme="minorHAnsi"/>
        </w:rPr>
        <w:t xml:space="preserve"> (</w:t>
      </w:r>
      <w:r w:rsidR="00D5038F" w:rsidRPr="00966C00">
        <w:rPr>
          <w:rFonts w:asciiTheme="minorHAnsi" w:hAnsiTheme="minorHAnsi" w:cstheme="minorHAnsi"/>
        </w:rPr>
        <w:t>ARENA</w:t>
      </w:r>
      <w:r w:rsidR="00D5038F">
        <w:rPr>
          <w:rFonts w:asciiTheme="minorHAnsi" w:hAnsiTheme="minorHAnsi" w:cstheme="minorHAnsi"/>
        </w:rPr>
        <w:t>),</w:t>
      </w:r>
      <w:r w:rsidR="00D5038F" w:rsidRPr="00966C00">
        <w:rPr>
          <w:rFonts w:asciiTheme="minorHAnsi" w:hAnsiTheme="minorHAnsi" w:cstheme="minorHAnsi"/>
        </w:rPr>
        <w:t xml:space="preserve"> ENEA Australia and Deloitte Financial Advisory</w:t>
      </w:r>
      <w:r w:rsidR="00D5038F">
        <w:rPr>
          <w:rFonts w:asciiTheme="minorHAnsi" w:hAnsiTheme="minorHAnsi" w:cstheme="minorHAnsi"/>
        </w:rPr>
        <w:t xml:space="preserve">, ARENA website, </w:t>
      </w:r>
      <w:r w:rsidR="00D5038F" w:rsidRPr="004906C5">
        <w:rPr>
          <w:rFonts w:asciiTheme="minorHAnsi" w:hAnsiTheme="minorHAnsi" w:cstheme="minorHAnsi"/>
        </w:rPr>
        <w:t>2021</w:t>
      </w:r>
      <w:r w:rsidR="00D5038F">
        <w:rPr>
          <w:rFonts w:asciiTheme="minorHAnsi" w:hAnsiTheme="minorHAnsi" w:cstheme="minorHAnsi"/>
        </w:rPr>
        <w:t>, accessed September 2023.</w:t>
      </w:r>
    </w:p>
  </w:endnote>
  <w:endnote w:id="102">
    <w:p w14:paraId="34E6F9E8" w14:textId="04FC8E94" w:rsidR="009E09C1" w:rsidRPr="004906C5" w:rsidRDefault="009E09C1" w:rsidP="00ED4D83">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bookmarkStart w:id="68" w:name="_Hlk144821949"/>
      <w:r w:rsidR="0099307E" w:rsidRPr="004906C5">
        <w:rPr>
          <w:rFonts w:asciiTheme="minorHAnsi" w:hAnsiTheme="minorHAnsi" w:cstheme="minorHAnsi"/>
          <w:color w:val="auto"/>
        </w:rPr>
        <w:t xml:space="preserve">Accenture, </w:t>
      </w:r>
      <w:hyperlink r:id="rId107" w:history="1">
        <w:r w:rsidR="0099307E" w:rsidRPr="00ED4D83">
          <w:rPr>
            <w:rStyle w:val="Hyperlink"/>
            <w:rFonts w:asciiTheme="minorHAnsi" w:hAnsiTheme="minorHAnsi" w:cstheme="minorHAnsi"/>
            <w:i/>
            <w:iCs/>
          </w:rPr>
          <w:t xml:space="preserve">Future Charge: Building Australia's Battery Industries </w:t>
        </w:r>
        <w:r w:rsidR="0099307E" w:rsidRPr="00ED4D83">
          <w:rPr>
            <w:rStyle w:val="Hyperlink"/>
            <w:rFonts w:asciiTheme="minorHAnsi" w:hAnsiTheme="minorHAnsi" w:cstheme="minorHAnsi"/>
          </w:rPr>
          <w:t>[PDF 1.86MB]</w:t>
        </w:r>
      </w:hyperlink>
      <w:r w:rsidR="0099307E" w:rsidRPr="004906C5">
        <w:rPr>
          <w:rFonts w:asciiTheme="minorHAnsi" w:hAnsiTheme="minorHAnsi" w:cstheme="minorHAnsi"/>
          <w:color w:val="auto"/>
        </w:rPr>
        <w:t>, commissioned by Future Batteries Industries Cooperative Research Centre, Accenture, 2021, accessed September 2023.</w:t>
      </w:r>
      <w:bookmarkEnd w:id="68"/>
    </w:p>
  </w:endnote>
  <w:endnote w:id="103">
    <w:p w14:paraId="1C0DF96C" w14:textId="7F47056C" w:rsidR="009E09C1" w:rsidRPr="004906C5" w:rsidRDefault="009E09C1" w:rsidP="00D2297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01894" w:rsidRPr="004906C5">
        <w:rPr>
          <w:rFonts w:asciiTheme="minorHAnsi" w:hAnsiTheme="minorHAnsi" w:cstheme="minorHAnsi"/>
        </w:rPr>
        <w:t xml:space="preserve">ABS, </w:t>
      </w:r>
      <w:hyperlink r:id="rId108" w:history="1">
        <w:r w:rsidR="00A01894" w:rsidRPr="004906C5">
          <w:rPr>
            <w:rStyle w:val="Hyperlink"/>
            <w:rFonts w:asciiTheme="minorHAnsi" w:hAnsiTheme="minorHAnsi" w:cstheme="minorHAnsi"/>
            <w:i/>
            <w:iCs/>
          </w:rPr>
          <w:t>Employment in Renewable Energy Activitie</w:t>
        </w:r>
        <w:r w:rsidR="003F4731">
          <w:rPr>
            <w:rStyle w:val="Hyperlink"/>
            <w:rFonts w:asciiTheme="minorHAnsi" w:hAnsiTheme="minorHAnsi" w:cstheme="minorHAnsi"/>
            <w:i/>
            <w:iCs/>
          </w:rPr>
          <w:t>s, Australia</w:t>
        </w:r>
      </w:hyperlink>
      <w:r w:rsidR="00A01894" w:rsidRPr="004906C5">
        <w:rPr>
          <w:rFonts w:asciiTheme="minorHAnsi" w:hAnsiTheme="minorHAnsi" w:cstheme="minorHAnsi"/>
        </w:rPr>
        <w:t>, ABS website, 2020, accessed September 2023.</w:t>
      </w:r>
    </w:p>
  </w:endnote>
  <w:endnote w:id="104">
    <w:p w14:paraId="5F266A4A" w14:textId="45A1417B" w:rsidR="009E09C1" w:rsidRPr="002E5F1F" w:rsidRDefault="009E09C1" w:rsidP="002E5F1F">
      <w:pPr>
        <w:spacing w:before="120" w:after="120"/>
        <w:ind w:left="709" w:hanging="709"/>
        <w:rPr>
          <w:rFonts w:cs="Arial"/>
          <w:sz w:val="20"/>
          <w:szCs w:val="20"/>
        </w:rPr>
      </w:pPr>
      <w:r w:rsidRPr="00CC7FBB">
        <w:rPr>
          <w:rFonts w:asciiTheme="minorHAnsi" w:hAnsiTheme="minorHAnsi" w:cstheme="minorHAnsi"/>
          <w:sz w:val="20"/>
          <w:szCs w:val="20"/>
        </w:rPr>
        <w:endnoteRef/>
      </w:r>
      <w:r w:rsidRPr="00CC7FBB">
        <w:rPr>
          <w:rFonts w:asciiTheme="minorHAnsi" w:hAnsiTheme="minorHAnsi" w:cstheme="minorHAnsi"/>
          <w:sz w:val="20"/>
          <w:szCs w:val="20"/>
        </w:rPr>
        <w:t xml:space="preserve"> </w:t>
      </w:r>
      <w:r w:rsidRPr="002E5F1F">
        <w:rPr>
          <w:rFonts w:asciiTheme="minorHAnsi" w:hAnsiTheme="minorHAnsi" w:cstheme="minorHAnsi"/>
        </w:rPr>
        <w:tab/>
      </w:r>
      <w:r w:rsidR="002E5F1F" w:rsidRPr="002E5F1F">
        <w:rPr>
          <w:rFonts w:cs="Arial"/>
          <w:sz w:val="20"/>
          <w:szCs w:val="20"/>
        </w:rPr>
        <w:t xml:space="preserve">ABS, Occupation by Industry of Employment, </w:t>
      </w:r>
      <w:r w:rsidR="002E5F1F" w:rsidRPr="002E5F1F">
        <w:rPr>
          <w:rFonts w:cs="Arial"/>
          <w:i/>
          <w:iCs/>
          <w:sz w:val="20"/>
          <w:szCs w:val="20"/>
        </w:rPr>
        <w:t xml:space="preserve">2021 </w:t>
      </w:r>
      <w:r w:rsidR="002E5F1F" w:rsidRPr="002E5F1F">
        <w:rPr>
          <w:rFonts w:cs="Arial"/>
          <w:i/>
          <w:sz w:val="20"/>
          <w:szCs w:val="20"/>
        </w:rPr>
        <w:t>Census of Population and Housing</w:t>
      </w:r>
      <w:r w:rsidR="002E5F1F" w:rsidRPr="002E5F1F">
        <w:rPr>
          <w:rFonts w:cs="Arial"/>
          <w:i/>
          <w:iCs/>
          <w:sz w:val="20"/>
          <w:szCs w:val="20"/>
        </w:rPr>
        <w:t xml:space="preserve">, </w:t>
      </w:r>
      <w:r w:rsidR="002E5F1F" w:rsidRPr="002E5F1F">
        <w:rPr>
          <w:rFonts w:cs="Arial"/>
          <w:sz w:val="20"/>
          <w:szCs w:val="20"/>
        </w:rPr>
        <w:t>ABS, 2022, accessed September 2023.</w:t>
      </w:r>
    </w:p>
  </w:endnote>
  <w:endnote w:id="105">
    <w:p w14:paraId="5FC892B7" w14:textId="565C04B8" w:rsidR="009E09C1" w:rsidRPr="004906C5" w:rsidRDefault="009E09C1" w:rsidP="009E641F">
      <w:pPr>
        <w:pStyle w:val="EndnoteText"/>
        <w:spacing w:before="120" w:after="120"/>
        <w:ind w:left="709" w:hanging="709"/>
        <w:rPr>
          <w:rFonts w:asciiTheme="minorHAnsi" w:hAnsiTheme="minorHAnsi" w:cstheme="minorHAnsi"/>
        </w:rPr>
      </w:pPr>
      <w:r w:rsidRPr="002E5F1F">
        <w:rPr>
          <w:rFonts w:asciiTheme="minorHAnsi" w:hAnsiTheme="minorHAnsi" w:cstheme="minorHAnsi"/>
        </w:rPr>
        <w:endnoteRef/>
      </w:r>
      <w:r w:rsidRPr="002E5F1F">
        <w:rPr>
          <w:rFonts w:asciiTheme="minorHAnsi" w:hAnsiTheme="minorHAnsi" w:cstheme="minorHAnsi"/>
        </w:rPr>
        <w:t xml:space="preserve"> </w:t>
      </w:r>
      <w:r w:rsidR="009E641F" w:rsidRPr="002E5F1F">
        <w:rPr>
          <w:rFonts w:asciiTheme="minorHAnsi" w:hAnsiTheme="minorHAnsi" w:cstheme="minorHAnsi"/>
        </w:rPr>
        <w:tab/>
      </w:r>
      <w:r w:rsidR="002E5F1F" w:rsidRPr="002E5F1F">
        <w:rPr>
          <w:rFonts w:cs="Arial"/>
        </w:rPr>
        <w:t xml:space="preserve">ABS, Occupation by Industry of Employment, </w:t>
      </w:r>
      <w:r w:rsidR="002E5F1F" w:rsidRPr="002E5F1F">
        <w:rPr>
          <w:rFonts w:cs="Arial"/>
          <w:i/>
          <w:iCs/>
        </w:rPr>
        <w:t xml:space="preserve">2021 </w:t>
      </w:r>
      <w:r w:rsidR="002E5F1F" w:rsidRPr="002E5F1F">
        <w:rPr>
          <w:rFonts w:cs="Arial"/>
          <w:i/>
        </w:rPr>
        <w:t>Census of Population and Housing</w:t>
      </w:r>
      <w:r w:rsidR="002E5F1F" w:rsidRPr="002E5F1F">
        <w:rPr>
          <w:rFonts w:cs="Arial"/>
          <w:i/>
          <w:iCs/>
        </w:rPr>
        <w:t xml:space="preserve">, </w:t>
      </w:r>
      <w:r w:rsidR="002E5F1F" w:rsidRPr="002E5F1F">
        <w:rPr>
          <w:rFonts w:cs="Arial"/>
        </w:rPr>
        <w:t>ABS, 2022, accessed September 2023.</w:t>
      </w:r>
    </w:p>
  </w:endnote>
  <w:endnote w:id="106">
    <w:p w14:paraId="1237E5C4" w14:textId="2836F2C1" w:rsidR="1C5DA4BC" w:rsidRDefault="1C5DA4BC" w:rsidP="002E5F1F">
      <w:pPr>
        <w:spacing w:line="257" w:lineRule="auto"/>
        <w:ind w:left="709" w:hanging="709"/>
        <w:rPr>
          <w:rFonts w:eastAsia="Arial" w:cs="Arial"/>
        </w:rPr>
      </w:pPr>
      <w:r w:rsidRPr="002E5F1F">
        <w:rPr>
          <w:rFonts w:asciiTheme="minorHAnsi" w:hAnsiTheme="minorHAnsi" w:cstheme="minorHAnsi"/>
          <w:sz w:val="20"/>
          <w:szCs w:val="20"/>
        </w:rPr>
        <w:endnoteRef/>
      </w:r>
      <w:r w:rsidR="1F26046A">
        <w:t xml:space="preserve"> </w:t>
      </w:r>
      <w:r w:rsidR="002E5F1F">
        <w:tab/>
      </w:r>
      <w:r w:rsidR="1F26046A" w:rsidRPr="1F26046A">
        <w:rPr>
          <w:rFonts w:eastAsia="Arial" w:cs="Arial"/>
          <w:sz w:val="20"/>
          <w:szCs w:val="20"/>
        </w:rPr>
        <w:t xml:space="preserve">Australian Geoscience Council, </w:t>
      </w:r>
      <w:hyperlink r:id="rId109">
        <w:r w:rsidR="1F26046A" w:rsidRPr="1F26046A">
          <w:rPr>
            <w:rStyle w:val="Hyperlink"/>
            <w:rFonts w:eastAsia="Arial" w:cs="Arial"/>
            <w:i/>
            <w:iCs/>
            <w:color w:val="0563C1"/>
            <w:sz w:val="20"/>
            <w:szCs w:val="20"/>
          </w:rPr>
          <w:t>Urgent Action Needed to Stem Slump in Geoscience Graduates</w:t>
        </w:r>
      </w:hyperlink>
      <w:r w:rsidR="1F26046A" w:rsidRPr="1F26046A">
        <w:rPr>
          <w:rFonts w:eastAsia="Arial" w:cs="Arial"/>
          <w:sz w:val="20"/>
          <w:szCs w:val="20"/>
        </w:rPr>
        <w:t xml:space="preserve"> [media release], Australian Geoscience Council website, 31 January 2023, accessed September 2023.</w:t>
      </w:r>
    </w:p>
  </w:endnote>
  <w:endnote w:id="107">
    <w:p w14:paraId="2CB15DA9" w14:textId="66305B36" w:rsidR="009E09C1" w:rsidRPr="004906C5" w:rsidRDefault="009E09C1" w:rsidP="00337B7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337B75" w:rsidRPr="004906C5">
        <w:rPr>
          <w:rFonts w:asciiTheme="minorHAnsi" w:hAnsiTheme="minorHAnsi" w:cstheme="minorHAnsi"/>
        </w:rPr>
        <w:t>Star of the South, ‘</w:t>
      </w:r>
      <w:hyperlink r:id="rId110" w:history="1">
        <w:r w:rsidR="00337B75" w:rsidRPr="004906C5">
          <w:rPr>
            <w:rStyle w:val="Hyperlink"/>
            <w:rFonts w:asciiTheme="minorHAnsi" w:hAnsiTheme="minorHAnsi" w:cstheme="minorHAnsi"/>
          </w:rPr>
          <w:t>Making the move to offshore wind: A guide for workers</w:t>
        </w:r>
      </w:hyperlink>
      <w:r w:rsidR="00337B75" w:rsidRPr="004906C5">
        <w:rPr>
          <w:rFonts w:asciiTheme="minorHAnsi" w:hAnsiTheme="minorHAnsi" w:cstheme="minorHAnsi"/>
        </w:rPr>
        <w:t>’, Star of the South website, 2023, accessed September 2023.</w:t>
      </w:r>
    </w:p>
  </w:endnote>
  <w:endnote w:id="108">
    <w:p w14:paraId="2B62D471" w14:textId="0D758EE3" w:rsidR="009E09C1" w:rsidRPr="004906C5" w:rsidRDefault="009E09C1" w:rsidP="00337B7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90EE3">
        <w:rPr>
          <w:rFonts w:asciiTheme="minorHAnsi" w:hAnsiTheme="minorHAnsi" w:cstheme="minorHAnsi"/>
        </w:rPr>
        <w:t>T</w:t>
      </w:r>
      <w:r w:rsidRPr="004906C5">
        <w:rPr>
          <w:rFonts w:asciiTheme="minorHAnsi" w:hAnsiTheme="minorHAnsi" w:cstheme="minorHAnsi"/>
        </w:rPr>
        <w:t xml:space="preserve">he Hon Chris Bowen MP, </w:t>
      </w:r>
      <w:hyperlink r:id="rId111" w:history="1">
        <w:r w:rsidRPr="00D2297A">
          <w:rPr>
            <w:rStyle w:val="Hyperlink"/>
            <w:rFonts w:asciiTheme="minorHAnsi" w:hAnsiTheme="minorHAnsi" w:cstheme="minorHAnsi"/>
            <w:i/>
          </w:rPr>
          <w:t>Australia joins global drive to boost offshore wind</w:t>
        </w:r>
      </w:hyperlink>
      <w:r w:rsidR="00D2297A">
        <w:rPr>
          <w:rFonts w:asciiTheme="minorHAnsi" w:hAnsiTheme="minorHAnsi" w:cstheme="minorHAnsi"/>
          <w:i/>
        </w:rPr>
        <w:t xml:space="preserve"> </w:t>
      </w:r>
      <w:r w:rsidR="00D2297A">
        <w:rPr>
          <w:rFonts w:asciiTheme="minorHAnsi" w:hAnsiTheme="minorHAnsi" w:cstheme="minorHAnsi"/>
          <w:iCs/>
        </w:rPr>
        <w:t>[media release]</w:t>
      </w:r>
      <w:r w:rsidRPr="004906C5">
        <w:rPr>
          <w:rFonts w:asciiTheme="minorHAnsi" w:hAnsiTheme="minorHAnsi" w:cstheme="minorHAnsi"/>
          <w:i/>
        </w:rPr>
        <w:t xml:space="preserve">, </w:t>
      </w:r>
      <w:r w:rsidR="00890EE3" w:rsidRPr="004906C5">
        <w:rPr>
          <w:rFonts w:asciiTheme="minorHAnsi" w:hAnsiTheme="minorHAnsi" w:cstheme="minorHAnsi"/>
        </w:rPr>
        <w:t>Minister for Climate Change and Energy</w:t>
      </w:r>
      <w:r w:rsidR="00E8334E">
        <w:rPr>
          <w:rFonts w:asciiTheme="minorHAnsi" w:hAnsiTheme="minorHAnsi" w:cstheme="minorHAnsi"/>
          <w:iCs/>
        </w:rPr>
        <w:t xml:space="preserve">, </w:t>
      </w:r>
      <w:r w:rsidR="00067132">
        <w:rPr>
          <w:rFonts w:asciiTheme="minorHAnsi" w:hAnsiTheme="minorHAnsi" w:cstheme="minorHAnsi"/>
          <w:iCs/>
        </w:rPr>
        <w:t>Australian Government,</w:t>
      </w:r>
      <w:r w:rsidR="00067132" w:rsidRPr="004906C5">
        <w:rPr>
          <w:rFonts w:asciiTheme="minorHAnsi" w:hAnsiTheme="minorHAnsi" w:cstheme="minorHAnsi"/>
        </w:rPr>
        <w:t xml:space="preserve"> </w:t>
      </w:r>
      <w:r w:rsidRPr="004906C5">
        <w:rPr>
          <w:rFonts w:asciiTheme="minorHAnsi" w:hAnsiTheme="minorHAnsi" w:cstheme="minorHAnsi"/>
        </w:rPr>
        <w:t>15 November 2022.</w:t>
      </w:r>
    </w:p>
  </w:endnote>
  <w:endnote w:id="109">
    <w:p w14:paraId="097CC7CC" w14:textId="7A5075E7" w:rsidR="009E09C1" w:rsidRPr="004906C5" w:rsidRDefault="009E09C1" w:rsidP="00337B7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86CA0" w:rsidRPr="004906C5">
        <w:rPr>
          <w:rFonts w:asciiTheme="minorHAnsi" w:hAnsiTheme="minorHAnsi" w:cstheme="minorHAnsi"/>
        </w:rPr>
        <w:t xml:space="preserve">DCCEEW, </w:t>
      </w:r>
      <w:hyperlink r:id="rId112" w:history="1">
        <w:r w:rsidR="00286CA0" w:rsidRPr="004906C5">
          <w:rPr>
            <w:rStyle w:val="Hyperlink"/>
            <w:rFonts w:asciiTheme="minorHAnsi" w:hAnsiTheme="minorHAnsi" w:cstheme="minorHAnsi"/>
            <w:i/>
            <w:iCs/>
          </w:rPr>
          <w:t xml:space="preserve">Creating jobs and spurring investment in new energy industries - Budget October 2022-23 </w:t>
        </w:r>
        <w:r w:rsidR="00286CA0" w:rsidRPr="004906C5">
          <w:rPr>
            <w:rStyle w:val="Hyperlink"/>
            <w:rFonts w:asciiTheme="minorHAnsi" w:hAnsiTheme="minorHAnsi" w:cstheme="minorHAnsi"/>
          </w:rPr>
          <w:t>[PDF 247KB]</w:t>
        </w:r>
      </w:hyperlink>
      <w:r w:rsidR="006E31FA">
        <w:rPr>
          <w:rFonts w:asciiTheme="minorHAnsi" w:hAnsiTheme="minorHAnsi" w:cstheme="minorHAnsi"/>
        </w:rPr>
        <w:t>,</w:t>
      </w:r>
      <w:r w:rsidR="006E31FA" w:rsidRPr="004906C5">
        <w:rPr>
          <w:rFonts w:asciiTheme="minorHAnsi" w:hAnsiTheme="minorHAnsi" w:cstheme="minorHAnsi"/>
        </w:rPr>
        <w:t xml:space="preserve"> </w:t>
      </w:r>
      <w:r w:rsidR="00286CA0" w:rsidRPr="004906C5">
        <w:rPr>
          <w:rFonts w:asciiTheme="minorHAnsi" w:hAnsiTheme="minorHAnsi" w:cstheme="minorHAnsi"/>
        </w:rPr>
        <w:t xml:space="preserve">DCCEEW, </w:t>
      </w:r>
      <w:r w:rsidR="00067132" w:rsidRPr="004906C5">
        <w:rPr>
          <w:rFonts w:asciiTheme="minorHAnsi" w:hAnsiTheme="minorHAnsi" w:cstheme="minorHAnsi"/>
        </w:rPr>
        <w:t>Australian Government</w:t>
      </w:r>
      <w:r w:rsidR="00067132">
        <w:rPr>
          <w:rFonts w:asciiTheme="minorHAnsi" w:hAnsiTheme="minorHAnsi" w:cstheme="minorHAnsi"/>
        </w:rPr>
        <w:t>,</w:t>
      </w:r>
      <w:r w:rsidR="00067132" w:rsidRPr="004906C5">
        <w:rPr>
          <w:rFonts w:asciiTheme="minorHAnsi" w:hAnsiTheme="minorHAnsi" w:cstheme="minorHAnsi"/>
        </w:rPr>
        <w:t xml:space="preserve"> </w:t>
      </w:r>
      <w:r w:rsidR="00286CA0" w:rsidRPr="004906C5">
        <w:rPr>
          <w:rFonts w:asciiTheme="minorHAnsi" w:hAnsiTheme="minorHAnsi" w:cstheme="minorHAnsi"/>
        </w:rPr>
        <w:t>2022, accessed September 2023.</w:t>
      </w:r>
    </w:p>
  </w:endnote>
  <w:endnote w:id="110">
    <w:p w14:paraId="1309A14C" w14:textId="1013302B"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E352B" w:rsidRPr="004906C5">
        <w:rPr>
          <w:rFonts w:asciiTheme="minorHAnsi" w:hAnsiTheme="minorHAnsi" w:cstheme="minorHAnsi"/>
        </w:rPr>
        <w:t>Star of the South, ‘</w:t>
      </w:r>
      <w:hyperlink r:id="rId113" w:history="1">
        <w:r w:rsidR="007E352B" w:rsidRPr="004906C5">
          <w:rPr>
            <w:rStyle w:val="Hyperlink"/>
            <w:rFonts w:asciiTheme="minorHAnsi" w:hAnsiTheme="minorHAnsi" w:cstheme="minorHAnsi"/>
          </w:rPr>
          <w:t>Making the move to offshore wind: A guide for workers</w:t>
        </w:r>
      </w:hyperlink>
      <w:r w:rsidR="007E352B" w:rsidRPr="004906C5">
        <w:rPr>
          <w:rFonts w:asciiTheme="minorHAnsi" w:hAnsiTheme="minorHAnsi" w:cstheme="minorHAnsi"/>
        </w:rPr>
        <w:t>’, Star of the South website, 2023, accessed September 2023.</w:t>
      </w:r>
    </w:p>
  </w:endnote>
  <w:endnote w:id="111">
    <w:p w14:paraId="35560E44" w14:textId="2A19D3E9"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627D65" w:rsidRPr="004906C5">
        <w:rPr>
          <w:rFonts w:asciiTheme="minorHAnsi" w:hAnsiTheme="minorHAnsi" w:cstheme="minorHAnsi"/>
        </w:rPr>
        <w:t>IEA, ‘</w:t>
      </w:r>
      <w:hyperlink r:id="rId114" w:history="1">
        <w:r w:rsidR="00627D65" w:rsidRPr="004906C5">
          <w:rPr>
            <w:rStyle w:val="Hyperlink"/>
            <w:rFonts w:asciiTheme="minorHAnsi" w:hAnsiTheme="minorHAnsi" w:cstheme="minorHAnsi"/>
          </w:rPr>
          <w:t>Global EV Outlook 2023</w:t>
        </w:r>
      </w:hyperlink>
      <w:r w:rsidR="00627D65" w:rsidRPr="004906C5">
        <w:rPr>
          <w:rFonts w:asciiTheme="minorHAnsi" w:hAnsiTheme="minorHAnsi" w:cstheme="minorHAnsi"/>
        </w:rPr>
        <w:t>’, IEA, 2023, accessed September 2023.</w:t>
      </w:r>
    </w:p>
  </w:endnote>
  <w:endnote w:id="112">
    <w:p w14:paraId="416E1BBF" w14:textId="11C1C64C"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577AD" w:rsidRPr="004906C5">
        <w:rPr>
          <w:rFonts w:asciiTheme="minorHAnsi" w:hAnsiTheme="minorHAnsi" w:cstheme="minorHAnsi"/>
        </w:rPr>
        <w:t>McKinsey &amp; Company,</w:t>
      </w:r>
      <w:r w:rsidR="00F577AD" w:rsidRPr="004906C5">
        <w:rPr>
          <w:rFonts w:asciiTheme="minorHAnsi" w:hAnsiTheme="minorHAnsi" w:cstheme="minorHAnsi"/>
          <w:i/>
          <w:iCs/>
        </w:rPr>
        <w:t xml:space="preserve"> </w:t>
      </w:r>
      <w:hyperlink r:id="rId115" w:history="1">
        <w:r w:rsidR="00F577AD" w:rsidRPr="004906C5">
          <w:rPr>
            <w:rStyle w:val="Hyperlink"/>
            <w:rFonts w:asciiTheme="minorHAnsi" w:hAnsiTheme="minorHAnsi" w:cstheme="minorHAnsi"/>
            <w:i/>
            <w:iCs/>
          </w:rPr>
          <w:t>Sydney 2022: Scaling EV infrastructure to meet net-zero targets</w:t>
        </w:r>
      </w:hyperlink>
      <w:r w:rsidR="00F577AD" w:rsidRPr="004906C5">
        <w:rPr>
          <w:rFonts w:asciiTheme="minorHAnsi" w:hAnsiTheme="minorHAnsi" w:cstheme="minorHAnsi"/>
        </w:rPr>
        <w:t>, McKinsey &amp; Company website, 2022, accessed September 2023.</w:t>
      </w:r>
    </w:p>
  </w:endnote>
  <w:endnote w:id="113">
    <w:p w14:paraId="2C3D7A8F" w14:textId="4D99B20C" w:rsidR="00131656" w:rsidRPr="00DC570A" w:rsidRDefault="009E09C1" w:rsidP="00DC570A">
      <w:pPr>
        <w:spacing w:before="120" w:after="120"/>
        <w:ind w:left="709" w:hanging="709"/>
        <w:rPr>
          <w:rFonts w:cs="Arial"/>
          <w:sz w:val="20"/>
          <w:szCs w:val="20"/>
        </w:rPr>
      </w:pPr>
      <w:r w:rsidRPr="00CC7FBB">
        <w:rPr>
          <w:rFonts w:asciiTheme="minorHAnsi" w:hAnsiTheme="minorHAnsi" w:cstheme="minorHAnsi"/>
          <w:sz w:val="20"/>
          <w:szCs w:val="20"/>
        </w:rPr>
        <w:endnoteRef/>
      </w:r>
      <w:r w:rsidRPr="00DC570A">
        <w:rPr>
          <w:rFonts w:asciiTheme="minorHAnsi" w:hAnsiTheme="minorHAnsi" w:cstheme="minorHAnsi"/>
        </w:rPr>
        <w:tab/>
      </w:r>
      <w:r w:rsidR="00DC570A" w:rsidRPr="00DC570A">
        <w:rPr>
          <w:rFonts w:cs="Arial"/>
          <w:sz w:val="20"/>
          <w:szCs w:val="20"/>
        </w:rPr>
        <w:t>training</w:t>
      </w:r>
      <w:r w:rsidR="00DC570A" w:rsidRPr="00605B24">
        <w:rPr>
          <w:rFonts w:cs="Arial"/>
          <w:sz w:val="20"/>
          <w:szCs w:val="20"/>
        </w:rPr>
        <w:t xml:space="preserve">.gov.au, </w:t>
      </w:r>
      <w:hyperlink r:id="rId116" w:history="1">
        <w:r w:rsidR="00DC570A" w:rsidRPr="00605B24">
          <w:rPr>
            <w:rStyle w:val="Hyperlink"/>
            <w:rFonts w:cs="Arial"/>
            <w:i/>
            <w:iCs/>
            <w:sz w:val="20"/>
            <w:szCs w:val="20"/>
          </w:rPr>
          <w:t>AUR – Automotive Retail, Service and Repair Training Package</w:t>
        </w:r>
      </w:hyperlink>
      <w:r w:rsidR="00DC570A" w:rsidRPr="00605B24">
        <w:rPr>
          <w:rFonts w:cs="Arial"/>
          <w:sz w:val="20"/>
          <w:szCs w:val="20"/>
        </w:rPr>
        <w:t>, training.gov.au website, 9 December 2022, accessed September 2023.</w:t>
      </w:r>
    </w:p>
  </w:endnote>
  <w:endnote w:id="114">
    <w:p w14:paraId="706D4001" w14:textId="471837B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03019" w:rsidRPr="004906C5">
        <w:rPr>
          <w:rFonts w:asciiTheme="minorHAnsi" w:hAnsiTheme="minorHAnsi" w:cstheme="minorHAnsi"/>
        </w:rPr>
        <w:t>South Metropolitan TAFE, Western Australia, ‘</w:t>
      </w:r>
      <w:hyperlink r:id="rId117" w:history="1">
        <w:r w:rsidR="00E03019" w:rsidRPr="004906C5">
          <w:rPr>
            <w:rStyle w:val="Hyperlink"/>
            <w:rFonts w:asciiTheme="minorHAnsi" w:hAnsiTheme="minorHAnsi" w:cstheme="minorHAnsi"/>
          </w:rPr>
          <w:t>Vocational skills gap assessment and workforce development plan</w:t>
        </w:r>
      </w:hyperlink>
      <w:r w:rsidR="00E03019" w:rsidRPr="004906C5">
        <w:rPr>
          <w:rFonts w:asciiTheme="minorHAnsi" w:hAnsiTheme="minorHAnsi" w:cstheme="minorHAnsi"/>
        </w:rPr>
        <w:t>’, commissioned by Future Batteries Industries Cooperative Research Centre, South Metropolitan TAFE, Western Australia, 2021, accessed September 2023.</w:t>
      </w:r>
    </w:p>
  </w:endnote>
  <w:endnote w:id="115">
    <w:p w14:paraId="2681637D" w14:textId="30D7EA4C" w:rsidR="00BE1CEC" w:rsidRPr="00BE1CEC" w:rsidRDefault="00BE1CEC" w:rsidP="00BE1CEC">
      <w:pPr>
        <w:spacing w:before="120" w:after="120"/>
        <w:ind w:left="709" w:hanging="709"/>
        <w:rPr>
          <w:rFonts w:cs="Arial"/>
          <w:sz w:val="20"/>
          <w:szCs w:val="20"/>
        </w:rPr>
      </w:pPr>
      <w:r w:rsidRPr="00BE1CEC">
        <w:rPr>
          <w:rFonts w:asciiTheme="minorHAnsi" w:hAnsiTheme="minorHAnsi" w:cstheme="minorHAnsi"/>
          <w:sz w:val="20"/>
          <w:szCs w:val="20"/>
        </w:rPr>
        <w:endnoteRef/>
      </w:r>
      <w:r w:rsidRPr="00BE1CEC">
        <w:rPr>
          <w:rFonts w:asciiTheme="minorHAnsi" w:hAnsiTheme="minorHAnsi" w:cstheme="minorHAnsi"/>
          <w:sz w:val="20"/>
          <w:szCs w:val="20"/>
        </w:rPr>
        <w:t xml:space="preserve"> </w:t>
      </w:r>
      <w:r>
        <w:tab/>
      </w:r>
      <w:r w:rsidRPr="00605B24">
        <w:rPr>
          <w:rFonts w:cs="Arial"/>
          <w:spacing w:val="2"/>
          <w:sz w:val="20"/>
          <w:szCs w:val="20"/>
        </w:rPr>
        <w:t xml:space="preserve">DCCEEW, </w:t>
      </w:r>
      <w:hyperlink r:id="rId118" w:history="1">
        <w:r w:rsidRPr="00605B24">
          <w:rPr>
            <w:rStyle w:val="Hyperlink"/>
            <w:rFonts w:cs="Arial"/>
            <w:i/>
            <w:iCs/>
            <w:spacing w:val="2"/>
            <w:sz w:val="20"/>
            <w:szCs w:val="20"/>
          </w:rPr>
          <w:t>The National Electric Vehicle Strategy</w:t>
        </w:r>
      </w:hyperlink>
      <w:r w:rsidRPr="00CC7FBB">
        <w:rPr>
          <w:rStyle w:val="Hyperlink"/>
          <w:rFonts w:cs="Arial"/>
          <w:color w:val="auto"/>
          <w:spacing w:val="2"/>
          <w:sz w:val="20"/>
          <w:szCs w:val="20"/>
          <w:u w:val="none"/>
        </w:rPr>
        <w:t xml:space="preserve">, DCCEEW website, </w:t>
      </w:r>
      <w:r w:rsidRPr="00605B24">
        <w:rPr>
          <w:rFonts w:cs="Arial"/>
          <w:spacing w:val="2"/>
          <w:sz w:val="20"/>
          <w:szCs w:val="20"/>
        </w:rPr>
        <w:t>Australian Government,</w:t>
      </w:r>
      <w:r w:rsidRPr="00BE1CEC">
        <w:rPr>
          <w:rFonts w:cs="Arial"/>
          <w:spacing w:val="2"/>
          <w:sz w:val="20"/>
          <w:szCs w:val="20"/>
        </w:rPr>
        <w:t xml:space="preserve"> </w:t>
      </w:r>
      <w:r w:rsidRPr="00BE1CEC">
        <w:rPr>
          <w:rStyle w:val="Hyperlink"/>
          <w:rFonts w:cs="Arial"/>
          <w:color w:val="auto"/>
          <w:spacing w:val="2"/>
          <w:sz w:val="20"/>
          <w:szCs w:val="20"/>
          <w:u w:val="none"/>
        </w:rPr>
        <w:t>19 April 2023, accessed September 2023.</w:t>
      </w:r>
    </w:p>
  </w:endnote>
  <w:endnote w:id="116">
    <w:p w14:paraId="4BAF332C" w14:textId="161AAC59" w:rsidR="00BE1CEC" w:rsidRPr="00BE1CEC" w:rsidRDefault="00BE1CEC" w:rsidP="00BE1CEC">
      <w:pPr>
        <w:spacing w:before="120" w:after="120"/>
        <w:ind w:left="709" w:hanging="709"/>
        <w:rPr>
          <w:rFonts w:cs="Arial"/>
          <w:sz w:val="20"/>
          <w:szCs w:val="20"/>
        </w:rPr>
      </w:pPr>
      <w:r w:rsidRPr="00BE1CEC">
        <w:rPr>
          <w:rFonts w:asciiTheme="minorHAnsi" w:hAnsiTheme="minorHAnsi" w:cstheme="minorHAnsi"/>
          <w:sz w:val="20"/>
          <w:szCs w:val="20"/>
        </w:rPr>
        <w:endnoteRef/>
      </w:r>
      <w:r w:rsidRPr="00BE1CEC">
        <w:rPr>
          <w:rFonts w:asciiTheme="minorHAnsi" w:hAnsiTheme="minorHAnsi" w:cstheme="minorHAnsi"/>
          <w:sz w:val="20"/>
          <w:szCs w:val="20"/>
        </w:rPr>
        <w:t xml:space="preserve"> </w:t>
      </w:r>
      <w:bookmarkStart w:id="70" w:name="_Hlk146613231"/>
      <w:r>
        <w:tab/>
      </w:r>
      <w:r w:rsidRPr="00605B24">
        <w:rPr>
          <w:rFonts w:cs="Arial"/>
          <w:sz w:val="20"/>
          <w:szCs w:val="20"/>
        </w:rPr>
        <w:t xml:space="preserve">Viva Energy Australia, </w:t>
      </w:r>
      <w:hyperlink r:id="rId119" w:history="1">
        <w:r w:rsidRPr="00605B24">
          <w:rPr>
            <w:rStyle w:val="Hyperlink"/>
            <w:rFonts w:cs="Arial"/>
            <w:i/>
            <w:iCs/>
            <w:sz w:val="20"/>
            <w:szCs w:val="20"/>
          </w:rPr>
          <w:t>Viva Energy to acquire OTR Group, transforming Viva Energy’s Convenience and Mobility retail business</w:t>
        </w:r>
      </w:hyperlink>
      <w:r w:rsidRPr="00605B24">
        <w:rPr>
          <w:rFonts w:cs="Arial"/>
          <w:sz w:val="20"/>
          <w:szCs w:val="20"/>
        </w:rPr>
        <w:t xml:space="preserve"> [media release], Viva Energy Australia website, 5 April 2023, accessed September 2023.</w:t>
      </w:r>
      <w:bookmarkEnd w:id="70"/>
    </w:p>
  </w:endnote>
  <w:endnote w:id="117">
    <w:p w14:paraId="2514F3D6" w14:textId="77777777" w:rsidR="00F26634" w:rsidRPr="004906C5" w:rsidRDefault="00F26634" w:rsidP="00F26634">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Pr>
          <w:rFonts w:asciiTheme="minorHAnsi" w:hAnsiTheme="minorHAnsi" w:cstheme="minorHAnsi"/>
        </w:rPr>
        <w:t>GHD</w:t>
      </w:r>
      <w:r w:rsidRPr="004906C5">
        <w:rPr>
          <w:rFonts w:asciiTheme="minorHAnsi" w:hAnsiTheme="minorHAnsi" w:cstheme="minorHAnsi"/>
        </w:rPr>
        <w:t xml:space="preserve">, </w:t>
      </w:r>
      <w:hyperlink r:id="rId120" w:history="1">
        <w:r w:rsidRPr="00337B75">
          <w:rPr>
            <w:rStyle w:val="Hyperlink"/>
            <w:rFonts w:asciiTheme="minorHAnsi" w:hAnsiTheme="minorHAnsi" w:cstheme="minorHAnsi"/>
            <w:i/>
          </w:rPr>
          <w:t xml:space="preserve">Turning Circle: How bioenergy can supercharge Australia’s circular economy </w:t>
        </w:r>
        <w:r w:rsidRPr="00337B75">
          <w:rPr>
            <w:rStyle w:val="Hyperlink"/>
            <w:rFonts w:asciiTheme="minorHAnsi" w:hAnsiTheme="minorHAnsi" w:cstheme="minorHAnsi"/>
            <w:iCs/>
          </w:rPr>
          <w:t>[PDF 1.542MB]</w:t>
        </w:r>
      </w:hyperlink>
      <w:r w:rsidRPr="004906C5">
        <w:rPr>
          <w:rFonts w:asciiTheme="minorHAnsi" w:hAnsiTheme="minorHAnsi" w:cstheme="minorHAnsi"/>
          <w:i/>
        </w:rPr>
        <w:t>,</w:t>
      </w:r>
      <w:r>
        <w:rPr>
          <w:rFonts w:asciiTheme="minorHAnsi" w:hAnsiTheme="minorHAnsi" w:cstheme="minorHAnsi"/>
          <w:iCs/>
        </w:rPr>
        <w:t xml:space="preserve"> report to Bioenergy Australia, GHD, Bioenergy Australia website,</w:t>
      </w:r>
      <w:r w:rsidRPr="004906C5">
        <w:rPr>
          <w:rFonts w:asciiTheme="minorHAnsi" w:hAnsiTheme="minorHAnsi" w:cstheme="minorHAnsi"/>
          <w:i/>
        </w:rPr>
        <w:t xml:space="preserve"> </w:t>
      </w:r>
      <w:r w:rsidRPr="004906C5">
        <w:rPr>
          <w:rFonts w:asciiTheme="minorHAnsi" w:hAnsiTheme="minorHAnsi" w:cstheme="minorHAnsi"/>
        </w:rPr>
        <w:t>2022</w:t>
      </w:r>
      <w:r>
        <w:rPr>
          <w:rFonts w:asciiTheme="minorHAnsi" w:hAnsiTheme="minorHAnsi" w:cstheme="minorHAnsi"/>
        </w:rPr>
        <w:t>, accessed September 2023</w:t>
      </w:r>
      <w:r w:rsidRPr="004906C5">
        <w:rPr>
          <w:rFonts w:asciiTheme="minorHAnsi" w:hAnsiTheme="minorHAnsi" w:cstheme="minorHAnsi"/>
        </w:rPr>
        <w:t>.</w:t>
      </w:r>
    </w:p>
  </w:endnote>
  <w:endnote w:id="118">
    <w:p w14:paraId="6F5AC97F" w14:textId="5FF1ACE1" w:rsidR="2A12DF5A" w:rsidRDefault="2A12DF5A" w:rsidP="00DC570A">
      <w:pPr>
        <w:spacing w:line="257" w:lineRule="auto"/>
        <w:ind w:left="709" w:hanging="709"/>
      </w:pPr>
      <w:r w:rsidRPr="00DC570A">
        <w:rPr>
          <w:rFonts w:asciiTheme="minorHAnsi" w:hAnsiTheme="minorHAnsi" w:cstheme="minorHAnsi"/>
          <w:sz w:val="20"/>
          <w:szCs w:val="20"/>
        </w:rPr>
        <w:endnoteRef/>
      </w:r>
      <w:r w:rsidRPr="00DC570A">
        <w:rPr>
          <w:rFonts w:asciiTheme="minorHAnsi" w:hAnsiTheme="minorHAnsi" w:cstheme="minorHAnsi"/>
          <w:sz w:val="20"/>
          <w:szCs w:val="20"/>
        </w:rPr>
        <w:t xml:space="preserve"> </w:t>
      </w:r>
      <w:r w:rsidR="00DC570A">
        <w:tab/>
      </w:r>
      <w:r w:rsidRPr="2A12DF5A">
        <w:rPr>
          <w:rFonts w:eastAsia="Arial" w:cs="Arial"/>
          <w:sz w:val="20"/>
          <w:szCs w:val="20"/>
        </w:rPr>
        <w:t>Department of Infrastructure, Transport, Regional Development, Communications and the Arts,</w:t>
      </w:r>
      <w:r w:rsidRPr="2A12DF5A">
        <w:rPr>
          <w:rFonts w:eastAsia="Arial" w:cs="Arial"/>
          <w:color w:val="215E9E"/>
          <w:sz w:val="20"/>
          <w:szCs w:val="20"/>
          <w:u w:val="single"/>
        </w:rPr>
        <w:t xml:space="preserve"> ‘</w:t>
      </w:r>
      <w:hyperlink r:id="rId121">
        <w:r w:rsidRPr="2A12DF5A">
          <w:rPr>
            <w:rStyle w:val="Hyperlink"/>
            <w:rFonts w:eastAsia="Arial" w:cs="Arial"/>
            <w:color w:val="0563C1"/>
            <w:sz w:val="20"/>
            <w:szCs w:val="20"/>
          </w:rPr>
          <w:t>Aviation Green Paper – Towards 2050</w:t>
        </w:r>
      </w:hyperlink>
      <w:r w:rsidRPr="2A12DF5A">
        <w:rPr>
          <w:rFonts w:eastAsia="Arial" w:cs="Arial"/>
          <w:sz w:val="20"/>
          <w:szCs w:val="20"/>
        </w:rPr>
        <w:t>’, Department of Infrastructure, Transport, Regional Development, Communications and the Arts website, Australian Government, 7 September 2023, accessed September 2023.</w:t>
      </w:r>
    </w:p>
  </w:endnote>
  <w:endnote w:id="119">
    <w:p w14:paraId="67AF25FB" w14:textId="25090A78" w:rsidR="00994949" w:rsidRPr="004906C5" w:rsidRDefault="009E09C1" w:rsidP="0086222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62225">
        <w:rPr>
          <w:rFonts w:asciiTheme="minorHAnsi" w:hAnsiTheme="minorHAnsi" w:cstheme="minorHAnsi"/>
        </w:rPr>
        <w:t xml:space="preserve">OECD </w:t>
      </w:r>
      <w:r w:rsidR="00994949">
        <w:rPr>
          <w:rFonts w:asciiTheme="minorHAnsi" w:hAnsiTheme="minorHAnsi" w:cstheme="minorHAnsi"/>
        </w:rPr>
        <w:t>International Transport Forum (ITF),</w:t>
      </w:r>
      <w:r w:rsidR="00994949" w:rsidRPr="00994949">
        <w:rPr>
          <w:rFonts w:asciiTheme="minorHAnsi" w:hAnsiTheme="minorHAnsi" w:cstheme="minorHAnsi"/>
        </w:rPr>
        <w:t xml:space="preserve"> "</w:t>
      </w:r>
      <w:hyperlink r:id="rId122" w:history="1">
        <w:r w:rsidR="00994949" w:rsidRPr="00994949">
          <w:rPr>
            <w:rStyle w:val="Hyperlink"/>
            <w:rFonts w:asciiTheme="minorHAnsi" w:hAnsiTheme="minorHAnsi" w:cstheme="minorHAnsi"/>
          </w:rPr>
          <w:t>Decarbonising Maritime Transport: Pathways to zero-carbon shipping by 2035</w:t>
        </w:r>
      </w:hyperlink>
      <w:r w:rsidR="00994949" w:rsidRPr="00994949">
        <w:rPr>
          <w:rFonts w:asciiTheme="minorHAnsi" w:hAnsiTheme="minorHAnsi" w:cstheme="minorHAnsi"/>
        </w:rPr>
        <w:t xml:space="preserve">", </w:t>
      </w:r>
      <w:r w:rsidR="00994949" w:rsidRPr="00994949">
        <w:rPr>
          <w:rFonts w:asciiTheme="minorHAnsi" w:hAnsiTheme="minorHAnsi" w:cstheme="minorHAnsi"/>
          <w:i/>
          <w:iCs/>
        </w:rPr>
        <w:t>International Transport Forum Policy Papers</w:t>
      </w:r>
      <w:r w:rsidR="00994949" w:rsidRPr="00994949">
        <w:rPr>
          <w:rFonts w:asciiTheme="minorHAnsi" w:hAnsiTheme="minorHAnsi" w:cstheme="minorHAnsi"/>
        </w:rPr>
        <w:t>, No. 47, OECD Publishing, Paris,</w:t>
      </w:r>
      <w:r w:rsidR="00862225">
        <w:rPr>
          <w:rFonts w:asciiTheme="minorHAnsi" w:hAnsiTheme="minorHAnsi" w:cstheme="minorHAnsi"/>
        </w:rPr>
        <w:t xml:space="preserve"> 26 March 2018,</w:t>
      </w:r>
      <w:r w:rsidR="00994949" w:rsidRPr="00994949">
        <w:rPr>
          <w:rFonts w:asciiTheme="minorHAnsi" w:hAnsiTheme="minorHAnsi" w:cstheme="minorHAnsi"/>
        </w:rPr>
        <w:t xml:space="preserve"> doi</w:t>
      </w:r>
      <w:r w:rsidR="00994949">
        <w:rPr>
          <w:rFonts w:asciiTheme="minorHAnsi" w:hAnsiTheme="minorHAnsi" w:cstheme="minorHAnsi"/>
        </w:rPr>
        <w:t>:</w:t>
      </w:r>
      <w:r w:rsidR="00994949" w:rsidRPr="00994949">
        <w:rPr>
          <w:rFonts w:asciiTheme="minorHAnsi" w:hAnsiTheme="minorHAnsi" w:cstheme="minorHAnsi"/>
        </w:rPr>
        <w:t>10.1787/b1a7632c-en</w:t>
      </w:r>
      <w:r w:rsidR="00994949">
        <w:rPr>
          <w:rFonts w:asciiTheme="minorHAnsi" w:hAnsiTheme="minorHAnsi" w:cstheme="minorHAnsi"/>
        </w:rPr>
        <w:t>, accessed September 2023</w:t>
      </w:r>
      <w:r w:rsidR="00994949" w:rsidRPr="00994949">
        <w:rPr>
          <w:rFonts w:asciiTheme="minorHAnsi" w:hAnsiTheme="minorHAnsi" w:cstheme="minorHAnsi"/>
        </w:rPr>
        <w:t>.</w:t>
      </w:r>
    </w:p>
  </w:endnote>
  <w:endnote w:id="120">
    <w:p w14:paraId="710C1BEF" w14:textId="5C120269" w:rsidR="009E09C1" w:rsidRPr="004906C5" w:rsidRDefault="009E09C1" w:rsidP="00BE2A93">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Global Maritime Forum, </w:t>
      </w:r>
      <w:r w:rsidR="00BE2A93">
        <w:rPr>
          <w:rFonts w:asciiTheme="minorHAnsi" w:hAnsiTheme="minorHAnsi" w:cstheme="minorHAnsi"/>
        </w:rPr>
        <w:t>‘</w:t>
      </w:r>
      <w:hyperlink r:id="rId123" w:history="1">
        <w:r w:rsidRPr="0086300B">
          <w:rPr>
            <w:rStyle w:val="Hyperlink"/>
            <w:rFonts w:asciiTheme="minorHAnsi" w:hAnsiTheme="minorHAnsi" w:cstheme="minorHAnsi"/>
            <w:iCs/>
          </w:rPr>
          <w:t>Shipping’s Energy Transition: Strategic Opportunities in South Africa</w:t>
        </w:r>
      </w:hyperlink>
      <w:r w:rsidR="00BE2A93">
        <w:rPr>
          <w:rFonts w:asciiTheme="minorHAnsi" w:hAnsiTheme="minorHAnsi" w:cstheme="minorHAnsi"/>
          <w:iCs/>
        </w:rPr>
        <w:t>’</w:t>
      </w:r>
      <w:r w:rsidRPr="004906C5">
        <w:rPr>
          <w:rFonts w:asciiTheme="minorHAnsi" w:hAnsiTheme="minorHAnsi" w:cstheme="minorHAnsi"/>
          <w:i/>
        </w:rPr>
        <w:t xml:space="preserve">, </w:t>
      </w:r>
      <w:r w:rsidR="0086300B">
        <w:rPr>
          <w:rFonts w:asciiTheme="minorHAnsi" w:hAnsiTheme="minorHAnsi" w:cstheme="minorHAnsi"/>
          <w:iCs/>
        </w:rPr>
        <w:t xml:space="preserve">Global Maritime Forum website, </w:t>
      </w:r>
      <w:r w:rsidRPr="004906C5">
        <w:rPr>
          <w:rFonts w:asciiTheme="minorHAnsi" w:hAnsiTheme="minorHAnsi" w:cstheme="minorHAnsi"/>
        </w:rPr>
        <w:t>June 2022</w:t>
      </w:r>
      <w:r w:rsidR="0086300B">
        <w:rPr>
          <w:rFonts w:asciiTheme="minorHAnsi" w:hAnsiTheme="minorHAnsi" w:cstheme="minorHAnsi"/>
        </w:rPr>
        <w:t>, accessed September 2023.</w:t>
      </w:r>
    </w:p>
  </w:endnote>
  <w:endnote w:id="121">
    <w:p w14:paraId="789882BA" w14:textId="2C63D2A9" w:rsidR="009E09C1" w:rsidRPr="002E7228" w:rsidRDefault="009E09C1" w:rsidP="005A08B1">
      <w:pPr>
        <w:pStyle w:val="EndnoteText"/>
        <w:spacing w:before="120" w:after="120"/>
        <w:ind w:left="709" w:hanging="709"/>
        <w:rPr>
          <w:rFonts w:asciiTheme="minorHAnsi" w:hAnsiTheme="minorHAnsi" w:cstheme="minorHAnsi"/>
          <w:iCs/>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97464E" w:rsidRPr="0097464E">
        <w:rPr>
          <w:rFonts w:asciiTheme="minorHAnsi" w:hAnsiTheme="minorHAnsi" w:cstheme="minorHAnsi"/>
        </w:rPr>
        <w:t>M Lind, W Lehmacher, S Åhlén Björk, S Haraldson, C Pålsson, R Penttilä, K Tikka and RT Watson</w:t>
      </w:r>
      <w:r w:rsidRPr="004906C5">
        <w:rPr>
          <w:rFonts w:asciiTheme="minorHAnsi" w:hAnsiTheme="minorHAnsi" w:cstheme="minorHAnsi"/>
        </w:rPr>
        <w:t xml:space="preserve">, </w:t>
      </w:r>
      <w:r w:rsidR="00056685">
        <w:rPr>
          <w:rFonts w:asciiTheme="minorHAnsi" w:hAnsiTheme="minorHAnsi" w:cstheme="minorHAnsi"/>
        </w:rPr>
        <w:t>‘</w:t>
      </w:r>
      <w:hyperlink r:id="rId124" w:anchor=":~:text=The%20commonality%20is%20decarbonizing%20shipping,redress%20today%27s%20increasingly%20fragmented%20world." w:history="1">
        <w:r w:rsidRPr="00D95EAE">
          <w:rPr>
            <w:rStyle w:val="Hyperlink"/>
            <w:rFonts w:asciiTheme="minorHAnsi" w:hAnsiTheme="minorHAnsi" w:cstheme="minorHAnsi"/>
            <w:iCs/>
          </w:rPr>
          <w:t>Decarbonising the maritime sector: Mobilizing coordinated action in the industry using an ecosystems approach</w:t>
        </w:r>
      </w:hyperlink>
      <w:r w:rsidR="00056685">
        <w:rPr>
          <w:rFonts w:asciiTheme="minorHAnsi" w:hAnsiTheme="minorHAnsi" w:cstheme="minorHAnsi"/>
          <w:iCs/>
        </w:rPr>
        <w:t>’</w:t>
      </w:r>
      <w:r w:rsidRPr="004906C5">
        <w:rPr>
          <w:rFonts w:asciiTheme="minorHAnsi" w:hAnsiTheme="minorHAnsi" w:cstheme="minorHAnsi"/>
          <w:i/>
        </w:rPr>
        <w:t>,</w:t>
      </w:r>
      <w:r w:rsidR="00056685" w:rsidRPr="00056685">
        <w:rPr>
          <w:rFonts w:asciiTheme="minorHAnsi" w:hAnsiTheme="minorHAnsi" w:cstheme="minorHAnsi"/>
          <w:i/>
        </w:rPr>
        <w:t xml:space="preserve"> UNCTAD Transport and Trade Facilitation Newsletter</w:t>
      </w:r>
      <w:r w:rsidR="00056685">
        <w:rPr>
          <w:rFonts w:asciiTheme="minorHAnsi" w:hAnsiTheme="minorHAnsi" w:cstheme="minorHAnsi"/>
          <w:i/>
        </w:rPr>
        <w:t>,</w:t>
      </w:r>
      <w:r w:rsidR="00056685">
        <w:rPr>
          <w:rFonts w:asciiTheme="minorHAnsi" w:hAnsiTheme="minorHAnsi" w:cstheme="minorHAnsi"/>
          <w:iCs/>
        </w:rPr>
        <w:t xml:space="preserve"> </w:t>
      </w:r>
      <w:r w:rsidR="00056685" w:rsidRPr="006F1D25">
        <w:rPr>
          <w:rFonts w:asciiTheme="minorHAnsi" w:hAnsiTheme="minorHAnsi" w:cstheme="minorHAnsi"/>
          <w:iCs/>
        </w:rPr>
        <w:t>Article No. 89</w:t>
      </w:r>
      <w:r w:rsidR="00056685">
        <w:rPr>
          <w:rFonts w:asciiTheme="minorHAnsi" w:hAnsiTheme="minorHAnsi" w:cstheme="minorHAnsi"/>
          <w:iCs/>
        </w:rPr>
        <w:t>,</w:t>
      </w:r>
      <w:r w:rsidR="00056685" w:rsidRPr="006F1D25">
        <w:rPr>
          <w:rFonts w:asciiTheme="minorHAnsi" w:hAnsiTheme="minorHAnsi" w:cstheme="minorHAnsi"/>
          <w:iCs/>
        </w:rPr>
        <w:t xml:space="preserve"> N</w:t>
      </w:r>
      <w:r w:rsidR="00056685">
        <w:rPr>
          <w:rFonts w:asciiTheme="minorHAnsi" w:hAnsiTheme="minorHAnsi" w:cstheme="minorHAnsi"/>
          <w:iCs/>
        </w:rPr>
        <w:t>o.</w:t>
      </w:r>
      <w:r w:rsidR="00056685" w:rsidRPr="006F1D25">
        <w:rPr>
          <w:rFonts w:asciiTheme="minorHAnsi" w:hAnsiTheme="minorHAnsi" w:cstheme="minorHAnsi"/>
          <w:iCs/>
        </w:rPr>
        <w:t>94</w:t>
      </w:r>
      <w:r w:rsidR="00056685">
        <w:rPr>
          <w:rFonts w:asciiTheme="minorHAnsi" w:hAnsiTheme="minorHAnsi" w:cstheme="minorHAnsi"/>
          <w:iCs/>
        </w:rPr>
        <w:t>,</w:t>
      </w:r>
      <w:r w:rsidR="00056685" w:rsidRPr="006F1D25">
        <w:rPr>
          <w:rFonts w:asciiTheme="minorHAnsi" w:hAnsiTheme="minorHAnsi" w:cstheme="minorHAnsi"/>
          <w:iCs/>
        </w:rPr>
        <w:t xml:space="preserve"> </w:t>
      </w:r>
      <w:r w:rsidR="003947AF">
        <w:rPr>
          <w:rFonts w:asciiTheme="minorHAnsi" w:hAnsiTheme="minorHAnsi" w:cstheme="minorHAnsi"/>
          <w:iCs/>
        </w:rPr>
        <w:t xml:space="preserve">8 June </w:t>
      </w:r>
      <w:r w:rsidR="00056685" w:rsidRPr="006F1D25">
        <w:rPr>
          <w:rFonts w:asciiTheme="minorHAnsi" w:hAnsiTheme="minorHAnsi" w:cstheme="minorHAnsi"/>
          <w:iCs/>
        </w:rPr>
        <w:t>2022</w:t>
      </w:r>
      <w:r w:rsidR="002E7228">
        <w:rPr>
          <w:rFonts w:asciiTheme="minorHAnsi" w:hAnsiTheme="minorHAnsi" w:cstheme="minorHAnsi"/>
          <w:iCs/>
        </w:rPr>
        <w:t xml:space="preserve">, </w:t>
      </w:r>
      <w:r w:rsidR="00D95EAE">
        <w:rPr>
          <w:rFonts w:asciiTheme="minorHAnsi" w:hAnsiTheme="minorHAnsi" w:cstheme="minorHAnsi"/>
          <w:iCs/>
        </w:rPr>
        <w:t xml:space="preserve">United Nations </w:t>
      </w:r>
      <w:r w:rsidR="00271093" w:rsidRPr="00271093">
        <w:rPr>
          <w:rFonts w:asciiTheme="minorHAnsi" w:hAnsiTheme="minorHAnsi" w:cstheme="minorHAnsi"/>
          <w:iCs/>
        </w:rPr>
        <w:t>Conference on Trade and Development</w:t>
      </w:r>
      <w:r w:rsidR="00271093">
        <w:rPr>
          <w:rFonts w:asciiTheme="minorHAnsi" w:hAnsiTheme="minorHAnsi" w:cstheme="minorHAnsi"/>
          <w:iCs/>
        </w:rPr>
        <w:t xml:space="preserve"> (UNCTAD) website, </w:t>
      </w:r>
      <w:r w:rsidR="002E7228">
        <w:rPr>
          <w:rFonts w:asciiTheme="minorHAnsi" w:hAnsiTheme="minorHAnsi" w:cstheme="minorHAnsi"/>
          <w:iCs/>
        </w:rPr>
        <w:t>accessed September 2023.</w:t>
      </w:r>
    </w:p>
  </w:endnote>
  <w:endnote w:id="122">
    <w:p w14:paraId="0DDC10C9" w14:textId="4B6A45AC" w:rsidR="009E09C1" w:rsidRPr="00DC570A" w:rsidRDefault="009E09C1" w:rsidP="00DC570A">
      <w:pPr>
        <w:spacing w:before="120" w:after="120"/>
        <w:ind w:left="709" w:hanging="709"/>
        <w:rPr>
          <w:rFonts w:cs="Arial"/>
          <w:sz w:val="20"/>
          <w:szCs w:val="20"/>
        </w:rPr>
      </w:pPr>
      <w:r w:rsidRPr="00CC7FBB">
        <w:rPr>
          <w:rStyle w:val="EndnoteReference"/>
          <w:rFonts w:asciiTheme="minorHAnsi" w:hAnsiTheme="minorHAnsi" w:cstheme="minorHAnsi"/>
          <w:sz w:val="20"/>
          <w:szCs w:val="20"/>
          <w:vertAlign w:val="baseline"/>
        </w:rPr>
        <w:endnoteRef/>
      </w:r>
      <w:r w:rsidRPr="00DC570A">
        <w:rPr>
          <w:rFonts w:asciiTheme="minorHAnsi" w:hAnsiTheme="minorHAnsi" w:cstheme="minorHAnsi"/>
        </w:rPr>
        <w:t xml:space="preserve"> </w:t>
      </w:r>
      <w:r w:rsidRPr="00DC570A">
        <w:rPr>
          <w:rFonts w:asciiTheme="minorHAnsi" w:hAnsiTheme="minorHAnsi" w:cstheme="minorHAnsi"/>
        </w:rPr>
        <w:tab/>
      </w:r>
      <w:r w:rsidR="00DC570A" w:rsidRPr="00DC570A">
        <w:rPr>
          <w:rFonts w:cs="Arial"/>
          <w:sz w:val="20"/>
          <w:szCs w:val="20"/>
        </w:rPr>
        <w:t xml:space="preserve">ABS, Occupation by Industry of Employment, </w:t>
      </w:r>
      <w:r w:rsidR="00DC570A" w:rsidRPr="00DC570A">
        <w:rPr>
          <w:rFonts w:cs="Arial"/>
          <w:i/>
          <w:iCs/>
          <w:sz w:val="20"/>
          <w:szCs w:val="20"/>
        </w:rPr>
        <w:t xml:space="preserve">2021 </w:t>
      </w:r>
      <w:r w:rsidR="00DC570A" w:rsidRPr="00DC570A">
        <w:rPr>
          <w:rFonts w:cs="Arial"/>
          <w:i/>
          <w:sz w:val="20"/>
          <w:szCs w:val="20"/>
        </w:rPr>
        <w:t>Census of Population and Housing</w:t>
      </w:r>
      <w:r w:rsidR="00DC570A" w:rsidRPr="00DC570A">
        <w:rPr>
          <w:rFonts w:cs="Arial"/>
          <w:i/>
          <w:iCs/>
          <w:sz w:val="20"/>
          <w:szCs w:val="20"/>
        </w:rPr>
        <w:t xml:space="preserve">, </w:t>
      </w:r>
      <w:r w:rsidR="00DC570A" w:rsidRPr="00DC570A">
        <w:rPr>
          <w:rFonts w:cs="Arial"/>
          <w:sz w:val="20"/>
          <w:szCs w:val="20"/>
        </w:rPr>
        <w:t>ABS, 2022, accessed September 2023.</w:t>
      </w:r>
    </w:p>
  </w:endnote>
  <w:endnote w:id="123">
    <w:p w14:paraId="4E7CA232" w14:textId="2A06B03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448C4" w:rsidRPr="004906C5">
        <w:rPr>
          <w:rFonts w:asciiTheme="minorHAnsi" w:hAnsiTheme="minorHAnsi" w:cstheme="minorHAnsi"/>
        </w:rPr>
        <w:t>IRENA, ‘</w:t>
      </w:r>
      <w:hyperlink r:id="rId125" w:anchor="page-0" w:history="1">
        <w:r w:rsidR="002448C4" w:rsidRPr="004906C5">
          <w:rPr>
            <w:rStyle w:val="Hyperlink"/>
            <w:rFonts w:asciiTheme="minorHAnsi" w:hAnsiTheme="minorHAnsi" w:cstheme="minorHAnsi"/>
          </w:rPr>
          <w:t>World Energy Transitions Outlook 2022</w:t>
        </w:r>
      </w:hyperlink>
      <w:r w:rsidR="002448C4" w:rsidRPr="004906C5">
        <w:rPr>
          <w:rFonts w:asciiTheme="minorHAnsi" w:hAnsiTheme="minorHAnsi" w:cstheme="minorHAnsi"/>
        </w:rPr>
        <w:t>’, IRENA, 2022, accessed September 2023.</w:t>
      </w:r>
    </w:p>
  </w:endnote>
  <w:endnote w:id="124">
    <w:p w14:paraId="1E673454" w14:textId="3DFE919D"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F65BBF" w:rsidRPr="004906C5">
        <w:rPr>
          <w:rFonts w:asciiTheme="minorHAnsi" w:hAnsiTheme="minorHAnsi" w:cstheme="minorHAnsi"/>
        </w:rPr>
        <w:tab/>
      </w:r>
      <w:r w:rsidRPr="004906C5">
        <w:rPr>
          <w:rFonts w:asciiTheme="minorHAnsi" w:hAnsiTheme="minorHAnsi" w:cstheme="minorHAnsi"/>
        </w:rPr>
        <w:t>E</w:t>
      </w:r>
      <w:r w:rsidR="00B97784">
        <w:rPr>
          <w:rFonts w:asciiTheme="minorHAnsi" w:hAnsiTheme="minorHAnsi" w:cstheme="minorHAnsi"/>
        </w:rPr>
        <w:t>EC</w:t>
      </w:r>
      <w:r w:rsidRPr="004906C5">
        <w:rPr>
          <w:rFonts w:asciiTheme="minorHAnsi" w:hAnsiTheme="minorHAnsi" w:cstheme="minorHAnsi"/>
        </w:rPr>
        <w:t xml:space="preserve">, Submission </w:t>
      </w:r>
      <w:r w:rsidR="004F4991" w:rsidRPr="004906C5">
        <w:rPr>
          <w:rFonts w:asciiTheme="minorHAnsi" w:hAnsiTheme="minorHAnsi" w:cstheme="minorHAnsi"/>
        </w:rPr>
        <w:t>13</w:t>
      </w:r>
      <w:r w:rsidRPr="004906C5">
        <w:rPr>
          <w:rFonts w:asciiTheme="minorHAnsi" w:hAnsiTheme="minorHAnsi" w:cstheme="minorHAnsi"/>
        </w:rPr>
        <w:t>, Clean Energy Capacity Study Discussion paper.</w:t>
      </w:r>
    </w:p>
  </w:endnote>
  <w:endnote w:id="125">
    <w:p w14:paraId="784F3E06" w14:textId="7A577B76" w:rsidR="009E09C1" w:rsidRPr="004906C5" w:rsidRDefault="009E09C1" w:rsidP="00013A12">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6404E">
        <w:rPr>
          <w:rFonts w:asciiTheme="minorHAnsi" w:hAnsiTheme="minorHAnsi" w:cstheme="minorHAnsi"/>
        </w:rPr>
        <w:t>DCCEEW</w:t>
      </w:r>
      <w:r w:rsidRPr="004906C5">
        <w:rPr>
          <w:rFonts w:asciiTheme="minorHAnsi" w:hAnsiTheme="minorHAnsi" w:cstheme="minorHAnsi"/>
        </w:rPr>
        <w:t xml:space="preserve">, </w:t>
      </w:r>
      <w:hyperlink r:id="rId126" w:history="1">
        <w:r w:rsidRPr="008955AC">
          <w:rPr>
            <w:rStyle w:val="Hyperlink"/>
            <w:rFonts w:asciiTheme="minorHAnsi" w:hAnsiTheme="minorHAnsi" w:cstheme="minorHAnsi"/>
            <w:i/>
          </w:rPr>
          <w:t>National Inventory Report 2021</w:t>
        </w:r>
      </w:hyperlink>
      <w:r w:rsidRPr="004906C5">
        <w:rPr>
          <w:rFonts w:asciiTheme="minorHAnsi" w:hAnsiTheme="minorHAnsi" w:cstheme="minorHAnsi"/>
          <w:i/>
        </w:rPr>
        <w:t>,</w:t>
      </w:r>
      <w:r w:rsidR="0086404E">
        <w:rPr>
          <w:rFonts w:asciiTheme="minorHAnsi" w:hAnsiTheme="minorHAnsi" w:cstheme="minorHAnsi"/>
          <w:iCs/>
        </w:rPr>
        <w:t xml:space="preserve"> DCCEEW</w:t>
      </w:r>
      <w:r w:rsidR="00E175F9">
        <w:rPr>
          <w:rFonts w:asciiTheme="minorHAnsi" w:hAnsiTheme="minorHAnsi" w:cstheme="minorHAnsi"/>
          <w:iCs/>
        </w:rPr>
        <w:t xml:space="preserve">, </w:t>
      </w:r>
      <w:r w:rsidR="00325552">
        <w:rPr>
          <w:rFonts w:asciiTheme="minorHAnsi" w:hAnsiTheme="minorHAnsi" w:cstheme="minorHAnsi"/>
          <w:iCs/>
        </w:rPr>
        <w:t>Australian Government,</w:t>
      </w:r>
      <w:r w:rsidR="00325552" w:rsidRPr="004906C5">
        <w:rPr>
          <w:rFonts w:asciiTheme="minorHAnsi" w:hAnsiTheme="minorHAnsi" w:cstheme="minorHAnsi"/>
        </w:rPr>
        <w:t xml:space="preserve"> </w:t>
      </w:r>
      <w:r w:rsidRPr="004906C5">
        <w:rPr>
          <w:rFonts w:asciiTheme="minorHAnsi" w:hAnsiTheme="minorHAnsi" w:cstheme="minorHAnsi"/>
        </w:rPr>
        <w:t>2023</w:t>
      </w:r>
      <w:r w:rsidR="00013A12">
        <w:rPr>
          <w:rFonts w:asciiTheme="minorHAnsi" w:hAnsiTheme="minorHAnsi" w:cstheme="minorHAnsi"/>
        </w:rPr>
        <w:t>, accessed September 2023.</w:t>
      </w:r>
    </w:p>
  </w:endnote>
  <w:endnote w:id="126">
    <w:p w14:paraId="130B5F46" w14:textId="2A20B058" w:rsidR="009E09C1" w:rsidRPr="004906C5" w:rsidRDefault="009E09C1" w:rsidP="0086404E">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VDZ, </w:t>
      </w:r>
      <w:hyperlink r:id="rId127" w:history="1">
        <w:r w:rsidRPr="001A3158">
          <w:rPr>
            <w:rStyle w:val="Hyperlink"/>
            <w:rFonts w:asciiTheme="minorHAnsi" w:hAnsiTheme="minorHAnsi" w:cstheme="minorHAnsi"/>
            <w:i/>
          </w:rPr>
          <w:t>Decarbonisation Pathways for the Australian Cement and Concrete Sector</w:t>
        </w:r>
        <w:r w:rsidR="00326A84" w:rsidRPr="001A3158">
          <w:rPr>
            <w:rStyle w:val="Hyperlink"/>
            <w:rFonts w:asciiTheme="minorHAnsi" w:hAnsiTheme="minorHAnsi" w:cstheme="minorHAnsi"/>
            <w:i/>
          </w:rPr>
          <w:t xml:space="preserve"> </w:t>
        </w:r>
        <w:r w:rsidR="00326A84" w:rsidRPr="001A3158">
          <w:rPr>
            <w:rStyle w:val="Hyperlink"/>
            <w:rFonts w:asciiTheme="minorHAnsi" w:hAnsiTheme="minorHAnsi" w:cstheme="minorHAnsi"/>
            <w:iCs/>
          </w:rPr>
          <w:t>[PDF 3.1MB]</w:t>
        </w:r>
      </w:hyperlink>
      <w:r w:rsidRPr="004906C5">
        <w:rPr>
          <w:rFonts w:asciiTheme="minorHAnsi" w:hAnsiTheme="minorHAnsi" w:cstheme="minorHAnsi"/>
        </w:rPr>
        <w:t xml:space="preserve">, </w:t>
      </w:r>
      <w:r w:rsidR="0086404E">
        <w:rPr>
          <w:rFonts w:asciiTheme="minorHAnsi" w:hAnsiTheme="minorHAnsi" w:cstheme="minorHAnsi"/>
          <w:iCs/>
        </w:rPr>
        <w:t xml:space="preserve">VDZ, </w:t>
      </w:r>
      <w:r w:rsidR="00BE3EB6" w:rsidRPr="004906C5">
        <w:rPr>
          <w:rFonts w:asciiTheme="minorHAnsi" w:hAnsiTheme="minorHAnsi" w:cstheme="minorHAnsi"/>
        </w:rPr>
        <w:t>Cement Industry Federation</w:t>
      </w:r>
      <w:r w:rsidR="00BE3EB6">
        <w:rPr>
          <w:rFonts w:asciiTheme="minorHAnsi" w:hAnsiTheme="minorHAnsi" w:cstheme="minorHAnsi"/>
        </w:rPr>
        <w:t xml:space="preserve"> website, </w:t>
      </w:r>
      <w:r w:rsidR="00BE3EB6" w:rsidRPr="004906C5">
        <w:rPr>
          <w:rFonts w:asciiTheme="minorHAnsi" w:hAnsiTheme="minorHAnsi" w:cstheme="minorHAnsi"/>
        </w:rPr>
        <w:t>2021</w:t>
      </w:r>
      <w:r w:rsidR="00BE3EB6">
        <w:rPr>
          <w:rFonts w:asciiTheme="minorHAnsi" w:hAnsiTheme="minorHAnsi" w:cstheme="minorHAnsi"/>
        </w:rPr>
        <w:t>,</w:t>
      </w:r>
      <w:r w:rsidR="00BE3EB6" w:rsidRPr="004906C5">
        <w:rPr>
          <w:rFonts w:asciiTheme="minorHAnsi" w:hAnsiTheme="minorHAnsi" w:cstheme="minorHAnsi"/>
          <w:i/>
        </w:rPr>
        <w:t xml:space="preserve"> </w:t>
      </w:r>
      <w:r w:rsidR="00BE3EB6" w:rsidRPr="004906C5">
        <w:rPr>
          <w:rFonts w:asciiTheme="minorHAnsi" w:hAnsiTheme="minorHAnsi" w:cstheme="minorHAnsi"/>
        </w:rPr>
        <w:t>accessed September 2023.</w:t>
      </w:r>
      <w:r w:rsidR="00BE3EB6">
        <w:rPr>
          <w:rFonts w:asciiTheme="minorHAnsi" w:hAnsiTheme="minorHAnsi" w:cstheme="minorHAnsi"/>
        </w:rPr>
        <w:t xml:space="preserve"> </w:t>
      </w:r>
    </w:p>
  </w:endnote>
  <w:endnote w:id="127">
    <w:p w14:paraId="3652B3E8" w14:textId="1307B7BE" w:rsidR="009E09C1" w:rsidRPr="004906C5" w:rsidRDefault="009E09C1" w:rsidP="00167874">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67874">
        <w:rPr>
          <w:rFonts w:asciiTheme="minorHAnsi" w:hAnsiTheme="minorHAnsi" w:cstheme="minorHAnsi"/>
        </w:rPr>
        <w:tab/>
      </w:r>
      <w:r w:rsidRPr="004906C5">
        <w:rPr>
          <w:rFonts w:asciiTheme="minorHAnsi" w:hAnsiTheme="minorHAnsi" w:cstheme="minorHAnsi"/>
        </w:rPr>
        <w:t xml:space="preserve">Cement Industry Federation, </w:t>
      </w:r>
      <w:hyperlink r:id="rId128" w:anchor=":~:text=Production%20Statistics&amp;text=Cement%20production%20was%209.60%20million,cent%20higher%20over%20the%20decade" w:history="1">
        <w:r w:rsidRPr="004906C5">
          <w:rPr>
            <w:rStyle w:val="Hyperlink"/>
            <w:rFonts w:asciiTheme="minorHAnsi" w:hAnsiTheme="minorHAnsi" w:cstheme="minorHAnsi"/>
            <w:i/>
          </w:rPr>
          <w:t>Australian Clinker and Cement Production</w:t>
        </w:r>
      </w:hyperlink>
      <w:r w:rsidRPr="004906C5">
        <w:rPr>
          <w:rFonts w:asciiTheme="minorHAnsi" w:hAnsiTheme="minorHAnsi" w:cstheme="minorHAnsi"/>
          <w:i/>
        </w:rPr>
        <w:t>,</w:t>
      </w:r>
      <w:r w:rsidR="00385996">
        <w:rPr>
          <w:rFonts w:asciiTheme="minorHAnsi" w:hAnsiTheme="minorHAnsi" w:cstheme="minorHAnsi"/>
          <w:i/>
        </w:rPr>
        <w:t xml:space="preserve"> </w:t>
      </w:r>
      <w:r w:rsidR="00385996" w:rsidRPr="004906C5">
        <w:rPr>
          <w:rFonts w:asciiTheme="minorHAnsi" w:hAnsiTheme="minorHAnsi" w:cstheme="minorHAnsi"/>
        </w:rPr>
        <w:t>Cement Industry Federation</w:t>
      </w:r>
      <w:r w:rsidR="00385996">
        <w:rPr>
          <w:rFonts w:asciiTheme="minorHAnsi" w:hAnsiTheme="minorHAnsi" w:cstheme="minorHAnsi"/>
        </w:rPr>
        <w:t xml:space="preserve"> website,</w:t>
      </w:r>
      <w:r w:rsidRPr="004906C5">
        <w:rPr>
          <w:rFonts w:asciiTheme="minorHAnsi" w:hAnsiTheme="minorHAnsi" w:cstheme="minorHAnsi"/>
          <w:i/>
        </w:rPr>
        <w:t xml:space="preserve"> </w:t>
      </w:r>
      <w:r w:rsidRPr="004906C5">
        <w:rPr>
          <w:rFonts w:asciiTheme="minorHAnsi" w:hAnsiTheme="minorHAnsi" w:cstheme="minorHAnsi"/>
        </w:rPr>
        <w:t>accessed September 2023.</w:t>
      </w:r>
    </w:p>
  </w:endnote>
  <w:endnote w:id="128">
    <w:p w14:paraId="1DCC9CF5" w14:textId="19FEA295" w:rsidR="009E09C1" w:rsidRPr="00DC570A" w:rsidRDefault="009E09C1" w:rsidP="00DC570A">
      <w:pPr>
        <w:spacing w:before="120" w:after="120"/>
        <w:ind w:left="709" w:hanging="709"/>
        <w:rPr>
          <w:rFonts w:cs="Arial"/>
          <w:sz w:val="20"/>
          <w:szCs w:val="20"/>
        </w:rPr>
      </w:pPr>
      <w:r w:rsidRPr="00CC7FBB">
        <w:rPr>
          <w:rFonts w:asciiTheme="minorHAnsi" w:hAnsiTheme="minorHAnsi" w:cstheme="minorHAnsi"/>
          <w:sz w:val="20"/>
          <w:szCs w:val="20"/>
        </w:rPr>
        <w:endnoteRef/>
      </w:r>
      <w:r w:rsidRPr="00DC570A">
        <w:rPr>
          <w:rFonts w:asciiTheme="minorHAnsi" w:hAnsiTheme="minorHAnsi" w:cstheme="minorHAnsi"/>
        </w:rPr>
        <w:t xml:space="preserve"> </w:t>
      </w:r>
      <w:r w:rsidRPr="00DC570A">
        <w:rPr>
          <w:rFonts w:asciiTheme="minorHAnsi" w:hAnsiTheme="minorHAnsi" w:cstheme="minorHAnsi"/>
        </w:rPr>
        <w:tab/>
      </w:r>
      <w:r w:rsidR="00DC570A" w:rsidRPr="00DC570A">
        <w:rPr>
          <w:rFonts w:cs="Arial"/>
          <w:sz w:val="20"/>
          <w:szCs w:val="20"/>
        </w:rPr>
        <w:t>ABS,</w:t>
      </w:r>
      <w:r w:rsidR="00DC570A" w:rsidRPr="00605B24">
        <w:rPr>
          <w:rFonts w:cs="Arial"/>
          <w:sz w:val="20"/>
          <w:szCs w:val="20"/>
        </w:rPr>
        <w:t xml:space="preserve"> Occupation by Industry of Employment, </w:t>
      </w:r>
      <w:r w:rsidR="00DC570A" w:rsidRPr="00605B24">
        <w:rPr>
          <w:rFonts w:cs="Arial"/>
          <w:i/>
          <w:iCs/>
          <w:sz w:val="20"/>
          <w:szCs w:val="20"/>
        </w:rPr>
        <w:t xml:space="preserve">2021 </w:t>
      </w:r>
      <w:r w:rsidR="00DC570A" w:rsidRPr="00605B24">
        <w:rPr>
          <w:rFonts w:cs="Arial"/>
          <w:i/>
          <w:sz w:val="20"/>
          <w:szCs w:val="20"/>
        </w:rPr>
        <w:t>Census of Population and Housing</w:t>
      </w:r>
      <w:r w:rsidR="00DC570A" w:rsidRPr="00605B24">
        <w:rPr>
          <w:rFonts w:cs="Arial"/>
          <w:i/>
          <w:iCs/>
          <w:sz w:val="20"/>
          <w:szCs w:val="20"/>
        </w:rPr>
        <w:t xml:space="preserve">, </w:t>
      </w:r>
      <w:r w:rsidR="00DC570A" w:rsidRPr="00605B24">
        <w:rPr>
          <w:rFonts w:cs="Arial"/>
          <w:sz w:val="20"/>
          <w:szCs w:val="20"/>
        </w:rPr>
        <w:t>ABS, 2022, accessed September 2023.</w:t>
      </w:r>
    </w:p>
  </w:endnote>
  <w:endnote w:id="129">
    <w:p w14:paraId="4DAE1608" w14:textId="14569EBC"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RMIT University, </w:t>
      </w:r>
      <w:hyperlink r:id="rId129" w:history="1">
        <w:r w:rsidRPr="004906C5">
          <w:rPr>
            <w:rStyle w:val="Hyperlink"/>
            <w:rFonts w:asciiTheme="minorHAnsi" w:hAnsiTheme="minorHAnsi" w:cstheme="minorHAnsi"/>
            <w:i/>
          </w:rPr>
          <w:t>SmartCrete CRC</w:t>
        </w:r>
      </w:hyperlink>
      <w:r w:rsidRPr="004906C5">
        <w:rPr>
          <w:rFonts w:asciiTheme="minorHAnsi" w:hAnsiTheme="minorHAnsi" w:cstheme="minorHAnsi"/>
          <w:i/>
        </w:rPr>
        <w:t xml:space="preserve">, </w:t>
      </w:r>
      <w:r w:rsidR="00C7124E">
        <w:rPr>
          <w:rFonts w:asciiTheme="minorHAnsi" w:hAnsiTheme="minorHAnsi" w:cstheme="minorHAnsi"/>
          <w:iCs/>
        </w:rPr>
        <w:t xml:space="preserve">RMIT website, </w:t>
      </w:r>
      <w:r w:rsidRPr="004906C5">
        <w:rPr>
          <w:rFonts w:asciiTheme="minorHAnsi" w:hAnsiTheme="minorHAnsi" w:cstheme="minorHAnsi"/>
        </w:rPr>
        <w:t>accessed September 2023.</w:t>
      </w:r>
    </w:p>
  </w:endnote>
  <w:endnote w:id="130">
    <w:p w14:paraId="2A8FFF22" w14:textId="55FF1775"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Energy &amp; Mining, </w:t>
      </w:r>
      <w:hyperlink r:id="rId130" w:anchor=":~:text=Forms%20and%20templates-,GFG%20to%20phase%20out%20coal%2Dbased%20steelmaking,Whyalla%20with%20%24485%20million%20investment&amp;text=LIBERTY%20Steel%20has%20announced%20the,low%20carbon%20electric%20arc%20furnace." w:history="1">
        <w:r w:rsidRPr="00942BBF">
          <w:rPr>
            <w:rStyle w:val="Hyperlink"/>
            <w:rFonts w:asciiTheme="minorHAnsi" w:hAnsiTheme="minorHAnsi" w:cstheme="minorHAnsi"/>
            <w:i/>
          </w:rPr>
          <w:t>GFG to phase out coal-based steelmaking at Whyalla with $485 million investment</w:t>
        </w:r>
      </w:hyperlink>
      <w:r w:rsidRPr="004906C5">
        <w:rPr>
          <w:rFonts w:asciiTheme="minorHAnsi" w:hAnsiTheme="minorHAnsi" w:cstheme="minorHAnsi"/>
          <w:i/>
        </w:rPr>
        <w:t xml:space="preserve">, </w:t>
      </w:r>
      <w:r w:rsidR="00942BBF">
        <w:rPr>
          <w:rFonts w:asciiTheme="minorHAnsi" w:hAnsiTheme="minorHAnsi" w:cstheme="minorHAnsi"/>
          <w:iCs/>
        </w:rPr>
        <w:t xml:space="preserve">Energy &amp; Mining website, </w:t>
      </w:r>
      <w:r w:rsidR="00CE1A65">
        <w:rPr>
          <w:rFonts w:asciiTheme="minorHAnsi" w:hAnsiTheme="minorHAnsi" w:cstheme="minorHAnsi"/>
          <w:iCs/>
        </w:rPr>
        <w:t xml:space="preserve">Government of South Australia, </w:t>
      </w:r>
      <w:r w:rsidRPr="004906C5">
        <w:rPr>
          <w:rFonts w:asciiTheme="minorHAnsi" w:hAnsiTheme="minorHAnsi" w:cstheme="minorHAnsi"/>
        </w:rPr>
        <w:t>4 April 2023</w:t>
      </w:r>
      <w:r w:rsidR="00942BBF">
        <w:rPr>
          <w:rFonts w:asciiTheme="minorHAnsi" w:hAnsiTheme="minorHAnsi" w:cstheme="minorHAnsi"/>
        </w:rPr>
        <w:t>, accessed September 2023.</w:t>
      </w:r>
    </w:p>
  </w:endnote>
  <w:endnote w:id="131">
    <w:p w14:paraId="1E40F72E" w14:textId="140829BE" w:rsidR="00D34428" w:rsidRPr="004906C5" w:rsidRDefault="009E09C1" w:rsidP="00B86AB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34428">
        <w:rPr>
          <w:rFonts w:asciiTheme="minorHAnsi" w:hAnsiTheme="minorHAnsi" w:cstheme="minorHAnsi"/>
        </w:rPr>
        <w:t xml:space="preserve">C </w:t>
      </w:r>
      <w:r w:rsidR="00D34428" w:rsidRPr="00D34428">
        <w:rPr>
          <w:rFonts w:asciiTheme="minorHAnsi" w:hAnsiTheme="minorHAnsi" w:cstheme="minorHAnsi"/>
        </w:rPr>
        <w:t xml:space="preserve">Wang, </w:t>
      </w:r>
      <w:r w:rsidR="00D34428">
        <w:rPr>
          <w:rFonts w:asciiTheme="minorHAnsi" w:hAnsiTheme="minorHAnsi" w:cstheme="minorHAnsi"/>
        </w:rPr>
        <w:t xml:space="preserve">SDC </w:t>
      </w:r>
      <w:r w:rsidR="00D34428" w:rsidRPr="00D34428">
        <w:rPr>
          <w:rFonts w:asciiTheme="minorHAnsi" w:hAnsiTheme="minorHAnsi" w:cstheme="minorHAnsi"/>
        </w:rPr>
        <w:t xml:space="preserve">Walsh, </w:t>
      </w:r>
      <w:r w:rsidR="00D34428">
        <w:rPr>
          <w:rFonts w:asciiTheme="minorHAnsi" w:hAnsiTheme="minorHAnsi" w:cstheme="minorHAnsi"/>
        </w:rPr>
        <w:t xml:space="preserve">Z </w:t>
      </w:r>
      <w:r w:rsidR="00D34428" w:rsidRPr="00D34428">
        <w:rPr>
          <w:rFonts w:asciiTheme="minorHAnsi" w:hAnsiTheme="minorHAnsi" w:cstheme="minorHAnsi"/>
        </w:rPr>
        <w:t xml:space="preserve">Weng, </w:t>
      </w:r>
      <w:r w:rsidR="00D34428">
        <w:rPr>
          <w:rFonts w:asciiTheme="minorHAnsi" w:hAnsiTheme="minorHAnsi" w:cstheme="minorHAnsi"/>
        </w:rPr>
        <w:t xml:space="preserve">MW </w:t>
      </w:r>
      <w:r w:rsidR="00D34428" w:rsidRPr="00D34428">
        <w:rPr>
          <w:rFonts w:asciiTheme="minorHAnsi" w:hAnsiTheme="minorHAnsi" w:cstheme="minorHAnsi"/>
        </w:rPr>
        <w:t xml:space="preserve">Haynes, </w:t>
      </w:r>
      <w:r w:rsidR="00D34428">
        <w:rPr>
          <w:rFonts w:asciiTheme="minorHAnsi" w:hAnsiTheme="minorHAnsi" w:cstheme="minorHAnsi"/>
        </w:rPr>
        <w:t>A</w:t>
      </w:r>
      <w:r w:rsidR="00D34428" w:rsidRPr="00D34428">
        <w:rPr>
          <w:rFonts w:asciiTheme="minorHAnsi" w:hAnsiTheme="minorHAnsi" w:cstheme="minorHAnsi"/>
        </w:rPr>
        <w:t xml:space="preserve"> Feitz</w:t>
      </w:r>
      <w:r w:rsidR="00D34428">
        <w:rPr>
          <w:rFonts w:asciiTheme="minorHAnsi" w:hAnsiTheme="minorHAnsi" w:cstheme="minorHAnsi"/>
        </w:rPr>
        <w:t xml:space="preserve"> and D</w:t>
      </w:r>
      <w:r w:rsidR="00D34428" w:rsidRPr="00D34428">
        <w:rPr>
          <w:rFonts w:asciiTheme="minorHAnsi" w:hAnsiTheme="minorHAnsi" w:cstheme="minorHAnsi"/>
        </w:rPr>
        <w:t xml:space="preserve"> Summerfield, </w:t>
      </w:r>
      <w:r w:rsidR="00AE6025">
        <w:rPr>
          <w:rFonts w:asciiTheme="minorHAnsi" w:hAnsiTheme="minorHAnsi" w:cstheme="minorHAnsi"/>
        </w:rPr>
        <w:t>‘</w:t>
      </w:r>
      <w:hyperlink r:id="rId131" w:history="1">
        <w:r w:rsidR="00D34428" w:rsidRPr="00CE1A65">
          <w:rPr>
            <w:rStyle w:val="Hyperlink"/>
            <w:rFonts w:asciiTheme="minorHAnsi" w:hAnsiTheme="minorHAnsi" w:cstheme="minorHAnsi"/>
          </w:rPr>
          <w:t>Green steel: synergies between the Australian iron ore industry and the production of green hydrogen</w:t>
        </w:r>
      </w:hyperlink>
      <w:r w:rsidR="00AE6025">
        <w:rPr>
          <w:rFonts w:asciiTheme="minorHAnsi" w:hAnsiTheme="minorHAnsi" w:cstheme="minorHAnsi"/>
        </w:rPr>
        <w:t>’</w:t>
      </w:r>
      <w:r w:rsidR="00D34428">
        <w:rPr>
          <w:rFonts w:asciiTheme="minorHAnsi" w:hAnsiTheme="minorHAnsi" w:cstheme="minorHAnsi"/>
        </w:rPr>
        <w:t>,</w:t>
      </w:r>
      <w:r w:rsidR="00D34428" w:rsidRPr="00D34428">
        <w:rPr>
          <w:rFonts w:asciiTheme="minorHAnsi" w:hAnsiTheme="minorHAnsi" w:cstheme="minorHAnsi"/>
        </w:rPr>
        <w:t xml:space="preserve"> </w:t>
      </w:r>
      <w:r w:rsidR="00D34428" w:rsidRPr="00D34428">
        <w:rPr>
          <w:rFonts w:asciiTheme="minorHAnsi" w:hAnsiTheme="minorHAnsi" w:cstheme="minorHAnsi"/>
          <w:i/>
          <w:iCs/>
        </w:rPr>
        <w:t>International Journal of Hydrogen Energy</w:t>
      </w:r>
      <w:r w:rsidR="00D34428">
        <w:rPr>
          <w:rFonts w:asciiTheme="minorHAnsi" w:hAnsiTheme="minorHAnsi" w:cstheme="minorHAnsi"/>
        </w:rPr>
        <w:t xml:space="preserve">, </w:t>
      </w:r>
      <w:r w:rsidR="005930B9">
        <w:rPr>
          <w:rFonts w:asciiTheme="minorHAnsi" w:hAnsiTheme="minorHAnsi" w:cstheme="minorHAnsi"/>
        </w:rPr>
        <w:t>48(</w:t>
      </w:r>
      <w:r w:rsidR="00E32CC4">
        <w:rPr>
          <w:rFonts w:asciiTheme="minorHAnsi" w:hAnsiTheme="minorHAnsi" w:cstheme="minorHAnsi"/>
        </w:rPr>
        <w:t>1) 32</w:t>
      </w:r>
      <w:r w:rsidR="00FD0E79">
        <w:rPr>
          <w:rFonts w:asciiTheme="minorHAnsi" w:hAnsiTheme="minorHAnsi" w:cstheme="minorHAnsi"/>
        </w:rPr>
        <w:t>277-32293,</w:t>
      </w:r>
      <w:r w:rsidR="00354765">
        <w:rPr>
          <w:rFonts w:asciiTheme="minorHAnsi" w:hAnsiTheme="minorHAnsi" w:cstheme="minorHAnsi"/>
        </w:rPr>
        <w:t xml:space="preserve"> </w:t>
      </w:r>
      <w:r w:rsidR="00B86ABA">
        <w:rPr>
          <w:rFonts w:asciiTheme="minorHAnsi" w:hAnsiTheme="minorHAnsi" w:cstheme="minorHAnsi"/>
        </w:rPr>
        <w:t xml:space="preserve">October 2023, </w:t>
      </w:r>
      <w:r w:rsidR="00D34428" w:rsidRPr="00D34428">
        <w:rPr>
          <w:rFonts w:asciiTheme="minorHAnsi" w:hAnsiTheme="minorHAnsi" w:cstheme="minorHAnsi"/>
        </w:rPr>
        <w:t>doi</w:t>
      </w:r>
      <w:r w:rsidR="00D34428">
        <w:rPr>
          <w:rFonts w:asciiTheme="minorHAnsi" w:hAnsiTheme="minorHAnsi" w:cstheme="minorHAnsi"/>
        </w:rPr>
        <w:t>:</w:t>
      </w:r>
      <w:r w:rsidR="00D34428" w:rsidRPr="00D34428">
        <w:rPr>
          <w:rFonts w:asciiTheme="minorHAnsi" w:hAnsiTheme="minorHAnsi" w:cstheme="minorHAnsi"/>
        </w:rPr>
        <w:t>org/10.1016/j.ijhydene.2023.05.041</w:t>
      </w:r>
      <w:r w:rsidR="00557E94">
        <w:rPr>
          <w:rFonts w:asciiTheme="minorHAnsi" w:hAnsiTheme="minorHAnsi" w:cstheme="minorHAnsi"/>
        </w:rPr>
        <w:t>, accessed September 2023.</w:t>
      </w:r>
    </w:p>
  </w:endnote>
  <w:endnote w:id="132">
    <w:p w14:paraId="13BAE2CA" w14:textId="17759F17" w:rsidR="009E09C1" w:rsidRPr="004906C5" w:rsidRDefault="009E09C1" w:rsidP="004906C5">
      <w:pPr>
        <w:pStyle w:val="EndnoteText"/>
        <w:spacing w:before="120" w:after="120"/>
        <w:ind w:left="709" w:hanging="709"/>
        <w:rPr>
          <w:rFonts w:asciiTheme="minorHAnsi" w:hAnsiTheme="minorHAnsi" w:cstheme="minorHAnsi"/>
          <w: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Clean Energy Regulator, </w:t>
      </w:r>
      <w:hyperlink r:id="rId132" w:history="1">
        <w:r w:rsidR="00606B27">
          <w:rPr>
            <w:rStyle w:val="Hyperlink"/>
            <w:rFonts w:asciiTheme="minorHAnsi" w:hAnsiTheme="minorHAnsi" w:cstheme="minorHAnsi"/>
            <w:i/>
          </w:rPr>
          <w:t>2. S</w:t>
        </w:r>
        <w:r w:rsidRPr="004906C5">
          <w:rPr>
            <w:rStyle w:val="Hyperlink"/>
            <w:rFonts w:asciiTheme="minorHAnsi" w:hAnsiTheme="minorHAnsi" w:cstheme="minorHAnsi"/>
            <w:i/>
          </w:rPr>
          <w:t>tate of Total Renewables</w:t>
        </w:r>
      </w:hyperlink>
      <w:r w:rsidRPr="004906C5">
        <w:rPr>
          <w:rFonts w:asciiTheme="minorHAnsi" w:hAnsiTheme="minorHAnsi" w:cstheme="minorHAnsi"/>
        </w:rPr>
        <w:t xml:space="preserve">, </w:t>
      </w:r>
      <w:r w:rsidR="00C3252A">
        <w:rPr>
          <w:rFonts w:asciiTheme="minorHAnsi" w:hAnsiTheme="minorHAnsi" w:cstheme="minorHAnsi"/>
        </w:rPr>
        <w:t xml:space="preserve">Clean Energy </w:t>
      </w:r>
      <w:r w:rsidR="008D0EE2">
        <w:rPr>
          <w:rFonts w:asciiTheme="minorHAnsi" w:hAnsiTheme="minorHAnsi" w:cstheme="minorHAnsi"/>
        </w:rPr>
        <w:t>R</w:t>
      </w:r>
      <w:r w:rsidR="00C3252A">
        <w:rPr>
          <w:rFonts w:asciiTheme="minorHAnsi" w:hAnsiTheme="minorHAnsi" w:cstheme="minorHAnsi"/>
        </w:rPr>
        <w:t>egulator</w:t>
      </w:r>
      <w:r w:rsidR="008D0EE2">
        <w:rPr>
          <w:rFonts w:asciiTheme="minorHAnsi" w:hAnsiTheme="minorHAnsi" w:cstheme="minorHAnsi"/>
        </w:rPr>
        <w:t xml:space="preserve"> website, </w:t>
      </w:r>
      <w:r w:rsidR="009B3771">
        <w:rPr>
          <w:rFonts w:asciiTheme="minorHAnsi" w:hAnsiTheme="minorHAnsi" w:cstheme="minorHAnsi"/>
        </w:rPr>
        <w:t xml:space="preserve">Australian Government, </w:t>
      </w:r>
      <w:r w:rsidR="008D0EE2">
        <w:rPr>
          <w:rFonts w:asciiTheme="minorHAnsi" w:hAnsiTheme="minorHAnsi" w:cstheme="minorHAnsi"/>
        </w:rPr>
        <w:t xml:space="preserve">2023, </w:t>
      </w:r>
      <w:r w:rsidRPr="004906C5">
        <w:rPr>
          <w:rFonts w:asciiTheme="minorHAnsi" w:hAnsiTheme="minorHAnsi" w:cstheme="minorHAnsi"/>
        </w:rPr>
        <w:t>accessed September 2023.</w:t>
      </w:r>
    </w:p>
  </w:endnote>
  <w:endnote w:id="133">
    <w:p w14:paraId="039B1A0E" w14:textId="75F9A109" w:rsidR="009E09C1" w:rsidRPr="00DC570A" w:rsidRDefault="009E09C1" w:rsidP="00DC570A">
      <w:pPr>
        <w:spacing w:before="120" w:after="120"/>
        <w:rPr>
          <w:rFonts w:cs="Arial"/>
          <w:iCs/>
          <w:sz w:val="20"/>
          <w:szCs w:val="20"/>
        </w:rPr>
      </w:pPr>
      <w:r w:rsidRPr="00CC7FBB">
        <w:rPr>
          <w:rFonts w:asciiTheme="minorHAnsi" w:hAnsiTheme="minorHAnsi" w:cstheme="minorHAnsi"/>
          <w:sz w:val="20"/>
          <w:szCs w:val="20"/>
        </w:rPr>
        <w:endnoteRef/>
      </w:r>
      <w:r w:rsidRPr="00CC7FBB">
        <w:rPr>
          <w:rFonts w:asciiTheme="minorHAnsi" w:hAnsiTheme="minorHAnsi" w:cstheme="minorHAnsi"/>
          <w:sz w:val="20"/>
          <w:szCs w:val="20"/>
        </w:rPr>
        <w:t xml:space="preserve"> </w:t>
      </w:r>
      <w:r w:rsidRPr="00DC570A">
        <w:rPr>
          <w:rFonts w:asciiTheme="minorHAnsi" w:hAnsiTheme="minorHAnsi" w:cstheme="minorHAnsi"/>
        </w:rPr>
        <w:tab/>
      </w:r>
      <w:r w:rsidR="00DC570A" w:rsidRPr="00DC570A">
        <w:rPr>
          <w:rFonts w:cs="Arial"/>
          <w:sz w:val="20"/>
          <w:szCs w:val="20"/>
        </w:rPr>
        <w:t xml:space="preserve">NCVER, </w:t>
      </w:r>
      <w:r w:rsidR="00DC570A" w:rsidRPr="00CC7FBB">
        <w:rPr>
          <w:rFonts w:cs="Arial"/>
          <w:sz w:val="20"/>
          <w:szCs w:val="20"/>
        </w:rPr>
        <w:t>VOCSTATS Program Enrolments</w:t>
      </w:r>
      <w:r w:rsidR="00DC570A" w:rsidRPr="00605B24">
        <w:rPr>
          <w:rFonts w:cs="Arial"/>
          <w:sz w:val="20"/>
          <w:szCs w:val="20"/>
        </w:rPr>
        <w:t>, NCVER, 2022, accessed September 2023.</w:t>
      </w:r>
    </w:p>
  </w:endnote>
  <w:endnote w:id="134">
    <w:p w14:paraId="7043472D" w14:textId="46F816E1"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2370A">
        <w:rPr>
          <w:rFonts w:asciiTheme="minorHAnsi" w:hAnsiTheme="minorHAnsi" w:cstheme="minorHAnsi"/>
        </w:rPr>
        <w:t>T</w:t>
      </w:r>
      <w:r w:rsidRPr="004906C5">
        <w:rPr>
          <w:rFonts w:asciiTheme="minorHAnsi" w:hAnsiTheme="minorHAnsi" w:cstheme="minorHAnsi"/>
        </w:rPr>
        <w:t xml:space="preserve">he Hon Anthony Albanese MP, </w:t>
      </w:r>
      <w:hyperlink r:id="rId133" w:history="1">
        <w:r w:rsidRPr="007328B5">
          <w:rPr>
            <w:rStyle w:val="Hyperlink"/>
            <w:rFonts w:asciiTheme="minorHAnsi" w:hAnsiTheme="minorHAnsi" w:cstheme="minorHAnsi"/>
            <w:i/>
          </w:rPr>
          <w:t>Doorstop Interview – Brisban</w:t>
        </w:r>
        <w:r w:rsidR="0017325E" w:rsidRPr="007328B5">
          <w:rPr>
            <w:rStyle w:val="Hyperlink"/>
            <w:rFonts w:asciiTheme="minorHAnsi" w:hAnsiTheme="minorHAnsi" w:cstheme="minorHAnsi"/>
            <w:i/>
          </w:rPr>
          <w:t>e:</w:t>
        </w:r>
        <w:r w:rsidR="0017325E" w:rsidRPr="007328B5">
          <w:rPr>
            <w:rStyle w:val="Hyperlink"/>
          </w:rPr>
          <w:t xml:space="preserve"> </w:t>
        </w:r>
        <w:r w:rsidR="0017325E" w:rsidRPr="007328B5">
          <w:rPr>
            <w:rStyle w:val="Hyperlink"/>
            <w:rFonts w:asciiTheme="minorHAnsi" w:hAnsiTheme="minorHAnsi" w:cstheme="minorHAnsi"/>
            <w:i/>
          </w:rPr>
          <w:t>19 April 2022</w:t>
        </w:r>
      </w:hyperlink>
      <w:r w:rsidRPr="004906C5">
        <w:rPr>
          <w:rFonts w:asciiTheme="minorHAnsi" w:hAnsiTheme="minorHAnsi" w:cstheme="minorHAnsi"/>
          <w:i/>
        </w:rPr>
        <w:t xml:space="preserve">, </w:t>
      </w:r>
      <w:r w:rsidR="00694A1B" w:rsidRPr="004906C5">
        <w:rPr>
          <w:rFonts w:asciiTheme="minorHAnsi" w:hAnsiTheme="minorHAnsi" w:cstheme="minorHAnsi"/>
        </w:rPr>
        <w:t>Prime Minister of Australia</w:t>
      </w:r>
      <w:r w:rsidR="0013482B">
        <w:rPr>
          <w:rFonts w:asciiTheme="minorHAnsi" w:hAnsiTheme="minorHAnsi" w:cstheme="minorHAnsi"/>
        </w:rPr>
        <w:t>,</w:t>
      </w:r>
      <w:r w:rsidR="00895F4B">
        <w:rPr>
          <w:rFonts w:asciiTheme="minorHAnsi" w:hAnsiTheme="minorHAnsi" w:cstheme="minorHAnsi"/>
        </w:rPr>
        <w:t xml:space="preserve"> Parliament of Australia website</w:t>
      </w:r>
      <w:r w:rsidR="000C5EEB">
        <w:rPr>
          <w:rFonts w:asciiTheme="minorHAnsi" w:hAnsiTheme="minorHAnsi" w:cstheme="minorHAnsi"/>
        </w:rPr>
        <w:t>,</w:t>
      </w:r>
      <w:r w:rsidR="0013482B">
        <w:rPr>
          <w:rFonts w:asciiTheme="minorHAnsi" w:hAnsiTheme="minorHAnsi" w:cstheme="minorHAnsi"/>
        </w:rPr>
        <w:t xml:space="preserve"> </w:t>
      </w:r>
      <w:r w:rsidR="00F92128">
        <w:rPr>
          <w:rFonts w:asciiTheme="minorHAnsi" w:hAnsiTheme="minorHAnsi" w:cstheme="minorHAnsi"/>
        </w:rPr>
        <w:t>Australian Government,</w:t>
      </w:r>
      <w:r w:rsidR="00F92128" w:rsidRPr="004906C5">
        <w:rPr>
          <w:rFonts w:asciiTheme="minorHAnsi" w:hAnsiTheme="minorHAnsi" w:cstheme="minorHAnsi"/>
        </w:rPr>
        <w:t xml:space="preserve"> </w:t>
      </w:r>
      <w:r w:rsidR="0022370A">
        <w:rPr>
          <w:rFonts w:asciiTheme="minorHAnsi" w:hAnsiTheme="minorHAnsi" w:cstheme="minorHAnsi"/>
        </w:rPr>
        <w:t>1</w:t>
      </w:r>
      <w:r w:rsidR="00254D6C">
        <w:rPr>
          <w:rFonts w:asciiTheme="minorHAnsi" w:hAnsiTheme="minorHAnsi" w:cstheme="minorHAnsi"/>
        </w:rPr>
        <w:t>9</w:t>
      </w:r>
      <w:r w:rsidR="0022370A">
        <w:rPr>
          <w:rFonts w:asciiTheme="minorHAnsi" w:hAnsiTheme="minorHAnsi" w:cstheme="minorHAnsi"/>
        </w:rPr>
        <w:t xml:space="preserve"> </w:t>
      </w:r>
      <w:r w:rsidRPr="004906C5">
        <w:rPr>
          <w:rFonts w:asciiTheme="minorHAnsi" w:hAnsiTheme="minorHAnsi" w:cstheme="minorHAnsi"/>
        </w:rPr>
        <w:t>April 202</w:t>
      </w:r>
      <w:r w:rsidR="000C5EEB">
        <w:rPr>
          <w:rFonts w:asciiTheme="minorHAnsi" w:hAnsiTheme="minorHAnsi" w:cstheme="minorHAnsi"/>
        </w:rPr>
        <w:t>2</w:t>
      </w:r>
      <w:r w:rsidR="0022370A">
        <w:rPr>
          <w:rFonts w:asciiTheme="minorHAnsi" w:hAnsiTheme="minorHAnsi" w:cstheme="minorHAnsi"/>
        </w:rPr>
        <w:t>, accessed September 2023.</w:t>
      </w:r>
    </w:p>
  </w:endnote>
  <w:endnote w:id="135">
    <w:p w14:paraId="600E7D1C" w14:textId="68A45AF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Transport NSW, </w:t>
      </w:r>
      <w:hyperlink r:id="rId134" w:history="1">
        <w:r w:rsidRPr="004906C5">
          <w:rPr>
            <w:rStyle w:val="Hyperlink"/>
            <w:rFonts w:asciiTheme="minorHAnsi" w:hAnsiTheme="minorHAnsi" w:cstheme="minorHAnsi"/>
            <w:i/>
          </w:rPr>
          <w:t>Zero Emissions Buses</w:t>
        </w:r>
      </w:hyperlink>
      <w:r w:rsidRPr="004906C5">
        <w:rPr>
          <w:rFonts w:asciiTheme="minorHAnsi" w:hAnsiTheme="minorHAnsi" w:cstheme="minorHAnsi"/>
          <w:i/>
        </w:rPr>
        <w:t xml:space="preserve">, </w:t>
      </w:r>
      <w:r w:rsidR="00694A1B">
        <w:rPr>
          <w:rFonts w:asciiTheme="minorHAnsi" w:hAnsiTheme="minorHAnsi" w:cstheme="minorHAnsi"/>
          <w:iCs/>
        </w:rPr>
        <w:t xml:space="preserve">Transport NSW website, </w:t>
      </w:r>
      <w:r w:rsidR="00F92128">
        <w:rPr>
          <w:rFonts w:asciiTheme="minorHAnsi" w:hAnsiTheme="minorHAnsi" w:cstheme="minorHAnsi"/>
          <w:iCs/>
        </w:rPr>
        <w:t xml:space="preserve">NSW Government, </w:t>
      </w:r>
      <w:r w:rsidRPr="004906C5">
        <w:rPr>
          <w:rFonts w:asciiTheme="minorHAnsi" w:hAnsiTheme="minorHAnsi" w:cstheme="minorHAnsi"/>
        </w:rPr>
        <w:t>30 January 2023</w:t>
      </w:r>
      <w:r w:rsidR="00694A1B">
        <w:rPr>
          <w:rFonts w:asciiTheme="minorHAnsi" w:hAnsiTheme="minorHAnsi" w:cstheme="minorHAnsi"/>
        </w:rPr>
        <w:t>, accessed September 2023.</w:t>
      </w:r>
    </w:p>
  </w:endnote>
  <w:endnote w:id="136">
    <w:p w14:paraId="26E28D70" w14:textId="746939D6"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State Development, Infrastructure, Local Government and Planning, </w:t>
      </w:r>
      <w:hyperlink r:id="rId135" w:history="1">
        <w:r w:rsidRPr="004906C5">
          <w:rPr>
            <w:rStyle w:val="Hyperlink"/>
            <w:rFonts w:asciiTheme="minorHAnsi" w:hAnsiTheme="minorHAnsi" w:cstheme="minorHAnsi"/>
            <w:i/>
          </w:rPr>
          <w:t>Fortescue Future Industries</w:t>
        </w:r>
      </w:hyperlink>
      <w:r w:rsidRPr="004906C5">
        <w:rPr>
          <w:rFonts w:asciiTheme="minorHAnsi" w:hAnsiTheme="minorHAnsi" w:cstheme="minorHAnsi"/>
          <w:i/>
        </w:rPr>
        <w:t>,</w:t>
      </w:r>
      <w:r w:rsidR="009402F0">
        <w:rPr>
          <w:rFonts w:asciiTheme="minorHAnsi" w:hAnsiTheme="minorHAnsi" w:cstheme="minorHAnsi"/>
          <w:i/>
        </w:rPr>
        <w:t xml:space="preserve"> </w:t>
      </w:r>
      <w:r w:rsidR="009402F0" w:rsidRPr="004906C5">
        <w:rPr>
          <w:rFonts w:asciiTheme="minorHAnsi" w:hAnsiTheme="minorHAnsi" w:cstheme="minorHAnsi"/>
        </w:rPr>
        <w:t xml:space="preserve">State Development, Infrastructure, Local Government and Planning </w:t>
      </w:r>
      <w:r w:rsidR="009402F0">
        <w:rPr>
          <w:rFonts w:asciiTheme="minorHAnsi" w:hAnsiTheme="minorHAnsi" w:cstheme="minorHAnsi"/>
        </w:rPr>
        <w:t xml:space="preserve">website, </w:t>
      </w:r>
      <w:r w:rsidR="00F92128">
        <w:rPr>
          <w:rFonts w:asciiTheme="minorHAnsi" w:hAnsiTheme="minorHAnsi" w:cstheme="minorHAnsi"/>
        </w:rPr>
        <w:t>Queensland Government,</w:t>
      </w:r>
      <w:r w:rsidR="00F92128" w:rsidRPr="004906C5">
        <w:rPr>
          <w:rFonts w:asciiTheme="minorHAnsi" w:hAnsiTheme="minorHAnsi" w:cstheme="minorHAnsi"/>
          <w:i/>
        </w:rPr>
        <w:t xml:space="preserve"> </w:t>
      </w:r>
      <w:r w:rsidRPr="004906C5">
        <w:rPr>
          <w:rFonts w:asciiTheme="minorHAnsi" w:hAnsiTheme="minorHAnsi" w:cstheme="minorHAnsi"/>
        </w:rPr>
        <w:t>16 September 2022</w:t>
      </w:r>
      <w:r w:rsidR="009402F0">
        <w:rPr>
          <w:rFonts w:asciiTheme="minorHAnsi" w:hAnsiTheme="minorHAnsi" w:cstheme="minorHAnsi"/>
        </w:rPr>
        <w:t>, accessed September 2023.</w:t>
      </w:r>
      <w:r w:rsidRPr="004906C5">
        <w:rPr>
          <w:rFonts w:asciiTheme="minorHAnsi" w:hAnsiTheme="minorHAnsi" w:cstheme="minorHAnsi"/>
        </w:rPr>
        <w:t xml:space="preserve"> </w:t>
      </w:r>
    </w:p>
  </w:endnote>
  <w:endnote w:id="137">
    <w:p w14:paraId="5C58DB9A" w14:textId="7159BEF9"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048DF" w:rsidRPr="004906C5">
        <w:rPr>
          <w:rFonts w:asciiTheme="minorHAnsi" w:hAnsiTheme="minorHAnsi" w:cstheme="minorHAnsi"/>
        </w:rPr>
        <w:t xml:space="preserve">Energy &amp; Mining, </w:t>
      </w:r>
      <w:hyperlink r:id="rId136" w:history="1">
        <w:r w:rsidR="00F048DF" w:rsidRPr="004906C5">
          <w:rPr>
            <w:rStyle w:val="Hyperlink"/>
            <w:rFonts w:asciiTheme="minorHAnsi" w:hAnsiTheme="minorHAnsi" w:cstheme="minorHAnsi"/>
            <w:i/>
          </w:rPr>
          <w:t>Tindo Solar – New production facility</w:t>
        </w:r>
      </w:hyperlink>
      <w:r w:rsidR="00F048DF" w:rsidRPr="004906C5">
        <w:rPr>
          <w:rFonts w:asciiTheme="minorHAnsi" w:hAnsiTheme="minorHAnsi" w:cstheme="minorHAnsi"/>
          <w:i/>
        </w:rPr>
        <w:t xml:space="preserve">, </w:t>
      </w:r>
      <w:r w:rsidR="00F048DF" w:rsidRPr="004906C5">
        <w:rPr>
          <w:rFonts w:asciiTheme="minorHAnsi" w:hAnsiTheme="minorHAnsi" w:cstheme="minorHAnsi"/>
        </w:rPr>
        <w:t>Energy &amp; Minin</w:t>
      </w:r>
      <w:r w:rsidR="00F048DF">
        <w:rPr>
          <w:rFonts w:asciiTheme="minorHAnsi" w:hAnsiTheme="minorHAnsi" w:cstheme="minorHAnsi"/>
        </w:rPr>
        <w:t>g website,</w:t>
      </w:r>
      <w:r w:rsidR="00F048DF" w:rsidRPr="004906C5">
        <w:rPr>
          <w:rFonts w:asciiTheme="minorHAnsi" w:hAnsiTheme="minorHAnsi" w:cstheme="minorHAnsi"/>
        </w:rPr>
        <w:t xml:space="preserve"> </w:t>
      </w:r>
      <w:r w:rsidR="00CE1A65">
        <w:rPr>
          <w:rFonts w:asciiTheme="minorHAnsi" w:hAnsiTheme="minorHAnsi" w:cstheme="minorHAnsi"/>
          <w:iCs/>
        </w:rPr>
        <w:t xml:space="preserve">Government of South Australia, </w:t>
      </w:r>
      <w:r w:rsidR="00F048DF" w:rsidRPr="004906C5">
        <w:rPr>
          <w:rFonts w:asciiTheme="minorHAnsi" w:hAnsiTheme="minorHAnsi" w:cstheme="minorHAnsi"/>
        </w:rPr>
        <w:t>accessed September 2023</w:t>
      </w:r>
    </w:p>
  </w:endnote>
  <w:endnote w:id="138">
    <w:p w14:paraId="57ED7B96" w14:textId="1C7627C9"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BF0C0E">
        <w:rPr>
          <w:rFonts w:asciiTheme="minorHAnsi" w:hAnsiTheme="minorHAnsi" w:cstheme="minorHAnsi"/>
        </w:rPr>
        <w:t>DCCEEW</w:t>
      </w:r>
      <w:r w:rsidR="00BF0C0E" w:rsidRPr="004906C5">
        <w:rPr>
          <w:rFonts w:asciiTheme="minorHAnsi" w:hAnsiTheme="minorHAnsi" w:cstheme="minorHAnsi"/>
        </w:rPr>
        <w:t xml:space="preserve">, </w:t>
      </w:r>
      <w:r w:rsidR="00BF0C0E">
        <w:rPr>
          <w:rFonts w:asciiTheme="minorHAnsi" w:hAnsiTheme="minorHAnsi" w:cstheme="minorHAnsi"/>
        </w:rPr>
        <w:t>‘</w:t>
      </w:r>
      <w:hyperlink r:id="rId137" w:history="1">
        <w:r w:rsidR="00BF0C0E" w:rsidRPr="00D92959">
          <w:rPr>
            <w:rStyle w:val="Hyperlink"/>
            <w:rFonts w:asciiTheme="minorHAnsi" w:hAnsiTheme="minorHAnsi" w:cstheme="minorHAnsi"/>
            <w:iCs/>
          </w:rPr>
          <w:t>Quarterly Update of Australia’s National Greenhouse Gas Inventory: March 2023</w:t>
        </w:r>
      </w:hyperlink>
      <w:r w:rsidR="00BF0C0E">
        <w:rPr>
          <w:rFonts w:asciiTheme="minorHAnsi" w:hAnsiTheme="minorHAnsi" w:cstheme="minorHAnsi"/>
          <w:iCs/>
        </w:rPr>
        <w:t>’</w:t>
      </w:r>
      <w:r w:rsidR="00BF0C0E">
        <w:rPr>
          <w:rFonts w:asciiTheme="minorHAnsi" w:hAnsiTheme="minorHAnsi" w:cstheme="minorHAnsi"/>
          <w:i/>
        </w:rPr>
        <w:t xml:space="preserve">, </w:t>
      </w:r>
      <w:r w:rsidR="00BF0C0E">
        <w:rPr>
          <w:rFonts w:asciiTheme="minorHAnsi" w:hAnsiTheme="minorHAnsi" w:cstheme="minorHAnsi"/>
          <w:iCs/>
        </w:rPr>
        <w:t xml:space="preserve">DCCEEW website, </w:t>
      </w:r>
      <w:r w:rsidR="008C6599">
        <w:rPr>
          <w:rFonts w:asciiTheme="minorHAnsi" w:hAnsiTheme="minorHAnsi" w:cstheme="minorHAnsi"/>
          <w:iCs/>
        </w:rPr>
        <w:t xml:space="preserve">Australian Government, </w:t>
      </w:r>
      <w:r w:rsidR="00BF0C0E">
        <w:rPr>
          <w:rFonts w:asciiTheme="minorHAnsi" w:hAnsiTheme="minorHAnsi" w:cstheme="minorHAnsi"/>
          <w:iCs/>
        </w:rPr>
        <w:t>2023, accessed September 2023</w:t>
      </w:r>
      <w:r w:rsidR="00F40EF0">
        <w:rPr>
          <w:rFonts w:asciiTheme="minorHAnsi" w:hAnsiTheme="minorHAnsi" w:cstheme="minorHAnsi"/>
        </w:rPr>
        <w:t>.</w:t>
      </w:r>
    </w:p>
  </w:endnote>
  <w:endnote w:id="139">
    <w:p w14:paraId="4CAAFEC3" w14:textId="119BB3CF"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Climate Change Authority, </w:t>
      </w:r>
      <w:hyperlink r:id="rId138" w:history="1">
        <w:r w:rsidRPr="00CF358A">
          <w:rPr>
            <w:rStyle w:val="Hyperlink"/>
            <w:rFonts w:asciiTheme="minorHAnsi" w:hAnsiTheme="minorHAnsi" w:cstheme="minorHAnsi"/>
            <w:i/>
          </w:rPr>
          <w:t>Agriculture</w:t>
        </w:r>
        <w:r w:rsidR="00CF358A">
          <w:rPr>
            <w:rStyle w:val="Hyperlink"/>
            <w:rFonts w:asciiTheme="minorHAnsi" w:hAnsiTheme="minorHAnsi" w:cstheme="minorHAnsi"/>
            <w:i/>
          </w:rPr>
          <w:t xml:space="preserve"> -</w:t>
        </w:r>
        <w:r w:rsidRPr="00CF358A">
          <w:rPr>
            <w:rStyle w:val="Hyperlink"/>
            <w:rFonts w:asciiTheme="minorHAnsi" w:hAnsiTheme="minorHAnsi" w:cstheme="minorHAnsi"/>
            <w:i/>
          </w:rPr>
          <w:t xml:space="preserve"> Fact</w:t>
        </w:r>
        <w:r w:rsidR="00CF358A">
          <w:rPr>
            <w:rStyle w:val="Hyperlink"/>
            <w:rFonts w:asciiTheme="minorHAnsi" w:hAnsiTheme="minorHAnsi" w:cstheme="minorHAnsi"/>
            <w:i/>
          </w:rPr>
          <w:t xml:space="preserve"> S</w:t>
        </w:r>
        <w:r w:rsidRPr="00CF358A">
          <w:rPr>
            <w:rStyle w:val="Hyperlink"/>
            <w:rFonts w:asciiTheme="minorHAnsi" w:hAnsiTheme="minorHAnsi" w:cstheme="minorHAnsi"/>
            <w:i/>
          </w:rPr>
          <w:t>heet 7</w:t>
        </w:r>
        <w:r w:rsidR="00045874" w:rsidRPr="00CF358A">
          <w:rPr>
            <w:rStyle w:val="Hyperlink"/>
            <w:rFonts w:asciiTheme="minorHAnsi" w:hAnsiTheme="minorHAnsi" w:cstheme="minorHAnsi"/>
            <w:i/>
          </w:rPr>
          <w:t xml:space="preserve"> </w:t>
        </w:r>
        <w:r w:rsidR="00045874" w:rsidRPr="00CF358A">
          <w:rPr>
            <w:rStyle w:val="Hyperlink"/>
            <w:rFonts w:asciiTheme="minorHAnsi" w:hAnsiTheme="minorHAnsi" w:cstheme="minorHAnsi"/>
            <w:iCs/>
          </w:rPr>
          <w:t>[PDF 273KB]</w:t>
        </w:r>
      </w:hyperlink>
      <w:r w:rsidRPr="004906C5">
        <w:rPr>
          <w:rFonts w:asciiTheme="minorHAnsi" w:hAnsiTheme="minorHAnsi" w:cstheme="minorHAnsi"/>
          <w:i/>
        </w:rPr>
        <w:t>,</w:t>
      </w:r>
      <w:r w:rsidRPr="004906C5">
        <w:rPr>
          <w:rFonts w:asciiTheme="minorHAnsi" w:hAnsiTheme="minorHAnsi" w:cstheme="minorHAnsi"/>
        </w:rPr>
        <w:t xml:space="preserve"> </w:t>
      </w:r>
      <w:r w:rsidR="00641249">
        <w:rPr>
          <w:rFonts w:asciiTheme="minorHAnsi" w:hAnsiTheme="minorHAnsi" w:cstheme="minorHAnsi"/>
        </w:rPr>
        <w:t xml:space="preserve">Climate Change Authority, </w:t>
      </w:r>
      <w:r w:rsidR="008C6599">
        <w:rPr>
          <w:rFonts w:asciiTheme="minorHAnsi" w:hAnsiTheme="minorHAnsi" w:cstheme="minorHAnsi"/>
        </w:rPr>
        <w:t xml:space="preserve">Australian Government, </w:t>
      </w:r>
      <w:r w:rsidRPr="004906C5">
        <w:rPr>
          <w:rFonts w:asciiTheme="minorHAnsi" w:hAnsiTheme="minorHAnsi" w:cstheme="minorHAnsi"/>
        </w:rPr>
        <w:t>February 2021</w:t>
      </w:r>
      <w:r w:rsidR="00641249">
        <w:rPr>
          <w:rFonts w:asciiTheme="minorHAnsi" w:hAnsiTheme="minorHAnsi" w:cstheme="minorHAnsi"/>
        </w:rPr>
        <w:t>, accessed September 2023</w:t>
      </w:r>
      <w:r w:rsidRPr="004906C5">
        <w:rPr>
          <w:rFonts w:asciiTheme="minorHAnsi" w:hAnsiTheme="minorHAnsi" w:cstheme="minorHAnsi"/>
        </w:rPr>
        <w:t>.</w:t>
      </w:r>
      <w:r w:rsidRPr="004906C5">
        <w:rPr>
          <w:rFonts w:asciiTheme="minorHAnsi" w:hAnsiTheme="minorHAnsi" w:cstheme="minorHAnsi"/>
          <w:i/>
        </w:rPr>
        <w:t xml:space="preserve"> </w:t>
      </w:r>
    </w:p>
  </w:endnote>
  <w:endnote w:id="140">
    <w:p w14:paraId="56FC4D70" w14:textId="0435829C"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8385E">
        <w:rPr>
          <w:rFonts w:asciiTheme="minorHAnsi" w:hAnsiTheme="minorHAnsi" w:cstheme="minorHAnsi"/>
        </w:rPr>
        <w:t>DCCEEW</w:t>
      </w:r>
      <w:r w:rsidRPr="004906C5">
        <w:rPr>
          <w:rFonts w:asciiTheme="minorHAnsi" w:hAnsiTheme="minorHAnsi" w:cstheme="minorHAnsi"/>
        </w:rPr>
        <w:t xml:space="preserve">, </w:t>
      </w:r>
      <w:hyperlink r:id="rId139" w:history="1">
        <w:r w:rsidRPr="004906C5">
          <w:rPr>
            <w:rStyle w:val="Hyperlink"/>
            <w:rFonts w:asciiTheme="minorHAnsi" w:hAnsiTheme="minorHAnsi" w:cstheme="minorHAnsi"/>
            <w:i/>
          </w:rPr>
          <w:t>Agriculture</w:t>
        </w:r>
      </w:hyperlink>
      <w:r w:rsidRPr="004906C5">
        <w:rPr>
          <w:rFonts w:asciiTheme="minorHAnsi" w:hAnsiTheme="minorHAnsi" w:cstheme="minorHAnsi"/>
          <w:i/>
        </w:rPr>
        <w:t>,</w:t>
      </w:r>
      <w:r w:rsidR="00972D4D">
        <w:rPr>
          <w:rFonts w:asciiTheme="minorHAnsi" w:hAnsiTheme="minorHAnsi" w:cstheme="minorHAnsi"/>
          <w:iCs/>
        </w:rPr>
        <w:t xml:space="preserve"> DCCEEW website,</w:t>
      </w:r>
      <w:r w:rsidR="007C61ED">
        <w:rPr>
          <w:rFonts w:asciiTheme="minorHAnsi" w:hAnsiTheme="minorHAnsi" w:cstheme="minorHAnsi"/>
          <w:iCs/>
        </w:rPr>
        <w:t xml:space="preserve"> </w:t>
      </w:r>
      <w:r w:rsidR="008C6599">
        <w:rPr>
          <w:rFonts w:asciiTheme="minorHAnsi" w:hAnsiTheme="minorHAnsi" w:cstheme="minorHAnsi"/>
          <w:iCs/>
        </w:rPr>
        <w:t>Australian Government,</w:t>
      </w:r>
      <w:r w:rsidR="008C6599" w:rsidRPr="004906C5">
        <w:rPr>
          <w:rFonts w:asciiTheme="minorHAnsi" w:hAnsiTheme="minorHAnsi" w:cstheme="minorHAnsi"/>
        </w:rPr>
        <w:t xml:space="preserve"> </w:t>
      </w:r>
      <w:r w:rsidRPr="004906C5">
        <w:rPr>
          <w:rFonts w:asciiTheme="minorHAnsi" w:hAnsiTheme="minorHAnsi" w:cstheme="minorHAnsi"/>
        </w:rPr>
        <w:t>accessed September 2023.</w:t>
      </w:r>
    </w:p>
  </w:endnote>
  <w:endnote w:id="141">
    <w:p w14:paraId="2833B049" w14:textId="40E54B7C" w:rsidR="009E09C1" w:rsidRPr="0069008C" w:rsidRDefault="009E09C1" w:rsidP="004906C5">
      <w:pPr>
        <w:pStyle w:val="EndnoteText"/>
        <w:spacing w:before="120" w:after="120"/>
        <w:ind w:left="709" w:hanging="709"/>
        <w:rPr>
          <w:rFonts w:asciiTheme="minorHAnsi" w:hAnsiTheme="minorHAnsi" w:cstheme="minorHAnsi"/>
          <w:iCs/>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022907">
        <w:rPr>
          <w:rFonts w:asciiTheme="minorHAnsi" w:hAnsiTheme="minorHAnsi" w:cstheme="minorHAnsi"/>
        </w:rPr>
        <w:t>DCCEEW</w:t>
      </w:r>
      <w:r w:rsidRPr="004906C5">
        <w:rPr>
          <w:rFonts w:asciiTheme="minorHAnsi" w:hAnsiTheme="minorHAnsi" w:cstheme="minorHAnsi"/>
        </w:rPr>
        <w:t xml:space="preserve">, </w:t>
      </w:r>
      <w:r w:rsidR="00D92959">
        <w:rPr>
          <w:rFonts w:asciiTheme="minorHAnsi" w:hAnsiTheme="minorHAnsi" w:cstheme="minorHAnsi"/>
        </w:rPr>
        <w:t>‘</w:t>
      </w:r>
      <w:hyperlink r:id="rId140" w:history="1">
        <w:r w:rsidRPr="00D92959">
          <w:rPr>
            <w:rStyle w:val="Hyperlink"/>
            <w:rFonts w:asciiTheme="minorHAnsi" w:hAnsiTheme="minorHAnsi" w:cstheme="minorHAnsi"/>
            <w:iCs/>
          </w:rPr>
          <w:t>Quarterly Update of Australia’s National Greenhouse Gas Inventory</w:t>
        </w:r>
        <w:r w:rsidR="0069008C" w:rsidRPr="00D92959">
          <w:rPr>
            <w:rStyle w:val="Hyperlink"/>
            <w:rFonts w:asciiTheme="minorHAnsi" w:hAnsiTheme="minorHAnsi" w:cstheme="minorHAnsi"/>
            <w:iCs/>
          </w:rPr>
          <w:t>:</w:t>
        </w:r>
        <w:r w:rsidRPr="00D92959">
          <w:rPr>
            <w:rStyle w:val="Hyperlink"/>
            <w:rFonts w:asciiTheme="minorHAnsi" w:hAnsiTheme="minorHAnsi" w:cstheme="minorHAnsi"/>
            <w:iCs/>
          </w:rPr>
          <w:t xml:space="preserve"> March 2023</w:t>
        </w:r>
      </w:hyperlink>
      <w:r w:rsidR="00D92959">
        <w:rPr>
          <w:rFonts w:asciiTheme="minorHAnsi" w:hAnsiTheme="minorHAnsi" w:cstheme="minorHAnsi"/>
          <w:iCs/>
        </w:rPr>
        <w:t>’</w:t>
      </w:r>
      <w:r w:rsidR="0069008C">
        <w:rPr>
          <w:rFonts w:asciiTheme="minorHAnsi" w:hAnsiTheme="minorHAnsi" w:cstheme="minorHAnsi"/>
          <w:i/>
        </w:rPr>
        <w:t>,</w:t>
      </w:r>
      <w:r w:rsidR="00D73776">
        <w:rPr>
          <w:rFonts w:asciiTheme="minorHAnsi" w:hAnsiTheme="minorHAnsi" w:cstheme="minorHAnsi"/>
          <w:i/>
        </w:rPr>
        <w:t xml:space="preserve"> </w:t>
      </w:r>
      <w:r w:rsidR="0069008C">
        <w:rPr>
          <w:rFonts w:asciiTheme="minorHAnsi" w:hAnsiTheme="minorHAnsi" w:cstheme="minorHAnsi"/>
          <w:iCs/>
        </w:rPr>
        <w:t>DCCEEW</w:t>
      </w:r>
      <w:r w:rsidR="00D92959">
        <w:rPr>
          <w:rFonts w:asciiTheme="minorHAnsi" w:hAnsiTheme="minorHAnsi" w:cstheme="minorHAnsi"/>
          <w:iCs/>
        </w:rPr>
        <w:t xml:space="preserve"> website</w:t>
      </w:r>
      <w:r w:rsidR="0069008C">
        <w:rPr>
          <w:rFonts w:asciiTheme="minorHAnsi" w:hAnsiTheme="minorHAnsi" w:cstheme="minorHAnsi"/>
          <w:iCs/>
        </w:rPr>
        <w:t xml:space="preserve">, </w:t>
      </w:r>
      <w:r w:rsidR="008C6599">
        <w:rPr>
          <w:rFonts w:asciiTheme="minorHAnsi" w:hAnsiTheme="minorHAnsi" w:cstheme="minorHAnsi"/>
          <w:iCs/>
        </w:rPr>
        <w:t xml:space="preserve">Australian Government, </w:t>
      </w:r>
      <w:r w:rsidR="0069008C">
        <w:rPr>
          <w:rFonts w:asciiTheme="minorHAnsi" w:hAnsiTheme="minorHAnsi" w:cstheme="minorHAnsi"/>
          <w:iCs/>
        </w:rPr>
        <w:t>2023, accessed September 2023.</w:t>
      </w:r>
    </w:p>
  </w:endnote>
  <w:endnote w:id="142">
    <w:p w14:paraId="61FE97E4" w14:textId="54F4BCDA"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E45F9">
        <w:rPr>
          <w:rFonts w:asciiTheme="minorHAnsi" w:hAnsiTheme="minorHAnsi" w:cstheme="minorHAnsi"/>
        </w:rPr>
        <w:t xml:space="preserve">D </w:t>
      </w:r>
      <w:r w:rsidR="008E45F9" w:rsidRPr="008E45F9">
        <w:rPr>
          <w:rFonts w:asciiTheme="minorHAnsi" w:hAnsiTheme="minorHAnsi" w:cstheme="minorHAnsi"/>
        </w:rPr>
        <w:t xml:space="preserve">Davis, </w:t>
      </w:r>
      <w:r w:rsidR="008E45F9">
        <w:rPr>
          <w:rFonts w:asciiTheme="minorHAnsi" w:hAnsiTheme="minorHAnsi" w:cstheme="minorHAnsi"/>
        </w:rPr>
        <w:t xml:space="preserve">M </w:t>
      </w:r>
      <w:r w:rsidR="008E45F9" w:rsidRPr="008E45F9">
        <w:rPr>
          <w:rFonts w:asciiTheme="minorHAnsi" w:hAnsiTheme="minorHAnsi" w:cstheme="minorHAnsi"/>
        </w:rPr>
        <w:t xml:space="preserve">Lopez Peralta, </w:t>
      </w:r>
      <w:r w:rsidR="008E45F9">
        <w:rPr>
          <w:rFonts w:asciiTheme="minorHAnsi" w:hAnsiTheme="minorHAnsi" w:cstheme="minorHAnsi"/>
        </w:rPr>
        <w:t xml:space="preserve">R </w:t>
      </w:r>
      <w:r w:rsidR="008E45F9" w:rsidRPr="008E45F9">
        <w:rPr>
          <w:rFonts w:asciiTheme="minorHAnsi" w:hAnsiTheme="minorHAnsi" w:cstheme="minorHAnsi"/>
        </w:rPr>
        <w:t>Keenan, R Eckard</w:t>
      </w:r>
      <w:r w:rsidR="008E45F9">
        <w:rPr>
          <w:rFonts w:asciiTheme="minorHAnsi" w:hAnsiTheme="minorHAnsi" w:cstheme="minorHAnsi"/>
        </w:rPr>
        <w:t xml:space="preserve"> and</w:t>
      </w:r>
      <w:r w:rsidR="008E45F9" w:rsidRPr="008E45F9">
        <w:rPr>
          <w:rFonts w:asciiTheme="minorHAnsi" w:hAnsiTheme="minorHAnsi" w:cstheme="minorHAnsi"/>
        </w:rPr>
        <w:t xml:space="preserve"> </w:t>
      </w:r>
      <w:r w:rsidR="008E45F9">
        <w:rPr>
          <w:rFonts w:asciiTheme="minorHAnsi" w:hAnsiTheme="minorHAnsi" w:cstheme="minorHAnsi"/>
        </w:rPr>
        <w:t>M</w:t>
      </w:r>
      <w:r w:rsidR="008E45F9" w:rsidRPr="008E45F9">
        <w:rPr>
          <w:rFonts w:asciiTheme="minorHAnsi" w:hAnsiTheme="minorHAnsi" w:cstheme="minorHAnsi"/>
        </w:rPr>
        <w:t xml:space="preserve"> Brear</w:t>
      </w:r>
      <w:r w:rsidR="008E45F9">
        <w:rPr>
          <w:rFonts w:asciiTheme="minorHAnsi" w:hAnsiTheme="minorHAnsi" w:cstheme="minorHAnsi"/>
        </w:rPr>
        <w:t>,</w:t>
      </w:r>
      <w:r w:rsidR="008E45F9" w:rsidRPr="008E45F9">
        <w:rPr>
          <w:rFonts w:asciiTheme="minorHAnsi" w:hAnsiTheme="minorHAnsi" w:cstheme="minorHAnsi"/>
        </w:rPr>
        <w:t xml:space="preserve"> </w:t>
      </w:r>
      <w:hyperlink r:id="rId141" w:history="1">
        <w:r w:rsidRPr="00022907">
          <w:rPr>
            <w:rStyle w:val="Hyperlink"/>
            <w:rFonts w:asciiTheme="minorHAnsi" w:hAnsiTheme="minorHAnsi" w:cstheme="minorHAnsi"/>
            <w:i/>
          </w:rPr>
          <w:t>Downscaling – the role of forestry in enhancing the Australian land CO2 sink</w:t>
        </w:r>
        <w:r w:rsidR="003C12F7" w:rsidRPr="00022907">
          <w:rPr>
            <w:rStyle w:val="Hyperlink"/>
            <w:rFonts w:asciiTheme="minorHAnsi" w:hAnsiTheme="minorHAnsi" w:cstheme="minorHAnsi"/>
            <w:i/>
          </w:rPr>
          <w:t xml:space="preserve"> </w:t>
        </w:r>
        <w:r w:rsidR="003C12F7" w:rsidRPr="00022907">
          <w:rPr>
            <w:rStyle w:val="Hyperlink"/>
            <w:rFonts w:asciiTheme="minorHAnsi" w:hAnsiTheme="minorHAnsi" w:cstheme="minorHAnsi"/>
            <w:iCs/>
          </w:rPr>
          <w:t>[PDF 7.</w:t>
        </w:r>
        <w:r w:rsidR="005723C3" w:rsidRPr="00022907">
          <w:rPr>
            <w:rStyle w:val="Hyperlink"/>
            <w:rFonts w:asciiTheme="minorHAnsi" w:hAnsiTheme="minorHAnsi" w:cstheme="minorHAnsi"/>
            <w:iCs/>
          </w:rPr>
          <w:t>3</w:t>
        </w:r>
        <w:r w:rsidR="003C12F7" w:rsidRPr="00022907">
          <w:rPr>
            <w:rStyle w:val="Hyperlink"/>
            <w:rFonts w:asciiTheme="minorHAnsi" w:hAnsiTheme="minorHAnsi" w:cstheme="minorHAnsi"/>
            <w:iCs/>
          </w:rPr>
          <w:t>MB]</w:t>
        </w:r>
      </w:hyperlink>
      <w:r w:rsidRPr="004906C5">
        <w:rPr>
          <w:rFonts w:asciiTheme="minorHAnsi" w:hAnsiTheme="minorHAnsi" w:cstheme="minorHAnsi"/>
          <w:i/>
        </w:rPr>
        <w:t xml:space="preserve">, </w:t>
      </w:r>
      <w:r w:rsidR="005723C3" w:rsidRPr="004906C5">
        <w:rPr>
          <w:rFonts w:asciiTheme="minorHAnsi" w:hAnsiTheme="minorHAnsi" w:cstheme="minorHAnsi"/>
        </w:rPr>
        <w:t>Net Zero Australia</w:t>
      </w:r>
      <w:r w:rsidR="005723C3">
        <w:rPr>
          <w:rFonts w:asciiTheme="minorHAnsi" w:hAnsiTheme="minorHAnsi" w:cstheme="minorHAnsi"/>
        </w:rPr>
        <w:t>,</w:t>
      </w:r>
      <w:r w:rsidR="005723C3" w:rsidRPr="004906C5">
        <w:rPr>
          <w:rFonts w:asciiTheme="minorHAnsi" w:hAnsiTheme="minorHAnsi" w:cstheme="minorHAnsi"/>
        </w:rPr>
        <w:t xml:space="preserve"> </w:t>
      </w:r>
      <w:r w:rsidRPr="004906C5">
        <w:rPr>
          <w:rFonts w:asciiTheme="minorHAnsi" w:hAnsiTheme="minorHAnsi" w:cstheme="minorHAnsi"/>
        </w:rPr>
        <w:t>2023</w:t>
      </w:r>
      <w:r w:rsidR="008E45F9">
        <w:rPr>
          <w:rFonts w:asciiTheme="minorHAnsi" w:hAnsiTheme="minorHAnsi" w:cstheme="minorHAnsi"/>
        </w:rPr>
        <w:t>, accessed September 2023</w:t>
      </w:r>
      <w:r w:rsidRPr="004906C5">
        <w:rPr>
          <w:rFonts w:asciiTheme="minorHAnsi" w:hAnsiTheme="minorHAnsi" w:cstheme="minorHAnsi"/>
        </w:rPr>
        <w:t>.</w:t>
      </w:r>
    </w:p>
  </w:endnote>
  <w:endnote w:id="143">
    <w:p w14:paraId="06888568" w14:textId="148F93DE" w:rsidR="009E09C1" w:rsidRPr="004906C5" w:rsidRDefault="009E09C1"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t xml:space="preserve">Australian Petroleum Production and Exploration Association (APPEA), Submission </w:t>
      </w:r>
      <w:r w:rsidR="00F70807" w:rsidRPr="004906C5">
        <w:rPr>
          <w:rFonts w:asciiTheme="minorHAnsi" w:hAnsiTheme="minorHAnsi" w:cstheme="minorHAnsi"/>
        </w:rPr>
        <w:t>3</w:t>
      </w:r>
      <w:r w:rsidRPr="004906C5">
        <w:rPr>
          <w:rFonts w:asciiTheme="minorHAnsi" w:hAnsiTheme="minorHAnsi" w:cstheme="minorHAnsi"/>
        </w:rPr>
        <w:t>, Clean Energy Capacity Discussion paper.</w:t>
      </w:r>
    </w:p>
  </w:endnote>
  <w:endnote w:id="144">
    <w:p w14:paraId="3E72A233" w14:textId="2938DD86"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Chevron,</w:t>
      </w:r>
      <w:r w:rsidR="00F564C6">
        <w:rPr>
          <w:rFonts w:asciiTheme="minorHAnsi" w:hAnsiTheme="minorHAnsi" w:cstheme="minorHAnsi"/>
        </w:rPr>
        <w:t xml:space="preserve"> </w:t>
      </w:r>
      <w:hyperlink r:id="rId142" w:history="1">
        <w:r w:rsidR="00F564C6" w:rsidRPr="00AC0519">
          <w:rPr>
            <w:rStyle w:val="Hyperlink"/>
            <w:rFonts w:asciiTheme="minorHAnsi" w:hAnsiTheme="minorHAnsi" w:cstheme="minorHAnsi"/>
            <w:i/>
            <w:iCs/>
          </w:rPr>
          <w:t>g</w:t>
        </w:r>
        <w:r w:rsidRPr="00AC0519">
          <w:rPr>
            <w:rStyle w:val="Hyperlink"/>
            <w:rFonts w:asciiTheme="minorHAnsi" w:hAnsiTheme="minorHAnsi" w:cstheme="minorHAnsi"/>
            <w:i/>
          </w:rPr>
          <w:t>orgon carbon capture and storage fact sheet</w:t>
        </w:r>
        <w:r w:rsidR="00DA075D" w:rsidRPr="00AC0519">
          <w:rPr>
            <w:rStyle w:val="Hyperlink"/>
            <w:rFonts w:asciiTheme="minorHAnsi" w:hAnsiTheme="minorHAnsi" w:cstheme="minorHAnsi"/>
            <w:i/>
          </w:rPr>
          <w:t xml:space="preserve"> </w:t>
        </w:r>
        <w:r w:rsidR="00DA075D" w:rsidRPr="00AC0519">
          <w:rPr>
            <w:rStyle w:val="Hyperlink"/>
            <w:rFonts w:asciiTheme="minorHAnsi" w:hAnsiTheme="minorHAnsi" w:cstheme="minorHAnsi"/>
            <w:iCs/>
          </w:rPr>
          <w:t>[PDF 2</w:t>
        </w:r>
        <w:r w:rsidR="00F564C6" w:rsidRPr="00AC0519">
          <w:rPr>
            <w:rStyle w:val="Hyperlink"/>
            <w:rFonts w:asciiTheme="minorHAnsi" w:hAnsiTheme="minorHAnsi" w:cstheme="minorHAnsi"/>
            <w:iCs/>
          </w:rPr>
          <w:t>5</w:t>
        </w:r>
        <w:r w:rsidR="00DA075D" w:rsidRPr="00AC0519">
          <w:rPr>
            <w:rStyle w:val="Hyperlink"/>
            <w:rFonts w:asciiTheme="minorHAnsi" w:hAnsiTheme="minorHAnsi" w:cstheme="minorHAnsi"/>
            <w:iCs/>
          </w:rPr>
          <w:t>7KB]</w:t>
        </w:r>
      </w:hyperlink>
      <w:r w:rsidRPr="004906C5">
        <w:rPr>
          <w:rFonts w:asciiTheme="minorHAnsi" w:hAnsiTheme="minorHAnsi" w:cstheme="minorHAnsi"/>
          <w:i/>
        </w:rPr>
        <w:t>,</w:t>
      </w:r>
      <w:r w:rsidR="00F564C6">
        <w:rPr>
          <w:rFonts w:asciiTheme="minorHAnsi" w:hAnsiTheme="minorHAnsi" w:cstheme="minorHAnsi"/>
          <w:iCs/>
        </w:rPr>
        <w:t xml:space="preserve"> Chevron,</w:t>
      </w:r>
      <w:r w:rsidRPr="004906C5">
        <w:rPr>
          <w:rFonts w:asciiTheme="minorHAnsi" w:hAnsiTheme="minorHAnsi" w:cstheme="minorHAnsi"/>
          <w:i/>
        </w:rPr>
        <w:t xml:space="preserve"> </w:t>
      </w:r>
      <w:r w:rsidRPr="004906C5">
        <w:rPr>
          <w:rFonts w:asciiTheme="minorHAnsi" w:hAnsiTheme="minorHAnsi" w:cstheme="minorHAnsi"/>
        </w:rPr>
        <w:t>2022</w:t>
      </w:r>
      <w:r w:rsidR="00F564C6">
        <w:rPr>
          <w:rFonts w:asciiTheme="minorHAnsi" w:hAnsiTheme="minorHAnsi" w:cstheme="minorHAnsi"/>
        </w:rPr>
        <w:t>, accessed September 2023.</w:t>
      </w:r>
    </w:p>
  </w:endnote>
  <w:endnote w:id="145">
    <w:p w14:paraId="4EC559F0" w14:textId="1F6A7A30" w:rsidR="009E09C1" w:rsidRPr="004906C5" w:rsidRDefault="009E09C1"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Energy &amp; Mining, </w:t>
      </w:r>
      <w:hyperlink r:id="rId143" w:history="1">
        <w:r w:rsidRPr="004906C5">
          <w:rPr>
            <w:rStyle w:val="Hyperlink"/>
            <w:rFonts w:asciiTheme="minorHAnsi" w:hAnsiTheme="minorHAnsi" w:cstheme="minorHAnsi"/>
            <w:i/>
          </w:rPr>
          <w:t>Carbon capture and storage</w:t>
        </w:r>
      </w:hyperlink>
      <w:r w:rsidRPr="004906C5">
        <w:rPr>
          <w:rFonts w:asciiTheme="minorHAnsi" w:hAnsiTheme="minorHAnsi" w:cstheme="minorHAnsi"/>
          <w:i/>
        </w:rPr>
        <w:t xml:space="preserve">, </w:t>
      </w:r>
      <w:r w:rsidR="00562BE6">
        <w:rPr>
          <w:rFonts w:asciiTheme="minorHAnsi" w:hAnsiTheme="minorHAnsi" w:cstheme="minorHAnsi"/>
          <w:iCs/>
        </w:rPr>
        <w:t xml:space="preserve">Government of South Australia, </w:t>
      </w:r>
      <w:r w:rsidR="00562BE6" w:rsidRPr="004906C5">
        <w:rPr>
          <w:rFonts w:asciiTheme="minorHAnsi" w:hAnsiTheme="minorHAnsi" w:cstheme="minorHAnsi"/>
        </w:rPr>
        <w:t>Energy &amp; Minin</w:t>
      </w:r>
      <w:r w:rsidR="00441102">
        <w:rPr>
          <w:rFonts w:asciiTheme="minorHAnsi" w:hAnsiTheme="minorHAnsi" w:cstheme="minorHAnsi"/>
        </w:rPr>
        <w:t>g website</w:t>
      </w:r>
      <w:r w:rsidR="00562BE6">
        <w:rPr>
          <w:rFonts w:asciiTheme="minorHAnsi" w:hAnsiTheme="minorHAnsi" w:cstheme="minorHAnsi"/>
        </w:rPr>
        <w:t>,</w:t>
      </w:r>
      <w:r w:rsidR="00562BE6" w:rsidRPr="004906C5">
        <w:rPr>
          <w:rFonts w:asciiTheme="minorHAnsi" w:hAnsiTheme="minorHAnsi" w:cstheme="minorHAnsi"/>
        </w:rPr>
        <w:t xml:space="preserve"> </w:t>
      </w:r>
      <w:r w:rsidRPr="004906C5">
        <w:rPr>
          <w:rFonts w:asciiTheme="minorHAnsi" w:hAnsiTheme="minorHAnsi" w:cstheme="minorHAnsi"/>
        </w:rPr>
        <w:t>accessed September 2023.</w:t>
      </w:r>
    </w:p>
  </w:endnote>
  <w:endnote w:id="146">
    <w:p w14:paraId="3B0DE815" w14:textId="677EE965"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954F3" w:rsidRPr="004906C5">
        <w:rPr>
          <w:rFonts w:asciiTheme="minorHAnsi" w:hAnsiTheme="minorHAnsi" w:cstheme="minorHAnsi"/>
        </w:rPr>
        <w:t xml:space="preserve">Department of Education, </w:t>
      </w:r>
      <w:hyperlink r:id="rId144" w:history="1">
        <w:r w:rsidR="00E954F3" w:rsidRPr="004906C5">
          <w:rPr>
            <w:rStyle w:val="Hyperlink"/>
            <w:rFonts w:asciiTheme="minorHAnsi" w:hAnsiTheme="minorHAnsi" w:cstheme="minorHAnsi"/>
            <w:i/>
            <w:iCs/>
          </w:rPr>
          <w:t>Advanced Apprenticeships (Industry 4.0) pilot</w:t>
        </w:r>
      </w:hyperlink>
      <w:r w:rsidR="00E954F3" w:rsidRPr="004906C5">
        <w:rPr>
          <w:rFonts w:asciiTheme="minorHAnsi" w:hAnsiTheme="minorHAnsi" w:cstheme="minorHAnsi"/>
        </w:rPr>
        <w:t xml:space="preserve">, Department of Education website, </w:t>
      </w:r>
      <w:r w:rsidR="002B47BE" w:rsidRPr="004906C5">
        <w:rPr>
          <w:rFonts w:asciiTheme="minorHAnsi" w:hAnsiTheme="minorHAnsi" w:cstheme="minorHAnsi"/>
        </w:rPr>
        <w:t>Australian Government</w:t>
      </w:r>
      <w:r w:rsidR="002B47BE">
        <w:rPr>
          <w:rFonts w:asciiTheme="minorHAnsi" w:hAnsiTheme="minorHAnsi" w:cstheme="minorHAnsi"/>
        </w:rPr>
        <w:t>,</w:t>
      </w:r>
      <w:r w:rsidR="002B47BE" w:rsidRPr="004906C5">
        <w:rPr>
          <w:rFonts w:asciiTheme="minorHAnsi" w:hAnsiTheme="minorHAnsi" w:cstheme="minorHAnsi"/>
        </w:rPr>
        <w:t xml:space="preserve"> </w:t>
      </w:r>
      <w:r w:rsidR="00E954F3" w:rsidRPr="004906C5">
        <w:rPr>
          <w:rFonts w:asciiTheme="minorHAnsi" w:hAnsiTheme="minorHAnsi" w:cstheme="minorHAnsi"/>
        </w:rPr>
        <w:t>accessed July 2023.</w:t>
      </w:r>
    </w:p>
  </w:endnote>
  <w:endnote w:id="147">
    <w:p w14:paraId="1F8D3483" w14:textId="1FA019CC"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954F3" w:rsidRPr="004906C5">
        <w:rPr>
          <w:rFonts w:asciiTheme="minorHAnsi" w:hAnsiTheme="minorHAnsi" w:cstheme="minorHAnsi"/>
        </w:rPr>
        <w:t xml:space="preserve">Department of Education, </w:t>
      </w:r>
      <w:hyperlink r:id="rId145" w:history="1">
        <w:r w:rsidRPr="004906C5">
          <w:rPr>
            <w:rStyle w:val="Hyperlink"/>
            <w:rFonts w:asciiTheme="minorHAnsi" w:hAnsiTheme="minorHAnsi" w:cstheme="minorHAnsi"/>
            <w:i/>
          </w:rPr>
          <w:t>Advanced Apprenticeships (Industry 4.0) pilot</w:t>
        </w:r>
      </w:hyperlink>
      <w:r w:rsidR="00E954F3" w:rsidRPr="004906C5">
        <w:rPr>
          <w:rFonts w:asciiTheme="minorHAnsi" w:hAnsiTheme="minorHAnsi" w:cstheme="minorHAnsi"/>
        </w:rPr>
        <w:t>, Department of Education website,</w:t>
      </w:r>
      <w:r w:rsidR="002B47BE">
        <w:rPr>
          <w:rFonts w:asciiTheme="minorHAnsi" w:hAnsiTheme="minorHAnsi" w:cstheme="minorHAnsi"/>
        </w:rPr>
        <w:t xml:space="preserve"> </w:t>
      </w:r>
      <w:r w:rsidR="002B47BE" w:rsidRPr="004906C5">
        <w:rPr>
          <w:rFonts w:asciiTheme="minorHAnsi" w:hAnsiTheme="minorHAnsi" w:cstheme="minorHAnsi"/>
        </w:rPr>
        <w:t>Australian Government</w:t>
      </w:r>
      <w:r w:rsidR="002B47BE">
        <w:rPr>
          <w:rFonts w:asciiTheme="minorHAnsi" w:hAnsiTheme="minorHAnsi" w:cstheme="minorHAnsi"/>
        </w:rPr>
        <w:t>,</w:t>
      </w:r>
      <w:r w:rsidR="00E954F3" w:rsidRPr="004906C5">
        <w:rPr>
          <w:rFonts w:asciiTheme="minorHAnsi" w:hAnsiTheme="minorHAnsi" w:cstheme="minorHAnsi"/>
        </w:rPr>
        <w:t xml:space="preserve"> accessed July 2023.</w:t>
      </w:r>
    </w:p>
  </w:endnote>
  <w:endnote w:id="148">
    <w:p w14:paraId="072458FD" w14:textId="52C4AA0C"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97075">
        <w:rPr>
          <w:rFonts w:asciiTheme="minorHAnsi" w:hAnsiTheme="minorHAnsi" w:cstheme="minorHAnsi"/>
        </w:rPr>
        <w:t>NCVER</w:t>
      </w:r>
      <w:r w:rsidR="0033316C" w:rsidRPr="004906C5">
        <w:rPr>
          <w:rFonts w:asciiTheme="minorHAnsi" w:hAnsiTheme="minorHAnsi" w:cstheme="minorHAnsi"/>
        </w:rPr>
        <w:t>, ‘</w:t>
      </w:r>
      <w:hyperlink r:id="rId146" w:history="1">
        <w:r w:rsidR="0033316C" w:rsidRPr="004906C5">
          <w:rPr>
            <w:rStyle w:val="Hyperlink"/>
            <w:rFonts w:asciiTheme="minorHAnsi" w:hAnsiTheme="minorHAnsi" w:cstheme="minorHAnsi"/>
          </w:rPr>
          <w:t>Higher apprenticeships in Australia: what are we talking about?</w:t>
        </w:r>
      </w:hyperlink>
      <w:r w:rsidR="0033316C" w:rsidRPr="004906C5">
        <w:rPr>
          <w:rFonts w:asciiTheme="minorHAnsi" w:hAnsiTheme="minorHAnsi" w:cstheme="minorHAnsi"/>
        </w:rPr>
        <w:t>’, NCVER, 2019, accessed September 2023.</w:t>
      </w:r>
    </w:p>
  </w:endnote>
  <w:endnote w:id="149">
    <w:p w14:paraId="2B670F12" w14:textId="6498E78A" w:rsidR="00B1775A" w:rsidRPr="004906C5" w:rsidRDefault="00B1775A" w:rsidP="00B97075">
      <w:pPr>
        <w:pStyle w:val="EndnoteText"/>
        <w:spacing w:before="120" w:after="120"/>
        <w:ind w:left="709" w:hanging="709"/>
        <w:rPr>
          <w:rFonts w:asciiTheme="minorHAnsi" w:hAnsiTheme="minorHAnsi" w:cstheme="minorHAnsi"/>
        </w:rPr>
      </w:pPr>
      <w:r w:rsidRPr="00406CD0">
        <w:rPr>
          <w:rStyle w:val="EndnoteReference"/>
          <w:rFonts w:asciiTheme="minorHAnsi" w:hAnsiTheme="minorHAnsi" w:cstheme="minorHAnsi"/>
          <w:vertAlign w:val="baseline"/>
        </w:rPr>
        <w:endnoteRef/>
      </w:r>
      <w:r w:rsidRPr="00406CD0">
        <w:rPr>
          <w:rStyle w:val="EndnoteReference"/>
          <w:rFonts w:asciiTheme="minorHAnsi" w:hAnsiTheme="minorHAnsi" w:cstheme="minorHAnsi"/>
          <w:vertAlign w:val="baseline"/>
        </w:rPr>
        <w:t xml:space="preserve"> </w:t>
      </w:r>
      <w:r w:rsidRPr="00406CD0">
        <w:rPr>
          <w:rFonts w:asciiTheme="minorHAnsi" w:hAnsiTheme="minorHAnsi" w:cstheme="minorHAnsi"/>
        </w:rPr>
        <w:t xml:space="preserve"> </w:t>
      </w:r>
      <w:r w:rsidR="00682F5D" w:rsidRPr="00406CD0">
        <w:rPr>
          <w:rFonts w:asciiTheme="minorHAnsi" w:hAnsiTheme="minorHAnsi" w:cstheme="minorHAnsi"/>
        </w:rPr>
        <w:tab/>
      </w:r>
      <w:r w:rsidR="00DC570A" w:rsidRPr="00406CD0">
        <w:rPr>
          <w:rFonts w:asciiTheme="minorHAnsi" w:hAnsiTheme="minorHAnsi" w:cstheme="minorHAnsi"/>
        </w:rPr>
        <w:t>AEMC</w:t>
      </w:r>
      <w:r w:rsidR="00DC570A">
        <w:rPr>
          <w:rFonts w:asciiTheme="minorHAnsi" w:hAnsiTheme="minorHAnsi" w:cstheme="minorHAnsi"/>
        </w:rPr>
        <w:t xml:space="preserve"> (</w:t>
      </w:r>
      <w:r w:rsidR="006C51B0">
        <w:rPr>
          <w:rFonts w:asciiTheme="minorHAnsi" w:hAnsiTheme="minorHAnsi" w:cstheme="minorHAnsi"/>
        </w:rPr>
        <w:t>Australian Energy Market Commission)</w:t>
      </w:r>
      <w:r w:rsidRPr="00406CD0">
        <w:rPr>
          <w:rFonts w:asciiTheme="minorHAnsi" w:hAnsiTheme="minorHAnsi" w:cstheme="minorHAnsi"/>
        </w:rPr>
        <w:t xml:space="preserve">, </w:t>
      </w:r>
      <w:hyperlink r:id="rId147" w:history="1">
        <w:r w:rsidRPr="00B97075">
          <w:rPr>
            <w:rStyle w:val="Hyperlink"/>
            <w:rFonts w:asciiTheme="minorHAnsi" w:hAnsiTheme="minorHAnsi" w:cstheme="minorHAnsi"/>
            <w:i/>
            <w:iCs/>
          </w:rPr>
          <w:t>Regulatory Sandboxes – Advice to COAG Energy Council</w:t>
        </w:r>
        <w:r w:rsidR="00300262" w:rsidRPr="00B97075">
          <w:rPr>
            <w:rStyle w:val="Hyperlink"/>
            <w:rFonts w:asciiTheme="minorHAnsi" w:hAnsiTheme="minorHAnsi" w:cstheme="minorHAnsi"/>
            <w:i/>
            <w:iCs/>
          </w:rPr>
          <w:t xml:space="preserve"> on Rule Drafting</w:t>
        </w:r>
        <w:r w:rsidR="00154E41" w:rsidRPr="00B97075">
          <w:rPr>
            <w:rStyle w:val="Hyperlink"/>
            <w:rFonts w:asciiTheme="minorHAnsi" w:hAnsiTheme="minorHAnsi" w:cstheme="minorHAnsi"/>
          </w:rPr>
          <w:t xml:space="preserve"> [PDF 148KB]</w:t>
        </w:r>
      </w:hyperlink>
      <w:r w:rsidRPr="00406CD0">
        <w:rPr>
          <w:rFonts w:asciiTheme="minorHAnsi" w:hAnsiTheme="minorHAnsi" w:cstheme="minorHAnsi"/>
        </w:rPr>
        <w:t xml:space="preserve">, </w:t>
      </w:r>
      <w:r w:rsidR="00154E41">
        <w:rPr>
          <w:rFonts w:asciiTheme="minorHAnsi" w:hAnsiTheme="minorHAnsi" w:cstheme="minorHAnsi"/>
        </w:rPr>
        <w:t xml:space="preserve">AEMC, </w:t>
      </w:r>
      <w:r w:rsidRPr="00406CD0">
        <w:rPr>
          <w:rFonts w:asciiTheme="minorHAnsi" w:hAnsiTheme="minorHAnsi" w:cstheme="minorHAnsi"/>
        </w:rPr>
        <w:t>26 March 2020</w:t>
      </w:r>
      <w:r w:rsidR="006C51B0">
        <w:rPr>
          <w:rFonts w:asciiTheme="minorHAnsi" w:hAnsiTheme="minorHAnsi" w:cstheme="minorHAnsi"/>
        </w:rPr>
        <w:t xml:space="preserve">, </w:t>
      </w:r>
      <w:r w:rsidR="00154E41">
        <w:rPr>
          <w:rFonts w:asciiTheme="minorHAnsi" w:hAnsiTheme="minorHAnsi" w:cstheme="minorHAnsi"/>
        </w:rPr>
        <w:t>accessed September 2023.</w:t>
      </w:r>
    </w:p>
  </w:endnote>
  <w:endnote w:id="150">
    <w:p w14:paraId="18769BC2" w14:textId="352D03F5"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C62716" w:rsidRPr="004906C5">
        <w:rPr>
          <w:rFonts w:asciiTheme="minorHAnsi" w:hAnsiTheme="minorHAnsi" w:cstheme="minorHAnsi"/>
        </w:rPr>
        <w:t>Department of Education, ‘</w:t>
      </w:r>
      <w:hyperlink r:id="rId148" w:history="1">
        <w:r w:rsidR="00C62716" w:rsidRPr="004906C5">
          <w:rPr>
            <w:rStyle w:val="Hyperlink"/>
            <w:rFonts w:asciiTheme="minorHAnsi" w:hAnsiTheme="minorHAnsi" w:cstheme="minorHAnsi"/>
          </w:rPr>
          <w:t>Universities Accord Interim Report</w:t>
        </w:r>
      </w:hyperlink>
      <w:r w:rsidR="00C62716" w:rsidRPr="004906C5">
        <w:rPr>
          <w:rFonts w:asciiTheme="minorHAnsi" w:hAnsiTheme="minorHAnsi" w:cstheme="minorHAnsi"/>
        </w:rPr>
        <w:t>’,</w:t>
      </w:r>
      <w:r w:rsidR="000F49B7" w:rsidRPr="004906C5">
        <w:rPr>
          <w:rFonts w:asciiTheme="minorHAnsi" w:hAnsiTheme="minorHAnsi" w:cstheme="minorHAnsi"/>
        </w:rPr>
        <w:t xml:space="preserve"> </w:t>
      </w:r>
      <w:r w:rsidR="00C62716" w:rsidRPr="004906C5">
        <w:rPr>
          <w:rFonts w:asciiTheme="minorHAnsi" w:hAnsiTheme="minorHAnsi" w:cstheme="minorHAnsi"/>
        </w:rPr>
        <w:t>Department of Education,</w:t>
      </w:r>
      <w:r w:rsidR="00856ACA">
        <w:rPr>
          <w:rFonts w:asciiTheme="minorHAnsi" w:hAnsiTheme="minorHAnsi" w:cstheme="minorHAnsi"/>
        </w:rPr>
        <w:t xml:space="preserve"> </w:t>
      </w:r>
      <w:r w:rsidR="00856ACA" w:rsidRPr="004906C5">
        <w:rPr>
          <w:rFonts w:asciiTheme="minorHAnsi" w:hAnsiTheme="minorHAnsi" w:cstheme="minorHAnsi"/>
        </w:rPr>
        <w:t>Australian Government</w:t>
      </w:r>
      <w:r w:rsidR="00856ACA">
        <w:rPr>
          <w:rFonts w:asciiTheme="minorHAnsi" w:hAnsiTheme="minorHAnsi" w:cstheme="minorHAnsi"/>
        </w:rPr>
        <w:t>,</w:t>
      </w:r>
      <w:r w:rsidR="00C62716" w:rsidRPr="004906C5">
        <w:rPr>
          <w:rFonts w:asciiTheme="minorHAnsi" w:hAnsiTheme="minorHAnsi" w:cstheme="minorHAnsi"/>
        </w:rPr>
        <w:t xml:space="preserve"> 2023, accessed September 2023.</w:t>
      </w:r>
    </w:p>
  </w:endnote>
  <w:endnote w:id="151">
    <w:p w14:paraId="19421DA6" w14:textId="7ADAF01F"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7A358B" w:rsidRPr="004906C5">
        <w:rPr>
          <w:rFonts w:asciiTheme="minorHAnsi" w:hAnsiTheme="minorHAnsi" w:cstheme="minorHAnsi"/>
        </w:rPr>
        <w:tab/>
      </w:r>
      <w:r w:rsidR="00DC570A" w:rsidRPr="004906C5">
        <w:rPr>
          <w:rFonts w:asciiTheme="minorHAnsi" w:hAnsiTheme="minorHAnsi" w:cstheme="minorHAnsi"/>
        </w:rPr>
        <w:t xml:space="preserve">DESE </w:t>
      </w:r>
      <w:r w:rsidR="00DC570A">
        <w:rPr>
          <w:rFonts w:asciiTheme="minorHAnsi" w:hAnsiTheme="minorHAnsi" w:cstheme="minorHAnsi"/>
        </w:rPr>
        <w:t>(</w:t>
      </w:r>
      <w:r w:rsidR="007A358B" w:rsidRPr="004906C5">
        <w:rPr>
          <w:rFonts w:asciiTheme="minorHAnsi" w:hAnsiTheme="minorHAnsi" w:cstheme="minorHAnsi"/>
        </w:rPr>
        <w:t>Department of Education, Skills and Employment), ‘</w:t>
      </w:r>
      <w:hyperlink r:id="rId149" w:history="1">
        <w:r w:rsidR="007A358B" w:rsidRPr="004906C5">
          <w:rPr>
            <w:rStyle w:val="Hyperlink"/>
            <w:rFonts w:asciiTheme="minorHAnsi" w:hAnsiTheme="minorHAnsi" w:cstheme="minorHAnsi"/>
          </w:rPr>
          <w:t>Vocational Education and Training (VET) Reform Roadmap Draft</w:t>
        </w:r>
      </w:hyperlink>
      <w:r w:rsidR="007A358B" w:rsidRPr="004906C5">
        <w:rPr>
          <w:rFonts w:asciiTheme="minorHAnsi" w:hAnsiTheme="minorHAnsi" w:cstheme="minorHAnsi"/>
        </w:rPr>
        <w:t>’</w:t>
      </w:r>
      <w:r w:rsidR="0097023A">
        <w:rPr>
          <w:rFonts w:asciiTheme="minorHAnsi" w:hAnsiTheme="minorHAnsi" w:cstheme="minorHAnsi"/>
        </w:rPr>
        <w:t>,</w:t>
      </w:r>
      <w:r w:rsidR="000F49B7" w:rsidRPr="004906C5">
        <w:rPr>
          <w:rFonts w:asciiTheme="minorHAnsi" w:hAnsiTheme="minorHAnsi" w:cstheme="minorHAnsi"/>
        </w:rPr>
        <w:t xml:space="preserve"> </w:t>
      </w:r>
      <w:r w:rsidR="007A358B" w:rsidRPr="004906C5">
        <w:rPr>
          <w:rFonts w:asciiTheme="minorHAnsi" w:hAnsiTheme="minorHAnsi" w:cstheme="minorHAnsi"/>
        </w:rPr>
        <w:t>DESE,</w:t>
      </w:r>
      <w:r w:rsidR="00856ACA">
        <w:rPr>
          <w:rFonts w:asciiTheme="minorHAnsi" w:hAnsiTheme="minorHAnsi" w:cstheme="minorHAnsi"/>
        </w:rPr>
        <w:t xml:space="preserve"> </w:t>
      </w:r>
      <w:r w:rsidR="00856ACA" w:rsidRPr="004906C5">
        <w:rPr>
          <w:rFonts w:asciiTheme="minorHAnsi" w:hAnsiTheme="minorHAnsi" w:cstheme="minorHAnsi"/>
        </w:rPr>
        <w:t>Australian Government</w:t>
      </w:r>
      <w:r w:rsidR="00856ACA">
        <w:rPr>
          <w:rFonts w:asciiTheme="minorHAnsi" w:hAnsiTheme="minorHAnsi" w:cstheme="minorHAnsi"/>
        </w:rPr>
        <w:t>,</w:t>
      </w:r>
      <w:r w:rsidR="007A358B" w:rsidRPr="004906C5">
        <w:rPr>
          <w:rFonts w:asciiTheme="minorHAnsi" w:hAnsiTheme="minorHAnsi" w:cstheme="minorHAnsi"/>
        </w:rPr>
        <w:t xml:space="preserve"> 2021, accessed September 2023.</w:t>
      </w:r>
    </w:p>
  </w:endnote>
  <w:endnote w:id="152">
    <w:p w14:paraId="45982004" w14:textId="2F85BFD5" w:rsidR="142F4848" w:rsidRDefault="142F4848" w:rsidP="00DC570A">
      <w:pPr>
        <w:spacing w:line="257" w:lineRule="auto"/>
        <w:ind w:left="709" w:hanging="709"/>
      </w:pPr>
      <w:r w:rsidRPr="00DC570A">
        <w:rPr>
          <w:rStyle w:val="EndnoteReference"/>
          <w:rFonts w:asciiTheme="minorHAnsi" w:hAnsiTheme="minorHAnsi" w:cstheme="minorHAnsi"/>
          <w:sz w:val="20"/>
          <w:szCs w:val="20"/>
          <w:vertAlign w:val="baseline"/>
        </w:rPr>
        <w:endnoteRef/>
      </w:r>
      <w:r w:rsidRPr="00342569">
        <w:rPr>
          <w:sz w:val="20"/>
          <w:szCs w:val="20"/>
        </w:rPr>
        <w:t xml:space="preserve"> </w:t>
      </w:r>
      <w:r w:rsidR="00DC570A">
        <w:tab/>
      </w:r>
      <w:r w:rsidRPr="428B6F87">
        <w:rPr>
          <w:rFonts w:eastAsia="Arial" w:cs="Arial"/>
          <w:sz w:val="20"/>
          <w:szCs w:val="20"/>
        </w:rPr>
        <w:t>Department of Education, ‘</w:t>
      </w:r>
      <w:hyperlink r:id="rId150">
        <w:r w:rsidRPr="428B6F87">
          <w:rPr>
            <w:rStyle w:val="Hyperlink"/>
            <w:rFonts w:eastAsia="Arial" w:cs="Arial"/>
            <w:i/>
            <w:iCs/>
            <w:color w:val="215E9E"/>
            <w:sz w:val="20"/>
            <w:szCs w:val="20"/>
          </w:rPr>
          <w:t>Universities Accord Interim Report</w:t>
        </w:r>
      </w:hyperlink>
      <w:r w:rsidRPr="428B6F87">
        <w:rPr>
          <w:rFonts w:eastAsia="Arial" w:cs="Arial"/>
          <w:sz w:val="20"/>
          <w:szCs w:val="20"/>
        </w:rPr>
        <w:t>’, Department of Education, Australian Government, 19 July 2023, accessed September 2023.</w:t>
      </w:r>
    </w:p>
  </w:endnote>
  <w:endnote w:id="153">
    <w:p w14:paraId="6D4C5D0D" w14:textId="02E00E68" w:rsidR="00D35E02" w:rsidRPr="004906C5" w:rsidRDefault="00FF3420" w:rsidP="00DC570A">
      <w:pPr>
        <w:pStyle w:val="EndnoteText"/>
        <w:spacing w:before="120" w:after="120"/>
        <w:ind w:left="709" w:hanging="709"/>
        <w:rPr>
          <w:rFonts w:asciiTheme="minorHAnsi" w:hAnsiTheme="minorHAnsi" w:cstheme="minorHAnsi"/>
        </w:rPr>
      </w:pPr>
      <w:r w:rsidRPr="00DC570A">
        <w:rPr>
          <w:rStyle w:val="EndnoteReference"/>
          <w:rFonts w:asciiTheme="minorHAnsi" w:hAnsiTheme="minorHAnsi" w:cstheme="minorHAnsi"/>
          <w:vertAlign w:val="baseline"/>
        </w:rPr>
        <w:endnoteRef/>
      </w:r>
      <w:r w:rsidRPr="00DC570A">
        <w:rPr>
          <w:rStyle w:val="EndnoteReference"/>
          <w:rFonts w:asciiTheme="minorHAnsi" w:hAnsiTheme="minorHAnsi" w:cstheme="minorHAnsi"/>
          <w:vertAlign w:val="baseline"/>
        </w:rPr>
        <w:t xml:space="preserve"> </w:t>
      </w:r>
      <w:r w:rsidRPr="00DC570A">
        <w:rPr>
          <w:rFonts w:asciiTheme="minorHAnsi" w:hAnsiTheme="minorHAnsi" w:cstheme="minorHAnsi"/>
        </w:rPr>
        <w:t xml:space="preserve">   </w:t>
      </w:r>
      <w:r w:rsidR="00682F5D" w:rsidRPr="00DC570A">
        <w:rPr>
          <w:rFonts w:asciiTheme="minorHAnsi" w:hAnsiTheme="minorHAnsi" w:cstheme="minorHAnsi"/>
        </w:rPr>
        <w:tab/>
      </w:r>
      <w:r w:rsidR="00280293">
        <w:rPr>
          <w:rFonts w:asciiTheme="minorHAnsi" w:hAnsiTheme="minorHAnsi" w:cstheme="minorHAnsi"/>
        </w:rPr>
        <w:t xml:space="preserve">Productivity Commission, </w:t>
      </w:r>
      <w:hyperlink r:id="rId151" w:history="1">
        <w:r w:rsidR="00280293" w:rsidRPr="00FF54F7">
          <w:rPr>
            <w:rStyle w:val="Hyperlink"/>
            <w:rFonts w:asciiTheme="minorHAnsi" w:hAnsiTheme="minorHAnsi" w:cstheme="minorHAnsi"/>
            <w:i/>
            <w:iCs/>
          </w:rPr>
          <w:t>5-year Productivity Inquiry: A more productive labour market</w:t>
        </w:r>
      </w:hyperlink>
      <w:r w:rsidR="00630FF6">
        <w:rPr>
          <w:rFonts w:asciiTheme="minorHAnsi" w:hAnsiTheme="minorHAnsi" w:cstheme="minorHAnsi"/>
        </w:rPr>
        <w:t>,</w:t>
      </w:r>
      <w:r w:rsidR="00280293" w:rsidRPr="00280293">
        <w:rPr>
          <w:rFonts w:asciiTheme="minorHAnsi" w:hAnsiTheme="minorHAnsi" w:cstheme="minorHAnsi"/>
        </w:rPr>
        <w:t xml:space="preserve"> </w:t>
      </w:r>
      <w:r w:rsidR="00280293">
        <w:rPr>
          <w:rFonts w:asciiTheme="minorHAnsi" w:hAnsiTheme="minorHAnsi" w:cstheme="minorHAnsi"/>
        </w:rPr>
        <w:t>Inquiry</w:t>
      </w:r>
      <w:r w:rsidR="00280293" w:rsidRPr="00280293">
        <w:rPr>
          <w:rFonts w:asciiTheme="minorHAnsi" w:hAnsiTheme="minorHAnsi" w:cstheme="minorHAnsi"/>
        </w:rPr>
        <w:t xml:space="preserve"> report</w:t>
      </w:r>
      <w:r w:rsidR="00EE0E63">
        <w:rPr>
          <w:rFonts w:asciiTheme="minorHAnsi" w:hAnsiTheme="minorHAnsi" w:cstheme="minorHAnsi"/>
        </w:rPr>
        <w:t xml:space="preserve"> </w:t>
      </w:r>
      <w:r w:rsidR="00630FF6">
        <w:rPr>
          <w:rFonts w:asciiTheme="minorHAnsi" w:hAnsiTheme="minorHAnsi" w:cstheme="minorHAnsi"/>
        </w:rPr>
        <w:t>no.100</w:t>
      </w:r>
      <w:r w:rsidR="00280293">
        <w:rPr>
          <w:rFonts w:asciiTheme="minorHAnsi" w:hAnsiTheme="minorHAnsi" w:cstheme="minorHAnsi"/>
        </w:rPr>
        <w:t>,</w:t>
      </w:r>
      <w:r w:rsidR="00630FF6">
        <w:rPr>
          <w:rFonts w:asciiTheme="minorHAnsi" w:hAnsiTheme="minorHAnsi" w:cstheme="minorHAnsi"/>
        </w:rPr>
        <w:t xml:space="preserve"> </w:t>
      </w:r>
      <w:r w:rsidR="00280293">
        <w:rPr>
          <w:rFonts w:asciiTheme="minorHAnsi" w:hAnsiTheme="minorHAnsi" w:cstheme="minorHAnsi"/>
        </w:rPr>
        <w:t>Productivity Commission,</w:t>
      </w:r>
      <w:r w:rsidR="00D9457B">
        <w:rPr>
          <w:rFonts w:asciiTheme="minorHAnsi" w:hAnsiTheme="minorHAnsi" w:cstheme="minorHAnsi"/>
        </w:rPr>
        <w:t xml:space="preserve"> Australian Government,</w:t>
      </w:r>
      <w:r w:rsidR="00D461A6">
        <w:rPr>
          <w:rFonts w:asciiTheme="minorHAnsi" w:hAnsiTheme="minorHAnsi" w:cstheme="minorHAnsi"/>
        </w:rPr>
        <w:t xml:space="preserve"> 2023, </w:t>
      </w:r>
      <w:r w:rsidR="00D461A6" w:rsidRPr="004906C5">
        <w:rPr>
          <w:rFonts w:asciiTheme="minorHAnsi" w:hAnsiTheme="minorHAnsi" w:cstheme="minorHAnsi"/>
        </w:rPr>
        <w:t>accessed September 2023</w:t>
      </w:r>
      <w:r w:rsidR="00D461A6">
        <w:rPr>
          <w:rFonts w:asciiTheme="minorHAnsi" w:hAnsiTheme="minorHAnsi" w:cstheme="minorHAnsi"/>
        </w:rPr>
        <w:t>.</w:t>
      </w:r>
    </w:p>
  </w:endnote>
  <w:endnote w:id="154">
    <w:p w14:paraId="0FF95313" w14:textId="7062CED0" w:rsidR="7AC7DC85" w:rsidRDefault="7AC7DC85" w:rsidP="00DC570A">
      <w:pPr>
        <w:spacing w:line="257" w:lineRule="auto"/>
        <w:ind w:left="709" w:hanging="709"/>
      </w:pPr>
      <w:r w:rsidRPr="00BE1CEC">
        <w:rPr>
          <w:rStyle w:val="EndnoteReference"/>
          <w:rFonts w:asciiTheme="minorHAnsi" w:hAnsiTheme="minorHAnsi" w:cstheme="minorHAnsi"/>
          <w:sz w:val="20"/>
          <w:szCs w:val="20"/>
          <w:vertAlign w:val="baseline"/>
        </w:rPr>
        <w:endnoteRef/>
      </w:r>
      <w:r w:rsidR="5F9E934C">
        <w:t xml:space="preserve"> </w:t>
      </w:r>
      <w:r w:rsidR="00DC570A">
        <w:tab/>
        <w:t>CEDA (</w:t>
      </w:r>
      <w:r w:rsidR="5F9E934C" w:rsidRPr="5F9E934C">
        <w:rPr>
          <w:rFonts w:eastAsia="Arial" w:cs="Arial"/>
          <w:sz w:val="20"/>
          <w:szCs w:val="20"/>
        </w:rPr>
        <w:t>Committee for Economic Development of Australia), ‘</w:t>
      </w:r>
      <w:hyperlink r:id="rId152">
        <w:r w:rsidR="5F9E934C" w:rsidRPr="5F9E934C">
          <w:rPr>
            <w:rStyle w:val="Hyperlink"/>
            <w:rFonts w:eastAsia="Arial" w:cs="Arial"/>
            <w:color w:val="0563C1"/>
            <w:sz w:val="20"/>
            <w:szCs w:val="20"/>
          </w:rPr>
          <w:t>Powering the Transition: The net-zero workforce challenge</w:t>
        </w:r>
      </w:hyperlink>
      <w:r w:rsidR="5F9E934C" w:rsidRPr="5F9E934C">
        <w:rPr>
          <w:rFonts w:eastAsia="Arial" w:cs="Arial"/>
          <w:sz w:val="20"/>
          <w:szCs w:val="20"/>
        </w:rPr>
        <w:t>’, CEDA, 2023, accessed September 2023.</w:t>
      </w:r>
    </w:p>
  </w:endnote>
  <w:endnote w:id="155">
    <w:p w14:paraId="72D56293" w14:textId="4BD532CB" w:rsidR="00BC467A" w:rsidRPr="004906C5" w:rsidRDefault="00BC467A" w:rsidP="00CA11EF">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2F5D">
        <w:rPr>
          <w:rFonts w:asciiTheme="minorHAnsi" w:hAnsiTheme="minorHAnsi" w:cstheme="minorHAnsi"/>
        </w:rPr>
        <w:tab/>
      </w:r>
      <w:r w:rsidR="00FA110E">
        <w:rPr>
          <w:rFonts w:asciiTheme="minorHAnsi" w:hAnsiTheme="minorHAnsi" w:cstheme="minorHAnsi"/>
        </w:rPr>
        <w:t xml:space="preserve">Commonwealth of Australia, </w:t>
      </w:r>
      <w:hyperlink r:id="rId153" w:history="1">
        <w:r w:rsidRPr="00CA11EF">
          <w:rPr>
            <w:rStyle w:val="Hyperlink"/>
            <w:rFonts w:asciiTheme="minorHAnsi" w:hAnsiTheme="minorHAnsi" w:cstheme="minorHAnsi"/>
            <w:i/>
            <w:iCs/>
          </w:rPr>
          <w:t xml:space="preserve">Mutual Recognition Act 1922 </w:t>
        </w:r>
        <w:r w:rsidRPr="00CA11EF">
          <w:rPr>
            <w:rStyle w:val="Hyperlink"/>
            <w:rFonts w:asciiTheme="minorHAnsi" w:hAnsiTheme="minorHAnsi" w:cstheme="minorHAnsi"/>
          </w:rPr>
          <w:t>(Cth) subsection 3A</w:t>
        </w:r>
      </w:hyperlink>
      <w:r w:rsidRPr="004906C5">
        <w:rPr>
          <w:rFonts w:asciiTheme="minorHAnsi" w:hAnsiTheme="minorHAnsi" w:cstheme="minorHAnsi"/>
        </w:rPr>
        <w:t xml:space="preserve">, </w:t>
      </w:r>
      <w:r w:rsidR="002C78B4">
        <w:rPr>
          <w:rFonts w:asciiTheme="minorHAnsi" w:hAnsiTheme="minorHAnsi" w:cstheme="minorHAnsi"/>
        </w:rPr>
        <w:t>Federal Register of Legislation</w:t>
      </w:r>
      <w:r w:rsidR="00E17DC2">
        <w:rPr>
          <w:rFonts w:asciiTheme="minorHAnsi" w:hAnsiTheme="minorHAnsi" w:cstheme="minorHAnsi"/>
        </w:rPr>
        <w:t xml:space="preserve">, </w:t>
      </w:r>
      <w:r w:rsidR="006D7D6B">
        <w:rPr>
          <w:rFonts w:asciiTheme="minorHAnsi" w:hAnsiTheme="minorHAnsi" w:cstheme="minorHAnsi"/>
        </w:rPr>
        <w:t xml:space="preserve">Australian Government, </w:t>
      </w:r>
      <w:r w:rsidRPr="004906C5">
        <w:rPr>
          <w:rFonts w:asciiTheme="minorHAnsi" w:hAnsiTheme="minorHAnsi" w:cstheme="minorHAnsi"/>
        </w:rPr>
        <w:t>accessed September 2023</w:t>
      </w:r>
      <w:r w:rsidR="00CA11EF">
        <w:rPr>
          <w:rFonts w:asciiTheme="minorHAnsi" w:hAnsiTheme="minorHAnsi" w:cstheme="minorHAnsi"/>
        </w:rPr>
        <w:t>.</w:t>
      </w:r>
    </w:p>
  </w:endnote>
  <w:endnote w:id="156">
    <w:p w14:paraId="76F7553A" w14:textId="57C60F8F" w:rsidR="00BC467A" w:rsidRPr="004906C5" w:rsidRDefault="00BC467A" w:rsidP="00682F5D">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Style w:val="EndnoteReference"/>
          <w:rFonts w:asciiTheme="minorHAnsi" w:hAnsiTheme="minorHAnsi" w:cstheme="minorHAnsi"/>
          <w:vertAlign w:val="baseline"/>
        </w:rPr>
        <w:t xml:space="preserve"> </w:t>
      </w:r>
      <w:r w:rsidR="00682F5D">
        <w:rPr>
          <w:rFonts w:asciiTheme="minorHAnsi" w:hAnsiTheme="minorHAnsi" w:cstheme="minorHAnsi"/>
        </w:rPr>
        <w:tab/>
      </w:r>
      <w:r w:rsidR="00871011">
        <w:rPr>
          <w:rFonts w:asciiTheme="minorHAnsi" w:hAnsiTheme="minorHAnsi" w:cstheme="minorHAnsi"/>
        </w:rPr>
        <w:t>DEWR</w:t>
      </w:r>
      <w:r w:rsidRPr="004906C5">
        <w:rPr>
          <w:rFonts w:asciiTheme="minorHAnsi" w:hAnsiTheme="minorHAnsi" w:cstheme="minorHAnsi"/>
        </w:rPr>
        <w:t xml:space="preserve">, </w:t>
      </w:r>
      <w:hyperlink r:id="rId154" w:history="1">
        <w:r w:rsidRPr="001339A2">
          <w:rPr>
            <w:rStyle w:val="Hyperlink"/>
            <w:rFonts w:asciiTheme="minorHAnsi" w:hAnsiTheme="minorHAnsi" w:cstheme="minorHAnsi"/>
            <w:i/>
            <w:iCs/>
          </w:rPr>
          <w:t>Mutual Recognition</w:t>
        </w:r>
      </w:hyperlink>
      <w:r w:rsidR="00FE48BB">
        <w:rPr>
          <w:rFonts w:asciiTheme="minorHAnsi" w:hAnsiTheme="minorHAnsi" w:cstheme="minorHAnsi"/>
        </w:rPr>
        <w:t>,</w:t>
      </w:r>
      <w:r w:rsidR="00B77B38">
        <w:rPr>
          <w:rFonts w:asciiTheme="minorHAnsi" w:hAnsiTheme="minorHAnsi" w:cstheme="minorHAnsi"/>
        </w:rPr>
        <w:t xml:space="preserve"> DEWR website</w:t>
      </w:r>
      <w:r w:rsidR="001D723A">
        <w:rPr>
          <w:rFonts w:asciiTheme="minorHAnsi" w:hAnsiTheme="minorHAnsi" w:cstheme="minorHAnsi"/>
        </w:rPr>
        <w:t>,</w:t>
      </w:r>
      <w:r w:rsidRPr="004906C5">
        <w:rPr>
          <w:rFonts w:asciiTheme="minorHAnsi" w:hAnsiTheme="minorHAnsi" w:cstheme="minorHAnsi"/>
        </w:rPr>
        <w:t xml:space="preserve"> </w:t>
      </w:r>
      <w:r w:rsidR="00F72B6D">
        <w:rPr>
          <w:rFonts w:asciiTheme="minorHAnsi" w:hAnsiTheme="minorHAnsi" w:cstheme="minorHAnsi"/>
        </w:rPr>
        <w:t>Australian Government,</w:t>
      </w:r>
      <w:r w:rsidR="00F72B6D" w:rsidRPr="004906C5">
        <w:rPr>
          <w:rFonts w:asciiTheme="minorHAnsi" w:hAnsiTheme="minorHAnsi" w:cstheme="minorHAnsi"/>
        </w:rPr>
        <w:t xml:space="preserve"> </w:t>
      </w:r>
      <w:r w:rsidR="001339A2">
        <w:rPr>
          <w:rFonts w:asciiTheme="minorHAnsi" w:hAnsiTheme="minorHAnsi" w:cstheme="minorHAnsi"/>
        </w:rPr>
        <w:t xml:space="preserve">9 August </w:t>
      </w:r>
      <w:r w:rsidRPr="004906C5">
        <w:rPr>
          <w:rFonts w:asciiTheme="minorHAnsi" w:hAnsiTheme="minorHAnsi" w:cstheme="minorHAnsi"/>
        </w:rPr>
        <w:t>2022, accessed September 2023</w:t>
      </w:r>
      <w:r w:rsidR="00871011">
        <w:rPr>
          <w:rFonts w:asciiTheme="minorHAnsi" w:hAnsiTheme="minorHAnsi" w:cstheme="minorHAnsi"/>
        </w:rPr>
        <w:t>.</w:t>
      </w:r>
    </w:p>
  </w:endnote>
  <w:endnote w:id="157">
    <w:p w14:paraId="171A5A37" w14:textId="4AD099D7" w:rsidR="00BC467A" w:rsidRPr="004906C5" w:rsidRDefault="00BC467A" w:rsidP="00871011">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Style w:val="EndnoteReference"/>
          <w:rFonts w:asciiTheme="minorHAnsi" w:hAnsiTheme="minorHAnsi" w:cstheme="minorHAnsi"/>
          <w:vertAlign w:val="baseline"/>
        </w:rPr>
        <w:t xml:space="preserve"> </w:t>
      </w:r>
      <w:r w:rsidRPr="004906C5">
        <w:rPr>
          <w:rFonts w:asciiTheme="minorHAnsi" w:hAnsiTheme="minorHAnsi" w:cstheme="minorHAnsi"/>
        </w:rPr>
        <w:t xml:space="preserve"> </w:t>
      </w:r>
      <w:r w:rsidR="00682F5D">
        <w:rPr>
          <w:rFonts w:asciiTheme="minorHAnsi" w:hAnsiTheme="minorHAnsi" w:cstheme="minorHAnsi"/>
        </w:rPr>
        <w:tab/>
      </w:r>
      <w:r w:rsidRPr="004906C5">
        <w:rPr>
          <w:rFonts w:asciiTheme="minorHAnsi" w:hAnsiTheme="minorHAnsi" w:cstheme="minorHAnsi"/>
        </w:rPr>
        <w:t xml:space="preserve">NSW Government, </w:t>
      </w:r>
      <w:hyperlink r:id="rId155" w:history="1">
        <w:r w:rsidRPr="00871011">
          <w:rPr>
            <w:rStyle w:val="Hyperlink"/>
            <w:rFonts w:asciiTheme="minorHAnsi" w:hAnsiTheme="minorHAnsi" w:cstheme="minorHAnsi"/>
            <w:i/>
            <w:iCs/>
          </w:rPr>
          <w:t xml:space="preserve">Automatic </w:t>
        </w:r>
        <w:r w:rsidR="00871011" w:rsidRPr="00871011">
          <w:rPr>
            <w:rStyle w:val="Hyperlink"/>
            <w:rFonts w:asciiTheme="minorHAnsi" w:hAnsiTheme="minorHAnsi" w:cstheme="minorHAnsi"/>
            <w:i/>
            <w:iCs/>
          </w:rPr>
          <w:t>M</w:t>
        </w:r>
        <w:r w:rsidRPr="00871011">
          <w:rPr>
            <w:rStyle w:val="Hyperlink"/>
            <w:rFonts w:asciiTheme="minorHAnsi" w:hAnsiTheme="minorHAnsi" w:cstheme="minorHAnsi"/>
            <w:i/>
            <w:iCs/>
          </w:rPr>
          <w:t xml:space="preserve">utual </w:t>
        </w:r>
        <w:r w:rsidR="00871011" w:rsidRPr="00871011">
          <w:rPr>
            <w:rStyle w:val="Hyperlink"/>
            <w:rFonts w:asciiTheme="minorHAnsi" w:hAnsiTheme="minorHAnsi" w:cstheme="minorHAnsi"/>
            <w:i/>
            <w:iCs/>
          </w:rPr>
          <w:t>R</w:t>
        </w:r>
        <w:r w:rsidRPr="00871011">
          <w:rPr>
            <w:rStyle w:val="Hyperlink"/>
            <w:rFonts w:asciiTheme="minorHAnsi" w:hAnsiTheme="minorHAnsi" w:cstheme="minorHAnsi"/>
            <w:i/>
            <w:iCs/>
          </w:rPr>
          <w:t>ecognition</w:t>
        </w:r>
      </w:hyperlink>
      <w:r w:rsidRPr="004906C5">
        <w:rPr>
          <w:rFonts w:asciiTheme="minorHAnsi" w:hAnsiTheme="minorHAnsi" w:cstheme="minorHAnsi"/>
        </w:rPr>
        <w:t xml:space="preserve">, </w:t>
      </w:r>
      <w:r w:rsidR="007F252B" w:rsidRPr="004906C5">
        <w:rPr>
          <w:rFonts w:asciiTheme="minorHAnsi" w:hAnsiTheme="minorHAnsi" w:cstheme="minorHAnsi"/>
        </w:rPr>
        <w:t xml:space="preserve">NSW Government </w:t>
      </w:r>
      <w:r w:rsidR="007F252B">
        <w:rPr>
          <w:rFonts w:asciiTheme="minorHAnsi" w:hAnsiTheme="minorHAnsi" w:cstheme="minorHAnsi"/>
        </w:rPr>
        <w:t xml:space="preserve">website, </w:t>
      </w:r>
      <w:r w:rsidR="00F26F49">
        <w:rPr>
          <w:rFonts w:asciiTheme="minorHAnsi" w:hAnsiTheme="minorHAnsi" w:cstheme="minorHAnsi"/>
        </w:rPr>
        <w:t xml:space="preserve">1 July </w:t>
      </w:r>
      <w:r w:rsidRPr="004906C5">
        <w:rPr>
          <w:rFonts w:asciiTheme="minorHAnsi" w:hAnsiTheme="minorHAnsi" w:cstheme="minorHAnsi"/>
        </w:rPr>
        <w:t>2023, accessed September 2023</w:t>
      </w:r>
      <w:r w:rsidR="007F252B">
        <w:rPr>
          <w:rFonts w:asciiTheme="minorHAnsi" w:hAnsiTheme="minorHAnsi" w:cstheme="minorHAnsi"/>
        </w:rPr>
        <w:t>.</w:t>
      </w:r>
    </w:p>
  </w:endnote>
  <w:endnote w:id="158">
    <w:p w14:paraId="6903A494" w14:textId="788971DB" w:rsidR="00BC467A" w:rsidRPr="004906C5" w:rsidRDefault="00BC467A" w:rsidP="00CB6487">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2F5D">
        <w:rPr>
          <w:rFonts w:asciiTheme="minorHAnsi" w:hAnsiTheme="minorHAnsi" w:cstheme="minorHAnsi"/>
        </w:rPr>
        <w:tab/>
      </w:r>
      <w:r w:rsidRPr="004906C5">
        <w:rPr>
          <w:rFonts w:asciiTheme="minorHAnsi" w:hAnsiTheme="minorHAnsi" w:cstheme="minorHAnsi"/>
        </w:rPr>
        <w:t xml:space="preserve">ACT Government, </w:t>
      </w:r>
      <w:hyperlink r:id="rId156" w:history="1">
        <w:r w:rsidRPr="00CB6487">
          <w:rPr>
            <w:rStyle w:val="Hyperlink"/>
            <w:rFonts w:asciiTheme="minorHAnsi" w:hAnsiTheme="minorHAnsi" w:cstheme="minorHAnsi"/>
            <w:i/>
            <w:iCs/>
          </w:rPr>
          <w:t xml:space="preserve">Automatic </w:t>
        </w:r>
        <w:r w:rsidR="00871011">
          <w:rPr>
            <w:rStyle w:val="Hyperlink"/>
            <w:rFonts w:asciiTheme="minorHAnsi" w:hAnsiTheme="minorHAnsi" w:cstheme="minorHAnsi"/>
            <w:i/>
            <w:iCs/>
          </w:rPr>
          <w:t>M</w:t>
        </w:r>
        <w:r w:rsidRPr="00CB6487">
          <w:rPr>
            <w:rStyle w:val="Hyperlink"/>
            <w:rFonts w:asciiTheme="minorHAnsi" w:hAnsiTheme="minorHAnsi" w:cstheme="minorHAnsi"/>
            <w:i/>
            <w:iCs/>
          </w:rPr>
          <w:t xml:space="preserve">utual </w:t>
        </w:r>
        <w:r w:rsidR="00871011">
          <w:rPr>
            <w:rStyle w:val="Hyperlink"/>
            <w:rFonts w:asciiTheme="minorHAnsi" w:hAnsiTheme="minorHAnsi" w:cstheme="minorHAnsi"/>
            <w:i/>
            <w:iCs/>
          </w:rPr>
          <w:t>R</w:t>
        </w:r>
        <w:r w:rsidRPr="00CB6487">
          <w:rPr>
            <w:rStyle w:val="Hyperlink"/>
            <w:rFonts w:asciiTheme="minorHAnsi" w:hAnsiTheme="minorHAnsi" w:cstheme="minorHAnsi"/>
            <w:i/>
            <w:iCs/>
          </w:rPr>
          <w:t>ecognition</w:t>
        </w:r>
      </w:hyperlink>
      <w:r w:rsidRPr="004906C5">
        <w:rPr>
          <w:rFonts w:asciiTheme="minorHAnsi" w:hAnsiTheme="minorHAnsi" w:cstheme="minorHAnsi"/>
        </w:rPr>
        <w:t>,</w:t>
      </w:r>
      <w:r w:rsidR="00CB6487">
        <w:rPr>
          <w:rFonts w:asciiTheme="minorHAnsi" w:hAnsiTheme="minorHAnsi" w:cstheme="minorHAnsi"/>
        </w:rPr>
        <w:t xml:space="preserve"> </w:t>
      </w:r>
      <w:r w:rsidR="0010474F">
        <w:rPr>
          <w:rFonts w:asciiTheme="minorHAnsi" w:hAnsiTheme="minorHAnsi" w:cstheme="minorHAnsi"/>
        </w:rPr>
        <w:t xml:space="preserve">Access Canberra, ACT Government website, </w:t>
      </w:r>
      <w:r w:rsidRPr="004906C5">
        <w:rPr>
          <w:rFonts w:asciiTheme="minorHAnsi" w:hAnsiTheme="minorHAnsi" w:cstheme="minorHAnsi"/>
        </w:rPr>
        <w:t>accessed September 2023</w:t>
      </w:r>
      <w:r w:rsidR="00CB6487">
        <w:rPr>
          <w:rFonts w:asciiTheme="minorHAnsi" w:hAnsiTheme="minorHAnsi" w:cstheme="minorHAnsi"/>
        </w:rPr>
        <w:t>.</w:t>
      </w:r>
    </w:p>
  </w:endnote>
  <w:endnote w:id="159">
    <w:p w14:paraId="50B749AF" w14:textId="1560F660" w:rsidR="72EB74C8" w:rsidRDefault="72EB74C8" w:rsidP="003F4731">
      <w:pPr>
        <w:pStyle w:val="EndnoteText"/>
        <w:spacing w:before="120" w:after="120"/>
        <w:ind w:left="709" w:hanging="709"/>
      </w:pPr>
      <w:r w:rsidRPr="00DC570A">
        <w:rPr>
          <w:rStyle w:val="EndnoteReference"/>
          <w:vertAlign w:val="baseline"/>
        </w:rPr>
        <w:endnoteRef/>
      </w:r>
      <w:r w:rsidRPr="00DC570A">
        <w:rPr>
          <w:rStyle w:val="EndnoteReference"/>
          <w:vertAlign w:val="baseline"/>
        </w:rPr>
        <w:t xml:space="preserve"> </w:t>
      </w:r>
      <w:r w:rsidR="00DC570A">
        <w:tab/>
        <w:t>CEC</w:t>
      </w:r>
      <w:r>
        <w:t xml:space="preserve">, </w:t>
      </w:r>
      <w:hyperlink r:id="rId157" w:history="1">
        <w:r w:rsidRPr="00DC570A">
          <w:rPr>
            <w:rStyle w:val="Hyperlink"/>
            <w:rFonts w:eastAsia="Arial" w:cs="Arial"/>
            <w:i/>
            <w:iCs/>
          </w:rPr>
          <w:t>Skilling the Energy Transition</w:t>
        </w:r>
      </w:hyperlink>
      <w:r w:rsidRPr="00DC570A">
        <w:rPr>
          <w:rFonts w:eastAsia="Arial" w:cs="Arial"/>
          <w:i/>
          <w:iCs/>
        </w:rPr>
        <w:t>,</w:t>
      </w:r>
      <w:r w:rsidRPr="00DC570A">
        <w:rPr>
          <w:rFonts w:eastAsia="Arial" w:cs="Arial"/>
        </w:rPr>
        <w:t xml:space="preserve"> C</w:t>
      </w:r>
      <w:r w:rsidR="00DC570A">
        <w:rPr>
          <w:rFonts w:eastAsia="Arial" w:cs="Arial"/>
        </w:rPr>
        <w:t>EC</w:t>
      </w:r>
      <w:r w:rsidRPr="00DC570A">
        <w:rPr>
          <w:rFonts w:eastAsia="Arial" w:cs="Arial"/>
        </w:rPr>
        <w:t>, 25 August 2022</w:t>
      </w:r>
      <w:r w:rsidRPr="72EB74C8">
        <w:rPr>
          <w:rFonts w:eastAsia="Arial" w:cs="Arial"/>
        </w:rPr>
        <w:t>, accessed September 2023.</w:t>
      </w:r>
    </w:p>
  </w:endnote>
  <w:endnote w:id="160">
    <w:p w14:paraId="7EB21D77" w14:textId="78C5AA14" w:rsidR="007C76E1" w:rsidRPr="00DC570A" w:rsidRDefault="007C76E1" w:rsidP="00DC570A">
      <w:pPr>
        <w:spacing w:before="120" w:after="120"/>
        <w:ind w:left="709" w:hanging="709"/>
        <w:rPr>
          <w:rFonts w:cs="Arial"/>
          <w:sz w:val="20"/>
          <w:szCs w:val="20"/>
        </w:rPr>
      </w:pPr>
      <w:r w:rsidRPr="00CC7FBB">
        <w:rPr>
          <w:rStyle w:val="EndnoteReference"/>
          <w:sz w:val="20"/>
          <w:szCs w:val="20"/>
          <w:vertAlign w:val="baseline"/>
        </w:rPr>
        <w:endnoteRef/>
      </w:r>
      <w:r w:rsidRPr="00CC7FBB">
        <w:rPr>
          <w:sz w:val="20"/>
          <w:szCs w:val="20"/>
        </w:rPr>
        <w:t xml:space="preserve"> </w:t>
      </w:r>
      <w:r>
        <w:tab/>
      </w:r>
      <w:r w:rsidR="00DC570A" w:rsidRPr="00605B24">
        <w:rPr>
          <w:rFonts w:cs="Arial"/>
          <w:sz w:val="20"/>
          <w:szCs w:val="20"/>
        </w:rPr>
        <w:t>L O’Dwyer, P Korbe, ‘</w:t>
      </w:r>
      <w:hyperlink r:id="rId158" w:anchor=":~:text=Overall%2C%20completion%20rates%20with%20GTOs,considered%20to%20make%20meaningful%20comparisons." w:history="1">
        <w:r w:rsidR="00DC570A" w:rsidRPr="00605B24">
          <w:rPr>
            <w:rStyle w:val="Hyperlink"/>
            <w:rFonts w:cs="Arial"/>
            <w:sz w:val="20"/>
            <w:szCs w:val="20"/>
          </w:rPr>
          <w:t>Completion rates for group training organisations and direct employers: how do they compare?</w:t>
        </w:r>
      </w:hyperlink>
      <w:r w:rsidR="00DC570A" w:rsidRPr="00605B24">
        <w:rPr>
          <w:rFonts w:cs="Arial"/>
          <w:sz w:val="20"/>
          <w:szCs w:val="20"/>
        </w:rPr>
        <w:t>’, NCVER website, 2019, accessed September 2023.</w:t>
      </w:r>
    </w:p>
  </w:endnote>
  <w:endnote w:id="161">
    <w:p w14:paraId="18781750" w14:textId="55A2F0DA"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DC570A" w:rsidRPr="004906C5">
        <w:rPr>
          <w:rFonts w:asciiTheme="minorHAnsi" w:hAnsiTheme="minorHAnsi" w:cstheme="minorHAnsi"/>
        </w:rPr>
        <w:t xml:space="preserve">PM&amp;C </w:t>
      </w:r>
      <w:r w:rsidR="00DC570A">
        <w:rPr>
          <w:rFonts w:asciiTheme="minorHAnsi" w:hAnsiTheme="minorHAnsi" w:cstheme="minorHAnsi"/>
        </w:rPr>
        <w:t>(</w:t>
      </w:r>
      <w:r w:rsidR="00AD5877" w:rsidRPr="004906C5">
        <w:rPr>
          <w:rFonts w:asciiTheme="minorHAnsi" w:hAnsiTheme="minorHAnsi" w:cstheme="minorHAnsi"/>
        </w:rPr>
        <w:t>Department of the Prime Minister and Cabinet), ‘</w:t>
      </w:r>
      <w:hyperlink r:id="rId159" w:history="1">
        <w:r w:rsidR="00AD5877" w:rsidRPr="004906C5">
          <w:rPr>
            <w:rStyle w:val="Hyperlink"/>
            <w:rFonts w:asciiTheme="minorHAnsi" w:hAnsiTheme="minorHAnsi" w:cstheme="minorHAnsi"/>
          </w:rPr>
          <w:t>Strengthening Skills: expert Review of Australia’s Vocational Education and Training System</w:t>
        </w:r>
      </w:hyperlink>
      <w:r w:rsidR="00AD5877" w:rsidRPr="004906C5">
        <w:rPr>
          <w:rFonts w:asciiTheme="minorHAnsi" w:hAnsiTheme="minorHAnsi" w:cstheme="minorHAnsi"/>
        </w:rPr>
        <w:t>‘,</w:t>
      </w:r>
      <w:r w:rsidR="00FE48BB">
        <w:rPr>
          <w:rFonts w:asciiTheme="minorHAnsi" w:hAnsiTheme="minorHAnsi" w:cstheme="minorHAnsi"/>
        </w:rPr>
        <w:t xml:space="preserve"> </w:t>
      </w:r>
      <w:r w:rsidR="00AD5877" w:rsidRPr="004906C5">
        <w:rPr>
          <w:rFonts w:asciiTheme="minorHAnsi" w:hAnsiTheme="minorHAnsi" w:cstheme="minorHAnsi"/>
        </w:rPr>
        <w:t>PM&amp;C,</w:t>
      </w:r>
      <w:r w:rsidR="003931DD">
        <w:rPr>
          <w:rFonts w:asciiTheme="minorHAnsi" w:hAnsiTheme="minorHAnsi" w:cstheme="minorHAnsi"/>
        </w:rPr>
        <w:t xml:space="preserve"> Australian Government,</w:t>
      </w:r>
      <w:r w:rsidR="00AD5877" w:rsidRPr="004906C5">
        <w:rPr>
          <w:rFonts w:asciiTheme="minorHAnsi" w:hAnsiTheme="minorHAnsi" w:cstheme="minorHAnsi"/>
        </w:rPr>
        <w:t xml:space="preserve"> 2019, accessed August 2023.</w:t>
      </w:r>
    </w:p>
  </w:endnote>
  <w:endnote w:id="162">
    <w:p w14:paraId="43103538" w14:textId="32E7F3B8" w:rsidR="79066BF4" w:rsidRDefault="79066BF4" w:rsidP="00DC570A">
      <w:pPr>
        <w:pStyle w:val="EndnoteText"/>
        <w:spacing w:before="120" w:after="120"/>
        <w:ind w:left="709" w:hanging="709"/>
      </w:pPr>
      <w:r w:rsidRPr="00DC570A">
        <w:rPr>
          <w:rStyle w:val="EndnoteReference"/>
          <w:vertAlign w:val="baseline"/>
        </w:rPr>
        <w:endnoteRef/>
      </w:r>
      <w:r>
        <w:t xml:space="preserve"> </w:t>
      </w:r>
      <w:r w:rsidR="00DC570A">
        <w:tab/>
      </w:r>
      <w:r>
        <w:t>Ai Group, Submission 1, Clean Energy Capacity Study Discussion paper, p 7.</w:t>
      </w:r>
    </w:p>
  </w:endnote>
  <w:endnote w:id="163">
    <w:p w14:paraId="47478A96" w14:textId="384B713C" w:rsidR="0D091BEA" w:rsidRDefault="0D091BEA" w:rsidP="00DC570A">
      <w:pPr>
        <w:spacing w:before="120" w:after="120" w:line="257" w:lineRule="auto"/>
        <w:ind w:left="709" w:hanging="709"/>
      </w:pPr>
      <w:r w:rsidRPr="00DC570A">
        <w:rPr>
          <w:rStyle w:val="EndnoteReference"/>
          <w:sz w:val="20"/>
          <w:szCs w:val="20"/>
          <w:vertAlign w:val="baseline"/>
        </w:rPr>
        <w:endnoteRef/>
      </w:r>
      <w:r w:rsidRPr="00DC570A">
        <w:rPr>
          <w:rStyle w:val="EndnoteReference"/>
          <w:sz w:val="20"/>
          <w:szCs w:val="20"/>
          <w:vertAlign w:val="baseline"/>
        </w:rPr>
        <w:t xml:space="preserve"> </w:t>
      </w:r>
      <w:r w:rsidR="00DC570A">
        <w:rPr>
          <w:sz w:val="20"/>
          <w:szCs w:val="20"/>
        </w:rPr>
        <w:tab/>
      </w:r>
      <w:r w:rsidRPr="0D091BEA">
        <w:rPr>
          <w:rFonts w:eastAsia="Arial" w:cs="Arial"/>
          <w:sz w:val="20"/>
          <w:szCs w:val="20"/>
        </w:rPr>
        <w:t xml:space="preserve">DISR, </w:t>
      </w:r>
      <w:hyperlink r:id="rId160">
        <w:r w:rsidRPr="0D091BEA">
          <w:rPr>
            <w:rStyle w:val="Hyperlink"/>
            <w:rFonts w:eastAsia="Arial" w:cs="Arial"/>
            <w:i/>
            <w:iCs/>
            <w:color w:val="0563C1"/>
            <w:sz w:val="20"/>
            <w:szCs w:val="20"/>
          </w:rPr>
          <w:t>Diversity in STEM Review: draft recommendations</w:t>
        </w:r>
      </w:hyperlink>
      <w:r w:rsidRPr="0D091BEA">
        <w:rPr>
          <w:rFonts w:eastAsia="Arial" w:cs="Arial"/>
          <w:sz w:val="20"/>
          <w:szCs w:val="20"/>
        </w:rPr>
        <w:t>, DISR website, Australian Government, accessed September 2023.</w:t>
      </w:r>
    </w:p>
  </w:endnote>
  <w:endnote w:id="164">
    <w:p w14:paraId="42B5792F" w14:textId="4BA8E613" w:rsidR="3D562964" w:rsidRDefault="3D562964" w:rsidP="00DC570A">
      <w:pPr>
        <w:spacing w:line="257" w:lineRule="auto"/>
        <w:ind w:left="709" w:hanging="709"/>
        <w:rPr>
          <w:rFonts w:eastAsia="Arial" w:cs="Arial"/>
          <w:sz w:val="20"/>
          <w:szCs w:val="20"/>
        </w:rPr>
      </w:pPr>
      <w:r w:rsidRPr="00DC570A">
        <w:rPr>
          <w:rStyle w:val="EndnoteReference"/>
          <w:sz w:val="20"/>
          <w:szCs w:val="20"/>
          <w:vertAlign w:val="baseline"/>
        </w:rPr>
        <w:endnoteRef/>
      </w:r>
      <w:r w:rsidRPr="00DC570A">
        <w:rPr>
          <w:rStyle w:val="EndnoteReference"/>
          <w:sz w:val="20"/>
          <w:szCs w:val="20"/>
          <w:vertAlign w:val="baseline"/>
        </w:rPr>
        <w:t xml:space="preserve"> </w:t>
      </w:r>
      <w:r w:rsidR="00DC570A">
        <w:rPr>
          <w:sz w:val="20"/>
          <w:szCs w:val="20"/>
        </w:rPr>
        <w:tab/>
      </w:r>
      <w:r w:rsidRPr="3D562964">
        <w:rPr>
          <w:rFonts w:eastAsia="Arial" w:cs="Arial"/>
          <w:sz w:val="20"/>
          <w:szCs w:val="20"/>
        </w:rPr>
        <w:t xml:space="preserve">M Tyler, D Dymock, </w:t>
      </w:r>
      <w:hyperlink r:id="rId161" w:history="1">
        <w:r w:rsidRPr="3D562964">
          <w:rPr>
            <w:rFonts w:eastAsia="Arial" w:cs="Arial"/>
            <w:i/>
            <w:iCs/>
            <w:color w:val="0563C1"/>
            <w:sz w:val="20"/>
            <w:szCs w:val="20"/>
            <w:u w:val="single"/>
          </w:rPr>
          <w:t>Attracting industry experts to become VET practitioners: a journey, not a destination</w:t>
        </w:r>
        <w:r w:rsidRPr="3D562964">
          <w:rPr>
            <w:rStyle w:val="Hyperlink"/>
            <w:rFonts w:eastAsia="Arial" w:cs="Arial"/>
            <w:sz w:val="20"/>
            <w:szCs w:val="20"/>
          </w:rPr>
          <w:t xml:space="preserve"> [PDF 1.185MB]</w:t>
        </w:r>
      </w:hyperlink>
      <w:r w:rsidRPr="3D562964">
        <w:rPr>
          <w:rFonts w:eastAsia="Arial" w:cs="Arial"/>
          <w:sz w:val="20"/>
          <w:szCs w:val="20"/>
        </w:rPr>
        <w:t>, NCVER, 2021, p 7, accessed September 2023.</w:t>
      </w:r>
    </w:p>
  </w:endnote>
  <w:endnote w:id="165">
    <w:p w14:paraId="3BB95AFA" w14:textId="43C3C71E" w:rsidR="00B757C7" w:rsidRPr="004906C5" w:rsidRDefault="00B757C7" w:rsidP="00F45ED7">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Style w:val="EndnoteReference"/>
          <w:rFonts w:asciiTheme="minorHAnsi" w:hAnsiTheme="minorHAnsi" w:cstheme="minorHAnsi"/>
          <w:vertAlign w:val="baseline"/>
        </w:rPr>
        <w:t xml:space="preserve"> </w:t>
      </w:r>
      <w:r w:rsidRPr="004906C5">
        <w:rPr>
          <w:rFonts w:asciiTheme="minorHAnsi" w:hAnsiTheme="minorHAnsi" w:cstheme="minorHAnsi"/>
        </w:rPr>
        <w:tab/>
      </w:r>
      <w:r w:rsidR="00F45ED7" w:rsidRPr="004906C5">
        <w:rPr>
          <w:rFonts w:asciiTheme="minorHAnsi" w:hAnsiTheme="minorHAnsi" w:cstheme="minorHAnsi"/>
        </w:rPr>
        <w:t>L Simon</w:t>
      </w:r>
      <w:r w:rsidR="00F45ED7">
        <w:rPr>
          <w:rFonts w:asciiTheme="minorHAnsi" w:hAnsiTheme="minorHAnsi" w:cstheme="minorHAnsi"/>
        </w:rPr>
        <w:t>,</w:t>
      </w:r>
      <w:r w:rsidR="00F45ED7" w:rsidRPr="004906C5">
        <w:rPr>
          <w:rFonts w:asciiTheme="minorHAnsi" w:hAnsiTheme="minorHAnsi" w:cstheme="minorHAnsi"/>
        </w:rPr>
        <w:t xml:space="preserve"> K Clarke</w:t>
      </w:r>
      <w:r w:rsidR="00F45ED7">
        <w:rPr>
          <w:rFonts w:asciiTheme="minorHAnsi" w:hAnsiTheme="minorHAnsi" w:cstheme="minorHAnsi"/>
        </w:rPr>
        <w:t>,</w:t>
      </w:r>
      <w:r w:rsidR="00F45ED7" w:rsidRPr="00F45ED7">
        <w:rPr>
          <w:rFonts w:asciiTheme="minorHAnsi" w:hAnsiTheme="minorHAnsi" w:cstheme="minorHAnsi"/>
          <w:i/>
          <w:iCs/>
        </w:rPr>
        <w:t xml:space="preserve"> </w:t>
      </w:r>
      <w:r w:rsidR="00FA416F">
        <w:rPr>
          <w:rFonts w:asciiTheme="minorHAnsi" w:hAnsiTheme="minorHAnsi" w:cstheme="minorHAnsi"/>
        </w:rPr>
        <w:t>‘</w:t>
      </w:r>
      <w:hyperlink r:id="rId162" w:history="1">
        <w:r w:rsidRPr="00FA416F">
          <w:rPr>
            <w:rStyle w:val="Hyperlink"/>
            <w:rFonts w:asciiTheme="minorHAnsi" w:hAnsiTheme="minorHAnsi" w:cstheme="minorHAnsi"/>
          </w:rPr>
          <w:t>Apprenticeships should work for women too!</w:t>
        </w:r>
      </w:hyperlink>
      <w:r w:rsidR="00FA416F">
        <w:rPr>
          <w:rFonts w:asciiTheme="minorHAnsi" w:hAnsiTheme="minorHAnsi" w:cstheme="minorHAnsi"/>
        </w:rPr>
        <w:t xml:space="preserve">’, </w:t>
      </w:r>
      <w:r w:rsidRPr="00503306">
        <w:rPr>
          <w:rFonts w:asciiTheme="minorHAnsi" w:hAnsiTheme="minorHAnsi" w:cstheme="minorHAnsi"/>
          <w:i/>
          <w:iCs/>
        </w:rPr>
        <w:t>Education</w:t>
      </w:r>
      <w:r w:rsidR="0038475A" w:rsidRPr="00503306">
        <w:rPr>
          <w:rFonts w:asciiTheme="minorHAnsi" w:hAnsiTheme="minorHAnsi" w:cstheme="minorHAnsi"/>
          <w:i/>
          <w:iCs/>
        </w:rPr>
        <w:t xml:space="preserve"> &amp; </w:t>
      </w:r>
      <w:r w:rsidRPr="00503306">
        <w:rPr>
          <w:rFonts w:asciiTheme="minorHAnsi" w:hAnsiTheme="minorHAnsi" w:cstheme="minorHAnsi"/>
          <w:i/>
          <w:iCs/>
        </w:rPr>
        <w:t>Training</w:t>
      </w:r>
      <w:r w:rsidRPr="004906C5">
        <w:rPr>
          <w:rFonts w:asciiTheme="minorHAnsi" w:hAnsiTheme="minorHAnsi" w:cstheme="minorHAnsi"/>
        </w:rPr>
        <w:t>,</w:t>
      </w:r>
      <w:r w:rsidR="000A1EA0">
        <w:rPr>
          <w:rFonts w:asciiTheme="minorHAnsi" w:hAnsiTheme="minorHAnsi" w:cstheme="minorHAnsi"/>
        </w:rPr>
        <w:t xml:space="preserve"> </w:t>
      </w:r>
      <w:r w:rsidR="00BA4997">
        <w:rPr>
          <w:rFonts w:asciiTheme="minorHAnsi" w:hAnsiTheme="minorHAnsi" w:cstheme="minorHAnsi"/>
        </w:rPr>
        <w:t xml:space="preserve">2016, </w:t>
      </w:r>
      <w:r w:rsidRPr="004906C5">
        <w:rPr>
          <w:rFonts w:asciiTheme="minorHAnsi" w:hAnsiTheme="minorHAnsi" w:cstheme="minorHAnsi"/>
        </w:rPr>
        <w:t>58</w:t>
      </w:r>
      <w:r w:rsidR="00F654AC">
        <w:rPr>
          <w:rFonts w:asciiTheme="minorHAnsi" w:hAnsiTheme="minorHAnsi" w:cstheme="minorHAnsi"/>
        </w:rPr>
        <w:t>(</w:t>
      </w:r>
      <w:r w:rsidRPr="004906C5">
        <w:rPr>
          <w:rFonts w:asciiTheme="minorHAnsi" w:hAnsiTheme="minorHAnsi" w:cstheme="minorHAnsi"/>
        </w:rPr>
        <w:t>6</w:t>
      </w:r>
      <w:r w:rsidR="00F654AC">
        <w:rPr>
          <w:rFonts w:asciiTheme="minorHAnsi" w:hAnsiTheme="minorHAnsi" w:cstheme="minorHAnsi"/>
        </w:rPr>
        <w:t>)</w:t>
      </w:r>
      <w:r w:rsidR="00B57CD2">
        <w:rPr>
          <w:rFonts w:asciiTheme="minorHAnsi" w:hAnsiTheme="minorHAnsi" w:cstheme="minorHAnsi"/>
        </w:rPr>
        <w:t xml:space="preserve">: </w:t>
      </w:r>
      <w:r w:rsidRPr="004906C5">
        <w:rPr>
          <w:rFonts w:asciiTheme="minorHAnsi" w:hAnsiTheme="minorHAnsi" w:cstheme="minorHAnsi"/>
        </w:rPr>
        <w:t xml:space="preserve">578 </w:t>
      </w:r>
      <w:r w:rsidR="00B57CD2">
        <w:rPr>
          <w:rFonts w:asciiTheme="minorHAnsi" w:hAnsiTheme="minorHAnsi" w:cstheme="minorHAnsi"/>
        </w:rPr>
        <w:t>–</w:t>
      </w:r>
      <w:r w:rsidRPr="004906C5">
        <w:rPr>
          <w:rFonts w:asciiTheme="minorHAnsi" w:hAnsiTheme="minorHAnsi" w:cstheme="minorHAnsi"/>
        </w:rPr>
        <w:t xml:space="preserve"> 596</w:t>
      </w:r>
      <w:r w:rsidR="00B57CD2">
        <w:rPr>
          <w:rFonts w:asciiTheme="minorHAnsi" w:hAnsiTheme="minorHAnsi" w:cstheme="minorHAnsi"/>
        </w:rPr>
        <w:t>,</w:t>
      </w:r>
      <w:r w:rsidR="00F45ED7">
        <w:rPr>
          <w:rFonts w:asciiTheme="minorHAnsi" w:hAnsiTheme="minorHAnsi" w:cstheme="minorHAnsi"/>
        </w:rPr>
        <w:t xml:space="preserve"> </w:t>
      </w:r>
      <w:r w:rsidR="00F45ED7" w:rsidRPr="00F45ED7">
        <w:rPr>
          <w:rFonts w:asciiTheme="minorHAnsi" w:hAnsiTheme="minorHAnsi" w:cstheme="minorHAnsi"/>
        </w:rPr>
        <w:t>doi:10.1108/ET-01-2016-0013</w:t>
      </w:r>
      <w:r w:rsidR="00F45ED7">
        <w:rPr>
          <w:rFonts w:asciiTheme="minorHAnsi" w:hAnsiTheme="minorHAnsi" w:cstheme="minorHAnsi"/>
        </w:rPr>
        <w:t>.</w:t>
      </w:r>
    </w:p>
  </w:endnote>
  <w:endnote w:id="166">
    <w:p w14:paraId="4F172CB4" w14:textId="6C45ED1C" w:rsidR="00E6256B" w:rsidRPr="004906C5" w:rsidRDefault="00E6256B" w:rsidP="004906C5">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971DE5" w:rsidRPr="004906C5">
        <w:rPr>
          <w:rFonts w:asciiTheme="minorHAnsi" w:hAnsiTheme="minorHAnsi" w:cstheme="minorHAnsi"/>
        </w:rPr>
        <w:tab/>
        <w:t>Jobs Queensland, ‘</w:t>
      </w:r>
      <w:hyperlink r:id="rId163" w:history="1">
        <w:r w:rsidR="00971DE5" w:rsidRPr="004906C5">
          <w:rPr>
            <w:rStyle w:val="Hyperlink"/>
            <w:rFonts w:asciiTheme="minorHAnsi" w:hAnsiTheme="minorHAnsi" w:cstheme="minorHAnsi"/>
          </w:rPr>
          <w:t>Apprenticeship, women and workplace culture: A literature review</w:t>
        </w:r>
      </w:hyperlink>
      <w:r w:rsidR="00971DE5" w:rsidRPr="004906C5">
        <w:rPr>
          <w:rFonts w:asciiTheme="minorHAnsi" w:hAnsiTheme="minorHAnsi" w:cstheme="minorHAnsi"/>
        </w:rPr>
        <w:t xml:space="preserve">’, </w:t>
      </w:r>
      <w:r w:rsidR="00971DE5" w:rsidRPr="004906C5">
        <w:rPr>
          <w:rFonts w:asciiTheme="minorHAnsi" w:eastAsia="Calibri" w:hAnsiTheme="minorHAnsi" w:cstheme="minorHAnsi"/>
        </w:rPr>
        <w:t xml:space="preserve">Jobs Queensland, </w:t>
      </w:r>
      <w:r w:rsidR="002C0484" w:rsidRPr="004906C5">
        <w:rPr>
          <w:rFonts w:asciiTheme="minorHAnsi" w:eastAsia="Calibri" w:hAnsiTheme="minorHAnsi" w:cstheme="minorHAnsi"/>
        </w:rPr>
        <w:t xml:space="preserve">Queensland </w:t>
      </w:r>
      <w:r w:rsidR="002C0484">
        <w:rPr>
          <w:rFonts w:asciiTheme="minorHAnsi" w:eastAsia="Calibri" w:hAnsiTheme="minorHAnsi" w:cstheme="minorHAnsi"/>
        </w:rPr>
        <w:t xml:space="preserve">Government, </w:t>
      </w:r>
      <w:r w:rsidR="00971DE5" w:rsidRPr="004906C5">
        <w:rPr>
          <w:rFonts w:asciiTheme="minorHAnsi" w:eastAsia="Calibri" w:hAnsiTheme="minorHAnsi" w:cstheme="minorHAnsi"/>
        </w:rPr>
        <w:t xml:space="preserve">2021, </w:t>
      </w:r>
      <w:r w:rsidR="00971DE5" w:rsidRPr="004906C5">
        <w:rPr>
          <w:rFonts w:asciiTheme="minorHAnsi" w:hAnsiTheme="minorHAnsi" w:cstheme="minorHAnsi"/>
        </w:rPr>
        <w:t>accessed September 2023.</w:t>
      </w:r>
    </w:p>
  </w:endnote>
  <w:endnote w:id="167">
    <w:p w14:paraId="514B60AF" w14:textId="6CE599AF" w:rsidR="00F86C56" w:rsidRPr="004906C5" w:rsidRDefault="00F86C56" w:rsidP="00AD23E6">
      <w:pPr>
        <w:pStyle w:val="EndnoteText"/>
        <w:spacing w:before="120" w:after="120"/>
        <w:ind w:left="709" w:hanging="709"/>
      </w:pPr>
      <w:r w:rsidRPr="0D0C6639">
        <w:rPr>
          <w:rStyle w:val="EndnoteReference"/>
          <w:rFonts w:asciiTheme="minorHAnsi" w:hAnsiTheme="minorHAnsi"/>
          <w:vertAlign w:val="baseline"/>
        </w:rPr>
        <w:endnoteRef/>
      </w:r>
      <w:r w:rsidR="0D0C6639" w:rsidRPr="0D0C6639">
        <w:rPr>
          <w:rFonts w:asciiTheme="minorHAnsi" w:hAnsiTheme="minorHAnsi"/>
        </w:rPr>
        <w:t xml:space="preserve">  </w:t>
      </w:r>
      <w:r w:rsidR="00AD23E6">
        <w:rPr>
          <w:rFonts w:asciiTheme="minorHAnsi" w:hAnsiTheme="minorHAnsi"/>
        </w:rPr>
        <w:tab/>
      </w:r>
      <w:r w:rsidR="0D0C6639" w:rsidRPr="0D0C6639">
        <w:rPr>
          <w:rFonts w:eastAsia="Arial" w:cs="Arial"/>
        </w:rPr>
        <w:t xml:space="preserve">Australian Senate, </w:t>
      </w:r>
      <w:hyperlink r:id="rId164" w:anchor="search=%22committees/estimate/26913/0000%22">
        <w:r w:rsidR="0D0C6639" w:rsidRPr="0D0C6639">
          <w:rPr>
            <w:rStyle w:val="Hyperlink"/>
            <w:rFonts w:eastAsia="Arial" w:cs="Arial"/>
            <w:i/>
            <w:iCs/>
          </w:rPr>
          <w:t>Education and Employment Legislation Committee, Estimates</w:t>
        </w:r>
        <w:r w:rsidR="0D0C6639" w:rsidRPr="0D0C6639">
          <w:rPr>
            <w:rStyle w:val="Hyperlink"/>
            <w:rFonts w:eastAsia="Arial" w:cs="Arial"/>
            <w:color w:val="0563C1"/>
          </w:rPr>
          <w:t xml:space="preserve"> [PDF 1.242MB]</w:t>
        </w:r>
      </w:hyperlink>
      <w:r w:rsidR="0D0C6639" w:rsidRPr="0D0C6639">
        <w:rPr>
          <w:rFonts w:eastAsia="Arial" w:cs="Arial"/>
        </w:rPr>
        <w:t>, Wednesday 31 May 2023, accessed September 2023.</w:t>
      </w:r>
    </w:p>
  </w:endnote>
  <w:endnote w:id="168">
    <w:p w14:paraId="6296C43E" w14:textId="3D0F8D63" w:rsidR="00156B51" w:rsidRPr="004906C5" w:rsidRDefault="00156B51" w:rsidP="00F654AC">
      <w:pPr>
        <w:pStyle w:val="EndnoteText"/>
        <w:spacing w:before="120" w:after="120"/>
        <w:ind w:left="709" w:hanging="709"/>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00682F5D">
        <w:rPr>
          <w:rFonts w:asciiTheme="minorHAnsi" w:hAnsiTheme="minorHAnsi" w:cstheme="minorHAnsi"/>
        </w:rPr>
        <w:tab/>
      </w:r>
      <w:r w:rsidR="00AD23E6" w:rsidRPr="004906C5">
        <w:rPr>
          <w:rFonts w:asciiTheme="minorHAnsi" w:hAnsiTheme="minorHAnsi" w:cstheme="minorHAnsi"/>
        </w:rPr>
        <w:t>NECA</w:t>
      </w:r>
      <w:r w:rsidR="00AD23E6" w:rsidRPr="00884933">
        <w:rPr>
          <w:rFonts w:asciiTheme="minorHAnsi" w:hAnsiTheme="minorHAnsi" w:cstheme="minorHAnsi"/>
        </w:rPr>
        <w:t xml:space="preserve"> </w:t>
      </w:r>
      <w:r w:rsidR="00AD23E6">
        <w:rPr>
          <w:rFonts w:asciiTheme="minorHAnsi" w:hAnsiTheme="minorHAnsi" w:cstheme="minorHAnsi"/>
        </w:rPr>
        <w:t>(</w:t>
      </w:r>
      <w:r w:rsidR="00884933" w:rsidRPr="00884933">
        <w:rPr>
          <w:rFonts w:asciiTheme="minorHAnsi" w:hAnsiTheme="minorHAnsi" w:cstheme="minorHAnsi"/>
        </w:rPr>
        <w:t>National Electrical and Communications Association</w:t>
      </w:r>
      <w:r w:rsidR="00884933">
        <w:rPr>
          <w:rFonts w:asciiTheme="minorHAnsi" w:hAnsiTheme="minorHAnsi" w:cstheme="minorHAnsi"/>
        </w:rPr>
        <w:t>)</w:t>
      </w:r>
      <w:r w:rsidR="000617B8" w:rsidRPr="004906C5">
        <w:rPr>
          <w:rFonts w:asciiTheme="minorHAnsi" w:hAnsiTheme="minorHAnsi" w:cstheme="minorHAnsi"/>
        </w:rPr>
        <w:t xml:space="preserve">, </w:t>
      </w:r>
      <w:hyperlink r:id="rId165" w:history="1">
        <w:r w:rsidR="000617B8" w:rsidRPr="00F654AC">
          <w:rPr>
            <w:rStyle w:val="Hyperlink"/>
            <w:rFonts w:asciiTheme="minorHAnsi" w:hAnsiTheme="minorHAnsi" w:cstheme="minorHAnsi"/>
            <w:i/>
            <w:iCs/>
          </w:rPr>
          <w:t>S</w:t>
        </w:r>
        <w:r w:rsidR="001B4E59" w:rsidRPr="00F654AC">
          <w:rPr>
            <w:rStyle w:val="Hyperlink"/>
            <w:rFonts w:asciiTheme="minorHAnsi" w:hAnsiTheme="minorHAnsi" w:cstheme="minorHAnsi"/>
            <w:i/>
            <w:iCs/>
          </w:rPr>
          <w:t xml:space="preserve">ee </w:t>
        </w:r>
        <w:r w:rsidR="000617B8" w:rsidRPr="00F654AC">
          <w:rPr>
            <w:rStyle w:val="Hyperlink"/>
            <w:rFonts w:asciiTheme="minorHAnsi" w:hAnsiTheme="minorHAnsi" w:cstheme="minorHAnsi"/>
            <w:i/>
            <w:iCs/>
          </w:rPr>
          <w:t>&amp; B</w:t>
        </w:r>
        <w:r w:rsidR="001B4E59" w:rsidRPr="00F654AC">
          <w:rPr>
            <w:rStyle w:val="Hyperlink"/>
            <w:rFonts w:asciiTheme="minorHAnsi" w:hAnsiTheme="minorHAnsi" w:cstheme="minorHAnsi"/>
            <w:i/>
            <w:iCs/>
          </w:rPr>
          <w:t>e</w:t>
        </w:r>
        <w:r w:rsidR="000617B8" w:rsidRPr="00F654AC">
          <w:rPr>
            <w:rStyle w:val="Hyperlink"/>
            <w:rFonts w:asciiTheme="minorHAnsi" w:hAnsiTheme="minorHAnsi" w:cstheme="minorHAnsi"/>
            <w:i/>
            <w:iCs/>
          </w:rPr>
          <w:t xml:space="preserve"> </w:t>
        </w:r>
        <w:r w:rsidR="00DA4E4F" w:rsidRPr="00F654AC">
          <w:rPr>
            <w:rStyle w:val="Hyperlink"/>
            <w:rFonts w:asciiTheme="minorHAnsi" w:hAnsiTheme="minorHAnsi" w:cstheme="minorHAnsi"/>
            <w:i/>
            <w:iCs/>
          </w:rPr>
          <w:t xml:space="preserve">- </w:t>
        </w:r>
        <w:r w:rsidR="000617B8" w:rsidRPr="00F654AC">
          <w:rPr>
            <w:rStyle w:val="Hyperlink"/>
            <w:rFonts w:asciiTheme="minorHAnsi" w:hAnsiTheme="minorHAnsi" w:cstheme="minorHAnsi"/>
            <w:i/>
            <w:iCs/>
          </w:rPr>
          <w:t xml:space="preserve">Joint Industry Submission: National Strategy to Achieve Gender </w:t>
        </w:r>
        <w:r w:rsidR="00682F5D" w:rsidRPr="00F654AC">
          <w:rPr>
            <w:rStyle w:val="Hyperlink"/>
            <w:rFonts w:asciiTheme="minorHAnsi" w:hAnsiTheme="minorHAnsi" w:cstheme="minorHAnsi"/>
            <w:i/>
            <w:iCs/>
          </w:rPr>
          <w:t>Equality</w:t>
        </w:r>
        <w:r w:rsidR="00B03FB8" w:rsidRPr="00F654AC">
          <w:rPr>
            <w:rStyle w:val="Hyperlink"/>
            <w:rFonts w:asciiTheme="minorHAnsi" w:hAnsiTheme="minorHAnsi" w:cstheme="minorHAnsi"/>
            <w:i/>
            <w:iCs/>
          </w:rPr>
          <w:t xml:space="preserve"> </w:t>
        </w:r>
        <w:r w:rsidR="00B03FB8" w:rsidRPr="00F654AC">
          <w:rPr>
            <w:rStyle w:val="Hyperlink"/>
            <w:rFonts w:asciiTheme="minorHAnsi" w:hAnsiTheme="minorHAnsi" w:cstheme="minorHAnsi"/>
          </w:rPr>
          <w:t>[PDF 3.4MB]</w:t>
        </w:r>
      </w:hyperlink>
      <w:r w:rsidR="00682F5D" w:rsidRPr="004906C5">
        <w:rPr>
          <w:rFonts w:asciiTheme="minorHAnsi" w:hAnsiTheme="minorHAnsi" w:cstheme="minorHAnsi"/>
        </w:rPr>
        <w:t xml:space="preserve">, </w:t>
      </w:r>
      <w:r w:rsidR="00DA4E4F">
        <w:rPr>
          <w:rFonts w:asciiTheme="minorHAnsi" w:hAnsiTheme="minorHAnsi" w:cstheme="minorHAnsi"/>
        </w:rPr>
        <w:t>NECA, 2023, accessed September 2023.</w:t>
      </w:r>
    </w:p>
  </w:endnote>
  <w:endnote w:id="169">
    <w:p w14:paraId="471ADC0B" w14:textId="6D98D70E" w:rsidR="00E6256B" w:rsidRPr="004906C5" w:rsidRDefault="00E6256B"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B4F06" w:rsidRPr="004906C5">
        <w:rPr>
          <w:rFonts w:asciiTheme="minorHAnsi" w:hAnsiTheme="minorHAnsi" w:cstheme="minorHAnsi"/>
        </w:rPr>
        <w:t xml:space="preserve">Department of Education, </w:t>
      </w:r>
      <w:hyperlink r:id="rId166" w:history="1">
        <w:r w:rsidRPr="004906C5">
          <w:rPr>
            <w:rStyle w:val="Hyperlink"/>
            <w:rFonts w:asciiTheme="minorHAnsi" w:hAnsiTheme="minorHAnsi" w:cstheme="minorHAnsi"/>
            <w:i/>
          </w:rPr>
          <w:t>National STEM education resources toolkit</w:t>
        </w:r>
      </w:hyperlink>
      <w:r w:rsidR="002B4F06" w:rsidRPr="004906C5">
        <w:rPr>
          <w:rFonts w:asciiTheme="minorHAnsi" w:hAnsiTheme="minorHAnsi" w:cstheme="minorHAnsi"/>
        </w:rPr>
        <w:t>,</w:t>
      </w:r>
      <w:r w:rsidRPr="004906C5">
        <w:rPr>
          <w:rFonts w:asciiTheme="minorHAnsi" w:hAnsiTheme="minorHAnsi" w:cstheme="minorHAnsi"/>
        </w:rPr>
        <w:t xml:space="preserve"> Department of Education </w:t>
      </w:r>
      <w:r w:rsidR="002B4F06" w:rsidRPr="004906C5">
        <w:rPr>
          <w:rFonts w:asciiTheme="minorHAnsi" w:hAnsiTheme="minorHAnsi" w:cstheme="minorHAnsi"/>
        </w:rPr>
        <w:t>website,</w:t>
      </w:r>
      <w:r w:rsidR="00F92697">
        <w:rPr>
          <w:rFonts w:asciiTheme="minorHAnsi" w:hAnsiTheme="minorHAnsi" w:cstheme="minorHAnsi"/>
        </w:rPr>
        <w:t xml:space="preserve"> </w:t>
      </w:r>
      <w:r w:rsidR="002C0484" w:rsidRPr="004906C5">
        <w:rPr>
          <w:rFonts w:asciiTheme="minorHAnsi" w:hAnsiTheme="minorHAnsi" w:cstheme="minorHAnsi"/>
        </w:rPr>
        <w:t>Australian Government</w:t>
      </w:r>
      <w:r w:rsidR="002C0484">
        <w:rPr>
          <w:rFonts w:asciiTheme="minorHAnsi" w:hAnsiTheme="minorHAnsi" w:cstheme="minorHAnsi"/>
        </w:rPr>
        <w:t>,</w:t>
      </w:r>
      <w:r w:rsidR="002C0484" w:rsidRPr="004906C5">
        <w:rPr>
          <w:rFonts w:asciiTheme="minorHAnsi" w:hAnsiTheme="minorHAnsi" w:cstheme="minorHAnsi"/>
        </w:rPr>
        <w:t xml:space="preserve"> </w:t>
      </w:r>
      <w:r w:rsidR="001B4E59">
        <w:rPr>
          <w:rFonts w:asciiTheme="minorHAnsi" w:hAnsiTheme="minorHAnsi" w:cstheme="minorHAnsi"/>
        </w:rPr>
        <w:t xml:space="preserve">16 August </w:t>
      </w:r>
      <w:r w:rsidR="00F92697">
        <w:rPr>
          <w:rFonts w:asciiTheme="minorHAnsi" w:hAnsiTheme="minorHAnsi" w:cstheme="minorHAnsi"/>
        </w:rPr>
        <w:t>2023,</w:t>
      </w:r>
      <w:r w:rsidR="002B4F06" w:rsidRPr="004906C5">
        <w:rPr>
          <w:rFonts w:asciiTheme="minorHAnsi" w:hAnsiTheme="minorHAnsi" w:cstheme="minorHAnsi"/>
        </w:rPr>
        <w:t xml:space="preserve"> accessed September 2023.</w:t>
      </w:r>
    </w:p>
  </w:endnote>
  <w:endnote w:id="170">
    <w:p w14:paraId="6C7865FD" w14:textId="10C430F4" w:rsidR="00E6256B" w:rsidRPr="004906C5" w:rsidRDefault="00E6256B"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15A79" w:rsidRPr="004906C5">
        <w:rPr>
          <w:rFonts w:asciiTheme="minorHAnsi" w:hAnsiTheme="minorHAnsi" w:cstheme="minorHAnsi"/>
        </w:rPr>
        <w:t xml:space="preserve">C Kutay, E Leigh, JK Prpic and L Ormond-Parker [eds.], </w:t>
      </w:r>
      <w:r w:rsidRPr="004906C5">
        <w:rPr>
          <w:rFonts w:asciiTheme="minorHAnsi" w:hAnsiTheme="minorHAnsi" w:cstheme="minorHAnsi"/>
          <w:i/>
        </w:rPr>
        <w:t>Indigenous Engineering for an Enduring Culture</w:t>
      </w:r>
      <w:r w:rsidR="00715A79" w:rsidRPr="004906C5">
        <w:rPr>
          <w:rFonts w:asciiTheme="minorHAnsi" w:hAnsiTheme="minorHAnsi" w:cstheme="minorHAnsi"/>
          <w:i/>
          <w:iCs/>
        </w:rPr>
        <w:t>,</w:t>
      </w:r>
      <w:r w:rsidR="00715A79" w:rsidRPr="004906C5">
        <w:rPr>
          <w:rFonts w:asciiTheme="minorHAnsi" w:hAnsiTheme="minorHAnsi" w:cstheme="minorHAnsi"/>
        </w:rPr>
        <w:t xml:space="preserve"> Cambridge Scholars Publishing,</w:t>
      </w:r>
      <w:r w:rsidRPr="004906C5">
        <w:rPr>
          <w:rFonts w:asciiTheme="minorHAnsi" w:hAnsiTheme="minorHAnsi" w:cstheme="minorHAnsi"/>
        </w:rPr>
        <w:t xml:space="preserve"> 2022</w:t>
      </w:r>
      <w:r w:rsidR="00715A79" w:rsidRPr="004906C5">
        <w:rPr>
          <w:rFonts w:asciiTheme="minorHAnsi" w:hAnsiTheme="minorHAnsi" w:cstheme="minorHAnsi"/>
        </w:rPr>
        <w:t>.</w:t>
      </w:r>
    </w:p>
  </w:endnote>
  <w:endnote w:id="171">
    <w:p w14:paraId="61ED8C80" w14:textId="345BA977" w:rsidR="00E6256B" w:rsidRPr="004906C5" w:rsidRDefault="00E6256B" w:rsidP="004906C5">
      <w:pPr>
        <w:pStyle w:val="EndnoteText"/>
        <w:tabs>
          <w:tab w:val="left" w:pos="426"/>
        </w:tabs>
        <w:spacing w:before="120" w:after="120"/>
        <w:ind w:left="426" w:hanging="426"/>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2B61D0" w:rsidRPr="004906C5">
        <w:rPr>
          <w:rFonts w:asciiTheme="minorHAnsi" w:hAnsiTheme="minorHAnsi" w:cstheme="minorHAnsi"/>
        </w:rPr>
        <w:t xml:space="preserve">CareerTrackers, </w:t>
      </w:r>
      <w:hyperlink r:id="rId167" w:history="1">
        <w:r w:rsidR="002B61D0" w:rsidRPr="004906C5">
          <w:rPr>
            <w:rStyle w:val="Hyperlink"/>
            <w:rFonts w:asciiTheme="minorHAnsi" w:hAnsiTheme="minorHAnsi" w:cstheme="minorHAnsi"/>
            <w:i/>
            <w:iCs/>
          </w:rPr>
          <w:t>About Us</w:t>
        </w:r>
      </w:hyperlink>
      <w:r w:rsidR="002B61D0" w:rsidRPr="004906C5">
        <w:rPr>
          <w:rFonts w:asciiTheme="minorHAnsi" w:hAnsiTheme="minorHAnsi" w:cstheme="minorHAnsi"/>
        </w:rPr>
        <w:t>, CareerTrackers website, accessed September 2023.</w:t>
      </w:r>
    </w:p>
  </w:endnote>
  <w:endnote w:id="172">
    <w:p w14:paraId="779E11F0" w14:textId="7D1BC274" w:rsidR="40743B63" w:rsidRDefault="40743B63" w:rsidP="00AD23E6">
      <w:pPr>
        <w:spacing w:line="257" w:lineRule="auto"/>
        <w:ind w:left="709" w:hanging="709"/>
      </w:pPr>
      <w:r w:rsidRPr="00AD23E6">
        <w:rPr>
          <w:rFonts w:asciiTheme="minorHAnsi" w:hAnsiTheme="minorHAnsi" w:cstheme="minorHAnsi"/>
          <w:sz w:val="20"/>
          <w:szCs w:val="20"/>
        </w:rPr>
        <w:endnoteRef/>
      </w:r>
      <w:r w:rsidRPr="00AD23E6">
        <w:rPr>
          <w:rFonts w:asciiTheme="minorHAnsi" w:hAnsiTheme="minorHAnsi" w:cstheme="minorHAnsi"/>
          <w:sz w:val="20"/>
          <w:szCs w:val="20"/>
        </w:rPr>
        <w:t xml:space="preserve"> </w:t>
      </w:r>
      <w:r w:rsidR="00AD23E6">
        <w:tab/>
      </w:r>
      <w:r w:rsidRPr="40743B63">
        <w:rPr>
          <w:rFonts w:eastAsia="Arial" w:cs="Arial"/>
          <w:sz w:val="20"/>
          <w:szCs w:val="20"/>
        </w:rPr>
        <w:t>NECA, Submission 24, Clean Energy Capacity Study Discussion paper, p 5.</w:t>
      </w:r>
    </w:p>
  </w:endnote>
  <w:endnote w:id="173">
    <w:p w14:paraId="4A1B3FD9" w14:textId="774CC582" w:rsidR="00E67CA2" w:rsidRPr="004906C5" w:rsidRDefault="00E67CA2" w:rsidP="00C53CBC">
      <w:pPr>
        <w:pStyle w:val="EndnoteText"/>
        <w:spacing w:before="120" w:after="120"/>
        <w:ind w:left="709" w:hanging="709"/>
        <w:rPr>
          <w:rFonts w:asciiTheme="minorHAnsi" w:hAnsiTheme="minorHAnsi" w:cstheme="minorHAnsi"/>
        </w:rPr>
      </w:pPr>
      <w:r w:rsidRPr="00682F5D">
        <w:rPr>
          <w:rStyle w:val="EndnoteReference"/>
          <w:rFonts w:asciiTheme="minorHAnsi" w:hAnsiTheme="minorHAnsi" w:cstheme="minorHAnsi"/>
          <w:vertAlign w:val="baseline"/>
        </w:rPr>
        <w:endnoteRef/>
      </w:r>
      <w:r w:rsidRPr="00682F5D">
        <w:rPr>
          <w:rFonts w:asciiTheme="minorHAnsi" w:hAnsiTheme="minorHAnsi" w:cstheme="minorHAnsi"/>
        </w:rPr>
        <w:t xml:space="preserve"> </w:t>
      </w:r>
      <w:r w:rsidRPr="004906C5">
        <w:rPr>
          <w:rFonts w:asciiTheme="minorHAnsi" w:hAnsiTheme="minorHAnsi" w:cstheme="minorHAnsi"/>
        </w:rPr>
        <w:t xml:space="preserve"> </w:t>
      </w:r>
      <w:r w:rsidR="00682F5D">
        <w:rPr>
          <w:rFonts w:asciiTheme="minorHAnsi" w:hAnsiTheme="minorHAnsi" w:cstheme="minorHAnsi"/>
        </w:rPr>
        <w:tab/>
      </w:r>
      <w:r w:rsidR="00772B7F">
        <w:rPr>
          <w:rFonts w:asciiTheme="minorHAnsi" w:hAnsiTheme="minorHAnsi" w:cstheme="minorHAnsi"/>
        </w:rPr>
        <w:t xml:space="preserve">The </w:t>
      </w:r>
      <w:r w:rsidR="00615FBB">
        <w:rPr>
          <w:rFonts w:asciiTheme="minorHAnsi" w:hAnsiTheme="minorHAnsi" w:cstheme="minorHAnsi"/>
        </w:rPr>
        <w:t xml:space="preserve">Hon </w:t>
      </w:r>
      <w:r w:rsidRPr="004906C5">
        <w:rPr>
          <w:rFonts w:asciiTheme="minorHAnsi" w:hAnsiTheme="minorHAnsi" w:cstheme="minorHAnsi"/>
        </w:rPr>
        <w:t>Minister O’Connor</w:t>
      </w:r>
      <w:r w:rsidR="00615FBB">
        <w:rPr>
          <w:rFonts w:asciiTheme="minorHAnsi" w:hAnsiTheme="minorHAnsi" w:cstheme="minorHAnsi"/>
        </w:rPr>
        <w:t xml:space="preserve"> MP</w:t>
      </w:r>
      <w:r w:rsidRPr="004906C5">
        <w:rPr>
          <w:rFonts w:asciiTheme="minorHAnsi" w:hAnsiTheme="minorHAnsi" w:cstheme="minorHAnsi"/>
        </w:rPr>
        <w:t xml:space="preserve">, </w:t>
      </w:r>
      <w:hyperlink r:id="rId168" w:anchor=":~:text=Ministers%3A-,The%20Hon%20Brendan%20O%27Connor%20MP,particularly%20towards%20male%2Ddominated%20occupations." w:history="1">
        <w:r w:rsidRPr="003E6CE2">
          <w:rPr>
            <w:rStyle w:val="Hyperlink"/>
            <w:rFonts w:asciiTheme="minorHAnsi" w:hAnsiTheme="minorHAnsi" w:cstheme="minorHAnsi"/>
            <w:i/>
            <w:iCs/>
          </w:rPr>
          <w:t>Gender imbalance in workforce contributing to skills shortages</w:t>
        </w:r>
      </w:hyperlink>
      <w:r w:rsidR="00C53CBC">
        <w:rPr>
          <w:rFonts w:asciiTheme="minorHAnsi" w:hAnsiTheme="minorHAnsi" w:cstheme="minorHAnsi"/>
          <w:i/>
          <w:iCs/>
        </w:rPr>
        <w:t xml:space="preserve"> </w:t>
      </w:r>
      <w:r w:rsidR="00C53CBC">
        <w:rPr>
          <w:rFonts w:asciiTheme="minorHAnsi" w:hAnsiTheme="minorHAnsi" w:cstheme="minorHAnsi"/>
        </w:rPr>
        <w:t>[media release]</w:t>
      </w:r>
      <w:r w:rsidRPr="004906C5">
        <w:rPr>
          <w:rFonts w:asciiTheme="minorHAnsi" w:hAnsiTheme="minorHAnsi" w:cstheme="minorHAnsi"/>
        </w:rPr>
        <w:t xml:space="preserve">, </w:t>
      </w:r>
      <w:r w:rsidR="003E6CE2">
        <w:rPr>
          <w:rFonts w:asciiTheme="minorHAnsi" w:hAnsiTheme="minorHAnsi" w:cstheme="minorHAnsi"/>
        </w:rPr>
        <w:t>Minister for Skills and Training,</w:t>
      </w:r>
      <w:r w:rsidR="00C53CBC">
        <w:rPr>
          <w:rFonts w:asciiTheme="minorHAnsi" w:hAnsiTheme="minorHAnsi" w:cstheme="minorHAnsi"/>
        </w:rPr>
        <w:t xml:space="preserve"> </w:t>
      </w:r>
      <w:r w:rsidR="0068190A">
        <w:rPr>
          <w:rFonts w:asciiTheme="minorHAnsi" w:hAnsiTheme="minorHAnsi" w:cstheme="minorHAnsi"/>
        </w:rPr>
        <w:t xml:space="preserve">Australian Government, </w:t>
      </w:r>
      <w:r w:rsidR="009B314E">
        <w:rPr>
          <w:rFonts w:asciiTheme="minorHAnsi" w:hAnsiTheme="minorHAnsi" w:cstheme="minorHAnsi"/>
        </w:rPr>
        <w:t xml:space="preserve">DEWR website, </w:t>
      </w:r>
      <w:r w:rsidRPr="004906C5">
        <w:rPr>
          <w:rFonts w:asciiTheme="minorHAnsi" w:hAnsiTheme="minorHAnsi" w:cstheme="minorHAnsi"/>
        </w:rPr>
        <w:t>6 March 2023</w:t>
      </w:r>
      <w:r w:rsidR="00C53CBC">
        <w:rPr>
          <w:rFonts w:asciiTheme="minorHAnsi" w:hAnsiTheme="minorHAnsi" w:cstheme="minorHAnsi"/>
        </w:rPr>
        <w:t>, accessed September 2023.</w:t>
      </w:r>
    </w:p>
  </w:endnote>
  <w:endnote w:id="174">
    <w:p w14:paraId="0D5C374A" w14:textId="5C94A4C5" w:rsidR="197F9852" w:rsidRPr="004906C5" w:rsidRDefault="197F9852"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0ECE289C" w:rsidRPr="004906C5">
        <w:rPr>
          <w:rFonts w:asciiTheme="minorHAnsi" w:hAnsiTheme="minorHAnsi" w:cstheme="minorHAnsi"/>
        </w:rPr>
        <w:t xml:space="preserve"> </w:t>
      </w:r>
      <w:r w:rsidR="00463D6E" w:rsidRPr="004906C5">
        <w:rPr>
          <w:rFonts w:asciiTheme="minorHAnsi" w:hAnsiTheme="minorHAnsi" w:cstheme="minorHAnsi"/>
        </w:rPr>
        <w:tab/>
      </w:r>
      <w:r w:rsidR="0ECE289C" w:rsidRPr="004906C5">
        <w:rPr>
          <w:rFonts w:asciiTheme="minorHAnsi" w:hAnsiTheme="minorHAnsi" w:cstheme="minorHAnsi"/>
        </w:rPr>
        <w:t xml:space="preserve">Women in Adult Vocational Education, Submission </w:t>
      </w:r>
      <w:r w:rsidR="00463D6E" w:rsidRPr="004906C5">
        <w:rPr>
          <w:rFonts w:asciiTheme="minorHAnsi" w:hAnsiTheme="minorHAnsi" w:cstheme="minorHAnsi"/>
        </w:rPr>
        <w:t>32</w:t>
      </w:r>
      <w:r w:rsidR="0ECE289C" w:rsidRPr="004906C5">
        <w:rPr>
          <w:rFonts w:asciiTheme="minorHAnsi" w:hAnsiTheme="minorHAnsi" w:cstheme="minorHAnsi"/>
        </w:rPr>
        <w:t>, Clean Energy Capacity Study Discussion paper, p</w:t>
      </w:r>
      <w:r w:rsidR="00763CE9">
        <w:rPr>
          <w:rFonts w:asciiTheme="minorHAnsi" w:hAnsiTheme="minorHAnsi" w:cstheme="minorHAnsi"/>
        </w:rPr>
        <w:t xml:space="preserve"> </w:t>
      </w:r>
      <w:r w:rsidR="0ECE289C" w:rsidRPr="004906C5">
        <w:rPr>
          <w:rFonts w:asciiTheme="minorHAnsi" w:hAnsiTheme="minorHAnsi" w:cstheme="minorHAnsi"/>
        </w:rPr>
        <w:t>38</w:t>
      </w:r>
      <w:r w:rsidR="00763CE9">
        <w:rPr>
          <w:rFonts w:asciiTheme="minorHAnsi" w:hAnsiTheme="minorHAnsi" w:cstheme="minorHAnsi"/>
        </w:rPr>
        <w:t>.</w:t>
      </w:r>
    </w:p>
  </w:endnote>
  <w:endnote w:id="175">
    <w:p w14:paraId="115978AD" w14:textId="1D33C69C" w:rsidR="08FB1684" w:rsidRPr="004906C5" w:rsidRDefault="08FB1684" w:rsidP="009266D2">
      <w:pPr>
        <w:pStyle w:val="EndnoteText"/>
        <w:spacing w:before="120" w:after="120"/>
        <w:ind w:left="709" w:hanging="709"/>
        <w:rPr>
          <w:rFonts w:asciiTheme="minorHAnsi" w:hAnsiTheme="minorHAnsi" w:cstheme="minorHAnsi"/>
        </w:rPr>
      </w:pPr>
      <w:r w:rsidRPr="009266D2">
        <w:endnoteRef/>
      </w:r>
      <w:r w:rsidRPr="004906C5">
        <w:rPr>
          <w:rFonts w:asciiTheme="minorHAnsi" w:hAnsiTheme="minorHAnsi" w:cstheme="minorHAnsi"/>
        </w:rPr>
        <w:t xml:space="preserve"> </w:t>
      </w:r>
      <w:r w:rsidR="00682F5D">
        <w:rPr>
          <w:rFonts w:asciiTheme="minorHAnsi" w:hAnsiTheme="minorHAnsi" w:cstheme="minorHAnsi"/>
        </w:rPr>
        <w:tab/>
      </w:r>
      <w:r w:rsidR="00AD23E6">
        <w:rPr>
          <w:rFonts w:asciiTheme="minorHAnsi" w:hAnsiTheme="minorHAnsi" w:cstheme="minorHAnsi"/>
        </w:rPr>
        <w:t>WGEA</w:t>
      </w:r>
      <w:r w:rsidR="00AD23E6" w:rsidRPr="004906C5">
        <w:rPr>
          <w:rFonts w:asciiTheme="minorHAnsi" w:hAnsiTheme="minorHAnsi" w:cstheme="minorHAnsi"/>
        </w:rPr>
        <w:t xml:space="preserve"> </w:t>
      </w:r>
      <w:r w:rsidR="00AD23E6">
        <w:rPr>
          <w:rFonts w:asciiTheme="minorHAnsi" w:hAnsiTheme="minorHAnsi" w:cstheme="minorHAnsi"/>
        </w:rPr>
        <w:t>(</w:t>
      </w:r>
      <w:r w:rsidRPr="004906C5">
        <w:rPr>
          <w:rFonts w:asciiTheme="minorHAnsi" w:hAnsiTheme="minorHAnsi" w:cstheme="minorHAnsi"/>
        </w:rPr>
        <w:t>W</w:t>
      </w:r>
      <w:r w:rsidR="00D64746">
        <w:rPr>
          <w:rFonts w:asciiTheme="minorHAnsi" w:hAnsiTheme="minorHAnsi" w:cstheme="minorHAnsi"/>
        </w:rPr>
        <w:t xml:space="preserve">orkplace </w:t>
      </w:r>
      <w:r w:rsidRPr="004906C5">
        <w:rPr>
          <w:rFonts w:asciiTheme="minorHAnsi" w:hAnsiTheme="minorHAnsi" w:cstheme="minorHAnsi"/>
        </w:rPr>
        <w:t>G</w:t>
      </w:r>
      <w:r w:rsidR="00D64746">
        <w:rPr>
          <w:rFonts w:asciiTheme="minorHAnsi" w:hAnsiTheme="minorHAnsi" w:cstheme="minorHAnsi"/>
        </w:rPr>
        <w:t xml:space="preserve">ender </w:t>
      </w:r>
      <w:r w:rsidRPr="004906C5">
        <w:rPr>
          <w:rFonts w:asciiTheme="minorHAnsi" w:hAnsiTheme="minorHAnsi" w:cstheme="minorHAnsi"/>
        </w:rPr>
        <w:t>E</w:t>
      </w:r>
      <w:r w:rsidR="00D64746">
        <w:rPr>
          <w:rFonts w:asciiTheme="minorHAnsi" w:hAnsiTheme="minorHAnsi" w:cstheme="minorHAnsi"/>
        </w:rPr>
        <w:t xml:space="preserve">quality </w:t>
      </w:r>
      <w:r w:rsidRPr="004906C5">
        <w:rPr>
          <w:rFonts w:asciiTheme="minorHAnsi" w:hAnsiTheme="minorHAnsi" w:cstheme="minorHAnsi"/>
        </w:rPr>
        <w:t>A</w:t>
      </w:r>
      <w:r w:rsidR="00D64746">
        <w:rPr>
          <w:rFonts w:asciiTheme="minorHAnsi" w:hAnsiTheme="minorHAnsi" w:cstheme="minorHAnsi"/>
        </w:rPr>
        <w:t>gency)</w:t>
      </w:r>
      <w:r w:rsidRPr="004906C5">
        <w:rPr>
          <w:rFonts w:asciiTheme="minorHAnsi" w:hAnsiTheme="minorHAnsi" w:cstheme="minorHAnsi"/>
        </w:rPr>
        <w:t xml:space="preserve">, </w:t>
      </w:r>
      <w:r w:rsidR="009266D2">
        <w:rPr>
          <w:rFonts w:asciiTheme="minorHAnsi" w:hAnsiTheme="minorHAnsi" w:cstheme="minorHAnsi"/>
        </w:rPr>
        <w:t>‘</w:t>
      </w:r>
      <w:hyperlink r:id="rId169" w:history="1">
        <w:r w:rsidRPr="009266D2">
          <w:rPr>
            <w:rStyle w:val="Hyperlink"/>
            <w:rFonts w:asciiTheme="minorHAnsi" w:hAnsiTheme="minorHAnsi" w:cstheme="minorHAnsi"/>
          </w:rPr>
          <w:t>WGEA Scorecard 2022: The state of gender equality in Australia</w:t>
        </w:r>
      </w:hyperlink>
      <w:r w:rsidR="009266D2">
        <w:rPr>
          <w:rFonts w:asciiTheme="minorHAnsi" w:hAnsiTheme="minorHAnsi" w:cstheme="minorHAnsi"/>
        </w:rPr>
        <w:t>’</w:t>
      </w:r>
      <w:r w:rsidRPr="004906C5">
        <w:rPr>
          <w:rFonts w:asciiTheme="minorHAnsi" w:hAnsiTheme="minorHAnsi" w:cstheme="minorHAnsi"/>
        </w:rPr>
        <w:t>, WGEA</w:t>
      </w:r>
      <w:r w:rsidR="00D64746">
        <w:rPr>
          <w:rFonts w:asciiTheme="minorHAnsi" w:hAnsiTheme="minorHAnsi" w:cstheme="minorHAnsi"/>
        </w:rPr>
        <w:t xml:space="preserve"> website</w:t>
      </w:r>
      <w:r w:rsidRPr="004906C5">
        <w:rPr>
          <w:rFonts w:asciiTheme="minorHAnsi" w:hAnsiTheme="minorHAnsi" w:cstheme="minorHAnsi"/>
        </w:rPr>
        <w:t xml:space="preserve">, </w:t>
      </w:r>
      <w:r w:rsidR="0068190A">
        <w:rPr>
          <w:rFonts w:asciiTheme="minorHAnsi" w:hAnsiTheme="minorHAnsi" w:cstheme="minorHAnsi"/>
        </w:rPr>
        <w:t xml:space="preserve">Australian Government, </w:t>
      </w:r>
      <w:r w:rsidRPr="004906C5">
        <w:rPr>
          <w:rFonts w:asciiTheme="minorHAnsi" w:hAnsiTheme="minorHAnsi" w:cstheme="minorHAnsi"/>
        </w:rPr>
        <w:t>2022, accesse</w:t>
      </w:r>
      <w:r w:rsidR="00D64746">
        <w:rPr>
          <w:rFonts w:asciiTheme="minorHAnsi" w:hAnsiTheme="minorHAnsi" w:cstheme="minorHAnsi"/>
        </w:rPr>
        <w:t>d</w:t>
      </w:r>
      <w:r w:rsidRPr="004906C5">
        <w:rPr>
          <w:rFonts w:asciiTheme="minorHAnsi" w:hAnsiTheme="minorHAnsi" w:cstheme="minorHAnsi"/>
        </w:rPr>
        <w:t xml:space="preserve"> September 2023.</w:t>
      </w:r>
    </w:p>
  </w:endnote>
  <w:endnote w:id="176">
    <w:p w14:paraId="4C037AB3" w14:textId="645D577A" w:rsidR="08FB1684" w:rsidRPr="004906C5" w:rsidRDefault="08FB1684" w:rsidP="009266D2">
      <w:pPr>
        <w:pStyle w:val="EndnoteText"/>
        <w:spacing w:before="120" w:after="120"/>
        <w:ind w:left="709" w:hanging="709"/>
        <w:rPr>
          <w:rFonts w:asciiTheme="minorHAnsi" w:hAnsiTheme="minorHAnsi" w:cstheme="minorHAnsi"/>
        </w:rPr>
      </w:pPr>
      <w:r w:rsidRPr="009266D2">
        <w:endnoteRef/>
      </w:r>
      <w:r w:rsidRPr="004906C5">
        <w:rPr>
          <w:rFonts w:asciiTheme="minorHAnsi" w:hAnsiTheme="minorHAnsi" w:cstheme="minorHAnsi"/>
        </w:rPr>
        <w:t xml:space="preserve"> </w:t>
      </w:r>
      <w:r w:rsidR="009266D2">
        <w:rPr>
          <w:rFonts w:asciiTheme="minorHAnsi" w:hAnsiTheme="minorHAnsi" w:cstheme="minorHAnsi"/>
        </w:rPr>
        <w:tab/>
        <w:t>WGEA</w:t>
      </w:r>
      <w:r w:rsidR="009266D2" w:rsidRPr="004906C5">
        <w:rPr>
          <w:rFonts w:asciiTheme="minorHAnsi" w:hAnsiTheme="minorHAnsi" w:cstheme="minorHAnsi"/>
        </w:rPr>
        <w:t xml:space="preserve">, </w:t>
      </w:r>
      <w:r w:rsidR="009266D2">
        <w:rPr>
          <w:rFonts w:asciiTheme="minorHAnsi" w:hAnsiTheme="minorHAnsi" w:cstheme="minorHAnsi"/>
        </w:rPr>
        <w:t>‘</w:t>
      </w:r>
      <w:hyperlink r:id="rId170" w:history="1">
        <w:r w:rsidR="009266D2" w:rsidRPr="009266D2">
          <w:rPr>
            <w:rStyle w:val="Hyperlink"/>
            <w:rFonts w:asciiTheme="minorHAnsi" w:hAnsiTheme="minorHAnsi" w:cstheme="minorHAnsi"/>
          </w:rPr>
          <w:t>WGEA Scorecard 2022: The state of gender equality in Australia</w:t>
        </w:r>
      </w:hyperlink>
      <w:r w:rsidR="009266D2">
        <w:rPr>
          <w:rFonts w:asciiTheme="minorHAnsi" w:hAnsiTheme="minorHAnsi" w:cstheme="minorHAnsi"/>
        </w:rPr>
        <w:t xml:space="preserve">’, </w:t>
      </w:r>
      <w:r w:rsidR="009266D2" w:rsidRPr="004906C5">
        <w:rPr>
          <w:rFonts w:asciiTheme="minorHAnsi" w:hAnsiTheme="minorHAnsi" w:cstheme="minorHAnsi"/>
        </w:rPr>
        <w:t>WGEA</w:t>
      </w:r>
      <w:r w:rsidR="009266D2">
        <w:rPr>
          <w:rFonts w:asciiTheme="minorHAnsi" w:hAnsiTheme="minorHAnsi" w:cstheme="minorHAnsi"/>
        </w:rPr>
        <w:t xml:space="preserve"> website</w:t>
      </w:r>
      <w:r w:rsidR="009266D2" w:rsidRPr="004906C5">
        <w:rPr>
          <w:rFonts w:asciiTheme="minorHAnsi" w:hAnsiTheme="minorHAnsi" w:cstheme="minorHAnsi"/>
        </w:rPr>
        <w:t>,</w:t>
      </w:r>
      <w:r w:rsidR="0068190A">
        <w:rPr>
          <w:rFonts w:asciiTheme="minorHAnsi" w:hAnsiTheme="minorHAnsi" w:cstheme="minorHAnsi"/>
        </w:rPr>
        <w:t xml:space="preserve"> Australian Government,</w:t>
      </w:r>
      <w:r w:rsidR="009266D2" w:rsidRPr="004906C5">
        <w:rPr>
          <w:rFonts w:asciiTheme="minorHAnsi" w:hAnsiTheme="minorHAnsi" w:cstheme="minorHAnsi"/>
        </w:rPr>
        <w:t xml:space="preserve"> 2022, accesse</w:t>
      </w:r>
      <w:r w:rsidR="009266D2">
        <w:rPr>
          <w:rFonts w:asciiTheme="minorHAnsi" w:hAnsiTheme="minorHAnsi" w:cstheme="minorHAnsi"/>
        </w:rPr>
        <w:t>d</w:t>
      </w:r>
      <w:r w:rsidR="009266D2" w:rsidRPr="004906C5">
        <w:rPr>
          <w:rFonts w:asciiTheme="minorHAnsi" w:hAnsiTheme="minorHAnsi" w:cstheme="minorHAnsi"/>
        </w:rPr>
        <w:t xml:space="preserve"> September 2023.</w:t>
      </w:r>
    </w:p>
  </w:endnote>
  <w:endnote w:id="177">
    <w:p w14:paraId="220FB210" w14:textId="6EF51D4F" w:rsidR="00E13239" w:rsidRPr="004906C5" w:rsidRDefault="00E13239"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82743A" w:rsidRPr="004906C5">
        <w:rPr>
          <w:rFonts w:asciiTheme="minorHAnsi" w:hAnsiTheme="minorHAnsi" w:cstheme="minorHAnsi"/>
        </w:rPr>
        <w:t>Engineers Australia, ‘</w:t>
      </w:r>
      <w:hyperlink r:id="rId171" w:history="1">
        <w:r w:rsidR="0082743A" w:rsidRPr="004906C5">
          <w:rPr>
            <w:rStyle w:val="Hyperlink"/>
            <w:rFonts w:asciiTheme="minorHAnsi" w:hAnsiTheme="minorHAnsi" w:cstheme="minorHAnsi"/>
          </w:rPr>
          <w:t>Women in Engineering</w:t>
        </w:r>
      </w:hyperlink>
      <w:r w:rsidR="0082743A" w:rsidRPr="004906C5">
        <w:rPr>
          <w:rFonts w:asciiTheme="minorHAnsi" w:hAnsiTheme="minorHAnsi" w:cstheme="minorHAnsi"/>
        </w:rPr>
        <w:t>’, Engineers Australia, 2022, accessed September 2023.</w:t>
      </w:r>
    </w:p>
  </w:endnote>
  <w:endnote w:id="178">
    <w:p w14:paraId="6F4301CF" w14:textId="354321D7" w:rsidR="55839EB0" w:rsidRPr="00AD23E6" w:rsidRDefault="55839EB0" w:rsidP="00AD23E6">
      <w:pPr>
        <w:spacing w:before="120" w:after="120"/>
        <w:ind w:left="709" w:hanging="709"/>
        <w:rPr>
          <w:rFonts w:cs="Arial"/>
          <w:sz w:val="20"/>
          <w:szCs w:val="20"/>
        </w:rPr>
      </w:pPr>
      <w:r w:rsidRPr="00CC7FBB">
        <w:rPr>
          <w:rFonts w:asciiTheme="minorHAnsi" w:hAnsiTheme="minorHAnsi" w:cstheme="minorHAnsi"/>
          <w:sz w:val="20"/>
          <w:szCs w:val="20"/>
        </w:rPr>
        <w:endnoteRef/>
      </w:r>
      <w:r w:rsidRPr="00342569">
        <w:rPr>
          <w:rFonts w:asciiTheme="minorHAnsi" w:hAnsiTheme="minorHAnsi" w:cstheme="minorHAnsi"/>
          <w:sz w:val="20"/>
          <w:szCs w:val="20"/>
        </w:rPr>
        <w:t xml:space="preserve"> </w:t>
      </w:r>
      <w:r w:rsidRPr="004906C5">
        <w:rPr>
          <w:rFonts w:asciiTheme="minorHAnsi" w:hAnsiTheme="minorHAnsi" w:cstheme="minorHAnsi"/>
        </w:rPr>
        <w:t xml:space="preserve">  </w:t>
      </w:r>
      <w:r w:rsidR="008B04EC" w:rsidRPr="004906C5">
        <w:rPr>
          <w:rFonts w:asciiTheme="minorHAnsi" w:hAnsiTheme="minorHAnsi" w:cstheme="minorHAnsi"/>
        </w:rPr>
        <w:tab/>
      </w:r>
      <w:r w:rsidR="00AD23E6" w:rsidRPr="00605B24">
        <w:rPr>
          <w:rFonts w:cs="Arial"/>
          <w:sz w:val="20"/>
          <w:szCs w:val="20"/>
        </w:rPr>
        <w:t xml:space="preserve">Professionals Australia, </w:t>
      </w:r>
      <w:hyperlink r:id="rId172" w:history="1">
        <w:r w:rsidR="00AD23E6" w:rsidRPr="00605B24">
          <w:rPr>
            <w:rStyle w:val="Hyperlink"/>
            <w:rFonts w:cs="Arial"/>
            <w:i/>
            <w:iCs/>
            <w:sz w:val="20"/>
            <w:szCs w:val="20"/>
          </w:rPr>
          <w:t>Women in Engineering: realising productivity and innovation through diversity</w:t>
        </w:r>
        <w:r w:rsidR="00AD23E6" w:rsidRPr="00605B24">
          <w:rPr>
            <w:rStyle w:val="Hyperlink"/>
            <w:rFonts w:cs="Arial"/>
            <w:sz w:val="20"/>
            <w:szCs w:val="20"/>
          </w:rPr>
          <w:t xml:space="preserve"> [PDF 1.454MB]</w:t>
        </w:r>
      </w:hyperlink>
      <w:r w:rsidR="00AD23E6" w:rsidRPr="00605B24">
        <w:rPr>
          <w:rFonts w:cs="Arial"/>
          <w:sz w:val="20"/>
          <w:szCs w:val="20"/>
        </w:rPr>
        <w:t>, Professionals Australia, 2017, Australian Gender Equality Council website, accessed September 2023.</w:t>
      </w:r>
    </w:p>
  </w:endnote>
  <w:endnote w:id="179">
    <w:p w14:paraId="4F2EDB0A" w14:textId="54FF785E"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10560">
        <w:rPr>
          <w:rFonts w:asciiTheme="minorHAnsi" w:hAnsiTheme="minorHAnsi" w:cstheme="minorHAnsi"/>
        </w:rPr>
        <w:t>CEC</w:t>
      </w:r>
      <w:r w:rsidRPr="004906C5">
        <w:rPr>
          <w:rFonts w:asciiTheme="minorHAnsi" w:hAnsiTheme="minorHAnsi" w:cstheme="minorHAnsi"/>
        </w:rPr>
        <w:t xml:space="preserve"> and Australian Hydrogen Council, Submission </w:t>
      </w:r>
      <w:r w:rsidR="005F3747" w:rsidRPr="004906C5">
        <w:rPr>
          <w:rFonts w:asciiTheme="minorHAnsi" w:hAnsiTheme="minorHAnsi" w:cstheme="minorHAnsi"/>
        </w:rPr>
        <w:t>13</w:t>
      </w:r>
      <w:r w:rsidRPr="004906C5">
        <w:rPr>
          <w:rFonts w:asciiTheme="minorHAnsi" w:hAnsiTheme="minorHAnsi" w:cstheme="minorHAnsi"/>
        </w:rPr>
        <w:t>, Clean Energy Capacity Study Discussion paper p</w:t>
      </w:r>
      <w:r w:rsidR="00C02ED8">
        <w:rPr>
          <w:rFonts w:asciiTheme="minorHAnsi" w:hAnsiTheme="minorHAnsi" w:cstheme="minorHAnsi"/>
        </w:rPr>
        <w:t>p</w:t>
      </w:r>
      <w:r w:rsidRPr="004906C5">
        <w:rPr>
          <w:rFonts w:asciiTheme="minorHAnsi" w:hAnsiTheme="minorHAnsi" w:cstheme="minorHAnsi"/>
        </w:rPr>
        <w:t xml:space="preserve"> 5</w:t>
      </w:r>
      <w:r w:rsidR="00C02ED8">
        <w:rPr>
          <w:rFonts w:asciiTheme="minorHAnsi" w:hAnsiTheme="minorHAnsi" w:cstheme="minorHAnsi"/>
        </w:rPr>
        <w:t>-6.</w:t>
      </w:r>
    </w:p>
  </w:endnote>
  <w:endnote w:id="180">
    <w:p w14:paraId="5395F68F" w14:textId="6CB85495"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sidRPr="00605B24">
        <w:rPr>
          <w:rFonts w:cs="Arial"/>
        </w:rPr>
        <w:t xml:space="preserve">Professionals Australia, </w:t>
      </w:r>
      <w:hyperlink r:id="rId173" w:history="1">
        <w:r w:rsidR="00AD23E6" w:rsidRPr="00605B24">
          <w:rPr>
            <w:rStyle w:val="Hyperlink"/>
            <w:rFonts w:cs="Arial"/>
            <w:i/>
            <w:iCs/>
          </w:rPr>
          <w:t>Women in Engineering: realising productivity and innovation through diversity</w:t>
        </w:r>
        <w:r w:rsidR="00AD23E6" w:rsidRPr="00605B24">
          <w:rPr>
            <w:rStyle w:val="Hyperlink"/>
            <w:rFonts w:cs="Arial"/>
          </w:rPr>
          <w:t xml:space="preserve"> [PDF 1.454MB]</w:t>
        </w:r>
      </w:hyperlink>
      <w:r w:rsidR="00AD23E6" w:rsidRPr="00605B24">
        <w:rPr>
          <w:rFonts w:cs="Arial"/>
        </w:rPr>
        <w:t>, Professionals Australia, 2017, Australian Gender Equality Council website, accessed September 2023.</w:t>
      </w:r>
    </w:p>
  </w:endnote>
  <w:endnote w:id="181">
    <w:p w14:paraId="6E262C52" w14:textId="07864FEE"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4196D">
        <w:rPr>
          <w:rFonts w:asciiTheme="minorHAnsi" w:hAnsiTheme="minorHAnsi" w:cstheme="minorHAnsi"/>
        </w:rPr>
        <w:t>EEC</w:t>
      </w:r>
      <w:r w:rsidRPr="004906C5">
        <w:rPr>
          <w:rFonts w:asciiTheme="minorHAnsi" w:hAnsiTheme="minorHAnsi" w:cstheme="minorHAnsi"/>
        </w:rPr>
        <w:t xml:space="preserve">, Submission </w:t>
      </w:r>
      <w:r w:rsidR="00971111" w:rsidRPr="004906C5">
        <w:rPr>
          <w:rFonts w:asciiTheme="minorHAnsi" w:hAnsiTheme="minorHAnsi" w:cstheme="minorHAnsi"/>
        </w:rPr>
        <w:t>13</w:t>
      </w:r>
      <w:r w:rsidRPr="004906C5">
        <w:rPr>
          <w:rFonts w:asciiTheme="minorHAnsi" w:hAnsiTheme="minorHAnsi" w:cstheme="minorHAnsi"/>
        </w:rPr>
        <w:t xml:space="preserve">, Clean Energy Capacity Study Discussion paper, </w:t>
      </w:r>
      <w:r w:rsidR="00C6185A" w:rsidRPr="004906C5">
        <w:rPr>
          <w:rFonts w:asciiTheme="minorHAnsi" w:hAnsiTheme="minorHAnsi" w:cstheme="minorHAnsi"/>
        </w:rPr>
        <w:br/>
      </w:r>
      <w:r w:rsidRPr="004906C5">
        <w:rPr>
          <w:rFonts w:asciiTheme="minorHAnsi" w:hAnsiTheme="minorHAnsi" w:cstheme="minorHAnsi"/>
        </w:rPr>
        <w:t>p 3.</w:t>
      </w:r>
    </w:p>
  </w:endnote>
  <w:endnote w:id="182">
    <w:p w14:paraId="1340A0A8" w14:textId="77777777"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2B6041">
        <w:rPr>
          <w:rFonts w:asciiTheme="minorHAnsi" w:hAnsiTheme="minorHAnsi" w:cstheme="minorHAnsi"/>
        </w:rPr>
        <w:tab/>
      </w:r>
      <w:r w:rsidR="00CA25EC" w:rsidRPr="004906C5">
        <w:rPr>
          <w:rFonts w:asciiTheme="minorHAnsi" w:hAnsiTheme="minorHAnsi" w:cstheme="minorHAnsi"/>
        </w:rPr>
        <w:t>Australian Human Rights Commission</w:t>
      </w:r>
      <w:r w:rsidR="00CA25EC">
        <w:rPr>
          <w:rFonts w:asciiTheme="minorHAnsi" w:hAnsiTheme="minorHAnsi" w:cstheme="minorHAnsi"/>
        </w:rPr>
        <w:t>,</w:t>
      </w:r>
      <w:r w:rsidR="00CA25EC" w:rsidRPr="004906C5">
        <w:rPr>
          <w:rFonts w:asciiTheme="minorHAnsi" w:hAnsiTheme="minorHAnsi" w:cstheme="minorHAnsi"/>
        </w:rPr>
        <w:t xml:space="preserve"> </w:t>
      </w:r>
      <w:r w:rsidR="00BA0074">
        <w:rPr>
          <w:rFonts w:asciiTheme="minorHAnsi" w:hAnsiTheme="minorHAnsi" w:cstheme="minorHAnsi"/>
        </w:rPr>
        <w:t>‘</w:t>
      </w:r>
      <w:hyperlink r:id="rId174" w:history="1">
        <w:r w:rsidRPr="002B6041">
          <w:rPr>
            <w:rStyle w:val="Hyperlink"/>
            <w:rFonts w:asciiTheme="minorHAnsi" w:hAnsiTheme="minorHAnsi" w:cstheme="minorHAnsi"/>
          </w:rPr>
          <w:t>Time for respect: Fifth national survey on sexual harassment in Australian workplaces</w:t>
        </w:r>
      </w:hyperlink>
      <w:r w:rsidR="00BA0074">
        <w:rPr>
          <w:rFonts w:asciiTheme="minorHAnsi" w:hAnsiTheme="minorHAnsi" w:cstheme="minorHAnsi"/>
        </w:rPr>
        <w:t>’,</w:t>
      </w:r>
      <w:r w:rsidRPr="004906C5">
        <w:rPr>
          <w:rFonts w:asciiTheme="minorHAnsi" w:hAnsiTheme="minorHAnsi" w:cstheme="minorHAnsi"/>
        </w:rPr>
        <w:t xml:space="preserve"> Australian Human Rights Commission </w:t>
      </w:r>
      <w:r w:rsidR="00BA0074">
        <w:rPr>
          <w:rFonts w:asciiTheme="minorHAnsi" w:hAnsiTheme="minorHAnsi" w:cstheme="minorHAnsi"/>
        </w:rPr>
        <w:t xml:space="preserve">website, </w:t>
      </w:r>
      <w:r w:rsidRPr="004906C5">
        <w:rPr>
          <w:rFonts w:asciiTheme="minorHAnsi" w:hAnsiTheme="minorHAnsi" w:cstheme="minorHAnsi"/>
        </w:rPr>
        <w:t>2022</w:t>
      </w:r>
      <w:r w:rsidR="00BA0074">
        <w:rPr>
          <w:rFonts w:asciiTheme="minorHAnsi" w:hAnsiTheme="minorHAnsi" w:cstheme="minorHAnsi"/>
        </w:rPr>
        <w:t>, accessed September 2023.</w:t>
      </w:r>
    </w:p>
  </w:endnote>
  <w:endnote w:id="183">
    <w:p w14:paraId="315FFA5D" w14:textId="77777777" w:rsidR="6BAE9FBC" w:rsidRPr="004906C5" w:rsidRDefault="6BAE9FBC" w:rsidP="002B6041">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2B6041">
        <w:rPr>
          <w:rFonts w:asciiTheme="minorHAnsi" w:hAnsiTheme="minorHAnsi" w:cstheme="minorHAnsi"/>
        </w:rPr>
        <w:tab/>
      </w:r>
      <w:r w:rsidR="002B6041" w:rsidRPr="004906C5">
        <w:rPr>
          <w:rFonts w:asciiTheme="minorHAnsi" w:hAnsiTheme="minorHAnsi" w:cstheme="minorHAnsi"/>
        </w:rPr>
        <w:t>Australian Human Rights Commission</w:t>
      </w:r>
      <w:r w:rsidR="002B6041">
        <w:rPr>
          <w:rFonts w:asciiTheme="minorHAnsi" w:hAnsiTheme="minorHAnsi" w:cstheme="minorHAnsi"/>
        </w:rPr>
        <w:t>,</w:t>
      </w:r>
      <w:r w:rsidR="002B6041" w:rsidRPr="004906C5">
        <w:rPr>
          <w:rFonts w:asciiTheme="minorHAnsi" w:hAnsiTheme="minorHAnsi" w:cstheme="minorHAnsi"/>
        </w:rPr>
        <w:t xml:space="preserve"> </w:t>
      </w:r>
      <w:r w:rsidR="002B6041">
        <w:rPr>
          <w:rFonts w:asciiTheme="minorHAnsi" w:hAnsiTheme="minorHAnsi" w:cstheme="minorHAnsi"/>
        </w:rPr>
        <w:t>‘</w:t>
      </w:r>
      <w:hyperlink r:id="rId175" w:history="1">
        <w:r w:rsidR="002B6041" w:rsidRPr="002B6041">
          <w:rPr>
            <w:rStyle w:val="Hyperlink"/>
            <w:rFonts w:asciiTheme="minorHAnsi" w:hAnsiTheme="minorHAnsi" w:cstheme="minorHAnsi"/>
          </w:rPr>
          <w:t>Time for respect: Fifth national survey on sexual harassment in Australian workplaces</w:t>
        </w:r>
      </w:hyperlink>
      <w:r w:rsidR="002B6041">
        <w:rPr>
          <w:rFonts w:asciiTheme="minorHAnsi" w:hAnsiTheme="minorHAnsi" w:cstheme="minorHAnsi"/>
        </w:rPr>
        <w:t>’,</w:t>
      </w:r>
      <w:r w:rsidR="002B6041" w:rsidRPr="004906C5">
        <w:rPr>
          <w:rFonts w:asciiTheme="minorHAnsi" w:hAnsiTheme="minorHAnsi" w:cstheme="minorHAnsi"/>
        </w:rPr>
        <w:t xml:space="preserve"> Australian Human Rights Commission </w:t>
      </w:r>
      <w:r w:rsidR="002B6041">
        <w:rPr>
          <w:rFonts w:asciiTheme="minorHAnsi" w:hAnsiTheme="minorHAnsi" w:cstheme="minorHAnsi"/>
        </w:rPr>
        <w:t xml:space="preserve">website, </w:t>
      </w:r>
      <w:r w:rsidR="002B6041" w:rsidRPr="004906C5">
        <w:rPr>
          <w:rFonts w:asciiTheme="minorHAnsi" w:hAnsiTheme="minorHAnsi" w:cstheme="minorHAnsi"/>
        </w:rPr>
        <w:t>2022</w:t>
      </w:r>
      <w:r w:rsidR="002B6041">
        <w:rPr>
          <w:rFonts w:asciiTheme="minorHAnsi" w:hAnsiTheme="minorHAnsi" w:cstheme="minorHAnsi"/>
        </w:rPr>
        <w:t>, accessed September 2023.</w:t>
      </w:r>
    </w:p>
  </w:endnote>
  <w:endnote w:id="184">
    <w:p w14:paraId="00D53339" w14:textId="02E0081D" w:rsidR="299F47D1" w:rsidRPr="004906C5" w:rsidRDefault="299F47D1" w:rsidP="00912888">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57CECDF6" w:rsidRPr="004906C5">
        <w:rPr>
          <w:rFonts w:asciiTheme="minorHAnsi" w:hAnsiTheme="minorHAnsi" w:cstheme="minorHAnsi"/>
        </w:rPr>
        <w:t xml:space="preserve"> </w:t>
      </w:r>
      <w:r w:rsidR="00912888">
        <w:rPr>
          <w:rFonts w:asciiTheme="minorHAnsi" w:hAnsiTheme="minorHAnsi" w:cstheme="minorHAnsi"/>
        </w:rPr>
        <w:tab/>
      </w:r>
      <w:r w:rsidR="57CECDF6" w:rsidRPr="004906C5">
        <w:rPr>
          <w:rFonts w:asciiTheme="minorHAnsi" w:hAnsiTheme="minorHAnsi" w:cstheme="minorHAnsi"/>
        </w:rPr>
        <w:t xml:space="preserve">Respect at Work, </w:t>
      </w:r>
      <w:hyperlink r:id="rId176" w:history="1">
        <w:r w:rsidR="57CECDF6" w:rsidRPr="00941BC7">
          <w:rPr>
            <w:rStyle w:val="Hyperlink"/>
            <w:rFonts w:asciiTheme="minorHAnsi" w:hAnsiTheme="minorHAnsi" w:cstheme="minorHAnsi"/>
            <w:i/>
            <w:iCs/>
          </w:rPr>
          <w:t>What Causes Workplace Sexual Harassment</w:t>
        </w:r>
        <w:r w:rsidR="00B76534" w:rsidRPr="00941BC7">
          <w:rPr>
            <w:rStyle w:val="Hyperlink"/>
            <w:rFonts w:asciiTheme="minorHAnsi" w:hAnsiTheme="minorHAnsi" w:cstheme="minorHAnsi"/>
            <w:i/>
            <w:iCs/>
          </w:rPr>
          <w:t xml:space="preserve"> Factsheet</w:t>
        </w:r>
        <w:r w:rsidR="00BE0340" w:rsidRPr="00941BC7">
          <w:rPr>
            <w:rStyle w:val="Hyperlink"/>
            <w:rFonts w:asciiTheme="minorHAnsi" w:hAnsiTheme="minorHAnsi" w:cstheme="minorHAnsi"/>
            <w:i/>
            <w:iCs/>
          </w:rPr>
          <w:t xml:space="preserve"> </w:t>
        </w:r>
        <w:r w:rsidR="00941BC7" w:rsidRPr="00941BC7">
          <w:rPr>
            <w:rStyle w:val="Hyperlink"/>
            <w:rFonts w:asciiTheme="minorHAnsi" w:hAnsiTheme="minorHAnsi" w:cstheme="minorHAnsi"/>
          </w:rPr>
          <w:t>[</w:t>
        </w:r>
        <w:r w:rsidR="00BE0340" w:rsidRPr="00941BC7">
          <w:rPr>
            <w:rStyle w:val="Hyperlink"/>
            <w:rFonts w:asciiTheme="minorHAnsi" w:hAnsiTheme="minorHAnsi" w:cstheme="minorHAnsi"/>
          </w:rPr>
          <w:t>PDF 1.</w:t>
        </w:r>
        <w:r w:rsidR="00941BC7" w:rsidRPr="00941BC7">
          <w:rPr>
            <w:rStyle w:val="Hyperlink"/>
            <w:rFonts w:asciiTheme="minorHAnsi" w:hAnsiTheme="minorHAnsi" w:cstheme="minorHAnsi"/>
          </w:rPr>
          <w:t>675</w:t>
        </w:r>
        <w:r w:rsidR="00BE0340" w:rsidRPr="00941BC7">
          <w:rPr>
            <w:rStyle w:val="Hyperlink"/>
            <w:rFonts w:asciiTheme="minorHAnsi" w:hAnsiTheme="minorHAnsi" w:cstheme="minorHAnsi"/>
          </w:rPr>
          <w:t>MB]</w:t>
        </w:r>
      </w:hyperlink>
      <w:r w:rsidR="57CECDF6" w:rsidRPr="004906C5">
        <w:rPr>
          <w:rFonts w:asciiTheme="minorHAnsi" w:hAnsiTheme="minorHAnsi" w:cstheme="minorHAnsi"/>
        </w:rPr>
        <w:t>, Respect at Work</w:t>
      </w:r>
      <w:r w:rsidR="00912888">
        <w:rPr>
          <w:rFonts w:asciiTheme="minorHAnsi" w:hAnsiTheme="minorHAnsi" w:cstheme="minorHAnsi"/>
        </w:rPr>
        <w:t xml:space="preserve"> website</w:t>
      </w:r>
      <w:r w:rsidR="57CECDF6" w:rsidRPr="004906C5">
        <w:rPr>
          <w:rFonts w:asciiTheme="minorHAnsi" w:hAnsiTheme="minorHAnsi" w:cstheme="minorHAnsi"/>
        </w:rPr>
        <w:t xml:space="preserve">, 2022, accessed September 2023. </w:t>
      </w:r>
    </w:p>
  </w:endnote>
  <w:endnote w:id="185">
    <w:p w14:paraId="2F8AB769" w14:textId="56F0A038" w:rsidR="01137767" w:rsidRPr="004906C5" w:rsidRDefault="01137767" w:rsidP="00912888">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12888">
        <w:rPr>
          <w:rFonts w:asciiTheme="minorHAnsi" w:hAnsiTheme="minorHAnsi" w:cstheme="minorHAnsi"/>
        </w:rPr>
        <w:tab/>
      </w:r>
      <w:r w:rsidR="00DC50F6" w:rsidRPr="004906C5">
        <w:rPr>
          <w:rFonts w:asciiTheme="minorHAnsi" w:hAnsiTheme="minorHAnsi" w:cstheme="minorHAnsi"/>
        </w:rPr>
        <w:t>Australian Human Rights Commission</w:t>
      </w:r>
      <w:r w:rsidR="00DC50F6">
        <w:rPr>
          <w:rFonts w:asciiTheme="minorHAnsi" w:hAnsiTheme="minorHAnsi" w:cstheme="minorHAnsi"/>
        </w:rPr>
        <w:t>,</w:t>
      </w:r>
      <w:r w:rsidR="00DC50F6" w:rsidRPr="004906C5">
        <w:rPr>
          <w:rFonts w:asciiTheme="minorHAnsi" w:hAnsiTheme="minorHAnsi" w:cstheme="minorHAnsi"/>
        </w:rPr>
        <w:t xml:space="preserve"> </w:t>
      </w:r>
      <w:r w:rsidR="00DC50F6">
        <w:rPr>
          <w:rFonts w:asciiTheme="minorHAnsi" w:hAnsiTheme="minorHAnsi" w:cstheme="minorHAnsi"/>
        </w:rPr>
        <w:t>‘</w:t>
      </w:r>
      <w:hyperlink r:id="rId177" w:history="1">
        <w:r w:rsidR="00DC50F6" w:rsidRPr="002B6041">
          <w:rPr>
            <w:rStyle w:val="Hyperlink"/>
            <w:rFonts w:asciiTheme="minorHAnsi" w:hAnsiTheme="minorHAnsi" w:cstheme="minorHAnsi"/>
          </w:rPr>
          <w:t>Time for respect: Fifth national survey on sexual harassment in Australian workplaces</w:t>
        </w:r>
      </w:hyperlink>
      <w:r w:rsidR="00DC50F6">
        <w:rPr>
          <w:rFonts w:asciiTheme="minorHAnsi" w:hAnsiTheme="minorHAnsi" w:cstheme="minorHAnsi"/>
        </w:rPr>
        <w:t>’,</w:t>
      </w:r>
      <w:r w:rsidR="00DC50F6" w:rsidRPr="004906C5">
        <w:rPr>
          <w:rFonts w:asciiTheme="minorHAnsi" w:hAnsiTheme="minorHAnsi" w:cstheme="minorHAnsi"/>
        </w:rPr>
        <w:t xml:space="preserve"> Australian Human Rights Commission </w:t>
      </w:r>
      <w:r w:rsidR="00DC50F6">
        <w:rPr>
          <w:rFonts w:asciiTheme="minorHAnsi" w:hAnsiTheme="minorHAnsi" w:cstheme="minorHAnsi"/>
        </w:rPr>
        <w:t xml:space="preserve">website, </w:t>
      </w:r>
      <w:r w:rsidR="00DC50F6" w:rsidRPr="004906C5">
        <w:rPr>
          <w:rFonts w:asciiTheme="minorHAnsi" w:hAnsiTheme="minorHAnsi" w:cstheme="minorHAnsi"/>
        </w:rPr>
        <w:t>2022</w:t>
      </w:r>
      <w:r w:rsidR="00DC50F6">
        <w:rPr>
          <w:rFonts w:asciiTheme="minorHAnsi" w:hAnsiTheme="minorHAnsi" w:cstheme="minorHAnsi"/>
        </w:rPr>
        <w:t>, accessed September 2023, p. 121.</w:t>
      </w:r>
    </w:p>
  </w:endnote>
  <w:endnote w:id="186">
    <w:p w14:paraId="58C1D283" w14:textId="733A736A"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503306">
        <w:rPr>
          <w:rFonts w:asciiTheme="minorHAnsi" w:hAnsiTheme="minorHAnsi" w:cstheme="minorHAnsi"/>
        </w:rPr>
        <w:t>ABS</w:t>
      </w:r>
      <w:r w:rsidR="00744D21">
        <w:rPr>
          <w:rFonts w:asciiTheme="minorHAnsi" w:hAnsiTheme="minorHAnsi" w:cstheme="minorHAnsi"/>
        </w:rPr>
        <w:t>,</w:t>
      </w:r>
      <w:r w:rsidRPr="004906C5">
        <w:rPr>
          <w:rFonts w:asciiTheme="minorHAnsi" w:hAnsiTheme="minorHAnsi" w:cstheme="minorHAnsi"/>
        </w:rPr>
        <w:t xml:space="preserve"> </w:t>
      </w:r>
      <w:hyperlink r:id="rId178" w:history="1">
        <w:r w:rsidRPr="00613E8D">
          <w:rPr>
            <w:rStyle w:val="Hyperlink"/>
            <w:rFonts w:asciiTheme="minorHAnsi" w:hAnsiTheme="minorHAnsi" w:cstheme="minorHAnsi"/>
            <w:i/>
            <w:iCs/>
          </w:rPr>
          <w:t>Estimates of Aboriginal and Torres Strait Islander Australians</w:t>
        </w:r>
        <w:r w:rsidR="00744D21" w:rsidRPr="00613E8D">
          <w:rPr>
            <w:rStyle w:val="Hyperlink"/>
            <w:rFonts w:asciiTheme="minorHAnsi" w:hAnsiTheme="minorHAnsi" w:cstheme="minorHAnsi"/>
          </w:rPr>
          <w:t>,</w:t>
        </w:r>
      </w:hyperlink>
      <w:r w:rsidR="00744D21">
        <w:rPr>
          <w:rFonts w:asciiTheme="minorHAnsi" w:hAnsiTheme="minorHAnsi" w:cstheme="minorHAnsi"/>
        </w:rPr>
        <w:t xml:space="preserve"> </w:t>
      </w:r>
      <w:r w:rsidR="00D91836">
        <w:rPr>
          <w:rFonts w:asciiTheme="minorHAnsi" w:hAnsiTheme="minorHAnsi" w:cstheme="minorHAnsi"/>
        </w:rPr>
        <w:t xml:space="preserve">ABS website, </w:t>
      </w:r>
      <w:r w:rsidR="00DB1BDF">
        <w:rPr>
          <w:rFonts w:asciiTheme="minorHAnsi" w:hAnsiTheme="minorHAnsi" w:cstheme="minorHAnsi"/>
        </w:rPr>
        <w:t xml:space="preserve">2021, </w:t>
      </w:r>
      <w:r w:rsidR="00744D21">
        <w:rPr>
          <w:rFonts w:asciiTheme="minorHAnsi" w:hAnsiTheme="minorHAnsi" w:cstheme="minorHAnsi"/>
        </w:rPr>
        <w:t>accessed September 2023.</w:t>
      </w:r>
    </w:p>
  </w:endnote>
  <w:endnote w:id="187">
    <w:p w14:paraId="33FFEA82" w14:textId="68F2F9E4" w:rsidR="03D1716F" w:rsidRPr="004906C5" w:rsidRDefault="03D1716F" w:rsidP="004772A2">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91828">
        <w:rPr>
          <w:rFonts w:asciiTheme="minorHAnsi" w:hAnsiTheme="minorHAnsi" w:cstheme="minorHAnsi"/>
        </w:rPr>
        <w:tab/>
      </w:r>
      <w:r w:rsidR="00AD23E6">
        <w:rPr>
          <w:rFonts w:asciiTheme="minorHAnsi" w:eastAsia="Arial" w:hAnsiTheme="minorHAnsi" w:cstheme="minorHAnsi"/>
        </w:rPr>
        <w:t>AIHW</w:t>
      </w:r>
      <w:r w:rsidR="00AD23E6" w:rsidRPr="004906C5">
        <w:rPr>
          <w:rFonts w:asciiTheme="minorHAnsi" w:eastAsia="Arial" w:hAnsiTheme="minorHAnsi" w:cstheme="minorHAnsi"/>
        </w:rPr>
        <w:t xml:space="preserve"> </w:t>
      </w:r>
      <w:r w:rsidR="00AD23E6">
        <w:rPr>
          <w:rFonts w:asciiTheme="minorHAnsi" w:eastAsia="Arial" w:hAnsiTheme="minorHAnsi" w:cstheme="minorHAnsi"/>
        </w:rPr>
        <w:t>(</w:t>
      </w:r>
      <w:r w:rsidRPr="004906C5">
        <w:rPr>
          <w:rFonts w:asciiTheme="minorHAnsi" w:eastAsia="Arial" w:hAnsiTheme="minorHAnsi" w:cstheme="minorHAnsi"/>
        </w:rPr>
        <w:t>Australian Institute of Health and Welfare</w:t>
      </w:r>
      <w:r w:rsidR="00595790">
        <w:rPr>
          <w:rFonts w:asciiTheme="minorHAnsi" w:eastAsia="Arial" w:hAnsiTheme="minorHAnsi" w:cstheme="minorHAnsi"/>
        </w:rPr>
        <w:t>)</w:t>
      </w:r>
      <w:r w:rsidRPr="004906C5">
        <w:rPr>
          <w:rFonts w:asciiTheme="minorHAnsi" w:eastAsia="Arial" w:hAnsiTheme="minorHAnsi" w:cstheme="minorHAnsi"/>
        </w:rPr>
        <w:t>,</w:t>
      </w:r>
      <w:r w:rsidRPr="004906C5">
        <w:rPr>
          <w:rFonts w:asciiTheme="minorHAnsi" w:hAnsiTheme="minorHAnsi" w:cstheme="minorHAnsi"/>
        </w:rPr>
        <w:t xml:space="preserve"> </w:t>
      </w:r>
      <w:hyperlink r:id="rId179" w:history="1">
        <w:r w:rsidRPr="009409A3">
          <w:rPr>
            <w:rStyle w:val="Hyperlink"/>
            <w:rFonts w:asciiTheme="minorHAnsi" w:eastAsia="Arial" w:hAnsiTheme="minorHAnsi" w:cstheme="minorHAnsi"/>
            <w:i/>
            <w:iCs/>
          </w:rPr>
          <w:t>Aboriginal and Torres Strait Islander Health Performance Framework – Employment</w:t>
        </w:r>
      </w:hyperlink>
      <w:r w:rsidR="008916CB">
        <w:rPr>
          <w:rFonts w:asciiTheme="minorHAnsi" w:eastAsia="Arial" w:hAnsiTheme="minorHAnsi" w:cstheme="minorHAnsi"/>
          <w:i/>
          <w:iCs/>
        </w:rPr>
        <w:t>,</w:t>
      </w:r>
      <w:r w:rsidRPr="004906C5">
        <w:rPr>
          <w:rFonts w:asciiTheme="minorHAnsi" w:eastAsia="Arial" w:hAnsiTheme="minorHAnsi" w:cstheme="minorHAnsi"/>
          <w:i/>
          <w:iCs/>
        </w:rPr>
        <w:t xml:space="preserve"> </w:t>
      </w:r>
      <w:r w:rsidRPr="004906C5">
        <w:rPr>
          <w:rFonts w:asciiTheme="minorHAnsi" w:eastAsia="Arial" w:hAnsiTheme="minorHAnsi" w:cstheme="minorHAnsi"/>
        </w:rPr>
        <w:t>A</w:t>
      </w:r>
      <w:r w:rsidR="00595790">
        <w:rPr>
          <w:rFonts w:asciiTheme="minorHAnsi" w:eastAsia="Arial" w:hAnsiTheme="minorHAnsi" w:cstheme="minorHAnsi"/>
        </w:rPr>
        <w:t xml:space="preserve">IHW website, </w:t>
      </w:r>
      <w:r w:rsidR="00DF6AA8">
        <w:rPr>
          <w:rFonts w:asciiTheme="minorHAnsi" w:eastAsia="Arial" w:hAnsiTheme="minorHAnsi" w:cstheme="minorHAnsi"/>
        </w:rPr>
        <w:t xml:space="preserve">Australian Government, </w:t>
      </w:r>
      <w:r w:rsidR="003E2089">
        <w:rPr>
          <w:rFonts w:asciiTheme="minorHAnsi" w:eastAsia="Arial" w:hAnsiTheme="minorHAnsi" w:cstheme="minorHAnsi"/>
        </w:rPr>
        <w:t xml:space="preserve">2023, </w:t>
      </w:r>
      <w:r w:rsidR="00595790">
        <w:rPr>
          <w:rFonts w:asciiTheme="minorHAnsi" w:eastAsia="Arial" w:hAnsiTheme="minorHAnsi" w:cstheme="minorHAnsi"/>
        </w:rPr>
        <w:t>accessed September</w:t>
      </w:r>
      <w:r w:rsidRPr="004906C5">
        <w:rPr>
          <w:rFonts w:asciiTheme="minorHAnsi" w:eastAsia="Arial" w:hAnsiTheme="minorHAnsi" w:cstheme="minorHAnsi"/>
        </w:rPr>
        <w:t xml:space="preserve"> 2023</w:t>
      </w:r>
      <w:r w:rsidR="00191828">
        <w:rPr>
          <w:rFonts w:asciiTheme="minorHAnsi" w:eastAsia="Arial" w:hAnsiTheme="minorHAnsi" w:cstheme="minorHAnsi"/>
        </w:rPr>
        <w:t>.</w:t>
      </w:r>
    </w:p>
  </w:endnote>
  <w:endnote w:id="188">
    <w:p w14:paraId="474E11D6" w14:textId="083EE656" w:rsidR="03D1716F" w:rsidRPr="004906C5" w:rsidRDefault="03D1716F" w:rsidP="00695BF3">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695BF3">
        <w:rPr>
          <w:rFonts w:asciiTheme="minorHAnsi" w:hAnsiTheme="minorHAnsi" w:cstheme="minorHAnsi"/>
        </w:rPr>
        <w:tab/>
      </w:r>
      <w:r w:rsidR="000F1ECC">
        <w:rPr>
          <w:rFonts w:asciiTheme="minorHAnsi" w:hAnsiTheme="minorHAnsi" w:cstheme="minorHAnsi"/>
        </w:rPr>
        <w:t>JSA</w:t>
      </w:r>
      <w:r w:rsidRPr="004906C5">
        <w:rPr>
          <w:rFonts w:asciiTheme="minorHAnsi" w:hAnsiTheme="minorHAnsi" w:cstheme="minorHAnsi"/>
        </w:rPr>
        <w:t xml:space="preserve">, </w:t>
      </w:r>
      <w:hyperlink r:id="rId180" w:history="1">
        <w:r w:rsidRPr="000F1ECC">
          <w:rPr>
            <w:rStyle w:val="Hyperlink"/>
            <w:rFonts w:asciiTheme="minorHAnsi" w:eastAsia="Arial" w:hAnsiTheme="minorHAnsi" w:cstheme="minorHAnsi"/>
            <w:i/>
            <w:iCs/>
          </w:rPr>
          <w:t xml:space="preserve">First Nations </w:t>
        </w:r>
        <w:r w:rsidR="00AB7909">
          <w:rPr>
            <w:rStyle w:val="Hyperlink"/>
            <w:rFonts w:asciiTheme="minorHAnsi" w:eastAsia="Arial" w:hAnsiTheme="minorHAnsi" w:cstheme="minorHAnsi"/>
            <w:i/>
            <w:iCs/>
          </w:rPr>
          <w:t>people</w:t>
        </w:r>
        <w:r w:rsidRPr="000F1ECC">
          <w:rPr>
            <w:rStyle w:val="Hyperlink"/>
            <w:rFonts w:asciiTheme="minorHAnsi" w:eastAsia="Arial" w:hAnsiTheme="minorHAnsi" w:cstheme="minorHAnsi"/>
            <w:i/>
            <w:iCs/>
          </w:rPr>
          <w:t xml:space="preserve"> Workforce Analysis</w:t>
        </w:r>
      </w:hyperlink>
      <w:r w:rsidRPr="004906C5">
        <w:rPr>
          <w:rFonts w:asciiTheme="minorHAnsi" w:eastAsia="Arial" w:hAnsiTheme="minorHAnsi" w:cstheme="minorHAnsi"/>
        </w:rPr>
        <w:t>, J</w:t>
      </w:r>
      <w:r w:rsidR="000F1ECC">
        <w:rPr>
          <w:rFonts w:asciiTheme="minorHAnsi" w:eastAsia="Arial" w:hAnsiTheme="minorHAnsi" w:cstheme="minorHAnsi"/>
        </w:rPr>
        <w:t>SA website</w:t>
      </w:r>
      <w:r w:rsidRPr="004906C5">
        <w:rPr>
          <w:rFonts w:asciiTheme="minorHAnsi" w:eastAsia="Arial" w:hAnsiTheme="minorHAnsi" w:cstheme="minorHAnsi"/>
        </w:rPr>
        <w:t>,</w:t>
      </w:r>
      <w:r w:rsidR="0077210A">
        <w:rPr>
          <w:rFonts w:asciiTheme="minorHAnsi" w:eastAsia="Arial" w:hAnsiTheme="minorHAnsi" w:cstheme="minorHAnsi"/>
        </w:rPr>
        <w:t xml:space="preserve"> </w:t>
      </w:r>
      <w:r w:rsidR="00DF6AA8">
        <w:rPr>
          <w:rFonts w:asciiTheme="minorHAnsi" w:eastAsia="Arial" w:hAnsiTheme="minorHAnsi" w:cstheme="minorHAnsi"/>
        </w:rPr>
        <w:t>Australian Government,</w:t>
      </w:r>
      <w:r w:rsidR="00DF6AA8" w:rsidRPr="004906C5">
        <w:rPr>
          <w:rFonts w:asciiTheme="minorHAnsi" w:hAnsiTheme="minorHAnsi" w:cstheme="minorHAnsi"/>
        </w:rPr>
        <w:t xml:space="preserve"> </w:t>
      </w:r>
      <w:r w:rsidR="0077210A">
        <w:rPr>
          <w:rFonts w:asciiTheme="minorHAnsi" w:eastAsia="Arial" w:hAnsiTheme="minorHAnsi" w:cstheme="minorHAnsi"/>
        </w:rPr>
        <w:t>2023,</w:t>
      </w:r>
      <w:r w:rsidRPr="004906C5">
        <w:rPr>
          <w:rFonts w:asciiTheme="minorHAnsi" w:eastAsia="Arial" w:hAnsiTheme="minorHAnsi" w:cstheme="minorHAnsi"/>
        </w:rPr>
        <w:t xml:space="preserve"> </w:t>
      </w:r>
      <w:r w:rsidR="000F1ECC">
        <w:rPr>
          <w:rFonts w:asciiTheme="minorHAnsi" w:eastAsia="Arial" w:hAnsiTheme="minorHAnsi" w:cstheme="minorHAnsi"/>
        </w:rPr>
        <w:t xml:space="preserve">accessed September </w:t>
      </w:r>
      <w:r w:rsidRPr="004906C5">
        <w:rPr>
          <w:rFonts w:asciiTheme="minorHAnsi" w:eastAsia="Arial" w:hAnsiTheme="minorHAnsi" w:cstheme="minorHAnsi"/>
        </w:rPr>
        <w:t>2023</w:t>
      </w:r>
      <w:r w:rsidR="00695BF3">
        <w:rPr>
          <w:rFonts w:asciiTheme="minorHAnsi" w:eastAsia="Arial" w:hAnsiTheme="minorHAnsi" w:cstheme="minorHAnsi"/>
        </w:rPr>
        <w:t>.</w:t>
      </w:r>
    </w:p>
  </w:endnote>
  <w:endnote w:id="189">
    <w:p w14:paraId="7A22DF02" w14:textId="430DD6D6" w:rsidR="03D1716F" w:rsidRPr="004906C5" w:rsidRDefault="03D1716F" w:rsidP="00905E10">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05E10">
        <w:rPr>
          <w:rFonts w:asciiTheme="minorHAnsi" w:hAnsiTheme="minorHAnsi" w:cstheme="minorHAnsi"/>
        </w:rPr>
        <w:tab/>
      </w:r>
      <w:r w:rsidR="00BC75A3" w:rsidRPr="00905E10">
        <w:rPr>
          <w:rFonts w:asciiTheme="minorHAnsi" w:hAnsiTheme="minorHAnsi" w:cstheme="minorHAnsi"/>
        </w:rPr>
        <w:t>WGEA</w:t>
      </w:r>
      <w:r w:rsidRPr="00905E10">
        <w:rPr>
          <w:rFonts w:asciiTheme="minorHAnsi" w:hAnsiTheme="minorHAnsi" w:cstheme="minorHAnsi"/>
        </w:rPr>
        <w:t xml:space="preserve">, </w:t>
      </w:r>
      <w:hyperlink r:id="rId181" w:history="1">
        <w:r w:rsidRPr="00905E10">
          <w:rPr>
            <w:rStyle w:val="Hyperlink"/>
            <w:rFonts w:asciiTheme="minorHAnsi" w:eastAsia="Arial" w:hAnsiTheme="minorHAnsi" w:cstheme="minorHAnsi"/>
          </w:rPr>
          <w:t>Gari Yala (Speak the Truth): Gendered Insights</w:t>
        </w:r>
      </w:hyperlink>
      <w:r w:rsidRPr="00905E10">
        <w:rPr>
          <w:rFonts w:asciiTheme="minorHAnsi" w:eastAsia="Arial" w:hAnsiTheme="minorHAnsi" w:cstheme="minorHAnsi"/>
        </w:rPr>
        <w:t>,</w:t>
      </w:r>
      <w:r w:rsidR="00905E10" w:rsidRPr="00905E10">
        <w:rPr>
          <w:rFonts w:asciiTheme="minorHAnsi" w:eastAsia="Arial" w:hAnsiTheme="minorHAnsi" w:cstheme="minorHAnsi"/>
        </w:rPr>
        <w:t xml:space="preserve"> 2021,</w:t>
      </w:r>
      <w:r w:rsidRPr="00905E10">
        <w:rPr>
          <w:rFonts w:asciiTheme="minorHAnsi" w:eastAsia="Arial" w:hAnsiTheme="minorHAnsi" w:cstheme="minorHAnsi"/>
        </w:rPr>
        <w:t xml:space="preserve"> WGEA</w:t>
      </w:r>
      <w:r w:rsidR="00BC75A3" w:rsidRPr="00905E10">
        <w:rPr>
          <w:rFonts w:asciiTheme="minorHAnsi" w:eastAsia="Arial" w:hAnsiTheme="minorHAnsi" w:cstheme="minorHAnsi"/>
        </w:rPr>
        <w:t xml:space="preserve"> website,</w:t>
      </w:r>
      <w:r w:rsidRPr="00905E10">
        <w:rPr>
          <w:rFonts w:asciiTheme="minorHAnsi" w:eastAsia="Arial" w:hAnsiTheme="minorHAnsi" w:cstheme="minorHAnsi"/>
        </w:rPr>
        <w:t xml:space="preserve"> </w:t>
      </w:r>
      <w:r w:rsidR="00DF6AA8">
        <w:rPr>
          <w:rFonts w:asciiTheme="minorHAnsi" w:eastAsia="Arial" w:hAnsiTheme="minorHAnsi" w:cstheme="minorHAnsi"/>
        </w:rPr>
        <w:t xml:space="preserve">Australian Government, </w:t>
      </w:r>
      <w:r w:rsidR="008600F9" w:rsidRPr="00905E10">
        <w:rPr>
          <w:rFonts w:asciiTheme="minorHAnsi" w:eastAsia="Arial" w:hAnsiTheme="minorHAnsi" w:cstheme="minorHAnsi"/>
        </w:rPr>
        <w:t xml:space="preserve">accessed September </w:t>
      </w:r>
      <w:r w:rsidRPr="00905E10">
        <w:rPr>
          <w:rFonts w:asciiTheme="minorHAnsi" w:eastAsia="Arial" w:hAnsiTheme="minorHAnsi" w:cstheme="minorHAnsi"/>
        </w:rPr>
        <w:t>202</w:t>
      </w:r>
      <w:r w:rsidR="008600F9" w:rsidRPr="00905E10">
        <w:rPr>
          <w:rFonts w:asciiTheme="minorHAnsi" w:eastAsia="Arial" w:hAnsiTheme="minorHAnsi" w:cstheme="minorHAnsi"/>
        </w:rPr>
        <w:t>3.</w:t>
      </w:r>
    </w:p>
  </w:endnote>
  <w:endnote w:id="190">
    <w:p w14:paraId="6DB46F94" w14:textId="3C80BD63" w:rsidR="03D1716F" w:rsidRPr="004906C5" w:rsidRDefault="03D1716F" w:rsidP="00933677">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33677">
        <w:rPr>
          <w:rFonts w:asciiTheme="minorHAnsi" w:hAnsiTheme="minorHAnsi" w:cstheme="minorHAnsi"/>
        </w:rPr>
        <w:tab/>
      </w:r>
      <w:r w:rsidR="00BD238B" w:rsidRPr="00BD238B">
        <w:rPr>
          <w:rFonts w:asciiTheme="minorHAnsi" w:eastAsia="Arial" w:hAnsiTheme="minorHAnsi" w:cstheme="minorHAnsi"/>
        </w:rPr>
        <w:t>J</w:t>
      </w:r>
      <w:r w:rsidR="00BD238B">
        <w:rPr>
          <w:rFonts w:asciiTheme="minorHAnsi" w:eastAsia="Arial" w:hAnsiTheme="minorHAnsi" w:cstheme="minorHAnsi"/>
        </w:rPr>
        <w:t xml:space="preserve"> </w:t>
      </w:r>
      <w:r w:rsidR="00BD238B" w:rsidRPr="00BD238B">
        <w:rPr>
          <w:rFonts w:asciiTheme="minorHAnsi" w:eastAsia="Arial" w:hAnsiTheme="minorHAnsi" w:cstheme="minorHAnsi"/>
        </w:rPr>
        <w:t xml:space="preserve">Parmenter, F Drummond, </w:t>
      </w:r>
      <w:hyperlink r:id="rId182" w:history="1">
        <w:r w:rsidR="00BD238B" w:rsidRPr="003C383C">
          <w:rPr>
            <w:rStyle w:val="Hyperlink"/>
            <w:rFonts w:asciiTheme="minorHAnsi" w:eastAsia="Arial" w:hAnsiTheme="minorHAnsi" w:cstheme="minorHAnsi"/>
          </w:rPr>
          <w:t>'What did I get myself into?' Indigenous women and mining employment in Australia</w:t>
        </w:r>
      </w:hyperlink>
      <w:r w:rsidR="003C383C">
        <w:rPr>
          <w:rFonts w:asciiTheme="minorHAnsi" w:eastAsia="Arial" w:hAnsiTheme="minorHAnsi" w:cstheme="minorHAnsi"/>
        </w:rPr>
        <w:t>’</w:t>
      </w:r>
      <w:r w:rsidR="00BD238B" w:rsidRPr="00BD238B">
        <w:rPr>
          <w:rFonts w:asciiTheme="minorHAnsi" w:eastAsia="Arial" w:hAnsiTheme="minorHAnsi" w:cstheme="minorHAnsi"/>
        </w:rPr>
        <w:t xml:space="preserve">, </w:t>
      </w:r>
      <w:r w:rsidR="00BD238B" w:rsidRPr="003C383C">
        <w:rPr>
          <w:rFonts w:asciiTheme="minorHAnsi" w:eastAsia="Arial" w:hAnsiTheme="minorHAnsi" w:cstheme="minorHAnsi"/>
          <w:i/>
          <w:iCs/>
        </w:rPr>
        <w:t>The Extractive Industries and Society</w:t>
      </w:r>
      <w:r w:rsidR="00BD238B" w:rsidRPr="00BD238B">
        <w:rPr>
          <w:rFonts w:asciiTheme="minorHAnsi" w:eastAsia="Arial" w:hAnsiTheme="minorHAnsi" w:cstheme="minorHAnsi"/>
        </w:rPr>
        <w:t xml:space="preserve">, </w:t>
      </w:r>
      <w:r w:rsidR="00B20743" w:rsidRPr="00BD238B">
        <w:rPr>
          <w:rFonts w:asciiTheme="minorHAnsi" w:eastAsia="Arial" w:hAnsiTheme="minorHAnsi" w:cstheme="minorHAnsi"/>
        </w:rPr>
        <w:t>2022</w:t>
      </w:r>
      <w:r w:rsidR="00B20743">
        <w:rPr>
          <w:rFonts w:asciiTheme="minorHAnsi" w:eastAsia="Arial" w:hAnsiTheme="minorHAnsi" w:cstheme="minorHAnsi"/>
        </w:rPr>
        <w:t xml:space="preserve">, </w:t>
      </w:r>
      <w:r w:rsidR="00BD238B" w:rsidRPr="00BD238B">
        <w:rPr>
          <w:rFonts w:asciiTheme="minorHAnsi" w:eastAsia="Arial" w:hAnsiTheme="minorHAnsi" w:cstheme="minorHAnsi"/>
        </w:rPr>
        <w:t>12</w:t>
      </w:r>
      <w:r w:rsidR="004247F3">
        <w:rPr>
          <w:rFonts w:asciiTheme="minorHAnsi" w:eastAsia="Arial" w:hAnsiTheme="minorHAnsi" w:cstheme="minorHAnsi"/>
        </w:rPr>
        <w:t>(1)</w:t>
      </w:r>
      <w:r w:rsidR="00BD238B" w:rsidRPr="00BD238B">
        <w:rPr>
          <w:rFonts w:asciiTheme="minorHAnsi" w:eastAsia="Arial" w:hAnsiTheme="minorHAnsi" w:cstheme="minorHAnsi"/>
        </w:rPr>
        <w:t>, Centre for Social Responsibility in Mining (CSRM), Sustainable Minerals Institute (SMI)</w:t>
      </w:r>
      <w:r w:rsidR="00DA4883">
        <w:rPr>
          <w:rFonts w:asciiTheme="minorHAnsi" w:eastAsia="Arial" w:hAnsiTheme="minorHAnsi" w:cstheme="minorHAnsi"/>
        </w:rPr>
        <w:t xml:space="preserve"> </w:t>
      </w:r>
      <w:r w:rsidR="00BD238B" w:rsidRPr="00BD238B">
        <w:rPr>
          <w:rFonts w:asciiTheme="minorHAnsi" w:eastAsia="Arial" w:hAnsiTheme="minorHAnsi" w:cstheme="minorHAnsi"/>
        </w:rPr>
        <w:t xml:space="preserve">The University of Queensland </w:t>
      </w:r>
      <w:r w:rsidR="00F74F31">
        <w:rPr>
          <w:rFonts w:asciiTheme="minorHAnsi" w:eastAsia="Arial" w:hAnsiTheme="minorHAnsi" w:cstheme="minorHAnsi"/>
        </w:rPr>
        <w:t>website</w:t>
      </w:r>
      <w:r w:rsidR="00BD238B" w:rsidRPr="00BD238B">
        <w:rPr>
          <w:rFonts w:asciiTheme="minorHAnsi" w:eastAsia="Arial" w:hAnsiTheme="minorHAnsi" w:cstheme="minorHAnsi"/>
        </w:rPr>
        <w:t>, Australia</w:t>
      </w:r>
      <w:r w:rsidR="00AD23E6">
        <w:rPr>
          <w:rFonts w:asciiTheme="minorHAnsi" w:eastAsia="Arial" w:hAnsiTheme="minorHAnsi" w:cstheme="minorHAnsi"/>
        </w:rPr>
        <w:t>,</w:t>
      </w:r>
      <w:r w:rsidR="00C51208">
        <w:rPr>
          <w:rFonts w:asciiTheme="minorHAnsi" w:eastAsia="Arial" w:hAnsiTheme="minorHAnsi" w:cstheme="minorHAnsi"/>
        </w:rPr>
        <w:t xml:space="preserve"> </w:t>
      </w:r>
      <w:r w:rsidR="00C51208" w:rsidRPr="00C51208">
        <w:rPr>
          <w:rFonts w:asciiTheme="minorHAnsi" w:eastAsia="Arial" w:hAnsiTheme="minorHAnsi" w:cstheme="minorHAnsi"/>
        </w:rPr>
        <w:t>doi</w:t>
      </w:r>
      <w:r w:rsidR="00460106">
        <w:rPr>
          <w:rFonts w:asciiTheme="minorHAnsi" w:eastAsia="Arial" w:hAnsiTheme="minorHAnsi" w:cstheme="minorHAnsi"/>
        </w:rPr>
        <w:t>:</w:t>
      </w:r>
      <w:r w:rsidR="00C51208" w:rsidRPr="00C51208">
        <w:rPr>
          <w:rFonts w:asciiTheme="minorHAnsi" w:eastAsia="Arial" w:hAnsiTheme="minorHAnsi" w:cstheme="minorHAnsi"/>
        </w:rPr>
        <w:t>10.1016/j.exis.2022.101189</w:t>
      </w:r>
      <w:r w:rsidR="00460106">
        <w:rPr>
          <w:rFonts w:asciiTheme="minorHAnsi" w:eastAsia="Arial" w:hAnsiTheme="minorHAnsi" w:cstheme="minorHAnsi"/>
        </w:rPr>
        <w:t>, accessed September 2023.</w:t>
      </w:r>
    </w:p>
  </w:endnote>
  <w:endnote w:id="191">
    <w:p w14:paraId="303EE9E6" w14:textId="72D3F24E" w:rsidR="03D1716F" w:rsidRPr="004906C5" w:rsidRDefault="03D1716F" w:rsidP="00E269BF">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269BF">
        <w:rPr>
          <w:rFonts w:asciiTheme="minorHAnsi" w:hAnsiTheme="minorHAnsi" w:cstheme="minorHAnsi"/>
        </w:rPr>
        <w:tab/>
      </w:r>
      <w:r w:rsidR="00DF010C">
        <w:rPr>
          <w:rFonts w:asciiTheme="minorHAnsi" w:eastAsia="Arial" w:hAnsiTheme="minorHAnsi" w:cstheme="minorHAnsi"/>
        </w:rPr>
        <w:t xml:space="preserve">J </w:t>
      </w:r>
      <w:r w:rsidR="00DF010C" w:rsidRPr="004906C5">
        <w:rPr>
          <w:rFonts w:asciiTheme="minorHAnsi" w:eastAsia="Arial" w:hAnsiTheme="minorHAnsi" w:cstheme="minorHAnsi"/>
        </w:rPr>
        <w:t>Parmenter</w:t>
      </w:r>
      <w:r w:rsidR="00DF010C">
        <w:rPr>
          <w:rFonts w:asciiTheme="minorHAnsi" w:eastAsia="Arial" w:hAnsiTheme="minorHAnsi" w:cstheme="minorHAnsi"/>
        </w:rPr>
        <w:t>, R</w:t>
      </w:r>
      <w:r w:rsidR="00DF010C" w:rsidRPr="004906C5">
        <w:rPr>
          <w:rFonts w:asciiTheme="minorHAnsi" w:eastAsia="Arial" w:hAnsiTheme="minorHAnsi" w:cstheme="minorHAnsi"/>
        </w:rPr>
        <w:t xml:space="preserve"> Barnes, </w:t>
      </w:r>
      <w:r w:rsidR="00552C87">
        <w:rPr>
          <w:rFonts w:asciiTheme="minorHAnsi" w:eastAsia="Arial" w:hAnsiTheme="minorHAnsi" w:cstheme="minorHAnsi"/>
        </w:rPr>
        <w:t>‘</w:t>
      </w:r>
      <w:hyperlink r:id="rId183" w:history="1">
        <w:r w:rsidRPr="00025940">
          <w:rPr>
            <w:rStyle w:val="Hyperlink"/>
            <w:rFonts w:asciiTheme="minorHAnsi" w:hAnsiTheme="minorHAnsi" w:cstheme="minorHAnsi"/>
          </w:rPr>
          <w:t xml:space="preserve">Factors supporting indigenous employee retention in the Australian mining </w:t>
        </w:r>
        <w:r w:rsidRPr="00025940">
          <w:rPr>
            <w:rStyle w:val="Hyperlink"/>
            <w:rFonts w:asciiTheme="minorHAnsi" w:eastAsia="Arial" w:hAnsiTheme="minorHAnsi" w:cstheme="minorHAnsi"/>
          </w:rPr>
          <w:t>industry: A case study of the Pilbara region</w:t>
        </w:r>
      </w:hyperlink>
      <w:r w:rsidR="00552C87">
        <w:rPr>
          <w:rFonts w:asciiTheme="minorHAnsi" w:eastAsia="Arial" w:hAnsiTheme="minorHAnsi" w:cstheme="minorHAnsi"/>
        </w:rPr>
        <w:t>’</w:t>
      </w:r>
      <w:r w:rsidRPr="004906C5">
        <w:rPr>
          <w:rFonts w:asciiTheme="minorHAnsi" w:eastAsia="Arial" w:hAnsiTheme="minorHAnsi" w:cstheme="minorHAnsi"/>
        </w:rPr>
        <w:t xml:space="preserve">, </w:t>
      </w:r>
      <w:r w:rsidRPr="00552C87">
        <w:rPr>
          <w:rFonts w:asciiTheme="minorHAnsi" w:eastAsia="Arial" w:hAnsiTheme="minorHAnsi" w:cstheme="minorHAnsi"/>
          <w:i/>
          <w:iCs/>
        </w:rPr>
        <w:t>The Extractive Industries and Society</w:t>
      </w:r>
      <w:r w:rsidRPr="000236CA">
        <w:rPr>
          <w:rFonts w:asciiTheme="minorHAnsi" w:eastAsia="Arial" w:hAnsiTheme="minorHAnsi" w:cstheme="minorHAnsi"/>
        </w:rPr>
        <w:t>,</w:t>
      </w:r>
      <w:r w:rsidR="000236CA">
        <w:rPr>
          <w:rFonts w:asciiTheme="minorHAnsi" w:eastAsia="Arial" w:hAnsiTheme="minorHAnsi" w:cstheme="minorHAnsi"/>
        </w:rPr>
        <w:t xml:space="preserve"> </w:t>
      </w:r>
      <w:r w:rsidR="00B06520" w:rsidRPr="004906C5">
        <w:rPr>
          <w:rFonts w:asciiTheme="minorHAnsi" w:eastAsia="Arial" w:hAnsiTheme="minorHAnsi" w:cstheme="minorHAnsi"/>
        </w:rPr>
        <w:t>2021</w:t>
      </w:r>
      <w:r w:rsidR="00B06520">
        <w:rPr>
          <w:rFonts w:asciiTheme="minorHAnsi" w:eastAsia="Arial" w:hAnsiTheme="minorHAnsi" w:cstheme="minorHAnsi"/>
        </w:rPr>
        <w:t xml:space="preserve">, </w:t>
      </w:r>
      <w:r w:rsidR="00CA0A85">
        <w:rPr>
          <w:rFonts w:asciiTheme="minorHAnsi" w:eastAsia="Arial" w:hAnsiTheme="minorHAnsi" w:cstheme="minorHAnsi"/>
        </w:rPr>
        <w:t>8(1)</w:t>
      </w:r>
      <w:r w:rsidR="00B06520">
        <w:rPr>
          <w:rFonts w:asciiTheme="minorHAnsi" w:eastAsia="Arial" w:hAnsiTheme="minorHAnsi" w:cstheme="minorHAnsi"/>
        </w:rPr>
        <w:t xml:space="preserve">: </w:t>
      </w:r>
      <w:r w:rsidR="00A7358D" w:rsidRPr="00A7358D">
        <w:rPr>
          <w:rFonts w:asciiTheme="minorHAnsi" w:eastAsia="Arial" w:hAnsiTheme="minorHAnsi" w:cstheme="minorHAnsi"/>
        </w:rPr>
        <w:t>423-433</w:t>
      </w:r>
      <w:r w:rsidR="00A15D2A">
        <w:rPr>
          <w:rFonts w:asciiTheme="minorHAnsi" w:eastAsia="Arial" w:hAnsiTheme="minorHAnsi" w:cstheme="minorHAnsi"/>
        </w:rPr>
        <w:t>,</w:t>
      </w:r>
      <w:r w:rsidRPr="004906C5">
        <w:rPr>
          <w:rFonts w:asciiTheme="minorHAnsi" w:eastAsia="Arial" w:hAnsiTheme="minorHAnsi" w:cstheme="minorHAnsi"/>
        </w:rPr>
        <w:t xml:space="preserve"> </w:t>
      </w:r>
      <w:r w:rsidR="00460106">
        <w:rPr>
          <w:rFonts w:asciiTheme="minorHAnsi" w:eastAsia="Arial" w:hAnsiTheme="minorHAnsi" w:cstheme="minorHAnsi"/>
        </w:rPr>
        <w:t>doi:</w:t>
      </w:r>
      <w:r w:rsidR="00A15D2A" w:rsidRPr="00A15D2A">
        <w:rPr>
          <w:rFonts w:asciiTheme="minorHAnsi" w:eastAsia="Arial" w:hAnsiTheme="minorHAnsi" w:cstheme="minorHAnsi"/>
        </w:rPr>
        <w:t>10.1016/j.exis.2020.11.009</w:t>
      </w:r>
      <w:r w:rsidR="005E4E9E">
        <w:rPr>
          <w:rFonts w:asciiTheme="minorHAnsi" w:eastAsia="Arial" w:hAnsiTheme="minorHAnsi" w:cstheme="minorHAnsi"/>
        </w:rPr>
        <w:t xml:space="preserve">, </w:t>
      </w:r>
      <w:r w:rsidR="00B46357">
        <w:rPr>
          <w:rFonts w:asciiTheme="minorHAnsi" w:eastAsia="Arial" w:hAnsiTheme="minorHAnsi" w:cstheme="minorHAnsi"/>
        </w:rPr>
        <w:t xml:space="preserve">Sustainable Minerals Institute </w:t>
      </w:r>
      <w:r w:rsidR="009B5CAE">
        <w:rPr>
          <w:rFonts w:asciiTheme="minorHAnsi" w:eastAsia="Arial" w:hAnsiTheme="minorHAnsi" w:cstheme="minorHAnsi"/>
        </w:rPr>
        <w:t>(SMI)</w:t>
      </w:r>
      <w:r w:rsidR="00AD23E6">
        <w:rPr>
          <w:rFonts w:asciiTheme="minorHAnsi" w:eastAsia="Arial" w:hAnsiTheme="minorHAnsi" w:cstheme="minorHAnsi"/>
        </w:rPr>
        <w:t>,</w:t>
      </w:r>
      <w:r w:rsidR="009B5CAE">
        <w:rPr>
          <w:rFonts w:asciiTheme="minorHAnsi" w:eastAsia="Arial" w:hAnsiTheme="minorHAnsi" w:cstheme="minorHAnsi"/>
        </w:rPr>
        <w:t xml:space="preserve"> </w:t>
      </w:r>
      <w:r w:rsidR="00F74F31">
        <w:rPr>
          <w:rFonts w:asciiTheme="minorHAnsi" w:eastAsia="Arial" w:hAnsiTheme="minorHAnsi" w:cstheme="minorHAnsi"/>
        </w:rPr>
        <w:t xml:space="preserve">The University of Queensland </w:t>
      </w:r>
      <w:r w:rsidR="00B46357">
        <w:rPr>
          <w:rFonts w:asciiTheme="minorHAnsi" w:eastAsia="Arial" w:hAnsiTheme="minorHAnsi" w:cstheme="minorHAnsi"/>
        </w:rPr>
        <w:t>website, accessed September 2023.</w:t>
      </w:r>
    </w:p>
  </w:endnote>
  <w:endnote w:id="192">
    <w:p w14:paraId="229AE0FE" w14:textId="12FF9A6D" w:rsidR="03D1716F" w:rsidRPr="004906C5" w:rsidRDefault="03D1716F" w:rsidP="00E269BF">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269BF">
        <w:rPr>
          <w:rFonts w:asciiTheme="minorHAnsi" w:hAnsiTheme="minorHAnsi" w:cstheme="minorHAnsi"/>
        </w:rPr>
        <w:tab/>
      </w:r>
      <w:r w:rsidR="00B06520">
        <w:rPr>
          <w:rFonts w:asciiTheme="minorHAnsi" w:eastAsia="Arial" w:hAnsiTheme="minorHAnsi" w:cstheme="minorHAnsi"/>
        </w:rPr>
        <w:t xml:space="preserve">J </w:t>
      </w:r>
      <w:r w:rsidR="00B06520" w:rsidRPr="004906C5">
        <w:rPr>
          <w:rFonts w:asciiTheme="minorHAnsi" w:eastAsia="Arial" w:hAnsiTheme="minorHAnsi" w:cstheme="minorHAnsi"/>
        </w:rPr>
        <w:t>Parmenter</w:t>
      </w:r>
      <w:r w:rsidR="00B06520">
        <w:rPr>
          <w:rFonts w:asciiTheme="minorHAnsi" w:eastAsia="Arial" w:hAnsiTheme="minorHAnsi" w:cstheme="minorHAnsi"/>
        </w:rPr>
        <w:t>, R</w:t>
      </w:r>
      <w:r w:rsidR="00B06520" w:rsidRPr="004906C5">
        <w:rPr>
          <w:rFonts w:asciiTheme="minorHAnsi" w:eastAsia="Arial" w:hAnsiTheme="minorHAnsi" w:cstheme="minorHAnsi"/>
        </w:rPr>
        <w:t xml:space="preserve"> Barnes, </w:t>
      </w:r>
      <w:r w:rsidR="00B06520">
        <w:rPr>
          <w:rFonts w:asciiTheme="minorHAnsi" w:eastAsia="Arial" w:hAnsiTheme="minorHAnsi" w:cstheme="minorHAnsi"/>
        </w:rPr>
        <w:t>‘</w:t>
      </w:r>
      <w:hyperlink r:id="rId184" w:history="1">
        <w:r w:rsidR="00B06520" w:rsidRPr="00025940">
          <w:rPr>
            <w:rStyle w:val="Hyperlink"/>
            <w:rFonts w:asciiTheme="minorHAnsi" w:hAnsiTheme="minorHAnsi" w:cstheme="minorHAnsi"/>
          </w:rPr>
          <w:t xml:space="preserve">Factors supporting indigenous employee retention in the Australian mining </w:t>
        </w:r>
        <w:r w:rsidR="00B06520" w:rsidRPr="00025940">
          <w:rPr>
            <w:rStyle w:val="Hyperlink"/>
            <w:rFonts w:asciiTheme="minorHAnsi" w:eastAsia="Arial" w:hAnsiTheme="minorHAnsi" w:cstheme="minorHAnsi"/>
          </w:rPr>
          <w:t>industry: A case study of the Pilbara region</w:t>
        </w:r>
      </w:hyperlink>
      <w:r w:rsidR="00B06520">
        <w:rPr>
          <w:rFonts w:asciiTheme="minorHAnsi" w:eastAsia="Arial" w:hAnsiTheme="minorHAnsi" w:cstheme="minorHAnsi"/>
        </w:rPr>
        <w:t>’</w:t>
      </w:r>
      <w:r w:rsidR="00B06520" w:rsidRPr="004906C5">
        <w:rPr>
          <w:rFonts w:asciiTheme="minorHAnsi" w:eastAsia="Arial" w:hAnsiTheme="minorHAnsi" w:cstheme="minorHAnsi"/>
        </w:rPr>
        <w:t xml:space="preserve">, </w:t>
      </w:r>
      <w:r w:rsidR="00AD23E6" w:rsidRPr="00552C87">
        <w:rPr>
          <w:rFonts w:asciiTheme="minorHAnsi" w:eastAsia="Arial" w:hAnsiTheme="minorHAnsi" w:cstheme="minorHAnsi"/>
          <w:i/>
          <w:iCs/>
        </w:rPr>
        <w:t>The Extractive Industries and Society</w:t>
      </w:r>
      <w:r w:rsidR="00AD23E6" w:rsidRPr="000236CA">
        <w:rPr>
          <w:rFonts w:asciiTheme="minorHAnsi" w:eastAsia="Arial" w:hAnsiTheme="minorHAnsi" w:cstheme="minorHAnsi"/>
        </w:rPr>
        <w:t>,</w:t>
      </w:r>
      <w:r w:rsidR="00AD23E6">
        <w:rPr>
          <w:rFonts w:asciiTheme="minorHAnsi" w:eastAsia="Arial" w:hAnsiTheme="minorHAnsi" w:cstheme="minorHAnsi"/>
        </w:rPr>
        <w:t xml:space="preserve"> </w:t>
      </w:r>
      <w:r w:rsidR="00AD23E6" w:rsidRPr="004906C5">
        <w:rPr>
          <w:rFonts w:asciiTheme="minorHAnsi" w:eastAsia="Arial" w:hAnsiTheme="minorHAnsi" w:cstheme="minorHAnsi"/>
        </w:rPr>
        <w:t>2021</w:t>
      </w:r>
      <w:r w:rsidR="00AD23E6">
        <w:rPr>
          <w:rFonts w:asciiTheme="minorHAnsi" w:eastAsia="Arial" w:hAnsiTheme="minorHAnsi" w:cstheme="minorHAnsi"/>
        </w:rPr>
        <w:t xml:space="preserve">, 8(1): </w:t>
      </w:r>
      <w:r w:rsidR="00AD23E6" w:rsidRPr="00A7358D">
        <w:rPr>
          <w:rFonts w:asciiTheme="minorHAnsi" w:eastAsia="Arial" w:hAnsiTheme="minorHAnsi" w:cstheme="minorHAnsi"/>
        </w:rPr>
        <w:t>423-433</w:t>
      </w:r>
      <w:r w:rsidR="00AD23E6">
        <w:rPr>
          <w:rFonts w:asciiTheme="minorHAnsi" w:eastAsia="Arial" w:hAnsiTheme="minorHAnsi" w:cstheme="minorHAnsi"/>
        </w:rPr>
        <w:t>,</w:t>
      </w:r>
      <w:r w:rsidR="00AD23E6" w:rsidRPr="004906C5">
        <w:rPr>
          <w:rFonts w:asciiTheme="minorHAnsi" w:eastAsia="Arial" w:hAnsiTheme="minorHAnsi" w:cstheme="minorHAnsi"/>
        </w:rPr>
        <w:t xml:space="preserve"> </w:t>
      </w:r>
      <w:r w:rsidR="00AD23E6">
        <w:rPr>
          <w:rFonts w:asciiTheme="minorHAnsi" w:eastAsia="Arial" w:hAnsiTheme="minorHAnsi" w:cstheme="minorHAnsi"/>
        </w:rPr>
        <w:t>doi:</w:t>
      </w:r>
      <w:r w:rsidR="00AD23E6" w:rsidRPr="00A15D2A">
        <w:rPr>
          <w:rFonts w:asciiTheme="minorHAnsi" w:eastAsia="Arial" w:hAnsiTheme="minorHAnsi" w:cstheme="minorHAnsi"/>
        </w:rPr>
        <w:t>10.1016/j.exis.2020.11.009</w:t>
      </w:r>
      <w:r w:rsidR="00AD23E6">
        <w:rPr>
          <w:rFonts w:asciiTheme="minorHAnsi" w:eastAsia="Arial" w:hAnsiTheme="minorHAnsi" w:cstheme="minorHAnsi"/>
        </w:rPr>
        <w:t>, Sustainable Minerals Institute (SMI), The University of Queensland website, accessed September 2023.</w:t>
      </w:r>
    </w:p>
  </w:endnote>
  <w:endnote w:id="193">
    <w:p w14:paraId="3EBE4FA7" w14:textId="489FFB83" w:rsidR="03D1716F" w:rsidRPr="004906C5" w:rsidRDefault="03D1716F" w:rsidP="009B48EE">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B48EE">
        <w:rPr>
          <w:rFonts w:asciiTheme="minorHAnsi" w:hAnsiTheme="minorHAnsi" w:cstheme="minorHAnsi"/>
        </w:rPr>
        <w:tab/>
      </w:r>
      <w:r w:rsidRPr="004906C5">
        <w:rPr>
          <w:rFonts w:asciiTheme="minorHAnsi" w:hAnsiTheme="minorHAnsi" w:cstheme="minorHAnsi"/>
        </w:rPr>
        <w:t xml:space="preserve">CSIRO, </w:t>
      </w:r>
      <w:hyperlink r:id="rId185" w:history="1">
        <w:r w:rsidRPr="00E3749F">
          <w:rPr>
            <w:rStyle w:val="Hyperlink"/>
            <w:rFonts w:asciiTheme="minorHAnsi" w:hAnsiTheme="minorHAnsi" w:cstheme="minorHAnsi"/>
            <w:i/>
            <w:iCs/>
          </w:rPr>
          <w:t>Indigenous Jobs Map</w:t>
        </w:r>
      </w:hyperlink>
      <w:r w:rsidRPr="004906C5">
        <w:rPr>
          <w:rFonts w:asciiTheme="minorHAnsi" w:hAnsiTheme="minorHAnsi" w:cstheme="minorHAnsi"/>
        </w:rPr>
        <w:t>, 2023,</w:t>
      </w:r>
      <w:r w:rsidR="003722D3">
        <w:rPr>
          <w:rFonts w:asciiTheme="minorHAnsi" w:hAnsiTheme="minorHAnsi" w:cstheme="minorHAnsi"/>
        </w:rPr>
        <w:t xml:space="preserve"> </w:t>
      </w:r>
      <w:r w:rsidRPr="004906C5">
        <w:rPr>
          <w:rFonts w:asciiTheme="minorHAnsi" w:hAnsiTheme="minorHAnsi" w:cstheme="minorHAnsi"/>
        </w:rPr>
        <w:t>CSIRO</w:t>
      </w:r>
      <w:r w:rsidR="009B48EE">
        <w:rPr>
          <w:rFonts w:asciiTheme="minorHAnsi" w:hAnsiTheme="minorHAnsi" w:cstheme="minorHAnsi"/>
        </w:rPr>
        <w:t xml:space="preserve"> website</w:t>
      </w:r>
      <w:r w:rsidRPr="004906C5">
        <w:rPr>
          <w:rFonts w:asciiTheme="minorHAnsi" w:hAnsiTheme="minorHAnsi" w:cstheme="minorHAnsi"/>
        </w:rPr>
        <w:t>, accessed 6 September 2023.</w:t>
      </w:r>
    </w:p>
  </w:endnote>
  <w:endnote w:id="194">
    <w:p w14:paraId="1EB5D923" w14:textId="5C1AD044"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D10560">
        <w:rPr>
          <w:rFonts w:asciiTheme="minorHAnsi" w:hAnsiTheme="minorHAnsi" w:cstheme="minorHAnsi"/>
        </w:rPr>
        <w:t>CEC</w:t>
      </w:r>
      <w:r w:rsidRPr="004906C5">
        <w:rPr>
          <w:rFonts w:asciiTheme="minorHAnsi" w:hAnsiTheme="minorHAnsi" w:cstheme="minorHAnsi"/>
        </w:rPr>
        <w:t xml:space="preserve"> and Australian Hydrogen Council, Submission </w:t>
      </w:r>
      <w:r w:rsidR="00834958" w:rsidRPr="004906C5">
        <w:rPr>
          <w:rFonts w:asciiTheme="minorHAnsi" w:hAnsiTheme="minorHAnsi" w:cstheme="minorHAnsi"/>
        </w:rPr>
        <w:t>7</w:t>
      </w:r>
      <w:r w:rsidRPr="004906C5">
        <w:rPr>
          <w:rFonts w:asciiTheme="minorHAnsi" w:hAnsiTheme="minorHAnsi" w:cstheme="minorHAnsi"/>
        </w:rPr>
        <w:t>, Clean Energy Capacity Study Discussion paper p. [5–6].</w:t>
      </w:r>
    </w:p>
  </w:endnote>
  <w:endnote w:id="195">
    <w:p w14:paraId="7926F37E" w14:textId="2F76A42C"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C446C" w:rsidRPr="004906C5">
        <w:rPr>
          <w:rFonts w:asciiTheme="minorHAnsi" w:hAnsiTheme="minorHAnsi" w:cstheme="minorHAnsi"/>
        </w:rPr>
        <w:t>D Brereton, J Parmenter, ‘</w:t>
      </w:r>
      <w:hyperlink r:id="rId186" w:history="1">
        <w:r w:rsidR="00EC446C" w:rsidRPr="004906C5">
          <w:rPr>
            <w:rStyle w:val="Hyperlink"/>
            <w:rFonts w:asciiTheme="minorHAnsi" w:hAnsiTheme="minorHAnsi" w:cstheme="minorHAnsi"/>
          </w:rPr>
          <w:t>Indigenous Employment in the Australian Mining Industry</w:t>
        </w:r>
      </w:hyperlink>
      <w:r w:rsidR="00EC446C" w:rsidRPr="004906C5">
        <w:rPr>
          <w:rFonts w:asciiTheme="minorHAnsi" w:hAnsiTheme="minorHAnsi" w:cstheme="minorHAnsi"/>
        </w:rPr>
        <w:t xml:space="preserve">’, </w:t>
      </w:r>
      <w:r w:rsidR="00EC446C" w:rsidRPr="00AD23E6">
        <w:rPr>
          <w:rFonts w:asciiTheme="minorHAnsi" w:hAnsiTheme="minorHAnsi" w:cstheme="minorHAnsi"/>
          <w:i/>
          <w:iCs/>
        </w:rPr>
        <w:t>Journal of Energy &amp; Natural Resources Law</w:t>
      </w:r>
      <w:r w:rsidR="00EC446C" w:rsidRPr="004906C5">
        <w:rPr>
          <w:rFonts w:asciiTheme="minorHAnsi" w:hAnsiTheme="minorHAnsi" w:cstheme="minorHAnsi"/>
        </w:rPr>
        <w:t xml:space="preserve">, 2008, 26(1), 66-90, accessed September 2023, </w:t>
      </w:r>
      <w:r w:rsidR="00AD23E6">
        <w:rPr>
          <w:rFonts w:asciiTheme="minorHAnsi" w:hAnsiTheme="minorHAnsi" w:cstheme="minorHAnsi"/>
        </w:rPr>
        <w:t>doi</w:t>
      </w:r>
      <w:r w:rsidR="00EC446C" w:rsidRPr="004906C5">
        <w:rPr>
          <w:rFonts w:asciiTheme="minorHAnsi" w:hAnsiTheme="minorHAnsi" w:cstheme="minorHAnsi"/>
        </w:rPr>
        <w:t>:10.1080/02646811.2008.11435178.</w:t>
      </w:r>
    </w:p>
  </w:endnote>
  <w:endnote w:id="196">
    <w:p w14:paraId="6D844E51" w14:textId="0A08F0D9" w:rsidR="004F251F" w:rsidRPr="004906C5" w:rsidRDefault="004F251F" w:rsidP="00E3749F">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3749F">
        <w:rPr>
          <w:rFonts w:asciiTheme="minorHAnsi" w:hAnsiTheme="minorHAnsi" w:cstheme="minorHAnsi"/>
        </w:rPr>
        <w:tab/>
      </w:r>
      <w:r w:rsidR="00AD23E6">
        <w:rPr>
          <w:rFonts w:asciiTheme="minorHAnsi" w:hAnsiTheme="minorHAnsi" w:cstheme="minorHAnsi"/>
        </w:rPr>
        <w:t>NIAA</w:t>
      </w:r>
      <w:r w:rsidR="00AD23E6" w:rsidRPr="004906C5">
        <w:rPr>
          <w:rFonts w:asciiTheme="minorHAnsi" w:hAnsiTheme="minorHAnsi" w:cstheme="minorHAnsi"/>
        </w:rPr>
        <w:t xml:space="preserve"> </w:t>
      </w:r>
      <w:r w:rsidR="00AD23E6">
        <w:rPr>
          <w:rFonts w:asciiTheme="minorHAnsi" w:hAnsiTheme="minorHAnsi" w:cstheme="minorHAnsi"/>
        </w:rPr>
        <w:t>(</w:t>
      </w:r>
      <w:r w:rsidRPr="004906C5">
        <w:rPr>
          <w:rFonts w:asciiTheme="minorHAnsi" w:hAnsiTheme="minorHAnsi" w:cstheme="minorHAnsi"/>
        </w:rPr>
        <w:t>National Indigenous Australians Agency</w:t>
      </w:r>
      <w:r w:rsidR="0051562C">
        <w:rPr>
          <w:rFonts w:asciiTheme="minorHAnsi" w:hAnsiTheme="minorHAnsi" w:cstheme="minorHAnsi"/>
        </w:rPr>
        <w:t>)</w:t>
      </w:r>
      <w:r w:rsidR="000A5F77" w:rsidRPr="004906C5">
        <w:rPr>
          <w:rFonts w:asciiTheme="minorHAnsi" w:hAnsiTheme="minorHAnsi" w:cstheme="minorHAnsi"/>
        </w:rPr>
        <w:t>,</w:t>
      </w:r>
      <w:r w:rsidRPr="004906C5">
        <w:rPr>
          <w:rFonts w:asciiTheme="minorHAnsi" w:hAnsiTheme="minorHAnsi" w:cstheme="minorHAnsi"/>
        </w:rPr>
        <w:t xml:space="preserve"> </w:t>
      </w:r>
      <w:hyperlink r:id="rId187" w:history="1">
        <w:r w:rsidRPr="00E3749F">
          <w:rPr>
            <w:rStyle w:val="Hyperlink"/>
            <w:rFonts w:asciiTheme="minorHAnsi" w:hAnsiTheme="minorHAnsi" w:cstheme="minorHAnsi"/>
            <w:i/>
          </w:rPr>
          <w:t>2023-24 Budget: Investing in a better future for Aboriginal and Torres Strait Islander People</w:t>
        </w:r>
      </w:hyperlink>
      <w:r w:rsidR="002624E4">
        <w:rPr>
          <w:rFonts w:asciiTheme="minorHAnsi" w:hAnsiTheme="minorHAnsi" w:cstheme="minorHAnsi"/>
        </w:rPr>
        <w:t xml:space="preserve"> [media release],</w:t>
      </w:r>
      <w:r w:rsidRPr="004906C5">
        <w:rPr>
          <w:rFonts w:asciiTheme="minorHAnsi" w:hAnsiTheme="minorHAnsi" w:cstheme="minorHAnsi"/>
        </w:rPr>
        <w:t xml:space="preserve"> N</w:t>
      </w:r>
      <w:r w:rsidR="00E3749F">
        <w:rPr>
          <w:rFonts w:asciiTheme="minorHAnsi" w:hAnsiTheme="minorHAnsi" w:cstheme="minorHAnsi"/>
        </w:rPr>
        <w:t>IAA website</w:t>
      </w:r>
      <w:r w:rsidR="000A5F77" w:rsidRPr="004906C5">
        <w:rPr>
          <w:rFonts w:asciiTheme="minorHAnsi" w:hAnsiTheme="minorHAnsi" w:cstheme="minorHAnsi"/>
        </w:rPr>
        <w:t xml:space="preserve">, </w:t>
      </w:r>
      <w:r w:rsidR="002A3485">
        <w:rPr>
          <w:rFonts w:asciiTheme="minorHAnsi" w:hAnsiTheme="minorHAnsi" w:cstheme="minorHAnsi"/>
        </w:rPr>
        <w:t>Australian Government,</w:t>
      </w:r>
      <w:r w:rsidR="002A3485" w:rsidRPr="004906C5">
        <w:rPr>
          <w:rFonts w:asciiTheme="minorHAnsi" w:hAnsiTheme="minorHAnsi" w:cstheme="minorHAnsi"/>
        </w:rPr>
        <w:t xml:space="preserve"> </w:t>
      </w:r>
      <w:r w:rsidR="00E3749F">
        <w:rPr>
          <w:rFonts w:asciiTheme="minorHAnsi" w:hAnsiTheme="minorHAnsi" w:cstheme="minorHAnsi"/>
        </w:rPr>
        <w:t xml:space="preserve">9 May 2023, </w:t>
      </w:r>
      <w:r w:rsidR="002A3485">
        <w:rPr>
          <w:rFonts w:asciiTheme="minorHAnsi" w:hAnsiTheme="minorHAnsi" w:cstheme="minorHAnsi"/>
        </w:rPr>
        <w:t>a</w:t>
      </w:r>
      <w:r w:rsidR="00E3749F">
        <w:rPr>
          <w:rFonts w:asciiTheme="minorHAnsi" w:hAnsiTheme="minorHAnsi" w:cstheme="minorHAnsi"/>
        </w:rPr>
        <w:t xml:space="preserve">ccessed September </w:t>
      </w:r>
      <w:r w:rsidR="000A5F77" w:rsidRPr="004906C5">
        <w:rPr>
          <w:rFonts w:asciiTheme="minorHAnsi" w:hAnsiTheme="minorHAnsi" w:cstheme="minorHAnsi"/>
        </w:rPr>
        <w:t>2023</w:t>
      </w:r>
      <w:r w:rsidR="00E3749F">
        <w:rPr>
          <w:rFonts w:asciiTheme="minorHAnsi" w:hAnsiTheme="minorHAnsi" w:cstheme="minorHAnsi"/>
        </w:rPr>
        <w:t>.</w:t>
      </w:r>
    </w:p>
  </w:endnote>
  <w:endnote w:id="197">
    <w:p w14:paraId="62B78F7C" w14:textId="4D858798"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C52FB2" w:rsidRPr="004906C5">
        <w:rPr>
          <w:rFonts w:asciiTheme="minorHAnsi" w:hAnsiTheme="minorHAnsi" w:cstheme="minorHAnsi"/>
        </w:rPr>
        <w:t>S Holcombe, V Elliott, A Keeling, M Berryman, R Hall, R Ngaamo, C Beckett, W Moon, M Hudson, N Kusabs and Ross River Lands Office, ‘</w:t>
      </w:r>
      <w:hyperlink r:id="rId188" w:anchor=":~:text=The%20Forum%20and%20subsequent%20report,First%20Nations%20groups%20and%20industry." w:history="1">
        <w:r w:rsidR="00C52FB2" w:rsidRPr="004906C5">
          <w:rPr>
            <w:rStyle w:val="Hyperlink"/>
            <w:rFonts w:asciiTheme="minorHAnsi" w:hAnsiTheme="minorHAnsi" w:cstheme="minorHAnsi"/>
          </w:rPr>
          <w:t>Indigenous Exchange Forum: Transitions in mine closure</w:t>
        </w:r>
      </w:hyperlink>
      <w:r w:rsidR="00C52FB2" w:rsidRPr="004906C5">
        <w:rPr>
          <w:rFonts w:asciiTheme="minorHAnsi" w:hAnsiTheme="minorHAnsi" w:cstheme="minorHAnsi"/>
        </w:rPr>
        <w:t>’, St Lucia: Centre for Social Responsibility in Mining, University of Queensland, 2022, accessed September 2023.</w:t>
      </w:r>
    </w:p>
  </w:endnote>
  <w:endnote w:id="198">
    <w:p w14:paraId="37086C14" w14:textId="1206FDB4"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0B6B8E" w:rsidRPr="004906C5">
        <w:rPr>
          <w:rFonts w:asciiTheme="minorHAnsi" w:hAnsiTheme="minorHAnsi" w:cstheme="minorHAnsi"/>
        </w:rPr>
        <w:t>Australian Law Reform Commission (ALRC), ‘</w:t>
      </w:r>
      <w:hyperlink r:id="rId189" w:history="1">
        <w:r w:rsidR="000B6B8E" w:rsidRPr="004906C5">
          <w:rPr>
            <w:rStyle w:val="Hyperlink"/>
            <w:rFonts w:asciiTheme="minorHAnsi" w:hAnsiTheme="minorHAnsi" w:cstheme="minorHAnsi"/>
          </w:rPr>
          <w:t>Pathways to Justice - Inquiry into the Incarceration Rate of Aboriginal and Torres Strait Islander Peoples</w:t>
        </w:r>
      </w:hyperlink>
      <w:r w:rsidR="000B6B8E" w:rsidRPr="004906C5">
        <w:rPr>
          <w:rFonts w:asciiTheme="minorHAnsi" w:hAnsiTheme="minorHAnsi" w:cstheme="minorHAnsi"/>
        </w:rPr>
        <w:t>’, Final Report No 133, ARLC, 2017, accessed September 2023.</w:t>
      </w:r>
    </w:p>
  </w:endnote>
  <w:endnote w:id="199">
    <w:p w14:paraId="5927018C" w14:textId="2064A132" w:rsidR="00E13239" w:rsidRPr="004906C5" w:rsidRDefault="00E13239" w:rsidP="004906C5">
      <w:pPr>
        <w:pStyle w:val="EndnoteText"/>
        <w:spacing w:before="120" w:after="120"/>
        <w:ind w:left="720" w:hanging="720"/>
        <w:rPr>
          <w:rFonts w:asciiTheme="minorHAnsi" w:hAnsiTheme="minorHAnsi" w:cstheme="minorHAnsi"/>
        </w:rPr>
      </w:pPr>
      <w:r w:rsidRPr="003959C8">
        <w:rPr>
          <w:rFonts w:asciiTheme="minorHAnsi" w:hAnsiTheme="minorHAnsi" w:cstheme="minorHAnsi"/>
        </w:rPr>
        <w:endnoteRef/>
      </w:r>
      <w:r w:rsidRPr="003959C8">
        <w:rPr>
          <w:rFonts w:asciiTheme="minorHAnsi" w:hAnsiTheme="minorHAnsi" w:cstheme="minorHAnsi"/>
        </w:rPr>
        <w:t xml:space="preserve"> </w:t>
      </w:r>
      <w:r w:rsidRPr="003959C8">
        <w:rPr>
          <w:rFonts w:asciiTheme="minorHAnsi" w:hAnsiTheme="minorHAnsi" w:cstheme="minorHAnsi"/>
        </w:rPr>
        <w:tab/>
      </w:r>
      <w:r w:rsidR="003959C8" w:rsidRPr="003959C8">
        <w:rPr>
          <w:rFonts w:asciiTheme="minorHAnsi" w:hAnsiTheme="minorHAnsi" w:cstheme="minorHAnsi"/>
        </w:rPr>
        <w:t xml:space="preserve">Australian Human Rights Commission, </w:t>
      </w:r>
      <w:hyperlink r:id="rId190" w:anchor=":~:text=Is%20discrimination%20on%20the%20basis%20of%20criminal%20record%20unlawful%3F,to%20resolve%20them%20by%20conciliation." w:history="1">
        <w:r w:rsidRPr="002A3485">
          <w:rPr>
            <w:rStyle w:val="Hyperlink"/>
            <w:rFonts w:asciiTheme="minorHAnsi" w:hAnsiTheme="minorHAnsi" w:cstheme="minorHAnsi"/>
            <w:i/>
            <w:iCs/>
          </w:rPr>
          <w:t>Discrimination in Employment on the Basis of Criminal Record</w:t>
        </w:r>
      </w:hyperlink>
      <w:r w:rsidR="003959C8" w:rsidRPr="003959C8">
        <w:rPr>
          <w:rFonts w:asciiTheme="minorHAnsi" w:hAnsiTheme="minorHAnsi" w:cstheme="minorHAnsi"/>
        </w:rPr>
        <w:t>,</w:t>
      </w:r>
      <w:r w:rsidRPr="003959C8">
        <w:rPr>
          <w:rFonts w:asciiTheme="minorHAnsi" w:hAnsiTheme="minorHAnsi" w:cstheme="minorHAnsi"/>
        </w:rPr>
        <w:t xml:space="preserve"> Australian </w:t>
      </w:r>
      <w:r w:rsidR="003959C8" w:rsidRPr="003959C8">
        <w:rPr>
          <w:rFonts w:asciiTheme="minorHAnsi" w:hAnsiTheme="minorHAnsi" w:cstheme="minorHAnsi"/>
        </w:rPr>
        <w:t>Human Rights</w:t>
      </w:r>
      <w:r w:rsidRPr="003959C8">
        <w:rPr>
          <w:rFonts w:asciiTheme="minorHAnsi" w:hAnsiTheme="minorHAnsi" w:cstheme="minorHAnsi"/>
        </w:rPr>
        <w:t xml:space="preserve"> Commission</w:t>
      </w:r>
      <w:r w:rsidR="003959C8" w:rsidRPr="003959C8">
        <w:rPr>
          <w:rFonts w:asciiTheme="minorHAnsi" w:hAnsiTheme="minorHAnsi" w:cstheme="minorHAnsi"/>
        </w:rPr>
        <w:t xml:space="preserve"> website,</w:t>
      </w:r>
      <w:r w:rsidRPr="003959C8">
        <w:rPr>
          <w:rFonts w:asciiTheme="minorHAnsi" w:hAnsiTheme="minorHAnsi" w:cstheme="minorHAnsi"/>
        </w:rPr>
        <w:t xml:space="preserve"> </w:t>
      </w:r>
      <w:r w:rsidR="002A3485">
        <w:rPr>
          <w:rFonts w:asciiTheme="minorHAnsi" w:hAnsiTheme="minorHAnsi" w:cstheme="minorHAnsi"/>
        </w:rPr>
        <w:t xml:space="preserve">Australian Government, </w:t>
      </w:r>
      <w:r w:rsidR="003959C8" w:rsidRPr="003959C8">
        <w:rPr>
          <w:rFonts w:asciiTheme="minorHAnsi" w:hAnsiTheme="minorHAnsi" w:cstheme="minorHAnsi"/>
        </w:rPr>
        <w:t xml:space="preserve">1 April </w:t>
      </w:r>
      <w:r w:rsidRPr="003959C8">
        <w:rPr>
          <w:rFonts w:asciiTheme="minorHAnsi" w:hAnsiTheme="minorHAnsi" w:cstheme="minorHAnsi"/>
        </w:rPr>
        <w:t>2013</w:t>
      </w:r>
      <w:r w:rsidR="003959C8" w:rsidRPr="003959C8">
        <w:rPr>
          <w:rFonts w:asciiTheme="minorHAnsi" w:hAnsiTheme="minorHAnsi" w:cstheme="minorHAnsi"/>
        </w:rPr>
        <w:t>, accessed September 2023.</w:t>
      </w:r>
      <w:r w:rsidR="003959C8">
        <w:rPr>
          <w:rFonts w:asciiTheme="minorHAnsi" w:hAnsiTheme="minorHAnsi" w:cstheme="minorHAnsi"/>
        </w:rPr>
        <w:t xml:space="preserve"> </w:t>
      </w:r>
    </w:p>
  </w:endnote>
  <w:endnote w:id="200">
    <w:p w14:paraId="14751689" w14:textId="66160EEA" w:rsidR="666E5F89" w:rsidRPr="004906C5" w:rsidRDefault="666E5F89" w:rsidP="00EF5665">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F5665">
        <w:rPr>
          <w:rFonts w:asciiTheme="minorHAnsi" w:hAnsiTheme="minorHAnsi" w:cstheme="minorHAnsi"/>
        </w:rPr>
        <w:tab/>
      </w:r>
      <w:r w:rsidR="00EF5665" w:rsidRPr="00EF5665">
        <w:rPr>
          <w:rFonts w:asciiTheme="minorHAnsi" w:hAnsiTheme="minorHAnsi" w:cstheme="minorHAnsi"/>
        </w:rPr>
        <w:t>Z Staines, J Altman, E Klein</w:t>
      </w:r>
      <w:r w:rsidR="00EF5665">
        <w:rPr>
          <w:rFonts w:asciiTheme="minorHAnsi" w:hAnsiTheme="minorHAnsi" w:cstheme="minorHAnsi"/>
        </w:rPr>
        <w:t xml:space="preserve"> and</w:t>
      </w:r>
      <w:r w:rsidR="00EF5665" w:rsidRPr="00EF5665">
        <w:rPr>
          <w:rFonts w:asciiTheme="minorHAnsi" w:hAnsiTheme="minorHAnsi" w:cstheme="minorHAnsi"/>
        </w:rPr>
        <w:t xml:space="preserve"> F</w:t>
      </w:r>
      <w:r w:rsidR="00EF5665">
        <w:rPr>
          <w:rFonts w:asciiTheme="minorHAnsi" w:hAnsiTheme="minorHAnsi" w:cstheme="minorHAnsi"/>
        </w:rPr>
        <w:t xml:space="preserve"> </w:t>
      </w:r>
      <w:r w:rsidR="00EF5665" w:rsidRPr="00EF5665">
        <w:rPr>
          <w:rFonts w:asciiTheme="minorHAnsi" w:hAnsiTheme="minorHAnsi" w:cstheme="minorHAnsi"/>
        </w:rPr>
        <w:t>Markham</w:t>
      </w:r>
      <w:r w:rsidR="00EF5665">
        <w:rPr>
          <w:rFonts w:asciiTheme="minorHAnsi" w:hAnsiTheme="minorHAnsi" w:cstheme="minorHAnsi"/>
        </w:rPr>
        <w:t>,</w:t>
      </w:r>
      <w:r w:rsidR="00EF5665" w:rsidRPr="00EF5665">
        <w:rPr>
          <w:rFonts w:asciiTheme="minorHAnsi" w:hAnsiTheme="minorHAnsi" w:cstheme="minorHAnsi"/>
        </w:rPr>
        <w:t xml:space="preserve"> </w:t>
      </w:r>
      <w:hyperlink r:id="rId191" w:history="1">
        <w:r w:rsidR="00AD23E6" w:rsidRPr="00AD23E6">
          <w:t xml:space="preserve"> </w:t>
        </w:r>
        <w:r w:rsidR="00AD23E6" w:rsidRPr="00AD23E6">
          <w:rPr>
            <w:rStyle w:val="Hyperlink"/>
            <w:rFonts w:asciiTheme="minorHAnsi" w:eastAsia="Arial" w:hAnsiTheme="minorHAnsi" w:cstheme="minorHAnsi"/>
            <w:i/>
            <w:iCs/>
          </w:rPr>
          <w:t xml:space="preserve">Remote Access: guiding principles for a new livelihood and work program in remote Indigenous Australia </w:t>
        </w:r>
        <w:r w:rsidR="00AD23E6" w:rsidRPr="00AD23E6">
          <w:rPr>
            <w:rStyle w:val="Hyperlink"/>
            <w:rFonts w:asciiTheme="minorHAnsi" w:eastAsia="Arial" w:hAnsiTheme="minorHAnsi" w:cstheme="minorHAnsi"/>
          </w:rPr>
          <w:t>[PDF 673KB]</w:t>
        </w:r>
      </w:hyperlink>
      <w:r w:rsidR="00AD23E6">
        <w:rPr>
          <w:rFonts w:asciiTheme="minorHAnsi" w:eastAsia="Arial" w:hAnsiTheme="minorHAnsi" w:cstheme="minorHAnsi"/>
        </w:rPr>
        <w:t>,</w:t>
      </w:r>
      <w:r w:rsidRPr="004906C5">
        <w:rPr>
          <w:rFonts w:asciiTheme="minorHAnsi" w:eastAsia="Arial" w:hAnsiTheme="minorHAnsi" w:cstheme="minorHAnsi"/>
        </w:rPr>
        <w:t>The Australia Institute</w:t>
      </w:r>
      <w:r w:rsidR="00EF5665">
        <w:rPr>
          <w:rFonts w:asciiTheme="minorHAnsi" w:eastAsia="Arial" w:hAnsiTheme="minorHAnsi" w:cstheme="minorHAnsi"/>
        </w:rPr>
        <w:t>,</w:t>
      </w:r>
      <w:r w:rsidRPr="004906C5">
        <w:rPr>
          <w:rFonts w:asciiTheme="minorHAnsi" w:eastAsia="Arial" w:hAnsiTheme="minorHAnsi" w:cstheme="minorHAnsi"/>
        </w:rPr>
        <w:t xml:space="preserve"> 2021</w:t>
      </w:r>
      <w:r w:rsidR="00EF5665">
        <w:rPr>
          <w:rFonts w:asciiTheme="minorHAnsi" w:eastAsia="Arial" w:hAnsiTheme="minorHAnsi" w:cstheme="minorHAnsi"/>
        </w:rPr>
        <w:t>, accessed September 2023.</w:t>
      </w:r>
    </w:p>
  </w:endnote>
  <w:endnote w:id="201">
    <w:p w14:paraId="15649836" w14:textId="48DAF1EC" w:rsidR="1D7970F3" w:rsidRPr="004906C5" w:rsidRDefault="1D7970F3" w:rsidP="004906C5">
      <w:pPr>
        <w:pStyle w:val="EndnoteText"/>
        <w:spacing w:before="120" w:after="120"/>
        <w:ind w:left="709" w:hanging="709"/>
        <w:rPr>
          <w:rFonts w:asciiTheme="minorHAnsi" w:eastAsia="Arial"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8E0B80" w:rsidRPr="004906C5">
        <w:rPr>
          <w:rFonts w:asciiTheme="minorHAnsi" w:hAnsiTheme="minorHAnsi" w:cstheme="minorHAnsi"/>
        </w:rPr>
        <w:tab/>
        <w:t xml:space="preserve">WA Government, </w:t>
      </w:r>
      <w:hyperlink r:id="rId192" w:history="1">
        <w:r w:rsidR="008E0B80" w:rsidRPr="004906C5">
          <w:rPr>
            <w:rStyle w:val="Hyperlink"/>
            <w:rFonts w:asciiTheme="minorHAnsi" w:hAnsiTheme="minorHAnsi" w:cstheme="minorHAnsi"/>
            <w:i/>
          </w:rPr>
          <w:t>Land allocation approvals for green industrial precinct in the Pilbara Government of Western Australia</w:t>
        </w:r>
      </w:hyperlink>
      <w:r w:rsidR="008E0B80" w:rsidRPr="004906C5">
        <w:rPr>
          <w:rFonts w:asciiTheme="minorHAnsi" w:hAnsiTheme="minorHAnsi" w:cstheme="minorHAnsi"/>
        </w:rPr>
        <w:t>, WA Government website, 2023, accessed September 2023.</w:t>
      </w:r>
    </w:p>
  </w:endnote>
  <w:endnote w:id="202">
    <w:p w14:paraId="4873403C" w14:textId="45F7E526"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733311" w:rsidRPr="004906C5">
        <w:rPr>
          <w:rFonts w:asciiTheme="minorHAnsi" w:hAnsiTheme="minorHAnsi" w:cstheme="minorHAnsi"/>
        </w:rPr>
        <w:t xml:space="preserve">J Altman, </w:t>
      </w:r>
      <w:hyperlink r:id="rId193" w:history="1">
        <w:r w:rsidRPr="004906C5">
          <w:rPr>
            <w:rStyle w:val="Hyperlink"/>
            <w:rFonts w:asciiTheme="minorHAnsi" w:hAnsiTheme="minorHAnsi" w:cstheme="minorHAnsi"/>
            <w:i/>
          </w:rPr>
          <w:t>The political ecology and political economy of the Indigenous titling ‘revolution’ in Australia</w:t>
        </w:r>
        <w:r w:rsidR="00733311" w:rsidRPr="004906C5">
          <w:rPr>
            <w:rStyle w:val="Hyperlink"/>
            <w:rFonts w:asciiTheme="minorHAnsi" w:hAnsiTheme="minorHAnsi" w:cstheme="minorHAnsi"/>
            <w:i/>
          </w:rPr>
          <w:t xml:space="preserve"> </w:t>
        </w:r>
        <w:r w:rsidR="00733311" w:rsidRPr="004906C5">
          <w:rPr>
            <w:rStyle w:val="Hyperlink"/>
            <w:rFonts w:asciiTheme="minorHAnsi" w:hAnsiTheme="minorHAnsi" w:cstheme="minorHAnsi"/>
          </w:rPr>
          <w:t>[PDF 1.82MB]</w:t>
        </w:r>
      </w:hyperlink>
      <w:r w:rsidR="00733311" w:rsidRPr="004906C5">
        <w:rPr>
          <w:rFonts w:asciiTheme="minorHAnsi" w:hAnsiTheme="minorHAnsi" w:cstheme="minorHAnsi"/>
        </w:rPr>
        <w:t>, Maori Law Review: Indigenous Law Speaker Series, 2014, accessed September 2023.</w:t>
      </w:r>
    </w:p>
  </w:endnote>
  <w:endnote w:id="203">
    <w:p w14:paraId="7D221C6B" w14:textId="1E857A12"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Pr>
          <w:rFonts w:asciiTheme="minorHAnsi" w:hAnsiTheme="minorHAnsi" w:cstheme="minorHAnsi"/>
        </w:rPr>
        <w:t>DCCEEW</w:t>
      </w:r>
      <w:r w:rsidR="00104C31">
        <w:rPr>
          <w:rFonts w:asciiTheme="minorHAnsi" w:hAnsiTheme="minorHAnsi" w:cstheme="minorHAnsi"/>
        </w:rPr>
        <w:t xml:space="preserve">, </w:t>
      </w:r>
      <w:hyperlink r:id="rId194" w:history="1">
        <w:r w:rsidRPr="00104C31">
          <w:rPr>
            <w:rStyle w:val="Hyperlink"/>
            <w:rFonts w:asciiTheme="minorHAnsi" w:hAnsiTheme="minorHAnsi" w:cstheme="minorHAnsi"/>
            <w:i/>
            <w:iCs/>
          </w:rPr>
          <w:t>First Nations Clean Energy Strategy</w:t>
        </w:r>
      </w:hyperlink>
      <w:r w:rsidR="003722D3">
        <w:rPr>
          <w:rFonts w:asciiTheme="minorHAnsi" w:hAnsiTheme="minorHAnsi" w:cstheme="minorHAnsi"/>
        </w:rPr>
        <w:t>,</w:t>
      </w:r>
      <w:r w:rsidR="0051562C">
        <w:rPr>
          <w:rFonts w:asciiTheme="minorHAnsi" w:hAnsiTheme="minorHAnsi" w:cstheme="minorHAnsi"/>
        </w:rPr>
        <w:t xml:space="preserve"> </w:t>
      </w:r>
      <w:r w:rsidR="00104C31">
        <w:rPr>
          <w:rFonts w:asciiTheme="minorHAnsi" w:hAnsiTheme="minorHAnsi" w:cstheme="minorHAnsi"/>
        </w:rPr>
        <w:t>DCCEEW website,</w:t>
      </w:r>
      <w:r w:rsidRPr="004906C5">
        <w:rPr>
          <w:rFonts w:asciiTheme="minorHAnsi" w:hAnsiTheme="minorHAnsi" w:cstheme="minorHAnsi"/>
        </w:rPr>
        <w:t xml:space="preserve"> </w:t>
      </w:r>
      <w:r w:rsidR="007E58A7">
        <w:rPr>
          <w:rFonts w:asciiTheme="minorHAnsi" w:hAnsiTheme="minorHAnsi" w:cstheme="minorHAnsi"/>
        </w:rPr>
        <w:t>Australian Government,</w:t>
      </w:r>
      <w:r w:rsidR="007E58A7" w:rsidRPr="004906C5">
        <w:rPr>
          <w:rFonts w:asciiTheme="minorHAnsi" w:hAnsiTheme="minorHAnsi" w:cstheme="minorHAnsi"/>
        </w:rPr>
        <w:t xml:space="preserve"> </w:t>
      </w:r>
      <w:r w:rsidRPr="004906C5">
        <w:rPr>
          <w:rFonts w:asciiTheme="minorHAnsi" w:hAnsiTheme="minorHAnsi" w:cstheme="minorHAnsi"/>
        </w:rPr>
        <w:t>2023</w:t>
      </w:r>
      <w:r w:rsidR="00104C31">
        <w:rPr>
          <w:rFonts w:asciiTheme="minorHAnsi" w:hAnsiTheme="minorHAnsi" w:cstheme="minorHAnsi"/>
        </w:rPr>
        <w:t>, accessed September 203.</w:t>
      </w:r>
    </w:p>
  </w:endnote>
  <w:endnote w:id="204">
    <w:p w14:paraId="46FB72AF" w14:textId="30CA5876" w:rsidR="03D1716F" w:rsidRPr="004906C5" w:rsidRDefault="03D1716F" w:rsidP="009F443E">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F443E">
        <w:rPr>
          <w:rFonts w:asciiTheme="minorHAnsi" w:hAnsiTheme="minorHAnsi" w:cstheme="minorHAnsi"/>
        </w:rPr>
        <w:tab/>
      </w:r>
      <w:r w:rsidR="004218C4" w:rsidRPr="004218C4">
        <w:rPr>
          <w:rFonts w:asciiTheme="minorHAnsi" w:eastAsia="Arial" w:hAnsiTheme="minorHAnsi" w:cstheme="minorHAnsi"/>
        </w:rPr>
        <w:t>OECD</w:t>
      </w:r>
      <w:r w:rsidR="004218C4" w:rsidRPr="004906C5">
        <w:rPr>
          <w:rFonts w:asciiTheme="minorHAnsi" w:hAnsiTheme="minorHAnsi" w:cstheme="minorHAnsi"/>
        </w:rPr>
        <w:t xml:space="preserve">, </w:t>
      </w:r>
      <w:r w:rsidR="009F443E">
        <w:rPr>
          <w:rFonts w:asciiTheme="minorHAnsi" w:hAnsiTheme="minorHAnsi" w:cstheme="minorHAnsi"/>
        </w:rPr>
        <w:t>‘</w:t>
      </w:r>
      <w:hyperlink r:id="rId195" w:history="1">
        <w:r w:rsidR="004218C4" w:rsidRPr="009F443E">
          <w:rPr>
            <w:rStyle w:val="Hyperlink"/>
            <w:rFonts w:asciiTheme="minorHAnsi" w:eastAsia="Arial" w:hAnsiTheme="minorHAnsi" w:cstheme="minorHAnsi"/>
          </w:rPr>
          <w:t>Linking Indigenous Communities with Regional Development in Canada</w:t>
        </w:r>
      </w:hyperlink>
      <w:r w:rsidR="009F443E">
        <w:rPr>
          <w:rFonts w:asciiTheme="minorHAnsi" w:eastAsia="Arial" w:hAnsiTheme="minorHAnsi" w:cstheme="minorHAnsi"/>
        </w:rPr>
        <w:t>’</w:t>
      </w:r>
      <w:r w:rsidR="004218C4" w:rsidRPr="004218C4">
        <w:rPr>
          <w:rFonts w:asciiTheme="minorHAnsi" w:eastAsia="Arial" w:hAnsiTheme="minorHAnsi" w:cstheme="minorHAnsi"/>
        </w:rPr>
        <w:t xml:space="preserve">, OECD Rural Policy Reviews, OECD Publishing, </w:t>
      </w:r>
      <w:r w:rsidR="009F443E">
        <w:rPr>
          <w:rFonts w:asciiTheme="minorHAnsi" w:eastAsia="Arial" w:hAnsiTheme="minorHAnsi" w:cstheme="minorHAnsi"/>
        </w:rPr>
        <w:t xml:space="preserve">2020, </w:t>
      </w:r>
      <w:r w:rsidR="004218C4" w:rsidRPr="004218C4">
        <w:rPr>
          <w:rFonts w:asciiTheme="minorHAnsi" w:eastAsia="Arial" w:hAnsiTheme="minorHAnsi" w:cstheme="minorHAnsi"/>
        </w:rPr>
        <w:t>https://doi.org/10.1787/fa0f60c6-en.</w:t>
      </w:r>
    </w:p>
  </w:endnote>
  <w:endnote w:id="205">
    <w:p w14:paraId="01F5E0A0" w14:textId="44CFD346" w:rsidR="03D1716F" w:rsidRPr="004906C5" w:rsidRDefault="03D1716F" w:rsidP="004218C4">
      <w:pPr>
        <w:pStyle w:val="EndnoteText"/>
        <w:spacing w:before="120" w:after="120"/>
        <w:ind w:left="709" w:hanging="709"/>
        <w:rPr>
          <w:rFonts w:asciiTheme="minorHAnsi" w:eastAsia="Calibr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4218C4">
        <w:rPr>
          <w:rFonts w:asciiTheme="minorHAnsi" w:hAnsiTheme="minorHAnsi" w:cstheme="minorHAnsi"/>
        </w:rPr>
        <w:tab/>
      </w:r>
      <w:r w:rsidR="002A7B52">
        <w:rPr>
          <w:rFonts w:asciiTheme="minorHAnsi" w:eastAsia="Calibri" w:hAnsiTheme="minorHAnsi" w:cstheme="minorHAnsi"/>
        </w:rPr>
        <w:t>AIHW,</w:t>
      </w:r>
      <w:r w:rsidR="002A7B52" w:rsidRPr="004906C5">
        <w:rPr>
          <w:rFonts w:asciiTheme="minorHAnsi" w:eastAsia="Calibri" w:hAnsiTheme="minorHAnsi" w:cstheme="minorHAnsi"/>
        </w:rPr>
        <w:t xml:space="preserve"> </w:t>
      </w:r>
      <w:hyperlink r:id="rId196" w:history="1">
        <w:r w:rsidRPr="004218C4">
          <w:rPr>
            <w:rStyle w:val="Hyperlink"/>
            <w:rFonts w:asciiTheme="minorHAnsi" w:eastAsia="Calibri" w:hAnsiTheme="minorHAnsi" w:cstheme="minorHAnsi"/>
            <w:i/>
            <w:iCs/>
          </w:rPr>
          <w:t>People with Disability in Australia</w:t>
        </w:r>
        <w:r w:rsidR="002A7B52" w:rsidRPr="004218C4">
          <w:rPr>
            <w:rStyle w:val="Hyperlink"/>
            <w:rFonts w:asciiTheme="minorHAnsi" w:eastAsia="Calibri" w:hAnsiTheme="minorHAnsi" w:cstheme="minorHAnsi"/>
            <w:i/>
            <w:iCs/>
          </w:rPr>
          <w:t>, Prevalence of Disability</w:t>
        </w:r>
      </w:hyperlink>
      <w:r w:rsidRPr="004218C4">
        <w:rPr>
          <w:rFonts w:asciiTheme="minorHAnsi" w:eastAsia="Calibri" w:hAnsiTheme="minorHAnsi" w:cstheme="minorHAnsi"/>
          <w:i/>
          <w:iCs/>
        </w:rPr>
        <w:t>,</w:t>
      </w:r>
      <w:r w:rsidR="002A7B52" w:rsidRPr="004218C4">
        <w:rPr>
          <w:rFonts w:asciiTheme="minorHAnsi" w:eastAsia="Calibri" w:hAnsiTheme="minorHAnsi" w:cstheme="minorHAnsi"/>
          <w:i/>
          <w:iCs/>
        </w:rPr>
        <w:t xml:space="preserve"> </w:t>
      </w:r>
      <w:r w:rsidR="002A7B52">
        <w:rPr>
          <w:rFonts w:asciiTheme="minorHAnsi" w:eastAsia="Calibri" w:hAnsiTheme="minorHAnsi" w:cstheme="minorHAnsi"/>
        </w:rPr>
        <w:t>5 July</w:t>
      </w:r>
      <w:r w:rsidRPr="004906C5">
        <w:rPr>
          <w:rFonts w:asciiTheme="minorHAnsi" w:eastAsia="Calibri" w:hAnsiTheme="minorHAnsi" w:cstheme="minorHAnsi"/>
        </w:rPr>
        <w:t xml:space="preserve"> 2022,</w:t>
      </w:r>
      <w:r w:rsidR="00503306">
        <w:rPr>
          <w:rFonts w:asciiTheme="minorHAnsi" w:eastAsia="Calibri" w:hAnsiTheme="minorHAnsi" w:cstheme="minorHAnsi"/>
        </w:rPr>
        <w:t xml:space="preserve"> </w:t>
      </w:r>
      <w:r w:rsidR="002A7B52">
        <w:rPr>
          <w:rFonts w:asciiTheme="minorHAnsi" w:eastAsia="Calibri" w:hAnsiTheme="minorHAnsi" w:cstheme="minorHAnsi"/>
        </w:rPr>
        <w:t>AIHW website,</w:t>
      </w:r>
      <w:r w:rsidR="006C2BF9">
        <w:rPr>
          <w:rFonts w:asciiTheme="minorHAnsi" w:eastAsia="Calibri" w:hAnsiTheme="minorHAnsi" w:cstheme="minorHAnsi"/>
        </w:rPr>
        <w:t xml:space="preserve"> Australia</w:t>
      </w:r>
      <w:r w:rsidR="00524848">
        <w:rPr>
          <w:rFonts w:asciiTheme="minorHAnsi" w:eastAsia="Calibri" w:hAnsiTheme="minorHAnsi" w:cstheme="minorHAnsi"/>
        </w:rPr>
        <w:t>n</w:t>
      </w:r>
      <w:r w:rsidR="006C2BF9">
        <w:rPr>
          <w:rFonts w:asciiTheme="minorHAnsi" w:eastAsia="Calibri" w:hAnsiTheme="minorHAnsi" w:cstheme="minorHAnsi"/>
        </w:rPr>
        <w:t xml:space="preserve"> Government,</w:t>
      </w:r>
      <w:r w:rsidR="002A7B52">
        <w:rPr>
          <w:rFonts w:asciiTheme="minorHAnsi" w:eastAsia="Calibri" w:hAnsiTheme="minorHAnsi" w:cstheme="minorHAnsi"/>
        </w:rPr>
        <w:t xml:space="preserve"> </w:t>
      </w:r>
      <w:r w:rsidRPr="004906C5">
        <w:rPr>
          <w:rFonts w:asciiTheme="minorHAnsi" w:eastAsia="Calibri" w:hAnsiTheme="minorHAnsi" w:cstheme="minorHAnsi"/>
        </w:rPr>
        <w:t xml:space="preserve">accessed September 2023. </w:t>
      </w:r>
    </w:p>
  </w:endnote>
  <w:endnote w:id="206">
    <w:p w14:paraId="20A91F92" w14:textId="4BD3B423"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Pr>
          <w:rFonts w:asciiTheme="minorHAnsi" w:hAnsiTheme="minorHAnsi" w:cstheme="minorHAnsi"/>
        </w:rPr>
        <w:t>CEC</w:t>
      </w:r>
      <w:r w:rsidR="00EC6F9C" w:rsidRPr="004906C5">
        <w:rPr>
          <w:rFonts w:asciiTheme="minorHAnsi" w:hAnsiTheme="minorHAnsi" w:cstheme="minorHAnsi"/>
        </w:rPr>
        <w:t>, ‘</w:t>
      </w:r>
      <w:hyperlink r:id="rId197" w:history="1">
        <w:r w:rsidR="00EC6F9C" w:rsidRPr="004906C5">
          <w:rPr>
            <w:rStyle w:val="Hyperlink"/>
            <w:rFonts w:asciiTheme="minorHAnsi" w:hAnsiTheme="minorHAnsi" w:cstheme="minorHAnsi"/>
          </w:rPr>
          <w:t>Empowering Everyone: Diversity in the Australian Clean Energy Sector</w:t>
        </w:r>
      </w:hyperlink>
      <w:r w:rsidR="00EC6F9C" w:rsidRPr="004906C5">
        <w:rPr>
          <w:rFonts w:asciiTheme="minorHAnsi" w:hAnsiTheme="minorHAnsi" w:cstheme="minorHAnsi"/>
        </w:rPr>
        <w:t>’, C</w:t>
      </w:r>
      <w:r w:rsidR="00AD23E6">
        <w:rPr>
          <w:rFonts w:asciiTheme="minorHAnsi" w:hAnsiTheme="minorHAnsi" w:cstheme="minorHAnsi"/>
        </w:rPr>
        <w:t>EC</w:t>
      </w:r>
      <w:r w:rsidR="00EC6F9C" w:rsidRPr="004906C5">
        <w:rPr>
          <w:rFonts w:asciiTheme="minorHAnsi" w:hAnsiTheme="minorHAnsi" w:cstheme="minorHAnsi"/>
        </w:rPr>
        <w:t>, 2021, accessed September 2023</w:t>
      </w:r>
      <w:r w:rsidR="00A66E98" w:rsidRPr="004906C5">
        <w:rPr>
          <w:rFonts w:asciiTheme="minorHAnsi" w:hAnsiTheme="minorHAnsi" w:cstheme="minorHAnsi"/>
        </w:rPr>
        <w:t xml:space="preserve">; </w:t>
      </w:r>
      <w:r w:rsidR="00EC16DE" w:rsidRPr="004906C5">
        <w:rPr>
          <w:rFonts w:asciiTheme="minorHAnsi" w:hAnsiTheme="minorHAnsi" w:cstheme="minorHAnsi"/>
        </w:rPr>
        <w:t xml:space="preserve">ABS, </w:t>
      </w:r>
      <w:hyperlink r:id="rId198" w:anchor=":~:text=In%202018%20there%20were%204.4,years%20and%20over%20had%20disability." w:history="1">
        <w:r w:rsidR="00A66E98" w:rsidRPr="004906C5">
          <w:rPr>
            <w:rStyle w:val="Hyperlink"/>
            <w:rFonts w:asciiTheme="minorHAnsi" w:hAnsiTheme="minorHAnsi" w:cstheme="minorHAnsi"/>
            <w:i/>
            <w:iCs/>
          </w:rPr>
          <w:t>Disability, Ageing and Carers Australia: Summary of Findings</w:t>
        </w:r>
      </w:hyperlink>
      <w:r w:rsidR="00C27FB3" w:rsidRPr="004906C5">
        <w:rPr>
          <w:rFonts w:asciiTheme="minorHAnsi" w:hAnsiTheme="minorHAnsi" w:cstheme="minorHAnsi"/>
        </w:rPr>
        <w:t>,</w:t>
      </w:r>
      <w:r w:rsidR="00A66E98" w:rsidRPr="004906C5">
        <w:rPr>
          <w:rFonts w:asciiTheme="minorHAnsi" w:hAnsiTheme="minorHAnsi" w:cstheme="minorHAnsi"/>
        </w:rPr>
        <w:t xml:space="preserve"> ABS</w:t>
      </w:r>
      <w:r w:rsidR="00C27FB3" w:rsidRPr="004906C5">
        <w:rPr>
          <w:rFonts w:asciiTheme="minorHAnsi" w:hAnsiTheme="minorHAnsi" w:cstheme="minorHAnsi"/>
        </w:rPr>
        <w:t xml:space="preserve"> website, </w:t>
      </w:r>
      <w:r w:rsidR="00EC16DE" w:rsidRPr="004906C5">
        <w:rPr>
          <w:rFonts w:asciiTheme="minorHAnsi" w:hAnsiTheme="minorHAnsi" w:cstheme="minorHAnsi"/>
        </w:rPr>
        <w:t>24 October 2019, accessed September 2023</w:t>
      </w:r>
      <w:r w:rsidR="00A66E98" w:rsidRPr="004906C5">
        <w:rPr>
          <w:rFonts w:asciiTheme="minorHAnsi" w:hAnsiTheme="minorHAnsi" w:cstheme="minorHAnsi"/>
        </w:rPr>
        <w:t>.</w:t>
      </w:r>
    </w:p>
  </w:endnote>
  <w:endnote w:id="207">
    <w:p w14:paraId="1A055D2F" w14:textId="2AF5FFD0" w:rsidR="0016448E" w:rsidRPr="004906C5" w:rsidRDefault="0016448E"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96506F" w:rsidRPr="004906C5">
        <w:rPr>
          <w:rFonts w:asciiTheme="minorHAnsi" w:hAnsiTheme="minorHAnsi" w:cstheme="minorHAnsi"/>
        </w:rPr>
        <w:tab/>
      </w:r>
      <w:r w:rsidR="0096506F" w:rsidRPr="004906C5">
        <w:rPr>
          <w:rStyle w:val="ui-provider"/>
          <w:rFonts w:asciiTheme="minorHAnsi" w:hAnsiTheme="minorHAnsi" w:cstheme="minorHAnsi"/>
        </w:rPr>
        <w:t xml:space="preserve">Commonwealth of Australia, </w:t>
      </w:r>
      <w:hyperlink r:id="rId199" w:tgtFrame="_blank" w:tooltip="https://disability.royalcommission.gov.au/" w:history="1">
        <w:r w:rsidR="0096506F" w:rsidRPr="004906C5">
          <w:rPr>
            <w:rStyle w:val="Hyperlink"/>
            <w:rFonts w:asciiTheme="minorHAnsi" w:hAnsiTheme="minorHAnsi" w:cstheme="minorHAnsi"/>
            <w:i/>
            <w:iCs/>
          </w:rPr>
          <w:t>Royal Commission into Violence, Abuse, Neglect and Exploitation of People with Disability</w:t>
        </w:r>
      </w:hyperlink>
      <w:r w:rsidR="0096506F" w:rsidRPr="004906C5">
        <w:rPr>
          <w:rStyle w:val="ui-provider"/>
          <w:rFonts w:asciiTheme="minorHAnsi" w:hAnsiTheme="minorHAnsi" w:cstheme="minorHAnsi"/>
        </w:rPr>
        <w:t>, Royal Commission website, 2019-ongoing, accessed September 2023.</w:t>
      </w:r>
    </w:p>
  </w:endnote>
  <w:endnote w:id="208">
    <w:p w14:paraId="639A0545" w14:textId="3CBA7ADC" w:rsidR="00687F8A" w:rsidRPr="004906C5" w:rsidRDefault="00687F8A" w:rsidP="001E1AD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E1ADA">
        <w:rPr>
          <w:rFonts w:asciiTheme="minorHAnsi" w:hAnsiTheme="minorHAnsi" w:cstheme="minorHAnsi"/>
        </w:rPr>
        <w:tab/>
      </w:r>
      <w:r w:rsidR="00245D96">
        <w:rPr>
          <w:rFonts w:asciiTheme="minorHAnsi" w:hAnsiTheme="minorHAnsi" w:cstheme="minorHAnsi"/>
        </w:rPr>
        <w:t xml:space="preserve">J </w:t>
      </w:r>
      <w:r w:rsidR="00245D96" w:rsidRPr="00245D96">
        <w:rPr>
          <w:rFonts w:asciiTheme="minorHAnsi" w:hAnsiTheme="minorHAnsi" w:cstheme="minorHAnsi"/>
        </w:rPr>
        <w:t>Romanis</w:t>
      </w:r>
      <w:r w:rsidRPr="004906C5">
        <w:rPr>
          <w:rFonts w:asciiTheme="minorHAnsi" w:hAnsiTheme="minorHAnsi" w:cstheme="minorHAnsi"/>
        </w:rPr>
        <w:t xml:space="preserve">, </w:t>
      </w:r>
      <w:r w:rsidR="00245D96">
        <w:rPr>
          <w:rFonts w:asciiTheme="minorHAnsi" w:hAnsiTheme="minorHAnsi" w:cstheme="minorHAnsi"/>
        </w:rPr>
        <w:t>‘</w:t>
      </w:r>
      <w:hyperlink r:id="rId200" w:history="1">
        <w:r w:rsidRPr="00560579">
          <w:rPr>
            <w:rStyle w:val="Hyperlink"/>
            <w:rFonts w:asciiTheme="minorHAnsi" w:hAnsiTheme="minorHAnsi" w:cstheme="minorHAnsi"/>
          </w:rPr>
          <w:t>Barriers to employment for migrant engineers</w:t>
        </w:r>
      </w:hyperlink>
      <w:r w:rsidR="00245D96">
        <w:rPr>
          <w:rFonts w:asciiTheme="minorHAnsi" w:hAnsiTheme="minorHAnsi" w:cstheme="minorHAnsi"/>
        </w:rPr>
        <w:t>’</w:t>
      </w:r>
      <w:r w:rsidRPr="004906C5">
        <w:rPr>
          <w:rFonts w:asciiTheme="minorHAnsi" w:hAnsiTheme="minorHAnsi" w:cstheme="minorHAnsi"/>
        </w:rPr>
        <w:t>, Engineers Australia, 2021</w:t>
      </w:r>
      <w:r w:rsidR="00245D96">
        <w:rPr>
          <w:rFonts w:asciiTheme="minorHAnsi" w:hAnsiTheme="minorHAnsi" w:cstheme="minorHAnsi"/>
        </w:rPr>
        <w:t>, accessed September 2023.</w:t>
      </w:r>
    </w:p>
  </w:endnote>
  <w:endnote w:id="209">
    <w:p w14:paraId="3DCABC6E" w14:textId="2F2765B6" w:rsidR="005F3801" w:rsidRDefault="005F3801" w:rsidP="005F3801">
      <w:pPr>
        <w:pStyle w:val="EndnoteText"/>
        <w:spacing w:before="120" w:after="120"/>
        <w:ind w:left="720" w:hanging="720"/>
      </w:pPr>
      <w:r w:rsidRPr="005F3801">
        <w:rPr>
          <w:rFonts w:asciiTheme="minorHAnsi" w:hAnsiTheme="minorHAnsi" w:cstheme="minorHAnsi"/>
        </w:rPr>
        <w:endnoteRef/>
      </w:r>
      <w:r w:rsidRPr="005F3801">
        <w:rPr>
          <w:rFonts w:asciiTheme="minorHAnsi" w:hAnsiTheme="minorHAnsi" w:cstheme="minorHAnsi"/>
        </w:rPr>
        <w:t xml:space="preserve"> </w:t>
      </w:r>
      <w:r>
        <w:rPr>
          <w:rFonts w:asciiTheme="minorHAnsi" w:hAnsiTheme="minorHAnsi" w:cstheme="minorHAnsi"/>
        </w:rPr>
        <w:t xml:space="preserve">     </w:t>
      </w:r>
      <w:r w:rsidR="00AD23E6">
        <w:rPr>
          <w:rFonts w:asciiTheme="minorHAnsi" w:hAnsiTheme="minorHAnsi" w:cstheme="minorHAnsi"/>
        </w:rPr>
        <w:t>JSA</w:t>
      </w:r>
      <w:r w:rsidRPr="005F3801">
        <w:rPr>
          <w:rFonts w:asciiTheme="minorHAnsi" w:hAnsiTheme="minorHAnsi" w:cstheme="minorHAnsi"/>
        </w:rPr>
        <w:t xml:space="preserve">, </w:t>
      </w:r>
      <w:hyperlink r:id="rId201" w:history="1">
        <w:r w:rsidRPr="005F3801">
          <w:rPr>
            <w:rStyle w:val="Hyperlink"/>
            <w:rFonts w:asciiTheme="minorHAnsi" w:hAnsiTheme="minorHAnsi" w:cstheme="minorHAnsi"/>
            <w:i/>
            <w:iCs/>
          </w:rPr>
          <w:t>Australian Labour Market for Migrants—April 2023</w:t>
        </w:r>
      </w:hyperlink>
      <w:r w:rsidRPr="005F3801">
        <w:rPr>
          <w:rFonts w:asciiTheme="minorHAnsi" w:hAnsiTheme="minorHAnsi" w:cstheme="minorHAnsi"/>
        </w:rPr>
        <w:t>, JSA, 2023</w:t>
      </w:r>
    </w:p>
  </w:endnote>
  <w:endnote w:id="210">
    <w:p w14:paraId="27EC3FE7" w14:textId="6E1DB5BD" w:rsidR="1C05413F" w:rsidRPr="004906C5" w:rsidRDefault="1C05413F" w:rsidP="001E1ADA">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1E1ADA">
        <w:rPr>
          <w:rFonts w:asciiTheme="minorHAnsi" w:hAnsiTheme="minorHAnsi" w:cstheme="minorHAnsi"/>
        </w:rPr>
        <w:tab/>
      </w:r>
      <w:r w:rsidR="001E1ADA" w:rsidRPr="001E1ADA">
        <w:rPr>
          <w:rFonts w:asciiTheme="minorHAnsi" w:hAnsiTheme="minorHAnsi" w:cstheme="minorHAnsi"/>
        </w:rPr>
        <w:t>P</w:t>
      </w:r>
      <w:r w:rsidR="001E1ADA">
        <w:rPr>
          <w:rFonts w:asciiTheme="minorHAnsi" w:hAnsiTheme="minorHAnsi" w:cstheme="minorHAnsi"/>
        </w:rPr>
        <w:t xml:space="preserve"> </w:t>
      </w:r>
      <w:r w:rsidR="001E1ADA" w:rsidRPr="001E1ADA">
        <w:rPr>
          <w:rFonts w:asciiTheme="minorHAnsi" w:hAnsiTheme="minorHAnsi" w:cstheme="minorHAnsi"/>
        </w:rPr>
        <w:t>Anderson</w:t>
      </w:r>
      <w:r w:rsidR="001E1ADA">
        <w:rPr>
          <w:rFonts w:asciiTheme="minorHAnsi" w:hAnsiTheme="minorHAnsi" w:cstheme="minorHAnsi"/>
        </w:rPr>
        <w:t>,</w:t>
      </w:r>
      <w:r w:rsidR="001E1ADA" w:rsidRPr="004906C5">
        <w:rPr>
          <w:rFonts w:asciiTheme="minorHAnsi" w:eastAsia="Calibri" w:hAnsiTheme="minorHAnsi" w:cstheme="minorHAnsi"/>
        </w:rPr>
        <w:t xml:space="preserve"> </w:t>
      </w:r>
      <w:hyperlink r:id="rId202" w:history="1">
        <w:r w:rsidRPr="009F2B19">
          <w:rPr>
            <w:rStyle w:val="Hyperlink"/>
            <w:rFonts w:asciiTheme="minorHAnsi" w:eastAsia="Calibri" w:hAnsiTheme="minorHAnsi" w:cstheme="minorHAnsi"/>
            <w:i/>
            <w:iCs/>
          </w:rPr>
          <w:t>Racism at work: a call to anti-racist action for Australian organisations</w:t>
        </w:r>
      </w:hyperlink>
      <w:r w:rsidRPr="004906C5">
        <w:rPr>
          <w:rFonts w:asciiTheme="minorHAnsi" w:eastAsia="Calibri" w:hAnsiTheme="minorHAnsi" w:cstheme="minorHAnsi"/>
          <w:i/>
          <w:iCs/>
        </w:rPr>
        <w:t>,</w:t>
      </w:r>
      <w:r w:rsidRPr="004906C5">
        <w:rPr>
          <w:rFonts w:asciiTheme="minorHAnsi" w:eastAsia="Calibri" w:hAnsiTheme="minorHAnsi" w:cstheme="minorHAnsi"/>
        </w:rPr>
        <w:t xml:space="preserve"> Diversity Council Australia</w:t>
      </w:r>
      <w:r w:rsidR="001E1ADA">
        <w:rPr>
          <w:rFonts w:asciiTheme="minorHAnsi" w:eastAsia="Calibri" w:hAnsiTheme="minorHAnsi" w:cstheme="minorHAnsi"/>
        </w:rPr>
        <w:t xml:space="preserve"> website</w:t>
      </w:r>
      <w:r w:rsidRPr="004906C5">
        <w:rPr>
          <w:rFonts w:asciiTheme="minorHAnsi" w:eastAsia="Calibri" w:hAnsiTheme="minorHAnsi" w:cstheme="minorHAnsi"/>
        </w:rPr>
        <w:t>,</w:t>
      </w:r>
      <w:r w:rsidR="009F2B19" w:rsidRPr="009F2B19">
        <w:rPr>
          <w:rFonts w:asciiTheme="minorHAnsi" w:eastAsia="Calibri" w:hAnsiTheme="minorHAnsi" w:cstheme="minorHAnsi"/>
        </w:rPr>
        <w:t xml:space="preserve"> </w:t>
      </w:r>
      <w:r w:rsidR="009F2B19">
        <w:rPr>
          <w:rFonts w:asciiTheme="minorHAnsi" w:eastAsia="Calibri" w:hAnsiTheme="minorHAnsi" w:cstheme="minorHAnsi"/>
        </w:rPr>
        <w:t>5 April 2022, accessed September 2023</w:t>
      </w:r>
      <w:r w:rsidRPr="004906C5">
        <w:rPr>
          <w:rFonts w:asciiTheme="minorHAnsi" w:eastAsia="Calibri" w:hAnsiTheme="minorHAnsi" w:cstheme="minorHAnsi"/>
        </w:rPr>
        <w:t>.</w:t>
      </w:r>
    </w:p>
  </w:endnote>
  <w:endnote w:id="211">
    <w:p w14:paraId="5D9DF614" w14:textId="6FC6E699" w:rsidR="14320C1E" w:rsidRPr="004906C5" w:rsidRDefault="14320C1E" w:rsidP="001E1ADA">
      <w:pPr>
        <w:pStyle w:val="EndnoteText"/>
        <w:spacing w:before="120" w:after="120"/>
        <w:ind w:left="709" w:hanging="709"/>
        <w:rPr>
          <w:rFonts w:asciiTheme="minorHAnsi" w:hAnsiTheme="minorHAnsi" w:cstheme="minorHAnsi"/>
        </w:rPr>
      </w:pPr>
      <w:r w:rsidRPr="00AF44BD">
        <w:rPr>
          <w:rFonts w:asciiTheme="minorHAnsi" w:hAnsiTheme="minorHAnsi" w:cstheme="minorHAnsi"/>
        </w:rPr>
        <w:endnoteRef/>
      </w:r>
      <w:r w:rsidRPr="00AF44BD">
        <w:rPr>
          <w:rFonts w:asciiTheme="minorHAnsi" w:hAnsiTheme="minorHAnsi" w:cstheme="minorHAnsi"/>
        </w:rPr>
        <w:t xml:space="preserve"> </w:t>
      </w:r>
      <w:r w:rsidR="001E1ADA" w:rsidRPr="00AF44BD">
        <w:rPr>
          <w:rFonts w:asciiTheme="minorHAnsi" w:hAnsiTheme="minorHAnsi" w:cstheme="minorHAnsi"/>
        </w:rPr>
        <w:tab/>
      </w:r>
      <w:r w:rsidRPr="00AF44BD">
        <w:rPr>
          <w:rFonts w:asciiTheme="minorHAnsi" w:eastAsia="Calibri" w:hAnsiTheme="minorHAnsi" w:cstheme="minorHAnsi"/>
        </w:rPr>
        <w:t xml:space="preserve">Australian Human Rights Commission, </w:t>
      </w:r>
      <w:r w:rsidR="00385BFF">
        <w:rPr>
          <w:rFonts w:asciiTheme="minorHAnsi" w:eastAsia="Calibri" w:hAnsiTheme="minorHAnsi" w:cstheme="minorHAnsi"/>
        </w:rPr>
        <w:t>‘</w:t>
      </w:r>
      <w:hyperlink r:id="rId203" w:history="1">
        <w:r w:rsidRPr="00385BFF">
          <w:rPr>
            <w:rStyle w:val="Hyperlink"/>
            <w:rFonts w:asciiTheme="minorHAnsi" w:eastAsia="Calibri" w:hAnsiTheme="minorHAnsi" w:cstheme="minorHAnsi"/>
          </w:rPr>
          <w:t>Leading for Change: A blueprint for cultural diversity and inclusive leadership revisited</w:t>
        </w:r>
      </w:hyperlink>
      <w:r w:rsidR="00385BFF">
        <w:rPr>
          <w:rFonts w:asciiTheme="minorHAnsi" w:eastAsia="Calibri" w:hAnsiTheme="minorHAnsi" w:cstheme="minorHAnsi"/>
        </w:rPr>
        <w:t>’,</w:t>
      </w:r>
      <w:r w:rsidRPr="00385BFF">
        <w:rPr>
          <w:rFonts w:asciiTheme="minorHAnsi" w:eastAsia="Calibri" w:hAnsiTheme="minorHAnsi" w:cstheme="minorHAnsi"/>
        </w:rPr>
        <w:t xml:space="preserve"> </w:t>
      </w:r>
      <w:r w:rsidRPr="00AF44BD">
        <w:rPr>
          <w:rFonts w:asciiTheme="minorHAnsi" w:eastAsia="Calibri" w:hAnsiTheme="minorHAnsi" w:cstheme="minorHAnsi"/>
        </w:rPr>
        <w:t>Australian Human Rights Commission, 2018, p. 1.</w:t>
      </w:r>
    </w:p>
  </w:endnote>
  <w:endnote w:id="212">
    <w:p w14:paraId="4B1D69F5" w14:textId="22E112E1" w:rsidR="5DD6C2D7" w:rsidRPr="004906C5" w:rsidRDefault="5DD6C2D7" w:rsidP="004906C5">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EC3621" w:rsidRPr="004906C5">
        <w:rPr>
          <w:rFonts w:asciiTheme="minorHAnsi" w:hAnsiTheme="minorHAnsi" w:cstheme="minorHAnsi"/>
        </w:rPr>
        <w:tab/>
        <w:t>C</w:t>
      </w:r>
      <w:r w:rsidR="00AD23E6">
        <w:rPr>
          <w:rFonts w:asciiTheme="minorHAnsi" w:hAnsiTheme="minorHAnsi" w:cstheme="minorHAnsi"/>
        </w:rPr>
        <w:t>EC</w:t>
      </w:r>
      <w:r w:rsidR="00EC3621" w:rsidRPr="004906C5">
        <w:rPr>
          <w:rFonts w:asciiTheme="minorHAnsi" w:hAnsiTheme="minorHAnsi" w:cstheme="minorHAnsi"/>
        </w:rPr>
        <w:t>, ‘</w:t>
      </w:r>
      <w:hyperlink r:id="rId204" w:history="1">
        <w:r w:rsidR="00EC3621" w:rsidRPr="004906C5">
          <w:rPr>
            <w:rStyle w:val="Hyperlink"/>
            <w:rFonts w:asciiTheme="minorHAnsi" w:hAnsiTheme="minorHAnsi" w:cstheme="minorHAnsi"/>
          </w:rPr>
          <w:t>Empowering Everyone: Diversity in the Australian Clean Energy Sector</w:t>
        </w:r>
      </w:hyperlink>
      <w:r w:rsidR="00EC3621" w:rsidRPr="004906C5">
        <w:rPr>
          <w:rFonts w:asciiTheme="minorHAnsi" w:hAnsiTheme="minorHAnsi" w:cstheme="minorHAnsi"/>
        </w:rPr>
        <w:t xml:space="preserve">’, </w:t>
      </w:r>
      <w:r w:rsidR="00AD23E6">
        <w:rPr>
          <w:rFonts w:asciiTheme="minorHAnsi" w:hAnsiTheme="minorHAnsi" w:cstheme="minorHAnsi"/>
        </w:rPr>
        <w:t>CEC</w:t>
      </w:r>
      <w:r w:rsidR="00EC3621" w:rsidRPr="004906C5">
        <w:rPr>
          <w:rFonts w:asciiTheme="minorHAnsi" w:hAnsiTheme="minorHAnsi" w:cstheme="minorHAnsi"/>
        </w:rPr>
        <w:t>, 2021, accessed September 2023.</w:t>
      </w:r>
    </w:p>
  </w:endnote>
  <w:endnote w:id="213">
    <w:p w14:paraId="7B2B351F" w14:textId="3C4136A2" w:rsidR="5DD6C2D7" w:rsidRPr="004906C5" w:rsidRDefault="5DD6C2D7" w:rsidP="005263BC">
      <w:pPr>
        <w:pStyle w:val="EndnoteText"/>
        <w:spacing w:before="120" w:after="120"/>
        <w:ind w:left="709" w:hanging="709"/>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005263BC">
        <w:rPr>
          <w:rFonts w:asciiTheme="minorHAnsi" w:hAnsiTheme="minorHAnsi" w:cstheme="minorHAnsi"/>
        </w:rPr>
        <w:tab/>
      </w:r>
      <w:r w:rsidRPr="004906C5">
        <w:rPr>
          <w:rFonts w:asciiTheme="minorHAnsi" w:eastAsia="Calibri" w:hAnsiTheme="minorHAnsi" w:cstheme="minorHAnsi"/>
        </w:rPr>
        <w:t xml:space="preserve">Elizabeth Broderick &amp; Co, </w:t>
      </w:r>
      <w:hyperlink r:id="rId205" w:history="1">
        <w:r w:rsidRPr="00464708">
          <w:rPr>
            <w:rStyle w:val="Hyperlink"/>
            <w:rFonts w:asciiTheme="minorHAnsi" w:eastAsia="Calibri" w:hAnsiTheme="minorHAnsi" w:cstheme="minorHAnsi"/>
            <w:i/>
            <w:iCs/>
          </w:rPr>
          <w:t>Report into Workplace Culture at Rio Tinto</w:t>
        </w:r>
        <w:r w:rsidR="00464708" w:rsidRPr="00464708">
          <w:rPr>
            <w:rStyle w:val="Hyperlink"/>
            <w:rFonts w:asciiTheme="minorHAnsi" w:eastAsia="Calibri" w:hAnsiTheme="minorHAnsi" w:cstheme="minorHAnsi"/>
            <w:i/>
            <w:iCs/>
          </w:rPr>
          <w:t xml:space="preserve"> </w:t>
        </w:r>
        <w:r w:rsidR="00464708" w:rsidRPr="00464708">
          <w:rPr>
            <w:rStyle w:val="Hyperlink"/>
            <w:rFonts w:asciiTheme="minorHAnsi" w:eastAsia="Calibri" w:hAnsiTheme="minorHAnsi" w:cstheme="minorHAnsi"/>
          </w:rPr>
          <w:t>[PDF 1.433MB]</w:t>
        </w:r>
      </w:hyperlink>
      <w:r w:rsidRPr="004906C5">
        <w:rPr>
          <w:rFonts w:asciiTheme="minorHAnsi" w:eastAsia="Calibri" w:hAnsiTheme="minorHAnsi" w:cstheme="minorHAnsi"/>
        </w:rPr>
        <w:t xml:space="preserve">, </w:t>
      </w:r>
      <w:r w:rsidR="00464708">
        <w:rPr>
          <w:rFonts w:asciiTheme="minorHAnsi" w:eastAsia="Calibri" w:hAnsiTheme="minorHAnsi" w:cstheme="minorHAnsi"/>
        </w:rPr>
        <w:t xml:space="preserve">report to </w:t>
      </w:r>
      <w:r w:rsidRPr="004906C5">
        <w:rPr>
          <w:rFonts w:asciiTheme="minorHAnsi" w:eastAsia="Calibri" w:hAnsiTheme="minorHAnsi" w:cstheme="minorHAnsi"/>
        </w:rPr>
        <w:t xml:space="preserve">Rio Tinto, </w:t>
      </w:r>
      <w:r w:rsidR="00464708" w:rsidRPr="004906C5">
        <w:rPr>
          <w:rFonts w:asciiTheme="minorHAnsi" w:eastAsia="Calibri" w:hAnsiTheme="minorHAnsi" w:cstheme="minorHAnsi"/>
        </w:rPr>
        <w:t>Elizabeth Broderick &amp; Co</w:t>
      </w:r>
      <w:r w:rsidR="00464708">
        <w:rPr>
          <w:rFonts w:asciiTheme="minorHAnsi" w:eastAsia="Calibri" w:hAnsiTheme="minorHAnsi" w:cstheme="minorHAnsi"/>
        </w:rPr>
        <w:t>,</w:t>
      </w:r>
      <w:r w:rsidR="00464708" w:rsidRPr="004906C5">
        <w:rPr>
          <w:rFonts w:asciiTheme="minorHAnsi" w:eastAsia="Calibri" w:hAnsiTheme="minorHAnsi" w:cstheme="minorHAnsi"/>
        </w:rPr>
        <w:t xml:space="preserve"> </w:t>
      </w:r>
      <w:r w:rsidRPr="004906C5">
        <w:rPr>
          <w:rFonts w:asciiTheme="minorHAnsi" w:eastAsia="Calibri" w:hAnsiTheme="minorHAnsi" w:cstheme="minorHAnsi"/>
        </w:rPr>
        <w:t>2022, p. 49</w:t>
      </w:r>
      <w:r w:rsidR="00464708">
        <w:rPr>
          <w:rFonts w:asciiTheme="minorHAnsi" w:eastAsia="Calibri" w:hAnsiTheme="minorHAnsi" w:cstheme="minorHAnsi"/>
        </w:rPr>
        <w:t>, accessed September 2023</w:t>
      </w:r>
      <w:r w:rsidRPr="004906C5">
        <w:rPr>
          <w:rFonts w:asciiTheme="minorHAnsi" w:eastAsia="Calibri" w:hAnsiTheme="minorHAnsi" w:cstheme="minorHAnsi"/>
        </w:rPr>
        <w:t>.</w:t>
      </w:r>
    </w:p>
  </w:endnote>
  <w:endnote w:id="214">
    <w:p w14:paraId="5DC9C11C" w14:textId="2C284005" w:rsidR="003E5180" w:rsidRPr="00AD23E6" w:rsidRDefault="003E5180" w:rsidP="00AD23E6">
      <w:pPr>
        <w:spacing w:before="120" w:after="120"/>
        <w:ind w:left="709" w:hanging="709"/>
        <w:rPr>
          <w:rFonts w:cs="Arial"/>
          <w:sz w:val="20"/>
          <w:szCs w:val="20"/>
        </w:rPr>
      </w:pPr>
      <w:r w:rsidRPr="00342569">
        <w:rPr>
          <w:rFonts w:asciiTheme="minorHAnsi" w:hAnsiTheme="minorHAnsi" w:cstheme="minorHAnsi"/>
          <w:sz w:val="20"/>
          <w:szCs w:val="20"/>
        </w:rPr>
        <w:endnoteRef/>
      </w:r>
      <w:r w:rsidR="00AD23E6">
        <w:rPr>
          <w:rFonts w:cs="Arial"/>
          <w:sz w:val="20"/>
          <w:szCs w:val="20"/>
        </w:rPr>
        <w:t xml:space="preserve"> </w:t>
      </w:r>
      <w:r w:rsidR="00AD23E6">
        <w:rPr>
          <w:rFonts w:cs="Arial"/>
          <w:sz w:val="20"/>
          <w:szCs w:val="20"/>
        </w:rPr>
        <w:tab/>
      </w:r>
      <w:r w:rsidR="00AD23E6" w:rsidRPr="00605B24">
        <w:rPr>
          <w:rFonts w:cs="Arial"/>
          <w:sz w:val="20"/>
          <w:szCs w:val="20"/>
        </w:rPr>
        <w:t>P Medved, U Golob and T Kamin, ‘</w:t>
      </w:r>
      <w:hyperlink r:id="rId206" w:history="1">
        <w:r w:rsidR="00AD23E6" w:rsidRPr="00605B24">
          <w:rPr>
            <w:rStyle w:val="Hyperlink"/>
            <w:rFonts w:cs="Arial"/>
            <w:sz w:val="20"/>
            <w:szCs w:val="20"/>
          </w:rPr>
          <w:t>Learning and diffusion of knowledge in clean energy communities’</w:t>
        </w:r>
      </w:hyperlink>
      <w:r w:rsidR="00AD23E6" w:rsidRPr="00605B24">
        <w:rPr>
          <w:rFonts w:cs="Arial"/>
          <w:sz w:val="20"/>
          <w:szCs w:val="20"/>
        </w:rPr>
        <w:t xml:space="preserve">, </w:t>
      </w:r>
      <w:r w:rsidR="00AD23E6" w:rsidRPr="00605B24">
        <w:rPr>
          <w:rFonts w:cs="Arial"/>
          <w:i/>
          <w:iCs/>
          <w:sz w:val="20"/>
          <w:szCs w:val="20"/>
        </w:rPr>
        <w:t>Environmental Innovation and Societal Transitions</w:t>
      </w:r>
      <w:r w:rsidR="00AD23E6" w:rsidRPr="00605B24">
        <w:rPr>
          <w:rFonts w:cs="Arial"/>
          <w:sz w:val="20"/>
          <w:szCs w:val="20"/>
        </w:rPr>
        <w:t>, Volume 46, 2023, p 10, doi</w:t>
      </w:r>
      <w:r w:rsidR="00D10560">
        <w:rPr>
          <w:rFonts w:cs="Arial"/>
          <w:sz w:val="20"/>
          <w:szCs w:val="20"/>
        </w:rPr>
        <w:t>:</w:t>
      </w:r>
      <w:r w:rsidR="00AD23E6" w:rsidRPr="00605B24">
        <w:rPr>
          <w:rFonts w:cs="Arial"/>
          <w:sz w:val="20"/>
          <w:szCs w:val="20"/>
        </w:rPr>
        <w:t>10.1016/j.eist.2023.100701, accessed September 2023.</w:t>
      </w:r>
    </w:p>
  </w:endnote>
  <w:endnote w:id="215">
    <w:p w14:paraId="71398FDF" w14:textId="6DBB680C" w:rsidR="003E5180" w:rsidRPr="002A7B65" w:rsidRDefault="003E5180" w:rsidP="002A7B65">
      <w:pPr>
        <w:spacing w:before="120" w:after="120"/>
        <w:ind w:left="709" w:hanging="709"/>
        <w:rPr>
          <w:rFonts w:cs="Arial"/>
          <w:sz w:val="20"/>
          <w:szCs w:val="20"/>
        </w:rPr>
      </w:pPr>
      <w:r w:rsidRPr="00342569">
        <w:rPr>
          <w:rFonts w:asciiTheme="minorHAnsi" w:hAnsiTheme="minorHAnsi" w:cstheme="minorHAnsi"/>
          <w:sz w:val="20"/>
          <w:szCs w:val="20"/>
        </w:rPr>
        <w:endnoteRef/>
      </w:r>
      <w:r w:rsidRPr="003E5180">
        <w:rPr>
          <w:rFonts w:asciiTheme="minorHAnsi" w:hAnsiTheme="minorHAnsi" w:cstheme="minorHAnsi"/>
        </w:rPr>
        <w:t xml:space="preserve"> </w:t>
      </w:r>
      <w:r w:rsidR="00137D4A">
        <w:rPr>
          <w:rFonts w:asciiTheme="minorHAnsi" w:hAnsiTheme="minorHAnsi" w:cstheme="minorHAnsi"/>
        </w:rPr>
        <w:t xml:space="preserve">     </w:t>
      </w:r>
      <w:r w:rsidR="00AD23E6" w:rsidRPr="00605B24">
        <w:rPr>
          <w:rFonts w:cs="Arial"/>
          <w:sz w:val="20"/>
          <w:szCs w:val="20"/>
        </w:rPr>
        <w:t xml:space="preserve">The Trade Council of Denmark in Australia and New Zealand, </w:t>
      </w:r>
      <w:hyperlink r:id="rId207" w:history="1">
        <w:r w:rsidR="00AD23E6" w:rsidRPr="00605B24">
          <w:rPr>
            <w:rStyle w:val="Hyperlink"/>
            <w:rFonts w:cs="Arial"/>
            <w:i/>
            <w:iCs/>
            <w:sz w:val="20"/>
            <w:szCs w:val="20"/>
          </w:rPr>
          <w:t>The Trade Council of Denmark in Australia &amp; New Zealand’s Post</w:t>
        </w:r>
      </w:hyperlink>
      <w:r w:rsidR="00AD23E6" w:rsidRPr="00605B24">
        <w:rPr>
          <w:rFonts w:cs="Arial"/>
          <w:sz w:val="20"/>
          <w:szCs w:val="20"/>
        </w:rPr>
        <w:t>, LinkedIn website, 2023, accessed September 2023</w:t>
      </w:r>
      <w:r w:rsidR="002A7B65">
        <w:rPr>
          <w:rFonts w:cs="Arial"/>
          <w:sz w:val="20"/>
          <w:szCs w:val="20"/>
        </w:rPr>
        <w:t xml:space="preserve">; </w:t>
      </w:r>
      <w:bookmarkStart w:id="88" w:name="_Hlk146615190"/>
      <w:r w:rsidR="002A7B65" w:rsidRPr="00605B24">
        <w:rPr>
          <w:rFonts w:cs="Arial"/>
          <w:sz w:val="20"/>
          <w:szCs w:val="20"/>
        </w:rPr>
        <w:t xml:space="preserve">Renewables Academy (RENAC), </w:t>
      </w:r>
      <w:hyperlink r:id="rId208" w:history="1">
        <w:r w:rsidR="002A7B65" w:rsidRPr="00605B24">
          <w:rPr>
            <w:rStyle w:val="Hyperlink"/>
            <w:rFonts w:cs="Arial"/>
            <w:i/>
            <w:iCs/>
            <w:sz w:val="20"/>
            <w:szCs w:val="20"/>
          </w:rPr>
          <w:t>Energy Cooperation Australia and Germany</w:t>
        </w:r>
      </w:hyperlink>
      <w:r w:rsidR="002A7B65" w:rsidRPr="00605B24">
        <w:rPr>
          <w:rFonts w:cs="Arial"/>
          <w:sz w:val="20"/>
          <w:szCs w:val="20"/>
        </w:rPr>
        <w:t>, 2022, RENAC website, accessed September 2023.</w:t>
      </w:r>
      <w:bookmarkEnd w:id="88"/>
      <w:r w:rsidR="00AD23E6" w:rsidRPr="00605B24">
        <w:rPr>
          <w:rFonts w:cs="Arial"/>
          <w:sz w:val="20"/>
          <w:szCs w:val="20"/>
        </w:rPr>
        <w:t xml:space="preserve"> </w:t>
      </w:r>
    </w:p>
  </w:endnote>
  <w:endnote w:id="216">
    <w:p w14:paraId="73E92193" w14:textId="5979EFC0" w:rsidR="003E5180" w:rsidRPr="003E5180" w:rsidRDefault="003E5180" w:rsidP="003E5180">
      <w:pPr>
        <w:pStyle w:val="EndnoteText"/>
        <w:spacing w:before="120" w:after="120"/>
        <w:ind w:left="720" w:hanging="720"/>
        <w:rPr>
          <w:rFonts w:asciiTheme="minorHAnsi" w:hAnsiTheme="minorHAnsi" w:cstheme="minorHAnsi"/>
        </w:rPr>
      </w:pPr>
      <w:r w:rsidRPr="003E5180">
        <w:rPr>
          <w:rFonts w:asciiTheme="minorHAnsi" w:hAnsiTheme="minorHAnsi" w:cstheme="minorHAnsi"/>
        </w:rPr>
        <w:endnoteRef/>
      </w:r>
      <w:r w:rsidRPr="003E5180">
        <w:rPr>
          <w:rFonts w:asciiTheme="minorHAnsi" w:hAnsiTheme="minorHAnsi" w:cstheme="minorHAnsi"/>
        </w:rPr>
        <w:t xml:space="preserve"> </w:t>
      </w:r>
      <w:r w:rsidR="00137D4A">
        <w:rPr>
          <w:rFonts w:asciiTheme="minorHAnsi" w:hAnsiTheme="minorHAnsi" w:cstheme="minorHAnsi"/>
        </w:rPr>
        <w:t xml:space="preserve">      </w:t>
      </w:r>
      <w:r w:rsidR="00AD23E6" w:rsidRPr="00605B24">
        <w:rPr>
          <w:rFonts w:cs="Arial"/>
        </w:rPr>
        <w:t>P Medved, U Golob and T Kamin, ‘</w:t>
      </w:r>
      <w:hyperlink r:id="rId209" w:history="1">
        <w:r w:rsidR="00AD23E6" w:rsidRPr="00605B24">
          <w:rPr>
            <w:rStyle w:val="Hyperlink"/>
            <w:rFonts w:cs="Arial"/>
          </w:rPr>
          <w:t>Learning and diffusion of knowledge in clean energy communities’</w:t>
        </w:r>
      </w:hyperlink>
      <w:r w:rsidR="00AD23E6" w:rsidRPr="00605B24">
        <w:rPr>
          <w:rFonts w:cs="Arial"/>
        </w:rPr>
        <w:t xml:space="preserve">, </w:t>
      </w:r>
      <w:r w:rsidR="00AD23E6" w:rsidRPr="00605B24">
        <w:rPr>
          <w:rFonts w:cs="Arial"/>
          <w:i/>
          <w:iCs/>
        </w:rPr>
        <w:t>Environmental Innovation and Societal Transitions</w:t>
      </w:r>
      <w:r w:rsidR="00AD23E6" w:rsidRPr="00605B24">
        <w:rPr>
          <w:rFonts w:cs="Arial"/>
        </w:rPr>
        <w:t>, Volume 46, 2023, p 10, doi</w:t>
      </w:r>
      <w:r w:rsidR="00D10560">
        <w:rPr>
          <w:rFonts w:cs="Arial"/>
        </w:rPr>
        <w:t>:</w:t>
      </w:r>
      <w:r w:rsidR="00AD23E6" w:rsidRPr="00605B24">
        <w:rPr>
          <w:rFonts w:cs="Arial"/>
        </w:rPr>
        <w:t>10.1016/j.eist.2023.100701, accessed September 2023.</w:t>
      </w:r>
    </w:p>
  </w:endnote>
  <w:endnote w:id="217">
    <w:p w14:paraId="3E1A892C" w14:textId="2D76AA44"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E912D9" w:rsidRPr="004906C5">
        <w:rPr>
          <w:rFonts w:asciiTheme="minorHAnsi" w:hAnsiTheme="minorHAnsi" w:cstheme="minorHAnsi"/>
        </w:rPr>
        <w:t>P Toner, ‘</w:t>
      </w:r>
      <w:hyperlink r:id="rId210" w:history="1">
        <w:r w:rsidR="00E912D9" w:rsidRPr="00E05209">
          <w:rPr>
            <w:rStyle w:val="Hyperlink"/>
            <w:rFonts w:asciiTheme="minorHAnsi" w:hAnsiTheme="minorHAnsi" w:cstheme="minorHAnsi"/>
          </w:rPr>
          <w:t>Supply-Side and Demand-Side Explanations of Declining Apprentice Training Rates: A Critical Overview’</w:t>
        </w:r>
      </w:hyperlink>
      <w:r w:rsidR="00E912D9" w:rsidRPr="004906C5">
        <w:rPr>
          <w:rFonts w:asciiTheme="minorHAnsi" w:hAnsiTheme="minorHAnsi" w:cstheme="minorHAnsi"/>
        </w:rPr>
        <w:t xml:space="preserve">, </w:t>
      </w:r>
      <w:r w:rsidR="00E912D9" w:rsidRPr="004906C5">
        <w:rPr>
          <w:rFonts w:asciiTheme="minorHAnsi" w:hAnsiTheme="minorHAnsi" w:cstheme="minorHAnsi"/>
          <w:i/>
          <w:iCs/>
        </w:rPr>
        <w:t>Journal of Industrial Relations</w:t>
      </w:r>
      <w:r w:rsidR="00E912D9" w:rsidRPr="004906C5">
        <w:rPr>
          <w:rFonts w:asciiTheme="minorHAnsi" w:hAnsiTheme="minorHAnsi" w:cstheme="minorHAnsi"/>
        </w:rPr>
        <w:t>, 2003, 45(4), accessed September 2023, doi</w:t>
      </w:r>
      <w:r w:rsidR="00EE7834">
        <w:rPr>
          <w:rFonts w:asciiTheme="minorHAnsi" w:hAnsiTheme="minorHAnsi" w:cstheme="minorHAnsi"/>
        </w:rPr>
        <w:t>:</w:t>
      </w:r>
      <w:r w:rsidR="00E912D9" w:rsidRPr="004906C5">
        <w:rPr>
          <w:rFonts w:asciiTheme="minorHAnsi" w:hAnsiTheme="minorHAnsi" w:cstheme="minorHAnsi"/>
        </w:rPr>
        <w:t>10.1111/j.0022-1856.2003.00094.x; P Toner, ‘</w:t>
      </w:r>
      <w:hyperlink r:id="rId211" w:history="1">
        <w:r w:rsidR="00E912D9" w:rsidRPr="004906C5">
          <w:rPr>
            <w:rStyle w:val="Hyperlink"/>
            <w:rFonts w:asciiTheme="minorHAnsi" w:hAnsiTheme="minorHAnsi" w:cstheme="minorHAnsi"/>
          </w:rPr>
          <w:t>Trends in</w:t>
        </w:r>
        <w:bookmarkStart w:id="89" w:name="_Hlt146788748"/>
        <w:bookmarkStart w:id="90" w:name="_Hlt146788749"/>
        <w:r w:rsidR="00E912D9" w:rsidRPr="004906C5">
          <w:rPr>
            <w:rStyle w:val="Hyperlink"/>
            <w:rFonts w:asciiTheme="minorHAnsi" w:hAnsiTheme="minorHAnsi" w:cstheme="minorHAnsi"/>
          </w:rPr>
          <w:t xml:space="preserve"> </w:t>
        </w:r>
        <w:bookmarkEnd w:id="89"/>
        <w:bookmarkEnd w:id="90"/>
        <w:r w:rsidR="00E912D9" w:rsidRPr="004906C5">
          <w:rPr>
            <w:rStyle w:val="Hyperlink"/>
            <w:rFonts w:asciiTheme="minorHAnsi" w:hAnsiTheme="minorHAnsi" w:cstheme="minorHAnsi"/>
          </w:rPr>
          <w:t>NSW government apprentice intake: causes and implications</w:t>
        </w:r>
      </w:hyperlink>
      <w:r w:rsidR="00E912D9" w:rsidRPr="004906C5">
        <w:rPr>
          <w:rFonts w:asciiTheme="minorHAnsi" w:hAnsiTheme="minorHAnsi" w:cstheme="minorHAnsi"/>
        </w:rPr>
        <w:t xml:space="preserve">’, </w:t>
      </w:r>
      <w:r w:rsidR="00E912D9" w:rsidRPr="004906C5">
        <w:rPr>
          <w:rFonts w:asciiTheme="minorHAnsi" w:hAnsiTheme="minorHAnsi" w:cstheme="minorHAnsi"/>
          <w:i/>
          <w:iCs/>
        </w:rPr>
        <w:t>Australian Bulletin of Labour,</w:t>
      </w:r>
      <w:r w:rsidR="00E912D9" w:rsidRPr="004906C5">
        <w:rPr>
          <w:rFonts w:asciiTheme="minorHAnsi" w:hAnsiTheme="minorHAnsi" w:cstheme="minorHAnsi"/>
        </w:rPr>
        <w:t xml:space="preserve"> 24(2), 141–157, accessed September 2023, doi</w:t>
      </w:r>
      <w:r w:rsidR="00EE7834">
        <w:rPr>
          <w:rFonts w:asciiTheme="minorHAnsi" w:hAnsiTheme="minorHAnsi" w:cstheme="minorHAnsi"/>
        </w:rPr>
        <w:t>:</w:t>
      </w:r>
      <w:r w:rsidR="00E912D9" w:rsidRPr="004906C5">
        <w:rPr>
          <w:rFonts w:asciiTheme="minorHAnsi" w:hAnsiTheme="minorHAnsi" w:cstheme="minorHAnsi"/>
        </w:rPr>
        <w:t>10.3316/ielapa.990100869.</w:t>
      </w:r>
    </w:p>
  </w:endnote>
  <w:endnote w:id="218">
    <w:p w14:paraId="2C016E9E" w14:textId="6279C225" w:rsidR="003E5180" w:rsidRPr="00AD23E6" w:rsidRDefault="003E5180" w:rsidP="00AD23E6">
      <w:pPr>
        <w:spacing w:before="120" w:after="120"/>
        <w:ind w:left="709" w:hanging="709"/>
        <w:rPr>
          <w:rFonts w:cs="Arial"/>
          <w:sz w:val="20"/>
          <w:szCs w:val="20"/>
        </w:rPr>
      </w:pPr>
      <w:r w:rsidRPr="00342569">
        <w:rPr>
          <w:rFonts w:asciiTheme="minorHAnsi" w:hAnsiTheme="minorHAnsi" w:cstheme="minorHAnsi"/>
          <w:sz w:val="20"/>
          <w:szCs w:val="20"/>
        </w:rPr>
        <w:endnoteRef/>
      </w:r>
      <w:r w:rsidRPr="003E5180">
        <w:rPr>
          <w:rFonts w:asciiTheme="minorHAnsi" w:hAnsiTheme="minorHAnsi" w:cstheme="minorHAnsi"/>
        </w:rPr>
        <w:t xml:space="preserve"> </w:t>
      </w:r>
      <w:r>
        <w:rPr>
          <w:rFonts w:asciiTheme="minorHAnsi" w:hAnsiTheme="minorHAnsi" w:cstheme="minorHAnsi"/>
        </w:rPr>
        <w:t xml:space="preserve">     </w:t>
      </w:r>
      <w:r w:rsidR="00AD23E6" w:rsidRPr="00605B24">
        <w:rPr>
          <w:rFonts w:cs="Arial"/>
          <w:sz w:val="20"/>
          <w:szCs w:val="20"/>
        </w:rPr>
        <w:t xml:space="preserve">ILO, </w:t>
      </w:r>
      <w:hyperlink r:id="rId212" w:history="1">
        <w:r w:rsidR="00AD23E6" w:rsidRPr="00605B24">
          <w:rPr>
            <w:rStyle w:val="Hyperlink"/>
            <w:rFonts w:cs="Arial"/>
            <w:i/>
            <w:iCs/>
            <w:sz w:val="20"/>
            <w:szCs w:val="20"/>
          </w:rPr>
          <w:t xml:space="preserve">A framework for quality apprenticeships, Report </w:t>
        </w:r>
        <w:r w:rsidR="00AD23E6" w:rsidRPr="00605B24">
          <w:rPr>
            <w:rStyle w:val="Hyperlink"/>
            <w:rFonts w:cs="Arial"/>
            <w:sz w:val="20"/>
            <w:szCs w:val="20"/>
          </w:rPr>
          <w:t>[PDF 2.8MB]</w:t>
        </w:r>
      </w:hyperlink>
      <w:r w:rsidR="00AD23E6" w:rsidRPr="00605B24">
        <w:rPr>
          <w:rFonts w:cs="Arial"/>
          <w:sz w:val="20"/>
          <w:szCs w:val="20"/>
        </w:rPr>
        <w:t>, ILO, 2021, accessed September 2023.</w:t>
      </w:r>
    </w:p>
  </w:endnote>
  <w:endnote w:id="219">
    <w:p w14:paraId="12143AC6" w14:textId="6F696921"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081FF7" w:rsidRPr="004906C5">
        <w:rPr>
          <w:rFonts w:asciiTheme="minorHAnsi" w:hAnsiTheme="minorHAnsi" w:cstheme="minorHAnsi"/>
        </w:rPr>
        <w:t xml:space="preserve">NSW Electricity Infrastructure Jobs Advocate, </w:t>
      </w:r>
      <w:hyperlink r:id="rId213" w:history="1">
        <w:r w:rsidR="00081FF7" w:rsidRPr="004906C5">
          <w:rPr>
            <w:rStyle w:val="Hyperlink"/>
            <w:rFonts w:asciiTheme="minorHAnsi" w:hAnsiTheme="minorHAnsi" w:cstheme="minorHAnsi"/>
            <w:i/>
            <w:iCs/>
          </w:rPr>
          <w:t>Electricity Infrastructure Jobs Advocate’s first report to the Minister for Energy</w:t>
        </w:r>
        <w:r w:rsidR="00081FF7" w:rsidRPr="004906C5">
          <w:rPr>
            <w:rStyle w:val="Hyperlink"/>
            <w:rFonts w:asciiTheme="minorHAnsi" w:hAnsiTheme="minorHAnsi" w:cstheme="minorHAnsi"/>
          </w:rPr>
          <w:t xml:space="preserve"> [PDF 842KB]</w:t>
        </w:r>
      </w:hyperlink>
      <w:r w:rsidR="00081FF7" w:rsidRPr="004906C5">
        <w:rPr>
          <w:rFonts w:asciiTheme="minorHAnsi" w:hAnsiTheme="minorHAnsi" w:cstheme="minorHAnsi"/>
        </w:rPr>
        <w:t>, NSW Government, 2022, accessed September 2023.</w:t>
      </w:r>
      <w:r w:rsidRPr="004906C5">
        <w:rPr>
          <w:rFonts w:asciiTheme="minorHAnsi" w:hAnsiTheme="minorHAnsi" w:cstheme="minorHAnsi"/>
        </w:rPr>
        <w:t xml:space="preserve"> </w:t>
      </w:r>
    </w:p>
  </w:endnote>
  <w:endnote w:id="220">
    <w:p w14:paraId="2D1F8809" w14:textId="63CD4577"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AD23E6">
        <w:rPr>
          <w:rFonts w:asciiTheme="minorHAnsi" w:hAnsiTheme="minorHAnsi" w:cstheme="minorHAnsi"/>
        </w:rPr>
        <w:t>ETU (</w:t>
      </w:r>
      <w:r w:rsidR="00E367A7" w:rsidRPr="004906C5">
        <w:rPr>
          <w:rFonts w:asciiTheme="minorHAnsi" w:hAnsiTheme="minorHAnsi" w:cstheme="minorHAnsi"/>
        </w:rPr>
        <w:t>Electrical Trades Union</w:t>
      </w:r>
      <w:r w:rsidR="003D5C52">
        <w:rPr>
          <w:rFonts w:asciiTheme="minorHAnsi" w:hAnsiTheme="minorHAnsi" w:cstheme="minorHAnsi"/>
        </w:rPr>
        <w:t xml:space="preserve"> of Australia</w:t>
      </w:r>
      <w:r w:rsidR="00AD23E6">
        <w:rPr>
          <w:rFonts w:asciiTheme="minorHAnsi" w:hAnsiTheme="minorHAnsi" w:cstheme="minorHAnsi"/>
        </w:rPr>
        <w:t>)</w:t>
      </w:r>
      <w:r w:rsidR="00E367A7" w:rsidRPr="004906C5">
        <w:rPr>
          <w:rFonts w:asciiTheme="minorHAnsi" w:hAnsiTheme="minorHAnsi" w:cstheme="minorHAnsi"/>
        </w:rPr>
        <w:t xml:space="preserve">, Submission </w:t>
      </w:r>
      <w:r w:rsidR="00CE4183" w:rsidRPr="004906C5">
        <w:rPr>
          <w:rFonts w:asciiTheme="minorHAnsi" w:hAnsiTheme="minorHAnsi" w:cstheme="minorHAnsi"/>
        </w:rPr>
        <w:t>12</w:t>
      </w:r>
      <w:r w:rsidR="00E367A7" w:rsidRPr="004906C5">
        <w:rPr>
          <w:rFonts w:asciiTheme="minorHAnsi" w:hAnsiTheme="minorHAnsi" w:cstheme="minorHAnsi"/>
        </w:rPr>
        <w:t>, Clean Energy Capacity Study Discussion paper, p 3.</w:t>
      </w:r>
    </w:p>
  </w:endnote>
  <w:endnote w:id="221">
    <w:p w14:paraId="53203E64" w14:textId="77777777" w:rsidR="00565990" w:rsidRPr="004906C5" w:rsidRDefault="00565990" w:rsidP="00565990">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t xml:space="preserve">Ai Group, Submission 1, Clean Energy Capacity Study Discussion paper, p 7. </w:t>
      </w:r>
    </w:p>
  </w:endnote>
  <w:endnote w:id="222">
    <w:p w14:paraId="2DB28D66" w14:textId="1EAEC33D"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1408F4" w:rsidRPr="004906C5">
        <w:rPr>
          <w:rFonts w:asciiTheme="minorHAnsi" w:hAnsiTheme="minorHAnsi" w:cstheme="minorHAnsi"/>
        </w:rPr>
        <w:t xml:space="preserve">G Casati, V Savic, V de Miguel, T Gruzin and Y Tachibana, </w:t>
      </w:r>
      <w:hyperlink r:id="rId214" w:anchor="zoom=40" w:history="1">
        <w:r w:rsidR="001408F4" w:rsidRPr="004906C5">
          <w:rPr>
            <w:rStyle w:val="Hyperlink"/>
            <w:rFonts w:asciiTheme="minorHAnsi" w:hAnsiTheme="minorHAnsi" w:cstheme="minorHAnsi"/>
            <w:i/>
            <w:iCs/>
          </w:rPr>
          <w:t xml:space="preserve">Youthquake meets green economy: Why businesses need to care </w:t>
        </w:r>
        <w:r w:rsidR="001408F4" w:rsidRPr="004906C5">
          <w:rPr>
            <w:rStyle w:val="Hyperlink"/>
            <w:rFonts w:asciiTheme="minorHAnsi" w:hAnsiTheme="minorHAnsi" w:cstheme="minorHAnsi"/>
          </w:rPr>
          <w:t>[PDF 7.23MB]</w:t>
        </w:r>
      </w:hyperlink>
      <w:r w:rsidR="001408F4" w:rsidRPr="004906C5">
        <w:rPr>
          <w:rFonts w:asciiTheme="minorHAnsi" w:hAnsiTheme="minorHAnsi" w:cstheme="minorHAnsi"/>
        </w:rPr>
        <w:t>, Accenture, 2022, accessed September 2023.</w:t>
      </w:r>
    </w:p>
  </w:endnote>
  <w:endnote w:id="223">
    <w:p w14:paraId="35E74A83" w14:textId="36DE8C92"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F542DE" w:rsidRPr="004906C5">
        <w:rPr>
          <w:rFonts w:asciiTheme="minorHAnsi" w:hAnsiTheme="minorHAnsi" w:cstheme="minorHAnsi"/>
        </w:rPr>
        <w:t>S Pfautsch, T Gray, ‘</w:t>
      </w:r>
      <w:hyperlink r:id="rId215" w:history="1">
        <w:r w:rsidR="00F542DE" w:rsidRPr="004906C5">
          <w:rPr>
            <w:rStyle w:val="Hyperlink"/>
            <w:rFonts w:asciiTheme="minorHAnsi" w:hAnsiTheme="minorHAnsi" w:cstheme="minorHAnsi"/>
          </w:rPr>
          <w:t>Low factual understanding and high anxiety about climate warming impedes university students to become sustainability stewards: An Australian case study’</w:t>
        </w:r>
      </w:hyperlink>
      <w:r w:rsidR="00F542DE" w:rsidRPr="004906C5">
        <w:rPr>
          <w:rFonts w:asciiTheme="minorHAnsi" w:hAnsiTheme="minorHAnsi" w:cstheme="minorHAnsi"/>
        </w:rPr>
        <w:t>, </w:t>
      </w:r>
      <w:r w:rsidR="00F542DE" w:rsidRPr="004906C5">
        <w:rPr>
          <w:rFonts w:asciiTheme="minorHAnsi" w:hAnsiTheme="minorHAnsi" w:cstheme="minorHAnsi"/>
          <w:i/>
          <w:iCs/>
        </w:rPr>
        <w:t>International Journal of Sustainability in Higher Education</w:t>
      </w:r>
      <w:r w:rsidR="00F542DE" w:rsidRPr="004906C5">
        <w:rPr>
          <w:rFonts w:asciiTheme="minorHAnsi" w:hAnsiTheme="minorHAnsi" w:cstheme="minorHAnsi"/>
        </w:rPr>
        <w:t>, 2017, 18(7):1157-1175, accessed September 2023, doi.org/10.1108/IJSHE-09-2016-0179.</w:t>
      </w:r>
    </w:p>
  </w:endnote>
  <w:endnote w:id="224">
    <w:p w14:paraId="5DD971BB" w14:textId="60D12FFF" w:rsidR="6BCB3C31" w:rsidRDefault="6BCB3C31" w:rsidP="00817124">
      <w:pPr>
        <w:spacing w:line="257" w:lineRule="auto"/>
        <w:ind w:left="709" w:hanging="709"/>
      </w:pPr>
      <w:r w:rsidRPr="00817124">
        <w:rPr>
          <w:rStyle w:val="EndnoteReference"/>
          <w:rFonts w:asciiTheme="minorHAnsi" w:hAnsiTheme="minorHAnsi" w:cstheme="minorHAnsi"/>
          <w:sz w:val="20"/>
          <w:szCs w:val="20"/>
          <w:vertAlign w:val="baseline"/>
        </w:rPr>
        <w:endnoteRef/>
      </w:r>
      <w:r>
        <w:t xml:space="preserve"> </w:t>
      </w:r>
      <w:r w:rsidR="00817124">
        <w:tab/>
      </w:r>
      <w:r w:rsidRPr="6BCB3C31">
        <w:rPr>
          <w:rFonts w:eastAsia="Arial" w:cs="Arial"/>
          <w:sz w:val="20"/>
          <w:szCs w:val="20"/>
        </w:rPr>
        <w:t>Energy Skills Australia, Submission 14, Clean Energy Capacity Study Discussion Paper, p 4.</w:t>
      </w:r>
    </w:p>
  </w:endnote>
  <w:endnote w:id="225">
    <w:p w14:paraId="1C0C3756" w14:textId="542B24E6" w:rsidR="4AB85293" w:rsidRDefault="4AB85293" w:rsidP="00817124">
      <w:pPr>
        <w:pStyle w:val="EndnoteText"/>
        <w:ind w:left="709" w:hanging="709"/>
      </w:pPr>
      <w:r w:rsidRPr="00817124">
        <w:rPr>
          <w:rStyle w:val="EndnoteReference"/>
          <w:rFonts w:asciiTheme="minorHAnsi" w:hAnsiTheme="minorHAnsi" w:cstheme="minorHAnsi"/>
          <w:vertAlign w:val="baseline"/>
        </w:rPr>
        <w:endnoteRef/>
      </w:r>
      <w:r>
        <w:t xml:space="preserve"> </w:t>
      </w:r>
      <w:r w:rsidR="00817124">
        <w:tab/>
      </w:r>
      <w:r>
        <w:t>Ai Group, Submission 1, Clean Energy Capacity Study Discussion paper, p 7.</w:t>
      </w:r>
    </w:p>
  </w:endnote>
  <w:endnote w:id="226">
    <w:p w14:paraId="05224FDF" w14:textId="0E43EC30" w:rsidR="00E13239" w:rsidRPr="004906C5" w:rsidRDefault="00E13239" w:rsidP="004906C5">
      <w:pPr>
        <w:pStyle w:val="EndnoteText"/>
        <w:spacing w:before="120" w:after="120"/>
        <w:ind w:left="720" w:hanging="720"/>
        <w:rPr>
          <w:rFonts w:asciiTheme="minorHAnsi" w:hAnsiTheme="minorHAnsi" w:cstheme="minorHAnsi"/>
        </w:rPr>
      </w:pPr>
      <w:r w:rsidRPr="004906C5">
        <w:rPr>
          <w:rFonts w:asciiTheme="minorHAnsi" w:hAnsiTheme="minorHAnsi" w:cstheme="minorHAnsi"/>
        </w:rPr>
        <w:endnoteRef/>
      </w:r>
      <w:r w:rsidRPr="004906C5">
        <w:rPr>
          <w:rFonts w:asciiTheme="minorHAnsi" w:hAnsiTheme="minorHAnsi" w:cstheme="minorHAnsi"/>
        </w:rPr>
        <w:t xml:space="preserve"> </w:t>
      </w:r>
      <w:r w:rsidRPr="004906C5">
        <w:rPr>
          <w:rFonts w:asciiTheme="minorHAnsi" w:hAnsiTheme="minorHAnsi" w:cstheme="minorHAnsi"/>
        </w:rPr>
        <w:tab/>
      </w:r>
      <w:r w:rsidR="00817124">
        <w:rPr>
          <w:rFonts w:asciiTheme="minorHAnsi" w:hAnsiTheme="minorHAnsi" w:cstheme="minorHAnsi"/>
        </w:rPr>
        <w:t>ETU</w:t>
      </w:r>
      <w:r w:rsidR="003D5C52">
        <w:rPr>
          <w:rFonts w:asciiTheme="minorHAnsi" w:hAnsiTheme="minorHAnsi" w:cstheme="minorHAnsi"/>
        </w:rPr>
        <w:t>,</w:t>
      </w:r>
      <w:r w:rsidR="007C4F3D" w:rsidRPr="004906C5">
        <w:rPr>
          <w:rFonts w:asciiTheme="minorHAnsi" w:hAnsiTheme="minorHAnsi" w:cstheme="minorHAnsi"/>
        </w:rPr>
        <w:t xml:space="preserve"> Submission </w:t>
      </w:r>
      <w:r w:rsidR="00E31164" w:rsidRPr="004906C5">
        <w:rPr>
          <w:rFonts w:asciiTheme="minorHAnsi" w:hAnsiTheme="minorHAnsi" w:cstheme="minorHAnsi"/>
        </w:rPr>
        <w:t>12</w:t>
      </w:r>
      <w:r w:rsidR="007C4F3D" w:rsidRPr="004906C5">
        <w:rPr>
          <w:rFonts w:asciiTheme="minorHAnsi" w:hAnsiTheme="minorHAnsi" w:cstheme="minorHAnsi"/>
        </w:rPr>
        <w:t>, Clean Energy Capacity Study Discussion paper, p 2.</w:t>
      </w:r>
    </w:p>
  </w:endnote>
  <w:endnote w:id="227">
    <w:p w14:paraId="6D76CBE8" w14:textId="7388D98D" w:rsidR="00817124" w:rsidRPr="00817124" w:rsidRDefault="00E13239" w:rsidP="00817124">
      <w:pPr>
        <w:spacing w:before="120" w:after="120" w:line="240" w:lineRule="auto"/>
        <w:ind w:left="720" w:hanging="720"/>
        <w:rPr>
          <w:rFonts w:asciiTheme="minorHAnsi" w:hAnsiTheme="minorHAnsi" w:cstheme="minorHAnsi"/>
          <w:sz w:val="20"/>
          <w:szCs w:val="20"/>
        </w:rPr>
      </w:pPr>
      <w:r w:rsidRPr="004906C5">
        <w:rPr>
          <w:rStyle w:val="EndnoteReference"/>
          <w:rFonts w:asciiTheme="minorHAnsi" w:hAnsiTheme="minorHAnsi" w:cstheme="minorHAnsi"/>
          <w:sz w:val="20"/>
          <w:szCs w:val="20"/>
          <w:vertAlign w:val="baseline"/>
        </w:rPr>
        <w:endnoteRef/>
      </w:r>
      <w:r w:rsidRPr="004906C5">
        <w:rPr>
          <w:rFonts w:asciiTheme="minorHAnsi" w:hAnsiTheme="minorHAnsi" w:cstheme="minorHAnsi"/>
          <w:sz w:val="20"/>
          <w:szCs w:val="20"/>
        </w:rPr>
        <w:t xml:space="preserve"> </w:t>
      </w:r>
      <w:r w:rsidRPr="004906C5">
        <w:rPr>
          <w:rFonts w:asciiTheme="minorHAnsi" w:hAnsiTheme="minorHAnsi" w:cstheme="minorHAnsi"/>
          <w:sz w:val="20"/>
          <w:szCs w:val="20"/>
        </w:rPr>
        <w:tab/>
      </w:r>
      <w:r w:rsidR="00817124" w:rsidRPr="00605B24">
        <w:rPr>
          <w:rFonts w:cs="Arial"/>
          <w:sz w:val="20"/>
          <w:szCs w:val="20"/>
        </w:rPr>
        <w:t>G Edwards, C Hanmer, S Park, R MacNeil, M Bojovic, J Kucic-Riker, D Musil and Gemma Viney, ‘</w:t>
      </w:r>
      <w:hyperlink r:id="rId216" w:history="1">
        <w:r w:rsidR="00817124" w:rsidRPr="00605B24">
          <w:rPr>
            <w:rStyle w:val="Hyperlink"/>
            <w:rFonts w:cs="Arial"/>
            <w:sz w:val="20"/>
            <w:szCs w:val="20"/>
          </w:rPr>
          <w:t>Towards a Just Transition from Coal in Australia?</w:t>
        </w:r>
      </w:hyperlink>
      <w:r w:rsidR="00817124" w:rsidRPr="00605B24">
        <w:rPr>
          <w:rFonts w:cs="Arial"/>
          <w:sz w:val="20"/>
          <w:szCs w:val="20"/>
        </w:rPr>
        <w:t>’, Sydney Environment Institute, University of Sydney, 2022, p13, accessed September 2023.</w:t>
      </w:r>
    </w:p>
  </w:endnote>
  <w:endnote w:id="228">
    <w:p w14:paraId="6B7F5913" w14:textId="24E652C9" w:rsidR="00817124" w:rsidRPr="00817124" w:rsidRDefault="00817124" w:rsidP="00817124">
      <w:pPr>
        <w:spacing w:before="120" w:after="120"/>
        <w:ind w:left="709" w:hanging="709"/>
        <w:rPr>
          <w:rFonts w:cs="Arial"/>
          <w:sz w:val="20"/>
          <w:szCs w:val="20"/>
        </w:rPr>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tab/>
      </w:r>
      <w:r w:rsidRPr="00605B24">
        <w:rPr>
          <w:rFonts w:cs="Arial"/>
          <w:sz w:val="20"/>
          <w:szCs w:val="20"/>
        </w:rPr>
        <w:t xml:space="preserve">J </w:t>
      </w:r>
      <w:r w:rsidRPr="00605B24">
        <w:rPr>
          <w:rFonts w:eastAsia="Calibri" w:cs="Arial"/>
          <w:sz w:val="20"/>
          <w:szCs w:val="20"/>
        </w:rPr>
        <w:t>Wiseman, A Workman, S Fastenrath and F Jotzo, ‘</w:t>
      </w:r>
      <w:hyperlink r:id="rId217" w:anchor=":~:text=The%20Hazelwood%20case%20study%20provides,regional%20renewal%20strategies%3B%20respectful%20and" w:history="1">
        <w:r w:rsidRPr="00605B24">
          <w:rPr>
            <w:rStyle w:val="Hyperlink"/>
            <w:rFonts w:eastAsia="Calibri" w:cs="Arial"/>
            <w:sz w:val="20"/>
            <w:szCs w:val="20"/>
          </w:rPr>
          <w:t>After the Hazelwood coal fired power station closure: Latrobe Valley regional transition policies and outcomes 2017-2020</w:t>
        </w:r>
      </w:hyperlink>
      <w:r w:rsidRPr="00605B24">
        <w:rPr>
          <w:rFonts w:eastAsia="Calibri" w:cs="Arial"/>
          <w:sz w:val="20"/>
          <w:szCs w:val="20"/>
        </w:rPr>
        <w:t xml:space="preserve">’, CCEP Working Paper 2010, Crawford School of Public Policy, Australian National University, 2020, p 3, </w:t>
      </w:r>
      <w:r w:rsidRPr="00605B24">
        <w:rPr>
          <w:rFonts w:cs="Arial"/>
          <w:sz w:val="20"/>
          <w:szCs w:val="20"/>
        </w:rPr>
        <w:t>accessed September 2023.</w:t>
      </w:r>
    </w:p>
  </w:endnote>
  <w:endnote w:id="229">
    <w:p w14:paraId="20134009" w14:textId="25A6096F" w:rsidR="00E13239" w:rsidRPr="004906C5" w:rsidRDefault="00E13239" w:rsidP="004906C5">
      <w:pPr>
        <w:spacing w:before="120" w:after="120" w:line="240" w:lineRule="auto"/>
        <w:ind w:left="720" w:hanging="720"/>
        <w:rPr>
          <w:rFonts w:asciiTheme="minorHAnsi" w:eastAsia="Calibri" w:hAnsiTheme="minorHAnsi" w:cstheme="minorHAnsi"/>
          <w:sz w:val="20"/>
          <w:szCs w:val="20"/>
        </w:rPr>
      </w:pPr>
      <w:r w:rsidRPr="004906C5">
        <w:rPr>
          <w:rStyle w:val="EndnoteReference"/>
          <w:rFonts w:asciiTheme="minorHAnsi" w:hAnsiTheme="minorHAnsi" w:cstheme="minorHAnsi"/>
          <w:sz w:val="20"/>
          <w:szCs w:val="20"/>
          <w:vertAlign w:val="baseline"/>
        </w:rPr>
        <w:endnoteRef/>
      </w:r>
      <w:r w:rsidRPr="004906C5">
        <w:rPr>
          <w:rFonts w:asciiTheme="minorHAnsi" w:hAnsiTheme="minorHAnsi" w:cstheme="minorHAnsi"/>
          <w:sz w:val="20"/>
          <w:szCs w:val="20"/>
        </w:rPr>
        <w:t xml:space="preserve"> </w:t>
      </w:r>
      <w:r w:rsidRPr="004906C5">
        <w:rPr>
          <w:rFonts w:asciiTheme="minorHAnsi" w:hAnsiTheme="minorHAnsi" w:cstheme="minorHAnsi"/>
          <w:sz w:val="20"/>
          <w:szCs w:val="20"/>
        </w:rPr>
        <w:tab/>
      </w:r>
      <w:r w:rsidR="007C3063" w:rsidRPr="004906C5">
        <w:rPr>
          <w:rFonts w:asciiTheme="minorHAnsi" w:hAnsiTheme="minorHAnsi" w:cstheme="minorHAnsi"/>
          <w:sz w:val="20"/>
          <w:szCs w:val="20"/>
        </w:rPr>
        <w:t xml:space="preserve">ACIL Allen, </w:t>
      </w:r>
      <w:hyperlink r:id="rId218" w:history="1">
        <w:r w:rsidR="00817124" w:rsidRPr="00605B24">
          <w:rPr>
            <w:rStyle w:val="Hyperlink"/>
            <w:rFonts w:cs="Arial"/>
            <w:sz w:val="20"/>
            <w:szCs w:val="20"/>
          </w:rPr>
          <w:t>Transition of the Australian Car Manufacturing Sector: Outcomes and Best Practice</w:t>
        </w:r>
      </w:hyperlink>
      <w:r w:rsidR="00817124" w:rsidRPr="00605B24">
        <w:rPr>
          <w:rStyle w:val="ui-provider"/>
          <w:rFonts w:cs="Arial"/>
          <w:i/>
          <w:iCs/>
          <w:sz w:val="20"/>
          <w:szCs w:val="20"/>
        </w:rPr>
        <w:t>’</w:t>
      </w:r>
      <w:r w:rsidR="007C3063" w:rsidRPr="004906C5">
        <w:rPr>
          <w:rFonts w:asciiTheme="minorHAnsi" w:eastAsia="Calibri" w:hAnsiTheme="minorHAnsi" w:cstheme="minorHAnsi"/>
          <w:sz w:val="20"/>
          <w:szCs w:val="20"/>
        </w:rPr>
        <w:t xml:space="preserve">, report to </w:t>
      </w:r>
      <w:r w:rsidR="00864F98">
        <w:rPr>
          <w:rFonts w:asciiTheme="minorHAnsi" w:eastAsia="Calibri" w:hAnsiTheme="minorHAnsi" w:cstheme="minorHAnsi"/>
          <w:sz w:val="20"/>
          <w:szCs w:val="20"/>
        </w:rPr>
        <w:t>DESE</w:t>
      </w:r>
      <w:r w:rsidR="007C3063" w:rsidRPr="004906C5">
        <w:rPr>
          <w:rFonts w:asciiTheme="minorHAnsi" w:eastAsia="Calibri" w:hAnsiTheme="minorHAnsi" w:cstheme="minorHAnsi"/>
          <w:sz w:val="20"/>
          <w:szCs w:val="20"/>
        </w:rPr>
        <w:t xml:space="preserve">, ACIL Allen, 2020, p 65, </w:t>
      </w:r>
      <w:r w:rsidR="007C3063" w:rsidRPr="004906C5">
        <w:rPr>
          <w:rFonts w:asciiTheme="minorHAnsi" w:hAnsiTheme="minorHAnsi" w:cstheme="minorHAnsi"/>
          <w:sz w:val="20"/>
          <w:szCs w:val="20"/>
        </w:rPr>
        <w:t>accessed September 2023</w:t>
      </w:r>
      <w:r w:rsidR="007C3063" w:rsidRPr="004906C5">
        <w:rPr>
          <w:rFonts w:asciiTheme="minorHAnsi" w:eastAsia="Calibri" w:hAnsiTheme="minorHAnsi" w:cstheme="minorHAnsi"/>
          <w:sz w:val="20"/>
          <w:szCs w:val="20"/>
        </w:rPr>
        <w:t>.</w:t>
      </w:r>
    </w:p>
  </w:endnote>
  <w:endnote w:id="230">
    <w:p w14:paraId="1D8C4A0D" w14:textId="1C5311A1"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3508A6" w:rsidRPr="004906C5">
        <w:rPr>
          <w:rFonts w:asciiTheme="minorHAnsi" w:hAnsiTheme="minorHAnsi" w:cstheme="minorHAnsi"/>
        </w:rPr>
        <w:t>Australian Energy Regulator</w:t>
      </w:r>
      <w:r w:rsidR="00817124">
        <w:rPr>
          <w:rFonts w:asciiTheme="minorHAnsi" w:hAnsiTheme="minorHAnsi" w:cstheme="minorHAnsi"/>
        </w:rPr>
        <w:t xml:space="preserve"> (AER)</w:t>
      </w:r>
      <w:r w:rsidR="003508A6" w:rsidRPr="004906C5">
        <w:rPr>
          <w:rFonts w:asciiTheme="minorHAnsi" w:hAnsiTheme="minorHAnsi" w:cstheme="minorHAnsi"/>
        </w:rPr>
        <w:t xml:space="preserve">, </w:t>
      </w:r>
      <w:hyperlink r:id="rId219" w:anchor=":~:text=National%20Electricity%20Market%20generators%20are,applicants%20are%20required%20to%20submit." w:history="1">
        <w:r w:rsidR="003508A6" w:rsidRPr="004906C5">
          <w:rPr>
            <w:rStyle w:val="Hyperlink"/>
            <w:rFonts w:asciiTheme="minorHAnsi" w:eastAsia="Times New Roman" w:hAnsiTheme="minorHAnsi" w:cstheme="minorHAnsi"/>
            <w:i/>
            <w:iCs/>
            <w:lang w:eastAsia="en-AU"/>
          </w:rPr>
          <w:t>Notice of closure exemptions</w:t>
        </w:r>
      </w:hyperlink>
      <w:r w:rsidR="003508A6" w:rsidRPr="004906C5">
        <w:rPr>
          <w:rFonts w:asciiTheme="minorHAnsi" w:eastAsia="Times New Roman" w:hAnsiTheme="minorHAnsi" w:cstheme="minorHAnsi"/>
          <w:color w:val="414141"/>
          <w:lang w:eastAsia="en-AU"/>
        </w:rPr>
        <w:t xml:space="preserve">, </w:t>
      </w:r>
      <w:r w:rsidR="0051562C">
        <w:rPr>
          <w:rFonts w:asciiTheme="minorHAnsi" w:eastAsia="Times New Roman" w:hAnsiTheme="minorHAnsi" w:cstheme="minorHAnsi"/>
          <w:color w:val="414141"/>
          <w:lang w:eastAsia="en-AU"/>
        </w:rPr>
        <w:t xml:space="preserve">Australian Government, </w:t>
      </w:r>
      <w:r w:rsidR="003508A6" w:rsidRPr="004906C5">
        <w:rPr>
          <w:rFonts w:asciiTheme="minorHAnsi" w:eastAsia="Times New Roman" w:hAnsiTheme="minorHAnsi" w:cstheme="minorHAnsi"/>
          <w:color w:val="auto"/>
          <w:lang w:eastAsia="en-AU"/>
        </w:rPr>
        <w:t xml:space="preserve">AER website, accessed  September </w:t>
      </w:r>
      <w:r w:rsidR="003508A6" w:rsidRPr="004906C5">
        <w:rPr>
          <w:rFonts w:asciiTheme="minorHAnsi" w:hAnsiTheme="minorHAnsi" w:cstheme="minorHAnsi"/>
          <w:color w:val="auto"/>
        </w:rPr>
        <w:t>2023.</w:t>
      </w:r>
    </w:p>
  </w:endnote>
  <w:endnote w:id="231">
    <w:p w14:paraId="6FCCDCB5" w14:textId="39F9E610" w:rsidR="0017522A" w:rsidRPr="00733267" w:rsidRDefault="0017522A" w:rsidP="00817124">
      <w:pPr>
        <w:spacing w:before="120" w:after="60"/>
        <w:ind w:left="709" w:hanging="709"/>
        <w:rPr>
          <w:rFonts w:cs="Arial"/>
          <w:sz w:val="20"/>
          <w:szCs w:val="20"/>
        </w:rPr>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tab/>
      </w:r>
      <w:r w:rsidRPr="00733267">
        <w:rPr>
          <w:rFonts w:cs="Arial"/>
          <w:sz w:val="20"/>
          <w:szCs w:val="20"/>
        </w:rPr>
        <w:t xml:space="preserve">Examples of </w:t>
      </w:r>
      <w:r>
        <w:rPr>
          <w:rFonts w:cs="Arial"/>
          <w:sz w:val="20"/>
          <w:szCs w:val="20"/>
        </w:rPr>
        <w:t xml:space="preserve">employer </w:t>
      </w:r>
      <w:r w:rsidRPr="00733267">
        <w:rPr>
          <w:rFonts w:cs="Arial"/>
          <w:sz w:val="20"/>
          <w:szCs w:val="20"/>
        </w:rPr>
        <w:t>support packages offered by Ford</w:t>
      </w:r>
      <w:r>
        <w:rPr>
          <w:rFonts w:cs="Arial"/>
          <w:sz w:val="20"/>
          <w:szCs w:val="20"/>
        </w:rPr>
        <w:t>,</w:t>
      </w:r>
      <w:r w:rsidRPr="00733267">
        <w:rPr>
          <w:rFonts w:cs="Arial"/>
          <w:sz w:val="20"/>
          <w:szCs w:val="20"/>
        </w:rPr>
        <w:t xml:space="preserve"> Holden and Toyota: ACIL Allen, </w:t>
      </w:r>
      <w:hyperlink r:id="rId220" w:history="1">
        <w:r w:rsidR="00817124" w:rsidRPr="00605B24">
          <w:rPr>
            <w:rStyle w:val="Hyperlink"/>
            <w:rFonts w:cs="Arial"/>
            <w:sz w:val="20"/>
            <w:szCs w:val="20"/>
          </w:rPr>
          <w:t>Transition of the Australian Car Manufacturing Sector: Outcomes and Best Practice</w:t>
        </w:r>
      </w:hyperlink>
      <w:r w:rsidR="00817124" w:rsidRPr="00605B24">
        <w:rPr>
          <w:rStyle w:val="ui-provider"/>
          <w:rFonts w:cs="Arial"/>
          <w:i/>
          <w:iCs/>
          <w:sz w:val="20"/>
          <w:szCs w:val="20"/>
        </w:rPr>
        <w:t>’</w:t>
      </w:r>
      <w:r w:rsidR="00817124" w:rsidRPr="00605B24">
        <w:rPr>
          <w:rStyle w:val="ui-provider"/>
          <w:rFonts w:cs="Arial"/>
          <w:sz w:val="20"/>
          <w:szCs w:val="20"/>
        </w:rPr>
        <w:t>,</w:t>
      </w:r>
      <w:r w:rsidRPr="00733267">
        <w:rPr>
          <w:rFonts w:eastAsia="Calibri" w:cs="Arial"/>
          <w:sz w:val="20"/>
          <w:szCs w:val="20"/>
        </w:rPr>
        <w:t xml:space="preserve"> report to </w:t>
      </w:r>
      <w:r w:rsidR="00817124">
        <w:rPr>
          <w:rFonts w:eastAsia="Calibri" w:cs="Arial"/>
          <w:sz w:val="20"/>
          <w:szCs w:val="20"/>
        </w:rPr>
        <w:t>DESE</w:t>
      </w:r>
      <w:r w:rsidRPr="00733267">
        <w:rPr>
          <w:rFonts w:eastAsia="Calibri" w:cs="Arial"/>
          <w:sz w:val="20"/>
          <w:szCs w:val="20"/>
        </w:rPr>
        <w:t xml:space="preserve">, ACIL Allen, 2020, </w:t>
      </w:r>
      <w:r w:rsidRPr="00733267">
        <w:rPr>
          <w:rFonts w:cs="Arial"/>
          <w:sz w:val="20"/>
          <w:szCs w:val="20"/>
        </w:rPr>
        <w:t>pp 16-20</w:t>
      </w:r>
      <w:r w:rsidRPr="00733267">
        <w:rPr>
          <w:rFonts w:eastAsia="Calibri" w:cs="Arial"/>
          <w:sz w:val="20"/>
          <w:szCs w:val="20"/>
        </w:rPr>
        <w:t xml:space="preserve">, </w:t>
      </w:r>
      <w:r w:rsidRPr="00733267">
        <w:rPr>
          <w:rFonts w:cs="Arial"/>
          <w:sz w:val="20"/>
          <w:szCs w:val="20"/>
        </w:rPr>
        <w:t>accessed September 2023;</w:t>
      </w:r>
    </w:p>
    <w:p w14:paraId="213BECDD" w14:textId="77777777" w:rsidR="0017522A" w:rsidRPr="00A753FC" w:rsidRDefault="0017522A" w:rsidP="00817124">
      <w:pPr>
        <w:spacing w:after="120"/>
        <w:ind w:left="709"/>
        <w:rPr>
          <w:rFonts w:cs="Arial"/>
        </w:rPr>
      </w:pPr>
      <w:r>
        <w:rPr>
          <w:rFonts w:cs="Arial"/>
          <w:sz w:val="20"/>
          <w:szCs w:val="20"/>
        </w:rPr>
        <w:t>C</w:t>
      </w:r>
      <w:r w:rsidRPr="00733267">
        <w:rPr>
          <w:rFonts w:cs="Arial"/>
          <w:sz w:val="20"/>
          <w:szCs w:val="20"/>
        </w:rPr>
        <w:t xml:space="preserve">urrent examples </w:t>
      </w:r>
      <w:r>
        <w:rPr>
          <w:rFonts w:cs="Arial"/>
          <w:sz w:val="20"/>
          <w:szCs w:val="20"/>
        </w:rPr>
        <w:t xml:space="preserve">of employer support packages </w:t>
      </w:r>
      <w:r w:rsidRPr="00733267">
        <w:rPr>
          <w:rFonts w:cs="Arial"/>
          <w:sz w:val="20"/>
          <w:szCs w:val="20"/>
        </w:rPr>
        <w:t>for the coal-fired sector</w:t>
      </w:r>
      <w:r>
        <w:rPr>
          <w:rFonts w:cs="Arial"/>
          <w:sz w:val="20"/>
          <w:szCs w:val="20"/>
        </w:rPr>
        <w:t xml:space="preserve"> include</w:t>
      </w:r>
      <w:r w:rsidRPr="00733267">
        <w:rPr>
          <w:rFonts w:cs="Arial"/>
          <w:sz w:val="20"/>
          <w:szCs w:val="20"/>
        </w:rPr>
        <w:t xml:space="preserve">: EnergyAustralia, </w:t>
      </w:r>
      <w:hyperlink r:id="rId221" w:history="1">
        <w:r w:rsidRPr="00733267">
          <w:rPr>
            <w:rStyle w:val="Hyperlink"/>
            <w:rFonts w:cs="Arial"/>
            <w:i/>
            <w:iCs/>
            <w:sz w:val="20"/>
            <w:szCs w:val="20"/>
          </w:rPr>
          <w:t>EnergyAustralia helps Yallourn workers prepare for life after coal</w:t>
        </w:r>
      </w:hyperlink>
      <w:r w:rsidRPr="00733267">
        <w:rPr>
          <w:rFonts w:cs="Arial"/>
          <w:sz w:val="20"/>
          <w:szCs w:val="20"/>
        </w:rPr>
        <w:t xml:space="preserve"> [media release], EnergyAustralia website, 17 November 2022, accessed September 2023; Synergy, </w:t>
      </w:r>
      <w:hyperlink r:id="rId222" w:history="1">
        <w:r w:rsidRPr="00733267">
          <w:rPr>
            <w:rStyle w:val="Hyperlink"/>
            <w:rFonts w:cs="Arial"/>
            <w:i/>
            <w:iCs/>
            <w:sz w:val="20"/>
            <w:szCs w:val="20"/>
          </w:rPr>
          <w:t>Muja Workforce Transition Program</w:t>
        </w:r>
      </w:hyperlink>
      <w:r w:rsidRPr="00733267">
        <w:rPr>
          <w:rFonts w:cs="Arial"/>
          <w:sz w:val="20"/>
          <w:szCs w:val="20"/>
        </w:rPr>
        <w:t>, Synergy website, n.d, accessed September 2023.</w:t>
      </w:r>
    </w:p>
  </w:endnote>
  <w:endnote w:id="232">
    <w:p w14:paraId="12FA9D59" w14:textId="43F2237D" w:rsidR="0017522A" w:rsidRDefault="0017522A" w:rsidP="00817124">
      <w:pPr>
        <w:pStyle w:val="EndnoteText"/>
        <w:spacing w:before="120" w:after="120"/>
        <w:ind w:left="709" w:hanging="709"/>
      </w:pPr>
      <w:r w:rsidRPr="00817124">
        <w:rPr>
          <w:rStyle w:val="EndnoteReference"/>
          <w:rFonts w:asciiTheme="minorHAnsi" w:hAnsiTheme="minorHAnsi" w:cstheme="minorHAnsi"/>
          <w:vertAlign w:val="baseline"/>
        </w:rPr>
        <w:endnoteRef/>
      </w:r>
      <w:r w:rsidRPr="00817124">
        <w:rPr>
          <w:rStyle w:val="EndnoteReference"/>
          <w:rFonts w:asciiTheme="minorHAnsi" w:hAnsiTheme="minorHAnsi" w:cstheme="minorHAnsi"/>
          <w:vertAlign w:val="baseline"/>
        </w:rPr>
        <w:t xml:space="preserve"> </w:t>
      </w:r>
      <w:r>
        <w:tab/>
      </w:r>
      <w:r w:rsidRPr="00733267">
        <w:rPr>
          <w:rFonts w:cs="Arial"/>
        </w:rPr>
        <w:t xml:space="preserve">ACIL Allen, </w:t>
      </w:r>
      <w:hyperlink r:id="rId223"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00817124" w:rsidRPr="00605B24">
        <w:rPr>
          <w:rStyle w:val="ui-provider"/>
          <w:rFonts w:cs="Arial"/>
        </w:rPr>
        <w:t>,</w:t>
      </w:r>
      <w:r w:rsidR="00817124">
        <w:rPr>
          <w:rStyle w:val="ui-provider"/>
          <w:rFonts w:cs="Arial"/>
        </w:rPr>
        <w:t xml:space="preserve"> </w:t>
      </w:r>
      <w:r w:rsidRPr="00733267">
        <w:rPr>
          <w:rFonts w:eastAsia="Calibri" w:cs="Arial"/>
        </w:rPr>
        <w:t xml:space="preserve">report to </w:t>
      </w:r>
      <w:r>
        <w:rPr>
          <w:rFonts w:eastAsia="Calibri" w:cs="Arial"/>
        </w:rPr>
        <w:t>DESE,</w:t>
      </w:r>
      <w:r w:rsidRPr="00733267">
        <w:rPr>
          <w:rFonts w:eastAsia="Calibri" w:cs="Arial"/>
        </w:rPr>
        <w:t xml:space="preserve"> ACIL Allen, 2020, </w:t>
      </w:r>
      <w:r w:rsidRPr="00733267">
        <w:rPr>
          <w:rFonts w:cs="Arial"/>
        </w:rPr>
        <w:t xml:space="preserve">pp </w:t>
      </w:r>
      <w:r>
        <w:rPr>
          <w:rFonts w:cs="Arial"/>
        </w:rPr>
        <w:t>21</w:t>
      </w:r>
      <w:r w:rsidRPr="00733267">
        <w:rPr>
          <w:rFonts w:cs="Arial"/>
        </w:rPr>
        <w:t>-2</w:t>
      </w:r>
      <w:r>
        <w:rPr>
          <w:rFonts w:cs="Arial"/>
        </w:rPr>
        <w:t>2</w:t>
      </w:r>
      <w:r w:rsidRPr="00733267">
        <w:rPr>
          <w:rFonts w:eastAsia="Calibri" w:cs="Arial"/>
        </w:rPr>
        <w:t xml:space="preserve">, </w:t>
      </w:r>
      <w:r w:rsidRPr="00733267">
        <w:rPr>
          <w:rFonts w:cs="Arial"/>
        </w:rPr>
        <w:t>accessed September 2023</w:t>
      </w:r>
    </w:p>
  </w:endnote>
  <w:endnote w:id="233">
    <w:p w14:paraId="3373289D" w14:textId="4E245596" w:rsidR="0017522A" w:rsidRPr="00872CC9" w:rsidRDefault="0017522A" w:rsidP="00817124">
      <w:pPr>
        <w:spacing w:before="120" w:after="120" w:line="240" w:lineRule="auto"/>
        <w:ind w:left="709" w:hanging="709"/>
        <w:rPr>
          <w:rFonts w:cs="Arial"/>
        </w:rPr>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tab/>
      </w:r>
      <w:r w:rsidRPr="006E4344">
        <w:rPr>
          <w:rFonts w:eastAsia="Calibri" w:cs="Arial"/>
          <w:sz w:val="20"/>
          <w:szCs w:val="20"/>
        </w:rPr>
        <w:t xml:space="preserve">DEWR, </w:t>
      </w:r>
      <w:hyperlink r:id="rId224" w:history="1">
        <w:r w:rsidRPr="00F022AC">
          <w:rPr>
            <w:rStyle w:val="Hyperlink"/>
            <w:rFonts w:cs="Arial"/>
            <w:i/>
            <w:iCs/>
            <w:sz w:val="20"/>
            <w:szCs w:val="20"/>
          </w:rPr>
          <w:t>Next steps if you lose your job</w:t>
        </w:r>
      </w:hyperlink>
      <w:r w:rsidRPr="00F022AC">
        <w:rPr>
          <w:rFonts w:cs="Arial"/>
          <w:sz w:val="20"/>
          <w:szCs w:val="20"/>
        </w:rPr>
        <w:t xml:space="preserve">, </w:t>
      </w:r>
      <w:r w:rsidRPr="006E4344">
        <w:rPr>
          <w:rFonts w:eastAsia="Calibri" w:cs="Arial"/>
          <w:sz w:val="20"/>
          <w:szCs w:val="20"/>
        </w:rPr>
        <w:t>DEWR website, Australian Government, 14 March 2023, accessed September 2023.</w:t>
      </w:r>
    </w:p>
  </w:endnote>
  <w:endnote w:id="234">
    <w:p w14:paraId="63E9DB3C" w14:textId="77777777" w:rsidR="0017522A" w:rsidRDefault="0017522A" w:rsidP="00817124">
      <w:pPr>
        <w:pStyle w:val="EndnoteText"/>
        <w:ind w:left="709" w:hanging="709"/>
      </w:pPr>
      <w:r w:rsidRPr="00817124">
        <w:rPr>
          <w:rStyle w:val="EndnoteReference"/>
          <w:rFonts w:asciiTheme="minorHAnsi" w:hAnsiTheme="minorHAnsi" w:cstheme="minorHAnsi"/>
          <w:vertAlign w:val="baseline"/>
        </w:rPr>
        <w:endnoteRef/>
      </w:r>
      <w:r w:rsidRPr="00817124">
        <w:rPr>
          <w:rStyle w:val="EndnoteReference"/>
          <w:rFonts w:asciiTheme="minorHAnsi" w:hAnsiTheme="minorHAnsi" w:cstheme="minorHAnsi"/>
          <w:vertAlign w:val="baseline"/>
        </w:rPr>
        <w:t xml:space="preserve"> </w:t>
      </w:r>
      <w:r>
        <w:tab/>
      </w:r>
      <w:r w:rsidRPr="006E4344">
        <w:rPr>
          <w:rFonts w:cs="Arial"/>
        </w:rPr>
        <w:t xml:space="preserve">Department of Premier and Cabinet, </w:t>
      </w:r>
      <w:hyperlink r:id="rId225" w:history="1">
        <w:r w:rsidRPr="006E4344">
          <w:rPr>
            <w:rStyle w:val="Hyperlink"/>
            <w:rFonts w:cs="Arial"/>
            <w:i/>
            <w:iCs/>
          </w:rPr>
          <w:t>Collie Transition Package</w:t>
        </w:r>
      </w:hyperlink>
      <w:r w:rsidRPr="006E4344">
        <w:rPr>
          <w:rFonts w:cs="Arial"/>
        </w:rPr>
        <w:t>, Department of Premier and Cabinet, WA Government website, 25 November 2022, accessed September 2023.</w:t>
      </w:r>
    </w:p>
  </w:endnote>
  <w:endnote w:id="235">
    <w:p w14:paraId="1D8C8296" w14:textId="77777777" w:rsidR="0017522A" w:rsidRPr="006E4344" w:rsidRDefault="0017522A" w:rsidP="00817124">
      <w:pPr>
        <w:spacing w:before="120" w:after="120" w:line="240" w:lineRule="auto"/>
        <w:ind w:left="709" w:hanging="709"/>
        <w:rPr>
          <w:rFonts w:cs="Arial"/>
          <w:sz w:val="20"/>
          <w:szCs w:val="20"/>
        </w:rPr>
      </w:pPr>
      <w:r w:rsidRPr="00817124">
        <w:rPr>
          <w:rStyle w:val="EndnoteReference"/>
          <w:rFonts w:asciiTheme="minorHAnsi" w:hAnsiTheme="minorHAnsi" w:cstheme="minorHAnsi"/>
          <w:sz w:val="20"/>
          <w:szCs w:val="20"/>
          <w:vertAlign w:val="baseline"/>
        </w:rPr>
        <w:endnoteRef/>
      </w:r>
      <w:r>
        <w:t xml:space="preserve"> </w:t>
      </w:r>
      <w:r>
        <w:tab/>
      </w:r>
      <w:r w:rsidRPr="006E4344">
        <w:rPr>
          <w:rFonts w:cs="Arial"/>
          <w:sz w:val="20"/>
          <w:szCs w:val="20"/>
        </w:rPr>
        <w:t xml:space="preserve">Latrobe Valley Authority (LVA), </w:t>
      </w:r>
      <w:hyperlink r:id="rId226" w:history="1">
        <w:r w:rsidRPr="006E4344">
          <w:rPr>
            <w:rStyle w:val="Hyperlink"/>
            <w:rFonts w:cs="Arial"/>
            <w:i/>
            <w:iCs/>
            <w:sz w:val="20"/>
            <w:szCs w:val="20"/>
          </w:rPr>
          <w:t>Worker Support Service</w:t>
        </w:r>
      </w:hyperlink>
      <w:r w:rsidRPr="006E4344">
        <w:rPr>
          <w:rFonts w:cs="Arial"/>
          <w:sz w:val="20"/>
          <w:szCs w:val="20"/>
        </w:rPr>
        <w:t>, LVA website, Victorian Government, n.d., accessed September 2023.</w:t>
      </w:r>
    </w:p>
  </w:endnote>
  <w:endnote w:id="236">
    <w:p w14:paraId="327A7CA6" w14:textId="77777777" w:rsidR="0017522A" w:rsidRDefault="0017522A" w:rsidP="00817124">
      <w:pPr>
        <w:pStyle w:val="EndnoteText"/>
        <w:spacing w:before="120" w:after="120"/>
        <w:ind w:left="709" w:hanging="709"/>
      </w:pPr>
      <w:r w:rsidRPr="00817124">
        <w:rPr>
          <w:rStyle w:val="EndnoteReference"/>
          <w:rFonts w:asciiTheme="minorHAnsi" w:hAnsiTheme="minorHAnsi" w:cstheme="minorHAnsi"/>
          <w:vertAlign w:val="baseline"/>
        </w:rPr>
        <w:endnoteRef/>
      </w:r>
      <w:r>
        <w:t xml:space="preserve"> </w:t>
      </w:r>
      <w:r>
        <w:tab/>
      </w:r>
      <w:r w:rsidRPr="006E4344">
        <w:rPr>
          <w:rFonts w:cs="Arial"/>
        </w:rPr>
        <w:t xml:space="preserve">Department of Energy, Environment and Climate Action (DEECA), </w:t>
      </w:r>
      <w:hyperlink r:id="rId227" w:history="1">
        <w:r w:rsidRPr="00C04F03">
          <w:rPr>
            <w:rStyle w:val="Hyperlink"/>
            <w:rFonts w:cs="Arial"/>
            <w:i/>
            <w:iCs/>
          </w:rPr>
          <w:t>Forestry Transition Program</w:t>
        </w:r>
      </w:hyperlink>
      <w:r w:rsidRPr="006E4344">
        <w:rPr>
          <w:rFonts w:cs="Arial"/>
        </w:rPr>
        <w:t>, DEECA website, Victorian Government, 12 September 2023, accessed September 2023.</w:t>
      </w:r>
    </w:p>
  </w:endnote>
  <w:endnote w:id="237">
    <w:p w14:paraId="24A4706B" w14:textId="4CAFCBFB" w:rsidR="0017522A" w:rsidRPr="00817124" w:rsidRDefault="0017522A" w:rsidP="00817124">
      <w:pPr>
        <w:spacing w:after="120"/>
        <w:ind w:left="709" w:hanging="709"/>
        <w:rPr>
          <w:rFonts w:cs="Arial"/>
        </w:rPr>
      </w:pPr>
      <w:r w:rsidRPr="00817124">
        <w:rPr>
          <w:rStyle w:val="EndnoteReference"/>
          <w:rFonts w:asciiTheme="minorHAnsi" w:hAnsiTheme="minorHAnsi" w:cstheme="minorHAnsi"/>
          <w:sz w:val="20"/>
          <w:szCs w:val="20"/>
          <w:vertAlign w:val="baseline"/>
        </w:rPr>
        <w:endnoteRef/>
      </w:r>
      <w:r>
        <w:t xml:space="preserve"> </w:t>
      </w:r>
      <w:r>
        <w:tab/>
      </w:r>
      <w:r w:rsidRPr="00C04F03">
        <w:rPr>
          <w:rFonts w:cs="Arial"/>
          <w:sz w:val="20"/>
          <w:szCs w:val="20"/>
        </w:rPr>
        <w:t xml:space="preserve">Department of Regional NSW, </w:t>
      </w:r>
      <w:hyperlink r:id="rId228" w:history="1">
        <w:r w:rsidRPr="00C04F03">
          <w:rPr>
            <w:rStyle w:val="Hyperlink"/>
            <w:rFonts w:cs="Arial"/>
            <w:i/>
            <w:iCs/>
            <w:sz w:val="20"/>
            <w:szCs w:val="20"/>
          </w:rPr>
          <w:t>Royalties for Rejuvenation Fund</w:t>
        </w:r>
      </w:hyperlink>
      <w:r w:rsidRPr="00C04F03">
        <w:rPr>
          <w:rFonts w:cs="Arial"/>
          <w:sz w:val="20"/>
          <w:szCs w:val="20"/>
        </w:rPr>
        <w:t>, Department of Regional NSW website, NSW Government, n.d., accessed September 2023.</w:t>
      </w:r>
    </w:p>
  </w:endnote>
  <w:endnote w:id="238">
    <w:p w14:paraId="2A0191B7" w14:textId="707C97BC"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81D14" w:rsidRPr="004906C5">
        <w:rPr>
          <w:rFonts w:asciiTheme="minorHAnsi" w:hAnsiTheme="minorHAnsi" w:cstheme="minorHAnsi"/>
        </w:rPr>
        <w:t xml:space="preserve">ACIL Allen, </w:t>
      </w:r>
      <w:hyperlink r:id="rId229"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00817124" w:rsidRPr="00605B24">
        <w:rPr>
          <w:rStyle w:val="ui-provider"/>
          <w:rFonts w:cs="Arial"/>
        </w:rPr>
        <w:t>,</w:t>
      </w:r>
      <w:r w:rsidR="00817124">
        <w:rPr>
          <w:rStyle w:val="ui-provider"/>
          <w:rFonts w:cs="Arial"/>
        </w:rPr>
        <w:t xml:space="preserve"> </w:t>
      </w:r>
      <w:r w:rsidR="00E81D14" w:rsidRPr="004906C5">
        <w:rPr>
          <w:rFonts w:asciiTheme="minorHAnsi" w:eastAsia="Calibri" w:hAnsiTheme="minorHAnsi" w:cstheme="minorHAnsi"/>
        </w:rPr>
        <w:t xml:space="preserve">report to </w:t>
      </w:r>
      <w:r w:rsidR="00BE1CEC">
        <w:rPr>
          <w:rFonts w:asciiTheme="minorHAnsi" w:eastAsia="Calibri" w:hAnsiTheme="minorHAnsi" w:cstheme="minorHAnsi"/>
        </w:rPr>
        <w:t>DESE</w:t>
      </w:r>
      <w:r w:rsidR="00E81D14" w:rsidRPr="004906C5">
        <w:rPr>
          <w:rFonts w:asciiTheme="minorHAnsi" w:eastAsia="Calibri" w:hAnsiTheme="minorHAnsi" w:cstheme="minorHAnsi"/>
        </w:rPr>
        <w:t xml:space="preserve">, ACIL Allen, 2020, p 72, </w:t>
      </w:r>
      <w:r w:rsidR="00E81D14" w:rsidRPr="004906C5">
        <w:rPr>
          <w:rFonts w:asciiTheme="minorHAnsi" w:hAnsiTheme="minorHAnsi" w:cstheme="minorHAnsi"/>
        </w:rPr>
        <w:t>accessed September 2023</w:t>
      </w:r>
      <w:r w:rsidR="00E81D14" w:rsidRPr="004906C5">
        <w:rPr>
          <w:rFonts w:asciiTheme="minorHAnsi" w:eastAsia="Calibri" w:hAnsiTheme="minorHAnsi" w:cstheme="minorHAnsi"/>
        </w:rPr>
        <w:t>.</w:t>
      </w:r>
    </w:p>
  </w:endnote>
  <w:endnote w:id="239">
    <w:p w14:paraId="193FEDC7" w14:textId="1B6C6264"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1E5E3F" w:rsidRPr="004906C5">
        <w:rPr>
          <w:rFonts w:asciiTheme="minorHAnsi" w:eastAsia="Calibri" w:hAnsiTheme="minorHAnsi" w:cstheme="minorHAnsi"/>
        </w:rPr>
        <w:t xml:space="preserve">Nous Group, </w:t>
      </w:r>
      <w:hyperlink r:id="rId230" w:history="1">
        <w:r w:rsidR="001E5E3F" w:rsidRPr="004906C5">
          <w:rPr>
            <w:rStyle w:val="Hyperlink"/>
            <w:rFonts w:asciiTheme="minorHAnsi" w:eastAsia="Calibri" w:hAnsiTheme="minorHAnsi" w:cstheme="minorHAnsi"/>
            <w:i/>
            <w:iCs/>
          </w:rPr>
          <w:t xml:space="preserve">Lessons learnt from large firm closures – case studies (volume 3) </w:t>
        </w:r>
        <w:r w:rsidR="001E5E3F" w:rsidRPr="004906C5">
          <w:rPr>
            <w:rStyle w:val="Hyperlink"/>
            <w:rFonts w:asciiTheme="minorHAnsi" w:eastAsia="Calibri" w:hAnsiTheme="minorHAnsi" w:cstheme="minorHAnsi"/>
          </w:rPr>
          <w:t>[PDF 714KB]</w:t>
        </w:r>
      </w:hyperlink>
      <w:r w:rsidR="001E5E3F" w:rsidRPr="004906C5">
        <w:rPr>
          <w:rFonts w:asciiTheme="minorHAnsi" w:eastAsia="Calibri" w:hAnsiTheme="minorHAnsi" w:cstheme="minorHAnsi"/>
        </w:rPr>
        <w:t xml:space="preserve">, report to the Australian Government Department of Industry, Innovation, Science, Research and Tertiary Education, Nous Group, 2013, p 23, </w:t>
      </w:r>
      <w:r w:rsidR="001E5E3F" w:rsidRPr="004906C5">
        <w:rPr>
          <w:rFonts w:asciiTheme="minorHAnsi" w:hAnsiTheme="minorHAnsi" w:cstheme="minorHAnsi"/>
        </w:rPr>
        <w:t>accessed September 2023</w:t>
      </w:r>
      <w:r w:rsidR="001E5E3F" w:rsidRPr="004906C5">
        <w:rPr>
          <w:rFonts w:asciiTheme="minorHAnsi" w:eastAsia="Calibri" w:hAnsiTheme="minorHAnsi" w:cstheme="minorHAnsi"/>
        </w:rPr>
        <w:t>.</w:t>
      </w:r>
    </w:p>
  </w:endnote>
  <w:endnote w:id="240">
    <w:p w14:paraId="4491AC08" w14:textId="471EE92B"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0C7CA2" w:rsidRPr="004906C5">
        <w:rPr>
          <w:rFonts w:asciiTheme="minorHAnsi" w:eastAsia="Calibri" w:hAnsiTheme="minorHAnsi" w:cstheme="minorHAnsi"/>
        </w:rPr>
        <w:t>D Snell, V Gekara and A Schermuly, ‘</w:t>
      </w:r>
      <w:hyperlink r:id="rId231" w:history="1">
        <w:r w:rsidR="000C7CA2" w:rsidRPr="004906C5">
          <w:rPr>
            <w:rStyle w:val="Hyperlink"/>
            <w:rFonts w:asciiTheme="minorHAnsi" w:eastAsia="Calibri" w:hAnsiTheme="minorHAnsi" w:cstheme="minorHAnsi"/>
          </w:rPr>
          <w:t>The Occupational Mobility and Skills Transferability of Australian Auto Industry Employees: A Final Report for Automotive Manufacturing Transition</w:t>
        </w:r>
      </w:hyperlink>
      <w:r w:rsidR="000C7CA2" w:rsidRPr="004906C5">
        <w:rPr>
          <w:rFonts w:asciiTheme="minorHAnsi" w:eastAsia="Calibri" w:hAnsiTheme="minorHAnsi" w:cstheme="minorHAnsi"/>
        </w:rPr>
        <w:t>’</w:t>
      </w:r>
      <w:r w:rsidR="000C7CA2" w:rsidRPr="004906C5">
        <w:rPr>
          <w:rFonts w:asciiTheme="minorHAnsi" w:eastAsia="Calibri" w:hAnsiTheme="minorHAnsi" w:cstheme="minorHAnsi"/>
          <w:i/>
          <w:iCs/>
        </w:rPr>
        <w:t>,</w:t>
      </w:r>
      <w:r w:rsidR="000C7CA2" w:rsidRPr="004906C5">
        <w:rPr>
          <w:rFonts w:asciiTheme="minorHAnsi" w:eastAsia="Calibri" w:hAnsiTheme="minorHAnsi" w:cstheme="minorHAnsi"/>
        </w:rPr>
        <w:t xml:space="preserve"> report to the Australian Government Department of Education and Training, RMIT University, 2016, p 6, </w:t>
      </w:r>
      <w:bookmarkStart w:id="94" w:name="_Hlk145592055"/>
      <w:r w:rsidR="000C7CA2" w:rsidRPr="004906C5">
        <w:rPr>
          <w:rFonts w:asciiTheme="minorHAnsi" w:hAnsiTheme="minorHAnsi" w:cstheme="minorHAnsi"/>
        </w:rPr>
        <w:t>accessed September 2023</w:t>
      </w:r>
      <w:bookmarkEnd w:id="94"/>
    </w:p>
  </w:endnote>
  <w:endnote w:id="241">
    <w:p w14:paraId="2381865A" w14:textId="7AC329C2"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C30C8" w:rsidRPr="004906C5">
        <w:rPr>
          <w:rFonts w:asciiTheme="minorHAnsi" w:hAnsiTheme="minorHAnsi" w:cstheme="minorHAnsi"/>
        </w:rPr>
        <w:t xml:space="preserve">J </w:t>
      </w:r>
      <w:r w:rsidR="00BC30C8" w:rsidRPr="004906C5">
        <w:rPr>
          <w:rFonts w:asciiTheme="minorHAnsi" w:eastAsia="Calibri" w:hAnsiTheme="minorHAnsi" w:cstheme="minorHAnsi"/>
        </w:rPr>
        <w:t>Stanwick, M Circelli and T Lu, ‘</w:t>
      </w:r>
      <w:hyperlink r:id="rId232" w:history="1">
        <w:r w:rsidR="00BC30C8" w:rsidRPr="004906C5">
          <w:rPr>
            <w:rStyle w:val="Hyperlink"/>
            <w:rFonts w:asciiTheme="minorHAnsi" w:eastAsia="Calibri" w:hAnsiTheme="minorHAnsi" w:cstheme="minorHAnsi"/>
          </w:rPr>
          <w:t>The end of car manufacturing in Australia: What is the role of training?</w:t>
        </w:r>
      </w:hyperlink>
      <w:r w:rsidR="00BC30C8" w:rsidRPr="004906C5">
        <w:rPr>
          <w:rFonts w:asciiTheme="minorHAnsi" w:eastAsia="Calibri" w:hAnsiTheme="minorHAnsi" w:cstheme="minorHAnsi"/>
        </w:rPr>
        <w:t xml:space="preserve">’, NCVER, 2015, </w:t>
      </w:r>
      <w:r w:rsidR="00BC30C8" w:rsidRPr="004906C5">
        <w:rPr>
          <w:rFonts w:asciiTheme="minorHAnsi" w:hAnsiTheme="minorHAnsi" w:cstheme="minorHAnsi"/>
        </w:rPr>
        <w:t>accessed September 2023</w:t>
      </w:r>
      <w:r w:rsidR="00BC30C8" w:rsidRPr="004906C5">
        <w:rPr>
          <w:rFonts w:asciiTheme="minorHAnsi" w:eastAsia="Calibri" w:hAnsiTheme="minorHAnsi" w:cstheme="minorHAnsi"/>
        </w:rPr>
        <w:t>.</w:t>
      </w:r>
    </w:p>
  </w:endnote>
  <w:endnote w:id="242">
    <w:p w14:paraId="3B0BDD33" w14:textId="76ADFC19" w:rsidR="00E13239" w:rsidRPr="00BE1CEC" w:rsidRDefault="00E13239" w:rsidP="00BE1CEC">
      <w:pPr>
        <w:spacing w:before="120" w:after="120"/>
        <w:ind w:left="709" w:hanging="709"/>
        <w:rPr>
          <w:rFonts w:cs="Arial"/>
          <w:sz w:val="20"/>
          <w:szCs w:val="20"/>
        </w:rPr>
      </w:pPr>
      <w:r w:rsidRPr="00342569">
        <w:rPr>
          <w:rStyle w:val="EndnoteReference"/>
          <w:rFonts w:asciiTheme="minorHAnsi" w:hAnsiTheme="minorHAnsi" w:cstheme="minorHAnsi"/>
          <w:sz w:val="20"/>
          <w:szCs w:val="20"/>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E1CEC" w:rsidRPr="00605B24">
        <w:rPr>
          <w:rFonts w:cs="Arial"/>
          <w:sz w:val="20"/>
          <w:szCs w:val="20"/>
        </w:rPr>
        <w:t xml:space="preserve">A Shomos, </w:t>
      </w:r>
      <w:hyperlink r:id="rId233" w:history="1">
        <w:r w:rsidR="00BE1CEC" w:rsidRPr="00605B24">
          <w:rPr>
            <w:rStyle w:val="Hyperlink"/>
            <w:rFonts w:cs="Arial"/>
            <w:i/>
            <w:iCs/>
            <w:sz w:val="20"/>
            <w:szCs w:val="20"/>
          </w:rPr>
          <w:t>Links Between Literacy and Numeracy Skills and Labour Market Outcomes: Productivity Commission Staff Working Paper</w:t>
        </w:r>
        <w:r w:rsidR="00BE1CEC" w:rsidRPr="00605B24">
          <w:rPr>
            <w:rStyle w:val="Hyperlink"/>
            <w:rFonts w:cs="Arial"/>
            <w:sz w:val="20"/>
            <w:szCs w:val="20"/>
          </w:rPr>
          <w:t xml:space="preserve"> [PDF 600KB]</w:t>
        </w:r>
      </w:hyperlink>
      <w:r w:rsidR="00BE1CEC" w:rsidRPr="00605B24">
        <w:rPr>
          <w:rFonts w:cs="Arial"/>
          <w:sz w:val="20"/>
          <w:szCs w:val="20"/>
        </w:rPr>
        <w:t>, Productivity Commission, Australian Government, 2010, accessed September 2023.</w:t>
      </w:r>
    </w:p>
  </w:endnote>
  <w:endnote w:id="243">
    <w:p w14:paraId="5131B156" w14:textId="219FCAB0"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B73650" w:rsidRPr="004906C5">
        <w:rPr>
          <w:rFonts w:asciiTheme="minorHAnsi" w:eastAsia="Calibri" w:hAnsiTheme="minorHAnsi" w:cstheme="minorHAnsi"/>
        </w:rPr>
        <w:t>D Snell, V Gekara and A Schermuly, ‘</w:t>
      </w:r>
      <w:hyperlink r:id="rId234" w:history="1">
        <w:r w:rsidR="00B73650" w:rsidRPr="004906C5">
          <w:rPr>
            <w:rStyle w:val="Hyperlink"/>
            <w:rFonts w:asciiTheme="minorHAnsi" w:eastAsia="Calibri" w:hAnsiTheme="minorHAnsi" w:cstheme="minorHAnsi"/>
          </w:rPr>
          <w:t>The Occupational Mobility and Skills Transferability of Australian Auto Industry Employees: A Final Report for Automotive Manufacturing Transition</w:t>
        </w:r>
      </w:hyperlink>
      <w:r w:rsidR="00B73650" w:rsidRPr="004906C5">
        <w:rPr>
          <w:rFonts w:asciiTheme="minorHAnsi" w:eastAsia="Calibri" w:hAnsiTheme="minorHAnsi" w:cstheme="minorHAnsi"/>
        </w:rPr>
        <w:t>’</w:t>
      </w:r>
      <w:r w:rsidR="00B73650" w:rsidRPr="004906C5">
        <w:rPr>
          <w:rFonts w:asciiTheme="minorHAnsi" w:eastAsia="Calibri" w:hAnsiTheme="minorHAnsi" w:cstheme="minorHAnsi"/>
          <w:i/>
          <w:iCs/>
        </w:rPr>
        <w:t>,</w:t>
      </w:r>
      <w:r w:rsidR="00B73650" w:rsidRPr="004906C5">
        <w:rPr>
          <w:rFonts w:asciiTheme="minorHAnsi" w:eastAsia="Calibri" w:hAnsiTheme="minorHAnsi" w:cstheme="minorHAnsi"/>
        </w:rPr>
        <w:t xml:space="preserve"> report to the Australian Government Department of Education and Training, RMIT University, 2016, </w:t>
      </w:r>
      <w:r w:rsidR="00B73650" w:rsidRPr="004906C5">
        <w:rPr>
          <w:rFonts w:asciiTheme="minorHAnsi" w:hAnsiTheme="minorHAnsi" w:cstheme="minorHAnsi"/>
        </w:rPr>
        <w:t>p 6, accessed September 2023.</w:t>
      </w:r>
    </w:p>
  </w:endnote>
  <w:endnote w:id="244">
    <w:p w14:paraId="7A6D18D7" w14:textId="666081AB"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06688A" w:rsidRPr="004906C5">
        <w:rPr>
          <w:rFonts w:asciiTheme="minorHAnsi" w:hAnsiTheme="minorHAnsi" w:cstheme="minorHAnsi"/>
        </w:rPr>
        <w:t xml:space="preserve">J </w:t>
      </w:r>
      <w:r w:rsidR="0006688A" w:rsidRPr="004906C5">
        <w:rPr>
          <w:rFonts w:asciiTheme="minorHAnsi" w:eastAsia="Calibri" w:hAnsiTheme="minorHAnsi" w:cstheme="minorHAnsi"/>
        </w:rPr>
        <w:t>Stanwick, M Circelli and T Lu, ‘</w:t>
      </w:r>
      <w:hyperlink r:id="rId235" w:history="1">
        <w:r w:rsidR="0006688A" w:rsidRPr="004906C5">
          <w:rPr>
            <w:rStyle w:val="Hyperlink"/>
            <w:rFonts w:asciiTheme="minorHAnsi" w:eastAsia="Calibri" w:hAnsiTheme="minorHAnsi" w:cstheme="minorHAnsi"/>
          </w:rPr>
          <w:t>The end of car manufacturing in Australia: What is the role of training?</w:t>
        </w:r>
      </w:hyperlink>
      <w:r w:rsidR="0006688A" w:rsidRPr="004906C5">
        <w:rPr>
          <w:rFonts w:asciiTheme="minorHAnsi" w:eastAsia="Calibri" w:hAnsiTheme="minorHAnsi" w:cstheme="minorHAnsi"/>
        </w:rPr>
        <w:t xml:space="preserve">’, NCVER, 2015, </w:t>
      </w:r>
      <w:r w:rsidR="0006688A" w:rsidRPr="004906C5">
        <w:rPr>
          <w:rFonts w:asciiTheme="minorHAnsi" w:hAnsiTheme="minorHAnsi" w:cstheme="minorHAnsi"/>
        </w:rPr>
        <w:t>accessed September 2023</w:t>
      </w:r>
    </w:p>
  </w:endnote>
  <w:endnote w:id="245">
    <w:p w14:paraId="62B07844" w14:textId="17721709" w:rsidR="009D3026" w:rsidRDefault="009D3026" w:rsidP="009D3026">
      <w:pPr>
        <w:pStyle w:val="EndnoteText"/>
        <w:spacing w:before="120" w:after="120"/>
        <w:ind w:left="720" w:hanging="720"/>
      </w:pPr>
      <w:r w:rsidRPr="009D3026">
        <w:rPr>
          <w:rStyle w:val="EndnoteReference"/>
          <w:vertAlign w:val="baseline"/>
        </w:rPr>
        <w:endnoteRef/>
      </w:r>
      <w:r w:rsidRPr="009D3026">
        <w:t xml:space="preserve">  </w:t>
      </w:r>
      <w:r>
        <w:tab/>
      </w:r>
      <w:r>
        <w:rPr>
          <w:rStyle w:val="ui-provider"/>
        </w:rPr>
        <w:t xml:space="preserve">ACIL Allen, </w:t>
      </w:r>
      <w:hyperlink r:id="rId236"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00817124" w:rsidRPr="00605B24">
        <w:rPr>
          <w:rStyle w:val="ui-provider"/>
          <w:rFonts w:cs="Arial"/>
        </w:rPr>
        <w:t>,</w:t>
      </w:r>
      <w:r>
        <w:rPr>
          <w:rStyle w:val="ui-provider"/>
        </w:rPr>
        <w:t xml:space="preserve"> report </w:t>
      </w:r>
      <w:r w:rsidRPr="009D3026">
        <w:rPr>
          <w:rFonts w:asciiTheme="minorHAnsi" w:eastAsia="Calibri" w:hAnsiTheme="minorHAnsi" w:cstheme="minorHAnsi"/>
        </w:rPr>
        <w:t>to</w:t>
      </w:r>
      <w:r>
        <w:rPr>
          <w:rStyle w:val="ui-provider"/>
        </w:rPr>
        <w:t xml:space="preserve"> </w:t>
      </w:r>
      <w:r w:rsidR="00BE1CEC">
        <w:rPr>
          <w:rStyle w:val="ui-provider"/>
        </w:rPr>
        <w:t>DESE</w:t>
      </w:r>
      <w:r>
        <w:rPr>
          <w:rStyle w:val="ui-provider"/>
        </w:rPr>
        <w:t xml:space="preserve"> ACIL Allen, 2020, pp 16-20, accessed September 2023.</w:t>
      </w:r>
    </w:p>
  </w:endnote>
  <w:endnote w:id="246">
    <w:p w14:paraId="4A71CB3C" w14:textId="6F142826" w:rsidR="743C1527" w:rsidRDefault="743C1527" w:rsidP="00817124">
      <w:pPr>
        <w:spacing w:line="257" w:lineRule="auto"/>
        <w:ind w:left="709" w:hanging="709"/>
      </w:pPr>
      <w:r w:rsidRPr="00817124">
        <w:rPr>
          <w:rStyle w:val="EndnoteReference"/>
          <w:sz w:val="20"/>
          <w:szCs w:val="20"/>
          <w:vertAlign w:val="baseline"/>
        </w:rPr>
        <w:endnoteRef/>
      </w:r>
      <w:r w:rsidRPr="00817124">
        <w:rPr>
          <w:rStyle w:val="EndnoteReference"/>
          <w:sz w:val="20"/>
          <w:szCs w:val="20"/>
          <w:vertAlign w:val="baseline"/>
        </w:rPr>
        <w:t xml:space="preserve"> </w:t>
      </w:r>
      <w:r w:rsidR="00817124">
        <w:tab/>
      </w:r>
      <w:r w:rsidRPr="743C1527">
        <w:rPr>
          <w:rFonts w:eastAsia="Arial" w:cs="Arial"/>
          <w:sz w:val="20"/>
          <w:szCs w:val="20"/>
        </w:rPr>
        <w:t xml:space="preserve">ACIL Allen, </w:t>
      </w:r>
      <w:hyperlink r:id="rId237" w:history="1">
        <w:r w:rsidR="00817124" w:rsidRPr="00605B24">
          <w:rPr>
            <w:rStyle w:val="Hyperlink"/>
            <w:rFonts w:cs="Arial"/>
            <w:sz w:val="20"/>
            <w:szCs w:val="20"/>
          </w:rPr>
          <w:t>Transition of the Australian Car Manufacturing Sector: Outcomes and Best Practice</w:t>
        </w:r>
      </w:hyperlink>
      <w:r w:rsidR="00817124" w:rsidRPr="00605B24">
        <w:rPr>
          <w:rStyle w:val="ui-provider"/>
          <w:rFonts w:cs="Arial"/>
          <w:i/>
          <w:iCs/>
          <w:sz w:val="20"/>
          <w:szCs w:val="20"/>
        </w:rPr>
        <w:t>’</w:t>
      </w:r>
      <w:r w:rsidRPr="743C1527">
        <w:rPr>
          <w:rFonts w:eastAsia="Arial" w:cs="Arial"/>
          <w:sz w:val="20"/>
          <w:szCs w:val="20"/>
        </w:rPr>
        <w:t xml:space="preserve">, report to </w:t>
      </w:r>
      <w:r w:rsidR="00BE1CEC">
        <w:rPr>
          <w:rFonts w:eastAsia="Arial" w:cs="Arial"/>
          <w:sz w:val="20"/>
          <w:szCs w:val="20"/>
        </w:rPr>
        <w:t>DESE</w:t>
      </w:r>
      <w:r w:rsidRPr="743C1527">
        <w:rPr>
          <w:rFonts w:eastAsia="Arial" w:cs="Arial"/>
          <w:sz w:val="20"/>
          <w:szCs w:val="20"/>
        </w:rPr>
        <w:t>, ACIL Allen, 2020, p 38, accessed September 2023.</w:t>
      </w:r>
    </w:p>
  </w:endnote>
  <w:endnote w:id="247">
    <w:p w14:paraId="4477C016" w14:textId="6B14F0CE" w:rsidR="53D77EEF" w:rsidRDefault="53D77EEF" w:rsidP="53D77EEF">
      <w:pPr>
        <w:pStyle w:val="EndnoteText"/>
      </w:pPr>
      <w:r w:rsidRPr="00817124">
        <w:rPr>
          <w:rStyle w:val="EndnoteReference"/>
          <w:vertAlign w:val="baseline"/>
        </w:rPr>
        <w:endnoteRef/>
      </w:r>
      <w:r w:rsidRPr="00817124">
        <w:rPr>
          <w:rStyle w:val="EndnoteReference"/>
          <w:vertAlign w:val="baseline"/>
        </w:rPr>
        <w:t xml:space="preserve"> </w:t>
      </w:r>
      <w:r w:rsidR="00817124">
        <w:tab/>
      </w:r>
      <w:r>
        <w:t>Ai Group, Submission 1, Clean Energy Capacity Study Discussion paper, p 8.</w:t>
      </w:r>
    </w:p>
  </w:endnote>
  <w:endnote w:id="248">
    <w:p w14:paraId="465EDFD3" w14:textId="11ADC55E"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57705" w:rsidRPr="004906C5">
        <w:rPr>
          <w:rFonts w:asciiTheme="minorHAnsi" w:hAnsiTheme="minorHAnsi" w:cstheme="minorHAnsi"/>
        </w:rPr>
        <w:t xml:space="preserve">OECD, </w:t>
      </w:r>
      <w:hyperlink r:id="rId238" w:history="1">
        <w:r w:rsidR="00657705" w:rsidRPr="004906C5">
          <w:rPr>
            <w:rStyle w:val="Hyperlink"/>
            <w:rFonts w:asciiTheme="minorHAnsi" w:hAnsiTheme="minorHAnsi" w:cstheme="minorHAnsi"/>
          </w:rPr>
          <w:t>Assessment and Recommendations</w:t>
        </w:r>
      </w:hyperlink>
      <w:r w:rsidR="00657705" w:rsidRPr="004906C5">
        <w:rPr>
          <w:rFonts w:asciiTheme="minorHAnsi" w:hAnsiTheme="minorHAnsi" w:cstheme="minorHAnsi"/>
        </w:rPr>
        <w:t xml:space="preserve">, </w:t>
      </w:r>
      <w:r w:rsidR="00657705" w:rsidRPr="004906C5">
        <w:rPr>
          <w:rFonts w:asciiTheme="minorHAnsi" w:hAnsiTheme="minorHAnsi" w:cstheme="minorHAnsi"/>
          <w:i/>
          <w:iCs/>
        </w:rPr>
        <w:t>Back to work Australia: improving the re-employment prospects of displaced workers</w:t>
      </w:r>
      <w:r w:rsidR="00657705" w:rsidRPr="004906C5">
        <w:rPr>
          <w:rFonts w:asciiTheme="minorHAnsi" w:hAnsiTheme="minorHAnsi" w:cstheme="minorHAnsi"/>
        </w:rPr>
        <w:t xml:space="preserve">, </w:t>
      </w:r>
      <w:r w:rsidR="00657705" w:rsidRPr="004906C5">
        <w:rPr>
          <w:rFonts w:asciiTheme="minorHAnsi" w:hAnsiTheme="minorHAnsi" w:cstheme="minorHAnsi"/>
          <w:color w:val="auto"/>
        </w:rPr>
        <w:t xml:space="preserve">OECD, 2016, p 21, </w:t>
      </w:r>
      <w:r w:rsidR="00657705" w:rsidRPr="004906C5">
        <w:rPr>
          <w:rFonts w:asciiTheme="minorHAnsi" w:eastAsia="Times New Roman" w:hAnsiTheme="minorHAnsi" w:cstheme="minorHAnsi"/>
          <w:color w:val="auto"/>
          <w:lang w:eastAsia="en-AU"/>
        </w:rPr>
        <w:t>doi.org/10.1787/23063831, accessed September 2023.</w:t>
      </w:r>
    </w:p>
  </w:endnote>
  <w:endnote w:id="249">
    <w:p w14:paraId="1FA50DAD" w14:textId="34351DDB" w:rsidR="009B64F4" w:rsidRPr="004906C5" w:rsidRDefault="009B64F4" w:rsidP="004906C5">
      <w:pPr>
        <w:pStyle w:val="EndnoteText"/>
        <w:spacing w:before="120" w:after="120"/>
        <w:ind w:left="720" w:hanging="720"/>
        <w:rPr>
          <w:rFonts w:asciiTheme="minorHAnsi" w:hAnsiTheme="minorHAnsi" w:cstheme="minorHAnsi"/>
        </w:rPr>
      </w:pPr>
      <w:r w:rsidRPr="004906C5">
        <w:rPr>
          <w:rFonts w:asciiTheme="minorHAnsi" w:eastAsia="Calibri" w:hAnsiTheme="minorHAnsi" w:cstheme="minorHAnsi"/>
        </w:rPr>
        <w:endnoteRef/>
      </w:r>
      <w:r w:rsidRPr="004906C5">
        <w:rPr>
          <w:rFonts w:asciiTheme="minorHAnsi" w:eastAsia="Calibri" w:hAnsiTheme="minorHAnsi" w:cstheme="minorHAnsi"/>
        </w:rPr>
        <w:t xml:space="preserve"> </w:t>
      </w:r>
      <w:r w:rsidRPr="004906C5">
        <w:rPr>
          <w:rFonts w:asciiTheme="minorHAnsi" w:eastAsia="Calibri" w:hAnsiTheme="minorHAnsi" w:cstheme="minorHAnsi"/>
        </w:rPr>
        <w:tab/>
      </w:r>
      <w:r w:rsidR="00873A93" w:rsidRPr="004906C5">
        <w:rPr>
          <w:rFonts w:asciiTheme="minorHAnsi" w:eastAsia="Calibri" w:hAnsiTheme="minorHAnsi" w:cstheme="minorHAnsi"/>
        </w:rPr>
        <w:t xml:space="preserve">Nous Group, </w:t>
      </w:r>
      <w:hyperlink r:id="rId239" w:history="1">
        <w:r w:rsidR="00873A93" w:rsidRPr="004906C5">
          <w:rPr>
            <w:rStyle w:val="Hyperlink"/>
            <w:rFonts w:asciiTheme="minorHAnsi" w:eastAsia="Calibri" w:hAnsiTheme="minorHAnsi" w:cstheme="minorHAnsi"/>
            <w:i/>
            <w:iCs/>
          </w:rPr>
          <w:t xml:space="preserve">Lessons learnt from large firm closures – main report (volume 1) </w:t>
        </w:r>
        <w:r w:rsidR="00873A93" w:rsidRPr="004906C5">
          <w:rPr>
            <w:rStyle w:val="Hyperlink"/>
            <w:rFonts w:asciiTheme="minorHAnsi" w:eastAsia="Calibri" w:hAnsiTheme="minorHAnsi" w:cstheme="minorHAnsi"/>
          </w:rPr>
          <w:t>[PDF 489KB]</w:t>
        </w:r>
      </w:hyperlink>
      <w:r w:rsidR="00873A93" w:rsidRPr="004906C5">
        <w:rPr>
          <w:rFonts w:asciiTheme="minorHAnsi" w:eastAsia="Calibri" w:hAnsiTheme="minorHAnsi" w:cstheme="minorHAnsi"/>
        </w:rPr>
        <w:t>, report to the Australian Government Department of Industry, Innovation, Science, Research and Tertiary Education, Nous Group, 2013, p 17, accessed September 2023.</w:t>
      </w:r>
    </w:p>
  </w:endnote>
  <w:endnote w:id="250">
    <w:p w14:paraId="789CD89B" w14:textId="19305545" w:rsidR="0031295A" w:rsidRPr="004906C5" w:rsidRDefault="0031295A" w:rsidP="004906C5">
      <w:pPr>
        <w:pStyle w:val="EndnoteText"/>
        <w:spacing w:before="120" w:after="120"/>
        <w:ind w:left="720" w:hanging="720"/>
        <w:rPr>
          <w:rFonts w:asciiTheme="minorHAnsi" w:hAnsiTheme="minorHAnsi" w:cstheme="minorHAnsi"/>
        </w:rPr>
      </w:pPr>
      <w:r w:rsidRPr="004906C5">
        <w:rPr>
          <w:rFonts w:asciiTheme="minorHAnsi" w:eastAsia="Calibri" w:hAnsiTheme="minorHAnsi" w:cstheme="minorHAnsi"/>
        </w:rPr>
        <w:endnoteRef/>
      </w:r>
      <w:r w:rsidRPr="004906C5">
        <w:rPr>
          <w:rFonts w:asciiTheme="minorHAnsi" w:eastAsia="Calibri" w:hAnsiTheme="minorHAnsi" w:cstheme="minorHAnsi"/>
        </w:rPr>
        <w:t xml:space="preserve"> </w:t>
      </w:r>
      <w:r w:rsidRPr="004906C5">
        <w:rPr>
          <w:rFonts w:asciiTheme="minorHAnsi" w:eastAsia="Calibri" w:hAnsiTheme="minorHAnsi" w:cstheme="minorHAnsi"/>
        </w:rPr>
        <w:tab/>
        <w:t>ACIL</w:t>
      </w:r>
      <w:r w:rsidRPr="004906C5">
        <w:rPr>
          <w:rStyle w:val="ui-provider"/>
          <w:rFonts w:asciiTheme="minorHAnsi" w:hAnsiTheme="minorHAnsi" w:cstheme="minorHAnsi"/>
        </w:rPr>
        <w:t xml:space="preserve"> Allen, </w:t>
      </w:r>
      <w:hyperlink r:id="rId240"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Pr="004906C5">
        <w:rPr>
          <w:rStyle w:val="ui-provider"/>
          <w:rFonts w:asciiTheme="minorHAnsi" w:hAnsiTheme="minorHAnsi" w:cstheme="minorHAnsi"/>
        </w:rPr>
        <w:t xml:space="preserve">, report to </w:t>
      </w:r>
      <w:r w:rsidR="00BE1CEC">
        <w:rPr>
          <w:rStyle w:val="ui-provider"/>
          <w:rFonts w:asciiTheme="minorHAnsi" w:hAnsiTheme="minorHAnsi" w:cstheme="minorHAnsi"/>
        </w:rPr>
        <w:t>DESE</w:t>
      </w:r>
      <w:r w:rsidRPr="004906C5">
        <w:rPr>
          <w:rStyle w:val="ui-provider"/>
          <w:rFonts w:asciiTheme="minorHAnsi" w:hAnsiTheme="minorHAnsi" w:cstheme="minorHAnsi"/>
        </w:rPr>
        <w:t xml:space="preserve">, ACIL </w:t>
      </w:r>
      <w:r w:rsidRPr="004906C5">
        <w:rPr>
          <w:rFonts w:asciiTheme="minorHAnsi" w:eastAsia="Calibri" w:hAnsiTheme="minorHAnsi" w:cstheme="minorHAnsi"/>
        </w:rPr>
        <w:t>Allen</w:t>
      </w:r>
      <w:r w:rsidRPr="004906C5">
        <w:rPr>
          <w:rStyle w:val="ui-provider"/>
          <w:rFonts w:asciiTheme="minorHAnsi" w:hAnsiTheme="minorHAnsi" w:cstheme="minorHAnsi"/>
        </w:rPr>
        <w:t>, 2020, p 70, accessed September 2023.</w:t>
      </w:r>
    </w:p>
  </w:endnote>
  <w:endnote w:id="251">
    <w:p w14:paraId="40BD74E6" w14:textId="0D170F4B"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EC3724" w:rsidRPr="004906C5">
        <w:rPr>
          <w:rFonts w:asciiTheme="minorHAnsi" w:eastAsia="Calibri" w:hAnsiTheme="minorHAnsi" w:cstheme="minorHAnsi"/>
        </w:rPr>
        <w:t>VJ Callan, K Bowman, ‘</w:t>
      </w:r>
      <w:hyperlink r:id="rId241" w:history="1">
        <w:r w:rsidR="00EC3724" w:rsidRPr="004906C5">
          <w:rPr>
            <w:rStyle w:val="Hyperlink"/>
            <w:rFonts w:asciiTheme="minorHAnsi" w:eastAsia="Calibri" w:hAnsiTheme="minorHAnsi" w:cstheme="minorHAnsi"/>
          </w:rPr>
          <w:t>Industry restructuring and job loss: helping older workers get back into employment</w:t>
        </w:r>
      </w:hyperlink>
      <w:r w:rsidR="00EC3724" w:rsidRPr="004906C5">
        <w:rPr>
          <w:rFonts w:asciiTheme="minorHAnsi" w:eastAsia="Calibri" w:hAnsiTheme="minorHAnsi" w:cstheme="minorHAnsi"/>
          <w:i/>
          <w:iCs/>
        </w:rPr>
        <w:t>’</w:t>
      </w:r>
      <w:r w:rsidR="00EC3724" w:rsidRPr="004906C5">
        <w:rPr>
          <w:rFonts w:asciiTheme="minorHAnsi" w:eastAsia="Calibri" w:hAnsiTheme="minorHAnsi" w:cstheme="minorHAnsi"/>
        </w:rPr>
        <w:t xml:space="preserve">, NCVER, 2015, </w:t>
      </w:r>
      <w:r w:rsidR="00EC3724" w:rsidRPr="004906C5">
        <w:rPr>
          <w:rFonts w:asciiTheme="minorHAnsi" w:hAnsiTheme="minorHAnsi" w:cstheme="minorHAnsi"/>
        </w:rPr>
        <w:t>accessed September 2023.</w:t>
      </w:r>
    </w:p>
  </w:endnote>
  <w:endnote w:id="252">
    <w:p w14:paraId="3F3A6DD4" w14:textId="1999C00D" w:rsidR="00E13239" w:rsidRPr="004906C5" w:rsidRDefault="00E13239" w:rsidP="004906C5">
      <w:pPr>
        <w:pStyle w:val="EndnoteText"/>
        <w:spacing w:before="120" w:after="120"/>
        <w:ind w:left="720" w:hanging="720"/>
        <w:rPr>
          <w:rFonts w:asciiTheme="minorHAnsi" w:hAnsiTheme="minorHAnsi" w:cstheme="minorHAnsi"/>
        </w:rPr>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C53703" w:rsidRPr="004906C5">
        <w:rPr>
          <w:rFonts w:asciiTheme="minorHAnsi" w:eastAsia="Calibri" w:hAnsiTheme="minorHAnsi" w:cstheme="minorHAnsi"/>
        </w:rPr>
        <w:t>Jobs Queensland, ‘</w:t>
      </w:r>
      <w:hyperlink r:id="rId242" w:history="1">
        <w:r w:rsidR="00C53703" w:rsidRPr="004906C5">
          <w:rPr>
            <w:rStyle w:val="Hyperlink"/>
            <w:rFonts w:asciiTheme="minorHAnsi" w:eastAsia="Calibri" w:hAnsiTheme="minorHAnsi" w:cstheme="minorHAnsi"/>
          </w:rPr>
          <w:t>Supporting workforces during industry transition: Key elements for success</w:t>
        </w:r>
      </w:hyperlink>
      <w:r w:rsidR="00C53703" w:rsidRPr="004906C5">
        <w:rPr>
          <w:rFonts w:asciiTheme="minorHAnsi" w:eastAsia="Calibri" w:hAnsiTheme="minorHAnsi" w:cstheme="minorHAnsi"/>
          <w:i/>
          <w:iCs/>
        </w:rPr>
        <w:t>’,</w:t>
      </w:r>
      <w:r w:rsidR="002A3485" w:rsidRPr="002A3485">
        <w:rPr>
          <w:rFonts w:asciiTheme="minorHAnsi" w:eastAsia="Calibri" w:hAnsiTheme="minorHAnsi" w:cstheme="minorHAnsi"/>
        </w:rPr>
        <w:t xml:space="preserve"> </w:t>
      </w:r>
      <w:r w:rsidR="002A3485" w:rsidRPr="004906C5">
        <w:rPr>
          <w:rFonts w:asciiTheme="minorHAnsi" w:eastAsia="Calibri" w:hAnsiTheme="minorHAnsi" w:cstheme="minorHAnsi"/>
        </w:rPr>
        <w:t>Jobs Queensland,</w:t>
      </w:r>
      <w:r w:rsidR="00C53703" w:rsidRPr="004906C5">
        <w:rPr>
          <w:rFonts w:asciiTheme="minorHAnsi" w:eastAsia="Calibri" w:hAnsiTheme="minorHAnsi" w:cstheme="minorHAnsi"/>
          <w:i/>
          <w:iCs/>
        </w:rPr>
        <w:t xml:space="preserve"> </w:t>
      </w:r>
      <w:r w:rsidR="00C53703" w:rsidRPr="004906C5">
        <w:rPr>
          <w:rFonts w:asciiTheme="minorHAnsi" w:eastAsia="Calibri" w:hAnsiTheme="minorHAnsi" w:cstheme="minorHAnsi"/>
        </w:rPr>
        <w:t xml:space="preserve">Queensland </w:t>
      </w:r>
      <w:r w:rsidR="009402F0">
        <w:rPr>
          <w:rFonts w:asciiTheme="minorHAnsi" w:eastAsia="Calibri" w:hAnsiTheme="minorHAnsi" w:cstheme="minorHAnsi"/>
        </w:rPr>
        <w:t xml:space="preserve">Government, </w:t>
      </w:r>
      <w:r w:rsidR="00C53703" w:rsidRPr="004906C5">
        <w:rPr>
          <w:rFonts w:asciiTheme="minorHAnsi" w:eastAsia="Calibri" w:hAnsiTheme="minorHAnsi" w:cstheme="minorHAnsi"/>
        </w:rPr>
        <w:t xml:space="preserve">2018, p 16, </w:t>
      </w:r>
      <w:r w:rsidR="00C53703" w:rsidRPr="004906C5">
        <w:rPr>
          <w:rFonts w:asciiTheme="minorHAnsi" w:hAnsiTheme="minorHAnsi" w:cstheme="minorHAnsi"/>
        </w:rPr>
        <w:t>accessed September 2023</w:t>
      </w:r>
      <w:r w:rsidR="00C53703" w:rsidRPr="004906C5">
        <w:rPr>
          <w:rFonts w:asciiTheme="minorHAnsi" w:eastAsia="Calibri" w:hAnsiTheme="minorHAnsi" w:cstheme="minorHAnsi"/>
        </w:rPr>
        <w:t>.</w:t>
      </w:r>
    </w:p>
  </w:endnote>
  <w:endnote w:id="253">
    <w:p w14:paraId="3F94226D" w14:textId="6A84B001" w:rsidR="00E13239" w:rsidRDefault="00E13239" w:rsidP="004906C5">
      <w:pPr>
        <w:pStyle w:val="EndnoteText"/>
        <w:spacing w:before="120" w:after="120"/>
        <w:ind w:left="720" w:hanging="720"/>
      </w:pPr>
      <w:r w:rsidRPr="004906C5">
        <w:rPr>
          <w:rStyle w:val="EndnoteReference"/>
          <w:rFonts w:asciiTheme="minorHAnsi" w:hAnsiTheme="minorHAnsi" w:cstheme="minorHAnsi"/>
          <w:vertAlign w:val="baseline"/>
        </w:rPr>
        <w:endnoteRef/>
      </w:r>
      <w:r w:rsidRPr="004906C5">
        <w:rPr>
          <w:rFonts w:asciiTheme="minorHAnsi" w:hAnsiTheme="minorHAnsi" w:cstheme="minorHAnsi"/>
        </w:rPr>
        <w:t xml:space="preserve"> </w:t>
      </w:r>
      <w:r w:rsidRPr="004906C5">
        <w:rPr>
          <w:rFonts w:asciiTheme="minorHAnsi" w:hAnsiTheme="minorHAnsi" w:cstheme="minorHAnsi"/>
        </w:rPr>
        <w:tab/>
      </w:r>
      <w:r w:rsidR="006E2FFD" w:rsidRPr="004906C5">
        <w:rPr>
          <w:rFonts w:asciiTheme="minorHAnsi" w:eastAsia="Calibri" w:hAnsiTheme="minorHAnsi" w:cstheme="minorHAnsi"/>
        </w:rPr>
        <w:t xml:space="preserve">Nous Group, </w:t>
      </w:r>
      <w:hyperlink r:id="rId243" w:history="1">
        <w:r w:rsidR="006E2FFD" w:rsidRPr="004906C5">
          <w:rPr>
            <w:rStyle w:val="Hyperlink"/>
            <w:rFonts w:asciiTheme="minorHAnsi" w:eastAsia="Calibri" w:hAnsiTheme="minorHAnsi" w:cstheme="minorHAnsi"/>
            <w:i/>
            <w:iCs/>
          </w:rPr>
          <w:t xml:space="preserve">Lessons learnt from large firm closures – main report (volume 1) </w:t>
        </w:r>
        <w:r w:rsidR="006E2FFD" w:rsidRPr="004906C5">
          <w:rPr>
            <w:rStyle w:val="Hyperlink"/>
            <w:rFonts w:asciiTheme="minorHAnsi" w:eastAsia="Calibri" w:hAnsiTheme="minorHAnsi" w:cstheme="minorHAnsi"/>
          </w:rPr>
          <w:t>[PDF 489KB]</w:t>
        </w:r>
      </w:hyperlink>
      <w:r w:rsidR="006E2FFD" w:rsidRPr="004906C5">
        <w:rPr>
          <w:rFonts w:asciiTheme="minorHAnsi" w:eastAsia="Calibri" w:hAnsiTheme="minorHAnsi" w:cstheme="minorHAnsi"/>
        </w:rPr>
        <w:t xml:space="preserve">, report to the Australian Government Department of Industry, Innovation, Science, Research and Tertiary Education, Nous Group, 2013, p 8, </w:t>
      </w:r>
      <w:r w:rsidR="006E2FFD" w:rsidRPr="004906C5">
        <w:rPr>
          <w:rFonts w:asciiTheme="minorHAnsi" w:hAnsiTheme="minorHAnsi" w:cstheme="minorHAnsi"/>
        </w:rPr>
        <w:t>accessed September 2023</w:t>
      </w:r>
      <w:r w:rsidR="006E2FFD" w:rsidRPr="004906C5">
        <w:rPr>
          <w:rFonts w:asciiTheme="minorHAnsi" w:eastAsia="Calibri" w:hAnsiTheme="minorHAnsi" w:cstheme="minorHAnsi"/>
        </w:rPr>
        <w:t>.</w:t>
      </w:r>
    </w:p>
  </w:endnote>
  <w:endnote w:id="254">
    <w:p w14:paraId="5F7F9B05" w14:textId="48B8BDB8" w:rsidR="4AB85293" w:rsidRDefault="4AB85293" w:rsidP="00817124">
      <w:pPr>
        <w:pStyle w:val="EndnoteText"/>
        <w:spacing w:before="120" w:after="120"/>
        <w:ind w:left="709" w:hanging="709"/>
      </w:pPr>
      <w:r w:rsidRPr="00817124">
        <w:rPr>
          <w:rStyle w:val="EndnoteReference"/>
          <w:rFonts w:asciiTheme="minorHAnsi" w:hAnsiTheme="minorHAnsi" w:cstheme="minorHAnsi"/>
          <w:vertAlign w:val="baseline"/>
        </w:rPr>
        <w:endnoteRef/>
      </w:r>
      <w:r w:rsidRPr="00817124">
        <w:rPr>
          <w:rStyle w:val="EndnoteReference"/>
          <w:rFonts w:asciiTheme="minorHAnsi" w:hAnsiTheme="minorHAnsi" w:cstheme="minorHAnsi"/>
          <w:vertAlign w:val="baseline"/>
        </w:rPr>
        <w:t xml:space="preserve"> </w:t>
      </w:r>
      <w:r w:rsidR="00817124">
        <w:tab/>
      </w:r>
      <w:r>
        <w:t xml:space="preserve">ACIL Allen, </w:t>
      </w:r>
      <w:hyperlink r:id="rId244" w:history="1">
        <w:r w:rsidR="00817124" w:rsidRPr="00605B24">
          <w:rPr>
            <w:rStyle w:val="Hyperlink"/>
            <w:rFonts w:cs="Arial"/>
          </w:rPr>
          <w:t>Transition of the Australian Car Manufacturing Sector: Outcomes and Best Practice</w:t>
        </w:r>
      </w:hyperlink>
      <w:r w:rsidR="00817124" w:rsidRPr="00605B24">
        <w:rPr>
          <w:rStyle w:val="ui-provider"/>
          <w:rFonts w:cs="Arial"/>
          <w:i/>
          <w:iCs/>
        </w:rPr>
        <w:t>’</w:t>
      </w:r>
      <w:r w:rsidRPr="4AB85293">
        <w:t xml:space="preserve">, report to </w:t>
      </w:r>
      <w:r w:rsidR="00BE1CEC">
        <w:t>DESE</w:t>
      </w:r>
      <w:r w:rsidRPr="4AB85293">
        <w:t>, ACIL Allen, 2020, p 88, accessed September 2023.</w:t>
      </w:r>
    </w:p>
  </w:endnote>
  <w:endnote w:id="255">
    <w:p w14:paraId="62425140" w14:textId="724AE946" w:rsidR="20F91CB8" w:rsidRDefault="20F91CB8" w:rsidP="00817124">
      <w:pPr>
        <w:spacing w:before="120" w:after="120" w:line="257" w:lineRule="auto"/>
        <w:ind w:left="709" w:hanging="709"/>
      </w:pPr>
      <w:r w:rsidRPr="00817124">
        <w:rPr>
          <w:rStyle w:val="EndnoteReference"/>
          <w:rFonts w:asciiTheme="minorHAnsi" w:hAnsiTheme="minorHAnsi" w:cstheme="minorHAnsi"/>
          <w:sz w:val="20"/>
          <w:szCs w:val="20"/>
          <w:vertAlign w:val="baseline"/>
        </w:rPr>
        <w:endnoteRef/>
      </w:r>
      <w:r w:rsidRPr="00817124">
        <w:rPr>
          <w:rStyle w:val="EndnoteReference"/>
          <w:rFonts w:asciiTheme="minorHAnsi" w:hAnsiTheme="minorHAnsi" w:cstheme="minorHAnsi"/>
          <w:sz w:val="20"/>
          <w:szCs w:val="20"/>
          <w:vertAlign w:val="baseline"/>
        </w:rPr>
        <w:t xml:space="preserve"> </w:t>
      </w:r>
      <w:r w:rsidR="00817124">
        <w:tab/>
      </w:r>
      <w:r w:rsidRPr="20F91CB8">
        <w:rPr>
          <w:rFonts w:eastAsia="Arial" w:cs="Arial"/>
          <w:sz w:val="20"/>
          <w:szCs w:val="20"/>
        </w:rPr>
        <w:t>NECA, Submission 24, Clean Energy Capacity Study Discussion paper, p 6.</w:t>
      </w:r>
    </w:p>
  </w:endnote>
  <w:endnote w:id="256">
    <w:p w14:paraId="634CB959" w14:textId="648DD602" w:rsidR="008067A3" w:rsidRPr="008067A3" w:rsidRDefault="008067A3" w:rsidP="008067A3">
      <w:pPr>
        <w:spacing w:before="120" w:after="120"/>
        <w:ind w:left="709" w:hanging="709"/>
        <w:rPr>
          <w:rFonts w:cs="Arial"/>
          <w:sz w:val="20"/>
          <w:szCs w:val="20"/>
        </w:rPr>
      </w:pPr>
      <w:r w:rsidRPr="008067A3">
        <w:rPr>
          <w:rStyle w:val="EndnoteReference"/>
          <w:rFonts w:asciiTheme="minorHAnsi" w:hAnsiTheme="minorHAnsi" w:cstheme="minorHAnsi"/>
          <w:sz w:val="20"/>
          <w:szCs w:val="20"/>
          <w:vertAlign w:val="baseline"/>
        </w:rPr>
        <w:endnoteRef/>
      </w:r>
      <w:r w:rsidRPr="008067A3">
        <w:rPr>
          <w:rStyle w:val="EndnoteReference"/>
          <w:rFonts w:asciiTheme="minorHAnsi" w:hAnsiTheme="minorHAnsi" w:cstheme="minorHAnsi"/>
          <w:sz w:val="20"/>
          <w:szCs w:val="20"/>
          <w:vertAlign w:val="baseline"/>
        </w:rPr>
        <w:t xml:space="preserve"> </w:t>
      </w:r>
      <w:r>
        <w:tab/>
      </w:r>
      <w:r w:rsidRPr="00605B24">
        <w:rPr>
          <w:rFonts w:cs="Arial"/>
          <w:sz w:val="20"/>
          <w:szCs w:val="20"/>
        </w:rPr>
        <w:t>The Treasury, ‘</w:t>
      </w:r>
      <w:hyperlink r:id="rId245" w:history="1">
        <w:r w:rsidRPr="00605B24">
          <w:rPr>
            <w:rStyle w:val="Hyperlink"/>
            <w:rFonts w:cs="Arial"/>
            <w:sz w:val="20"/>
            <w:szCs w:val="20"/>
          </w:rPr>
          <w:t>Working Future: The Australian Government’s White Paper on Jobs and Opportunities</w:t>
        </w:r>
      </w:hyperlink>
      <w:r w:rsidRPr="00605B24">
        <w:rPr>
          <w:rFonts w:cs="Arial"/>
          <w:sz w:val="20"/>
          <w:szCs w:val="20"/>
        </w:rPr>
        <w:t>’, The Treasury, Australian Government, 25 September 2023.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font>
  <w:font w:name="Lato Black">
    <w:altName w:val="Segoe UI"/>
    <w:panose1 w:val="020F0502020204030203"/>
    <w:charset w:val="00"/>
    <w:family w:val="swiss"/>
    <w:pitch w:val="variable"/>
    <w:sig w:usb0="E10002FF" w:usb1="5000ECFF" w:usb2="00000021" w:usb3="00000000" w:csb0="0000019F" w:csb1="00000000"/>
  </w:font>
  <w:font w:name="Lato">
    <w:altName w:val="Segoe UI"/>
    <w:panose1 w:val="020F0502020204030203"/>
    <w:charset w:val="00"/>
    <w:family w:val="swiss"/>
    <w:pitch w:val="variable"/>
    <w:sig w:usb0="E10002FF" w:usb1="5000ECFF" w:usb2="00000021"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F82DE" w14:textId="77777777" w:rsidR="00F22F4E" w:rsidRDefault="009C12D4" w:rsidP="001F39C1">
    <w:pPr>
      <w:pStyle w:val="Footer"/>
    </w:pPr>
    <w:sdt>
      <w:sdtPr>
        <w:id w:val="-938292480"/>
        <w:docPartObj>
          <w:docPartGallery w:val="Page Numbers (Bottom of Page)"/>
          <w:docPartUnique/>
        </w:docPartObj>
      </w:sdtPr>
      <w:sdtEndPr>
        <w:rPr>
          <w:noProof/>
        </w:rPr>
      </w:sdtEndPr>
      <w:sdtContent>
        <w:r w:rsidR="00F22F4E">
          <w:t xml:space="preserve">Clean Energy Capacity Study | </w:t>
        </w:r>
        <w:r w:rsidR="00F22F4E">
          <w:fldChar w:fldCharType="begin"/>
        </w:r>
        <w:r w:rsidR="00F22F4E">
          <w:instrText xml:space="preserve"> PAGE   \* MERGEFORMAT </w:instrText>
        </w:r>
        <w:r w:rsidR="00F22F4E">
          <w:fldChar w:fldCharType="separate"/>
        </w:r>
        <w:r w:rsidR="00F22F4E">
          <w:rPr>
            <w:noProof/>
          </w:rPr>
          <w:t>2</w:t>
        </w:r>
        <w:r w:rsidR="00F22F4E">
          <w:rPr>
            <w:noProof/>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042F8" w14:textId="5E3D50BC" w:rsidR="001035C1" w:rsidRDefault="001035C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26B1A" w14:textId="22641748" w:rsidR="001035C1" w:rsidRDefault="001035C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1AED0" w14:textId="79DAC0FE" w:rsidR="001035C1" w:rsidRDefault="00CC78C7" w:rsidP="00CC78C7">
    <w:pPr>
      <w:pStyle w:val="Footer"/>
    </w:pPr>
    <w:r>
      <w:t>Clean Energy Capacity Study</w:t>
    </w:r>
    <w:r w:rsidRPr="007B237E">
      <w:t xml:space="preserve"> | </w:t>
    </w:r>
    <w:sdt>
      <w:sdtPr>
        <w:id w:val="633831969"/>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FBDF2" w14:textId="3941E482" w:rsidR="001035C1" w:rsidRDefault="00CC78C7" w:rsidP="00CC78C7">
    <w:pPr>
      <w:pStyle w:val="Footer"/>
    </w:pPr>
    <w:r>
      <w:t>Clean Energy Capacity Study</w:t>
    </w:r>
    <w:r w:rsidRPr="007B237E">
      <w:t xml:space="preserve"> | </w:t>
    </w:r>
    <w:sdt>
      <w:sdtPr>
        <w:id w:val="-1920550859"/>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DA5F8" w14:textId="6FE8A002" w:rsidR="001035C1" w:rsidRDefault="001035C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73743" w14:textId="57F60C27" w:rsidR="001035C1" w:rsidRDefault="001035C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02ECA" w14:textId="52263828" w:rsidR="001035C1" w:rsidRDefault="001035C1">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2F96B" w14:textId="22ADF944" w:rsidR="001035C1" w:rsidRDefault="00CC78C7" w:rsidP="00CC78C7">
    <w:pPr>
      <w:pStyle w:val="Footer"/>
    </w:pPr>
    <w:r>
      <w:t>Clean Energy Capacity Study</w:t>
    </w:r>
    <w:r w:rsidRPr="007B237E">
      <w:t xml:space="preserve"> | </w:t>
    </w:r>
    <w:sdt>
      <w:sdtPr>
        <w:id w:val="-2104717298"/>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11B04" w14:textId="44DF98F1" w:rsidR="001035C1" w:rsidRDefault="001035C1">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D93D1" w14:textId="22E07D24" w:rsidR="001035C1" w:rsidRDefault="001035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604F9" w14:textId="73CB2F2C" w:rsidR="001035C1" w:rsidRDefault="001035C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FC93B" w14:textId="6F9C103E" w:rsidR="001035C1" w:rsidRDefault="00CC78C7" w:rsidP="00CC78C7">
    <w:pPr>
      <w:pStyle w:val="Footer"/>
    </w:pPr>
    <w:r>
      <w:t>Clean Energy Capacity Study</w:t>
    </w:r>
    <w:r w:rsidRPr="007B237E">
      <w:t xml:space="preserve"> | </w:t>
    </w:r>
    <w:sdt>
      <w:sdtPr>
        <w:id w:val="-1915774504"/>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E5539" w14:textId="128E9708" w:rsidR="001035C1" w:rsidRDefault="001035C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AA67C" w14:textId="6E34A05F" w:rsidR="001035C1" w:rsidRDefault="001035C1">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456DF" w14:textId="4EF1C95F" w:rsidR="001035C1" w:rsidRDefault="00CC78C7" w:rsidP="00CC78C7">
    <w:pPr>
      <w:pStyle w:val="Footer"/>
    </w:pPr>
    <w:r>
      <w:t>Clean Energy Capacity Study</w:t>
    </w:r>
    <w:r w:rsidRPr="007B237E">
      <w:t xml:space="preserve"> | </w:t>
    </w:r>
    <w:sdt>
      <w:sdtPr>
        <w:id w:val="-1831288299"/>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D2A29" w14:textId="02F5C360" w:rsidR="001035C1" w:rsidRDefault="00A8613E" w:rsidP="00A8613E">
    <w:pPr>
      <w:pStyle w:val="Footer"/>
    </w:pPr>
    <w:r>
      <w:t xml:space="preserve">Clean Energy Capacity Study | </w:t>
    </w:r>
    <w:r>
      <w:fldChar w:fldCharType="begin"/>
    </w:r>
    <w:r>
      <w:instrText xml:space="preserve"> PAGE   \* MERGEFORMAT </w:instrText>
    </w:r>
    <w:r>
      <w:fldChar w:fldCharType="separate"/>
    </w:r>
    <w:r>
      <w:rPr>
        <w:noProof/>
      </w:rPr>
      <w:t>2</w:t>
    </w:r>
    <w:r>
      <w:rPr>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6796963"/>
      <w:docPartObj>
        <w:docPartGallery w:val="Page Numbers (Bottom of Page)"/>
        <w:docPartUnique/>
      </w:docPartObj>
    </w:sdtPr>
    <w:sdtEndPr>
      <w:rPr>
        <w:noProof/>
      </w:rPr>
    </w:sdtEndPr>
    <w:sdtContent>
      <w:p w14:paraId="3A1042D4" w14:textId="0BDEAAE8" w:rsidR="00CD2B22" w:rsidRPr="00C40E20" w:rsidRDefault="00AC4C25" w:rsidP="005F43DB">
        <w:pPr>
          <w:pStyle w:val="Footer"/>
        </w:pPr>
        <w:r>
          <w:t xml:space="preserve">Clean Energy Capacity Study | </w:t>
        </w:r>
        <w:r>
          <w:fldChar w:fldCharType="begin"/>
        </w:r>
        <w:r>
          <w:instrText xml:space="preserve"> PAGE   \* MERGEFORMAT </w:instrText>
        </w:r>
        <w:r>
          <w:fldChar w:fldCharType="separate"/>
        </w:r>
        <w:r>
          <w:rPr>
            <w:noProof/>
          </w:rPr>
          <w:t>2</w:t>
        </w:r>
        <w:r>
          <w:rPr>
            <w:noProof/>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33307" w14:textId="10B8FAEF" w:rsidR="00CD2B22" w:rsidRPr="00BA5394" w:rsidRDefault="00D754AF" w:rsidP="00D754AF">
    <w:pPr>
      <w:pStyle w:val="Footer"/>
    </w:pPr>
    <w:r>
      <w:t>Clean Energy Capacity Study</w:t>
    </w:r>
    <w:r w:rsidRPr="007B237E">
      <w:t xml:space="preserve"> | </w:t>
    </w:r>
    <w:sdt>
      <w:sdtPr>
        <w:id w:val="1773272238"/>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147</w:t>
        </w:r>
        <w:r w:rsidRPr="007B237E">
          <w:rPr>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67D86" w14:textId="333CF7D9" w:rsidR="001035C1" w:rsidRDefault="001035C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4A595" w14:textId="10F7CEB4" w:rsidR="001035C1" w:rsidRDefault="001035C1">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019D4" w14:textId="62EEB1DF" w:rsidR="001035C1" w:rsidRDefault="001035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B0FB6" w14:textId="323BF12D" w:rsidR="001035C1" w:rsidRDefault="00CC78C7" w:rsidP="00CC78C7">
    <w:pPr>
      <w:pStyle w:val="Footer"/>
    </w:pPr>
    <w:r>
      <w:t>Clean Energy Capacity Study</w:t>
    </w:r>
    <w:r w:rsidRPr="007B237E">
      <w:t xml:space="preserve"> | </w:t>
    </w:r>
    <w:sdt>
      <w:sdtPr>
        <w:id w:val="-2071800785"/>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BF941" w14:textId="632A7759" w:rsidR="001035C1" w:rsidRDefault="001035C1">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D401A" w14:textId="5E4D08C7" w:rsidR="001035C1" w:rsidRDefault="00CC78C7" w:rsidP="00CC78C7">
    <w:pPr>
      <w:pStyle w:val="Footer"/>
    </w:pPr>
    <w:r>
      <w:t>Clean Energy Capacity Study</w:t>
    </w:r>
    <w:r w:rsidRPr="007B237E">
      <w:t xml:space="preserve"> | </w:t>
    </w:r>
    <w:sdt>
      <w:sdtPr>
        <w:id w:val="1154334071"/>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E9AB" w14:textId="2176174F" w:rsidR="001035C1" w:rsidRDefault="001035C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B2A87" w14:textId="2A63957C" w:rsidR="001035C1" w:rsidRDefault="001035C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FFC9" w14:textId="77777777" w:rsidR="001035C1" w:rsidRDefault="00CC78C7" w:rsidP="00CC78C7">
    <w:pPr>
      <w:pStyle w:val="Footer"/>
    </w:pPr>
    <w:r>
      <w:t>Clean Energy Capacity Study</w:t>
    </w:r>
    <w:r w:rsidRPr="007B237E">
      <w:t xml:space="preserve"> | </w:t>
    </w:r>
    <w:sdt>
      <w:sdtPr>
        <w:id w:val="-371002048"/>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3D173" w14:textId="546E8583" w:rsidR="001035C1" w:rsidRDefault="001035C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491EF" w14:textId="62E38D74" w:rsidR="00BB3D5F" w:rsidRDefault="00BB3D5F" w:rsidP="00BB3D5F">
    <w:pPr>
      <w:pStyle w:val="Footer"/>
    </w:pPr>
    <w:r>
      <w:t>Clean Energy Capacity Study</w:t>
    </w:r>
    <w:r w:rsidRPr="007B237E">
      <w:t xml:space="preserve"> | </w:t>
    </w:r>
    <w:sdt>
      <w:sdtPr>
        <w:id w:val="-1563786774"/>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233</w:t>
        </w:r>
        <w:r w:rsidRPr="007B237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0AF5A" w14:textId="7C06B46D" w:rsidR="001035C1" w:rsidRDefault="001035C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73175" w14:textId="5E80EA33" w:rsidR="001035C1" w:rsidRDefault="001035C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FE381" w14:textId="0199E094" w:rsidR="001035C1" w:rsidRDefault="00CC78C7" w:rsidP="00CC78C7">
    <w:pPr>
      <w:pStyle w:val="Footer"/>
    </w:pPr>
    <w:r>
      <w:t>Clean Energy Capacity Study</w:t>
    </w:r>
    <w:r w:rsidRPr="007B237E">
      <w:t xml:space="preserve"> | </w:t>
    </w:r>
    <w:sdt>
      <w:sdtPr>
        <w:id w:val="-892581155"/>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4465A" w14:textId="7E1AB25F" w:rsidR="001035C1" w:rsidRDefault="001035C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8F4E1" w14:textId="0E1E0115" w:rsidR="001035C1" w:rsidRDefault="001035C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CCF77" w14:textId="0A284CC4" w:rsidR="001035C1" w:rsidRDefault="00CC78C7" w:rsidP="00CC78C7">
    <w:pPr>
      <w:pStyle w:val="Footer"/>
    </w:pPr>
    <w:r>
      <w:t>Clean Energy Capacity Study</w:t>
    </w:r>
    <w:r w:rsidRPr="007B237E">
      <w:t xml:space="preserve"> | </w:t>
    </w:r>
    <w:sdt>
      <w:sdtPr>
        <w:id w:val="1730884252"/>
        <w:docPartObj>
          <w:docPartGallery w:val="Page Numbers (Bottom of Page)"/>
          <w:docPartUnique/>
        </w:docPartObj>
      </w:sdtPr>
      <w:sdtEndPr>
        <w:rPr>
          <w:noProof/>
        </w:rPr>
      </w:sdtEndPr>
      <w:sdtContent>
        <w:r w:rsidRPr="007B237E">
          <w:fldChar w:fldCharType="begin"/>
        </w:r>
        <w:r w:rsidRPr="007B237E">
          <w:instrText xml:space="preserve"> PAGE   \* MERGEFORMAT </w:instrText>
        </w:r>
        <w:r w:rsidRPr="007B237E">
          <w:fldChar w:fldCharType="separate"/>
        </w:r>
        <w:r>
          <w:t>3</w:t>
        </w:r>
        <w:r w:rsidRPr="007B237E">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54D7D" w14:textId="77777777" w:rsidR="004F53B0" w:rsidRDefault="004F53B0" w:rsidP="000D6745">
      <w:r>
        <w:separator/>
      </w:r>
    </w:p>
  </w:footnote>
  <w:footnote w:type="continuationSeparator" w:id="0">
    <w:p w14:paraId="1B3F7211" w14:textId="77777777" w:rsidR="004F53B0" w:rsidRDefault="004F53B0" w:rsidP="000D6745">
      <w:r>
        <w:continuationSeparator/>
      </w:r>
    </w:p>
  </w:footnote>
  <w:footnote w:type="continuationNotice" w:id="1">
    <w:p w14:paraId="7F79C104" w14:textId="77777777" w:rsidR="004F53B0" w:rsidRDefault="004F53B0">
      <w:pPr>
        <w:spacing w:after="0" w:line="240" w:lineRule="auto"/>
      </w:pPr>
    </w:p>
  </w:footnote>
  <w:footnote w:id="2">
    <w:p w14:paraId="7F7A6C6D" w14:textId="0BA5ADF1" w:rsidR="00D83C99" w:rsidRDefault="00D83C99">
      <w:pPr>
        <w:pStyle w:val="FootnoteText"/>
      </w:pPr>
      <w:r>
        <w:rPr>
          <w:rStyle w:val="FootnoteReference"/>
        </w:rPr>
        <w:footnoteRef/>
      </w:r>
      <w:r>
        <w:t xml:space="preserve"> N</w:t>
      </w:r>
      <w:r w:rsidRPr="00D83C99">
        <w:t xml:space="preserve">ot all hydrogen is </w:t>
      </w:r>
      <w:r w:rsidR="008D07A0">
        <w:t xml:space="preserve">generated using </w:t>
      </w:r>
      <w:r>
        <w:t>renewable</w:t>
      </w:r>
      <w:r w:rsidR="008D07A0">
        <w:t xml:space="preserve"> energy sources</w:t>
      </w:r>
      <w:r w:rsidRPr="00D83C99">
        <w:t xml:space="preserve"> </w:t>
      </w:r>
      <w:r w:rsidR="008D07A0">
        <w:t xml:space="preserve">and only ‘green’ </w:t>
      </w:r>
      <w:r w:rsidRPr="00D83C99">
        <w:t>or zero carbon hydrogen will assist in the</w:t>
      </w:r>
      <w:r>
        <w:t xml:space="preserve"> energy</w:t>
      </w:r>
      <w:r w:rsidRPr="00D83C99">
        <w:t xml:space="preserve"> transition.</w:t>
      </w:r>
      <w:r>
        <w:t xml:space="preserve"> Where this report refers to</w:t>
      </w:r>
      <w:r w:rsidR="008D07A0">
        <w:t>,</w:t>
      </w:r>
      <w:r>
        <w:t xml:space="preserve"> or encourages</w:t>
      </w:r>
      <w:r w:rsidR="008D07A0">
        <w:t>,</w:t>
      </w:r>
      <w:r>
        <w:t xml:space="preserve"> domestic hydrogen production</w:t>
      </w:r>
      <w:r w:rsidR="008D07A0">
        <w:t xml:space="preserve"> it is referring to renewable hydrogen unless otherwise stated. </w:t>
      </w:r>
    </w:p>
  </w:footnote>
  <w:footnote w:id="3">
    <w:p w14:paraId="53A0B322" w14:textId="21464C40" w:rsidR="00952772" w:rsidRDefault="00952772">
      <w:pPr>
        <w:pStyle w:val="FootnoteText"/>
      </w:pPr>
      <w:r>
        <w:rPr>
          <w:rStyle w:val="FootnoteReference"/>
        </w:rPr>
        <w:footnoteRef/>
      </w:r>
      <w:r>
        <w:t xml:space="preserve"> This scenario was developed with input from </w:t>
      </w:r>
      <w:r w:rsidR="009E1549">
        <w:t xml:space="preserve">Dr </w:t>
      </w:r>
      <w:r>
        <w:t>Alan Finkel</w:t>
      </w:r>
      <w:r w:rsidR="00BA4131">
        <w:t xml:space="preserve"> AC</w:t>
      </w:r>
      <w:r>
        <w:t xml:space="preserve">, </w:t>
      </w:r>
      <w:r w:rsidR="00B0282B">
        <w:t xml:space="preserve">Professor </w:t>
      </w:r>
      <w:r>
        <w:t>Ross Garnaut</w:t>
      </w:r>
      <w:r w:rsidR="00B0282B">
        <w:t xml:space="preserve"> AC</w:t>
      </w:r>
      <w:r>
        <w:t xml:space="preserve"> and Rod Sims</w:t>
      </w:r>
      <w:r w:rsidR="00BA4131">
        <w:t xml:space="preserve"> AO</w:t>
      </w:r>
      <w:r>
        <w:t>, and JSA would like to thank them for their contribution.</w:t>
      </w:r>
    </w:p>
  </w:footnote>
  <w:footnote w:id="4">
    <w:p w14:paraId="2D315CB4" w14:textId="77777777" w:rsidR="00C36CBD" w:rsidRDefault="00C36CBD" w:rsidP="00C36CBD">
      <w:pPr>
        <w:pStyle w:val="FootnoteText"/>
      </w:pPr>
      <w:r>
        <w:rPr>
          <w:rStyle w:val="FootnoteReference"/>
        </w:rPr>
        <w:footnoteRef/>
      </w:r>
      <w:r>
        <w:t xml:space="preserve"> </w:t>
      </w:r>
      <w:r w:rsidRPr="00D87F5E">
        <w:rPr>
          <w:sz w:val="18"/>
          <w:szCs w:val="18"/>
        </w:rPr>
        <w:t xml:space="preserve">The clean energy supply workforce includes the Generation, Distribution and Supply segments. This includes the following industries: Hydroelectricity Generation (2612), Other Electricity Generation (2619), Electricity Transmission (2620), Electricity Distribution (2630) and On Selling Electricity Market Operation (2640). The Hydrogen workforce has been included. </w:t>
      </w:r>
    </w:p>
  </w:footnote>
  <w:footnote w:id="5">
    <w:p w14:paraId="5F643344" w14:textId="6704371F" w:rsidR="00E13239" w:rsidRDefault="00E13239" w:rsidP="00E13239">
      <w:pPr>
        <w:pStyle w:val="FootnoteText"/>
      </w:pPr>
      <w:r>
        <w:rPr>
          <w:rStyle w:val="FootnoteReference"/>
        </w:rPr>
        <w:footnoteRef/>
      </w:r>
      <w:r>
        <w:t xml:space="preserve"> </w:t>
      </w:r>
      <w:r w:rsidR="00F72FA8">
        <w:rPr>
          <w:rFonts w:cs="Arial"/>
          <w14:numForm w14:val="lining"/>
          <w14:numSpacing w14:val="proportional"/>
        </w:rPr>
        <w:t>CEC</w:t>
      </w:r>
      <w:r w:rsidRPr="000715FB">
        <w:rPr>
          <w:sz w:val="18"/>
          <w:szCs w:val="18"/>
        </w:rPr>
        <w:t xml:space="preserve"> in collaboration with Australian Power Institute and Electrical Trades Union surveyed the Australian renewable energy sector in 2021. The sector comprises small-scale solar and battery sector including manufactures, retailers and installers, and utility scale sector including construction trade-based workforce, trade and technician workforce for operation and maintenance and the office-based workforce.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DF962" w14:textId="7AC13EE2" w:rsidR="00556CA8" w:rsidRDefault="00556CA8">
    <w:pPr>
      <w:pStyle w:val="Header"/>
    </w:pPr>
    <w:r>
      <w:rPr>
        <w:noProof/>
      </w:rPr>
      <w:drawing>
        <wp:anchor distT="0" distB="0" distL="114300" distR="114300" simplePos="0" relativeHeight="251658254" behindDoc="1" locked="0" layoutInCell="1" allowOverlap="1" wp14:anchorId="7655070E" wp14:editId="0E73E98B">
          <wp:simplePos x="0" y="0"/>
          <wp:positionH relativeFrom="page">
            <wp:align>left</wp:align>
          </wp:positionH>
          <wp:positionV relativeFrom="paragraph">
            <wp:posOffset>-453217</wp:posOffset>
          </wp:positionV>
          <wp:extent cx="7970800" cy="204040"/>
          <wp:effectExtent l="0" t="0" r="0" b="5715"/>
          <wp:wrapNone/>
          <wp:docPr id="785855930" name="Picture 785855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55930" name="Picture 785855930">
                    <a:extLst>
                      <a:ext uri="{C183D7F6-B498-43B3-948B-1728B52AA6E4}">
                        <adec:decorative xmlns:adec="http://schemas.microsoft.com/office/drawing/2017/decorative" val="1"/>
                      </a:ext>
                    </a:extLst>
                  </pic:cNvPr>
                  <pic:cNvPicPr/>
                </pic:nvPicPr>
                <pic:blipFill rotWithShape="1">
                  <a:blip r:embed="rId1"/>
                  <a:srcRect b="7931"/>
                  <a:stretch/>
                </pic:blipFill>
                <pic:spPr bwMode="auto">
                  <a:xfrm>
                    <a:off x="0" y="0"/>
                    <a:ext cx="7970800" cy="204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02D4" w14:textId="64DCD3EA" w:rsidR="001035C1" w:rsidRDefault="001035C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135BD" w14:textId="032D3711" w:rsidR="0054082D" w:rsidRPr="00E17EC6" w:rsidRDefault="00DA1AF1" w:rsidP="00E17EC6">
    <w:pPr>
      <w:pStyle w:val="Header"/>
    </w:pPr>
    <w:r>
      <w:rPr>
        <w:noProof/>
      </w:rPr>
      <mc:AlternateContent>
        <mc:Choice Requires="wpg">
          <w:drawing>
            <wp:anchor distT="0" distB="0" distL="114300" distR="114300" simplePos="0" relativeHeight="251658247" behindDoc="0" locked="0" layoutInCell="1" allowOverlap="1" wp14:anchorId="78A63FE5" wp14:editId="3CCBB4D6">
              <wp:simplePos x="0" y="0"/>
              <wp:positionH relativeFrom="page">
                <wp:align>right</wp:align>
              </wp:positionH>
              <wp:positionV relativeFrom="paragraph">
                <wp:posOffset>224444</wp:posOffset>
              </wp:positionV>
              <wp:extent cx="3560135" cy="324000"/>
              <wp:effectExtent l="0" t="0" r="2540" b="0"/>
              <wp:wrapNone/>
              <wp:docPr id="125" name="Group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26" name="Rectangle 126"/>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E8735" w14:textId="77777777" w:rsidR="00DA1AF1" w:rsidRDefault="00DA1AF1" w:rsidP="00DA1AF1">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60" name="Rectangle 1433023260"/>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8A63FE5" id="Group 125" o:spid="_x0000_s1258" alt="&quot;&quot;" style="position:absolute;margin-left:229.15pt;margin-top:17.65pt;width:280.35pt;height:25.5pt;z-index:251658247;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">
              <v:rect id="Rectangle 126" o:spid="_x0000_s1259"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" fillcolor="white [3212]" stroked="f" strokeweight="1pt">
                <v:textbox>
                  <w:txbxContent>
                    <w:p w14:paraId="789E8735" w14:textId="77777777" w:rsidR="00DA1AF1" w:rsidRDefault="00DA1AF1" w:rsidP="00DA1AF1">
                      <w:pPr>
                        <w:spacing w:after="0" w:line="240" w:lineRule="auto"/>
                        <w:jc w:val="right"/>
                      </w:pPr>
                      <w:r>
                        <w:t>DEFINING CLEAN ENERGY</w:t>
                      </w:r>
                    </w:p>
                  </w:txbxContent>
                </v:textbox>
              </v:rect>
              <v:rect id="Rectangle 1433023260" o:spid="_x0000_s1260"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" fillcolor="#bad9c3" stroked="f" strokeweight="1pt"/>
              <w10:wrap anchorx="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243D7" w14:textId="0157C3AF" w:rsidR="001035C1" w:rsidRDefault="001035C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31810" w14:textId="4B5D66CE" w:rsidR="001035C1" w:rsidRDefault="001035C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F64B2" w14:textId="780CB02E" w:rsidR="001035C1" w:rsidRDefault="001035C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0C719" w14:textId="231E50A4" w:rsidR="001449D6" w:rsidRDefault="00DA1AF1">
    <w:pPr>
      <w:pStyle w:val="Header"/>
    </w:pPr>
    <w:r>
      <w:rPr>
        <w:noProof/>
      </w:rPr>
      <mc:AlternateContent>
        <mc:Choice Requires="wpg">
          <w:drawing>
            <wp:anchor distT="0" distB="0" distL="114300" distR="114300" simplePos="0" relativeHeight="251658248" behindDoc="0" locked="0" layoutInCell="1" allowOverlap="1" wp14:anchorId="5D086EBB" wp14:editId="6DE54337">
              <wp:simplePos x="0" y="0"/>
              <wp:positionH relativeFrom="page">
                <wp:align>right</wp:align>
              </wp:positionH>
              <wp:positionV relativeFrom="paragraph">
                <wp:posOffset>266007</wp:posOffset>
              </wp:positionV>
              <wp:extent cx="3560135" cy="324000"/>
              <wp:effectExtent l="0" t="0" r="2540" b="0"/>
              <wp:wrapNone/>
              <wp:docPr id="1433023261" name="Group 14330232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62" name="Rectangle 1433023262"/>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8574C8" w14:textId="77777777" w:rsidR="00DA1AF1" w:rsidRDefault="00DA1AF1" w:rsidP="00DA1AF1">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63" name="Rectangle 1433023263"/>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D086EBB" id="Group 1433023261" o:spid="_x0000_s1261" alt="&quot;&quot;" style="position:absolute;margin-left:229.15pt;margin-top:20.95pt;width:280.35pt;height:25.5pt;z-index:251658248;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">
              <v:rect id="Rectangle 1433023262" o:spid="_x0000_s1262"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" fillcolor="white [3212]" stroked="f" strokeweight="1pt">
                <v:textbox>
                  <w:txbxContent>
                    <w:p w14:paraId="2D8574C8" w14:textId="77777777" w:rsidR="00DA1AF1" w:rsidRDefault="00DA1AF1" w:rsidP="00DA1AF1">
                      <w:pPr>
                        <w:spacing w:after="0" w:line="240" w:lineRule="auto"/>
                        <w:jc w:val="right"/>
                      </w:pPr>
                      <w:r>
                        <w:t>DEFINING CLEAN ENERGY</w:t>
                      </w:r>
                    </w:p>
                  </w:txbxContent>
                </v:textbox>
              </v:rect>
              <v:rect id="Rectangle 1433023263" o:spid="_x0000_s1263"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" fillcolor="#bad9c3" stroked="f" strokeweight="1pt"/>
              <w10:wrap anchorx="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07FE9" w14:textId="18FF5E80" w:rsidR="001035C1" w:rsidRDefault="001035C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5C6CF" w14:textId="72671C66" w:rsidR="0054082D" w:rsidRPr="00E17EC6" w:rsidRDefault="00DA1AF1" w:rsidP="00E17EC6">
    <w:pPr>
      <w:pStyle w:val="Header"/>
    </w:pPr>
    <w:r>
      <w:rPr>
        <w:noProof/>
      </w:rPr>
      <mc:AlternateContent>
        <mc:Choice Requires="wpg">
          <w:drawing>
            <wp:anchor distT="0" distB="0" distL="114300" distR="114300" simplePos="0" relativeHeight="251658242" behindDoc="0" locked="0" layoutInCell="1" allowOverlap="1" wp14:anchorId="78B96CDD" wp14:editId="1BC66842">
              <wp:simplePos x="0" y="0"/>
              <wp:positionH relativeFrom="page">
                <wp:align>right</wp:align>
              </wp:positionH>
              <wp:positionV relativeFrom="paragraph">
                <wp:posOffset>274320</wp:posOffset>
              </wp:positionV>
              <wp:extent cx="3560135" cy="324000"/>
              <wp:effectExtent l="0" t="0" r="2540" b="0"/>
              <wp:wrapNone/>
              <wp:docPr id="1433023265" name="Group 143302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66" name="Rectangle 1433023266"/>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050DAB" w14:textId="77777777" w:rsidR="00DA1AF1" w:rsidRDefault="00DA1AF1" w:rsidP="00DA1AF1">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69" name="Rectangle 1433023269"/>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8B96CDD" id="Group 1433023265" o:spid="_x0000_s1264" alt="&quot;&quot;" style="position:absolute;margin-left:229.15pt;margin-top:21.6pt;width:280.35pt;height:25.5pt;z-index:251658242;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">
              <v:rect id="Rectangle 1433023266" o:spid="_x0000_s1265"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" fillcolor="white [3212]" stroked="f" strokeweight="1pt">
                <v:textbox>
                  <w:txbxContent>
                    <w:p w14:paraId="3B050DAB" w14:textId="77777777" w:rsidR="00DA1AF1" w:rsidRDefault="00DA1AF1" w:rsidP="00DA1AF1">
                      <w:pPr>
                        <w:spacing w:after="0" w:line="240" w:lineRule="auto"/>
                        <w:jc w:val="right"/>
                      </w:pPr>
                      <w:r>
                        <w:t>DEFINING CLEAN ENERGY</w:t>
                      </w:r>
                    </w:p>
                  </w:txbxContent>
                </v:textbox>
              </v:rect>
              <v:rect id="Rectangle 1433023269" o:spid="_x0000_s1266"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" fillcolor="#bad9c3" stroked="f" strokeweight="1pt"/>
              <w10:wrap anchorx="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F0445" w14:textId="266D0EB8" w:rsidR="001035C1" w:rsidRDefault="001035C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56FED" w14:textId="63CB1624" w:rsidR="001035C1" w:rsidRDefault="001035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A287F" w14:textId="77777777" w:rsidR="00B53AF0" w:rsidRDefault="00B53AF0">
    <w:pPr>
      <w:pStyle w:val="Header"/>
    </w:pPr>
    <w:r>
      <w:rPr>
        <w:noProof/>
      </w:rPr>
      <w:drawing>
        <wp:anchor distT="0" distB="0" distL="114300" distR="114300" simplePos="0" relativeHeight="251658255" behindDoc="1" locked="0" layoutInCell="1" allowOverlap="1" wp14:anchorId="2CC09D4E" wp14:editId="4A33B72B">
          <wp:simplePos x="0" y="0"/>
          <wp:positionH relativeFrom="page">
            <wp:align>left</wp:align>
          </wp:positionH>
          <wp:positionV relativeFrom="paragraph">
            <wp:posOffset>-450042</wp:posOffset>
          </wp:positionV>
          <wp:extent cx="7560000" cy="155504"/>
          <wp:effectExtent l="0" t="0" r="0" b="0"/>
          <wp:wrapNone/>
          <wp:docPr id="1879693787" name="Picture 18796937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9693787" name="Picture 1879693787">
                    <a:extLst>
                      <a:ext uri="{C183D7F6-B498-43B3-948B-1728B52AA6E4}">
                        <adec:decorative xmlns:adec="http://schemas.microsoft.com/office/drawing/2017/decorative" val="1"/>
                      </a:ext>
                    </a:extLst>
                  </pic:cNvPr>
                  <pic:cNvPicPr preferRelativeResize="0"/>
                </pic:nvPicPr>
                <pic:blipFill rotWithShape="1">
                  <a:blip r:embed="rId1"/>
                  <a:srcRect b="9104"/>
                  <a:stretch/>
                </pic:blipFill>
                <pic:spPr bwMode="auto">
                  <a:xfrm>
                    <a:off x="0" y="0"/>
                    <a:ext cx="7560000" cy="155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62C8" w14:textId="75112E09" w:rsidR="00620B2A" w:rsidRPr="00E17EC6" w:rsidRDefault="00D9768C" w:rsidP="00E17EC6">
    <w:pPr>
      <w:pStyle w:val="Header"/>
    </w:pPr>
    <w:r>
      <w:rPr>
        <w:noProof/>
      </w:rPr>
      <mc:AlternateContent>
        <mc:Choice Requires="wpg">
          <w:drawing>
            <wp:anchor distT="0" distB="0" distL="114300" distR="114300" simplePos="0" relativeHeight="251658241" behindDoc="0" locked="0" layoutInCell="1" allowOverlap="1" wp14:anchorId="2F2016F7" wp14:editId="2990DEFD">
              <wp:simplePos x="0" y="0"/>
              <wp:positionH relativeFrom="page">
                <wp:align>right</wp:align>
              </wp:positionH>
              <wp:positionV relativeFrom="paragraph">
                <wp:posOffset>270933</wp:posOffset>
              </wp:positionV>
              <wp:extent cx="3560135" cy="324000"/>
              <wp:effectExtent l="0" t="0" r="2540" b="0"/>
              <wp:wrapNone/>
              <wp:docPr id="1433023282" name="Group 1433023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83" name="Rectangle 1433023283"/>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454029" w14:textId="019DE825" w:rsidR="00D9768C" w:rsidRDefault="00D9768C" w:rsidP="00D9768C">
                            <w:pPr>
                              <w:spacing w:after="0" w:line="240" w:lineRule="auto"/>
                              <w:jc w:val="right"/>
                            </w:pPr>
                            <w:r>
                              <w:t>THE CURRENT WORKFORCE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84" name="Rectangle 1433023284"/>
                      <wps:cNvSpPr/>
                      <wps:spPr>
                        <a:xfrm>
                          <a:off x="1666875" y="0"/>
                          <a:ext cx="1009935" cy="3240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F2016F7" id="Group 1433023282" o:spid="_x0000_s1267" alt="&quot;&quot;" style="position:absolute;margin-left:229.15pt;margin-top:21.35pt;width:280.35pt;height:25.5pt;z-index:251658241;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">
              <v:rect id="Rectangle 1433023283" o:spid="_x0000_s1268"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" fillcolor="white [3212]" stroked="f" strokeweight="1pt">
                <v:textbox>
                  <w:txbxContent>
                    <w:p w14:paraId="5F454029" w14:textId="019DE825" w:rsidR="00D9768C" w:rsidRDefault="00D9768C" w:rsidP="00D9768C">
                      <w:pPr>
                        <w:spacing w:after="0" w:line="240" w:lineRule="auto"/>
                        <w:jc w:val="right"/>
                      </w:pPr>
                      <w:r>
                        <w:t>THE CURRENT WORKFORCE</w:t>
                      </w:r>
                    </w:p>
                  </w:txbxContent>
                </v:textbox>
              </v:rect>
              <v:rect id="Rectangle 1433023284" o:spid="_x0000_s1269"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" fillcolor="#dae3f5" stroked="f" strokeweight="1pt"/>
              <w10:wrap anchorx="pag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8722B" w14:textId="3FFD39FF" w:rsidR="001035C1" w:rsidRDefault="001035C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F8EBF" w14:textId="7F5B43A6" w:rsidR="001035C1" w:rsidRDefault="001035C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DB947" w14:textId="28A78D13" w:rsidR="007368E3" w:rsidRPr="00E17EC6" w:rsidRDefault="00176C3C" w:rsidP="00E17EC6">
    <w:pPr>
      <w:pStyle w:val="Header"/>
    </w:pPr>
    <w:r>
      <w:rPr>
        <w:noProof/>
      </w:rPr>
      <mc:AlternateContent>
        <mc:Choice Requires="wpg">
          <w:drawing>
            <wp:anchor distT="0" distB="0" distL="114300" distR="114300" simplePos="0" relativeHeight="251658244" behindDoc="0" locked="0" layoutInCell="1" allowOverlap="1" wp14:anchorId="3EDBDD0E" wp14:editId="64AC4A58">
              <wp:simplePos x="0" y="0"/>
              <wp:positionH relativeFrom="page">
                <wp:align>right</wp:align>
              </wp:positionH>
              <wp:positionV relativeFrom="paragraph">
                <wp:posOffset>314036</wp:posOffset>
              </wp:positionV>
              <wp:extent cx="3560135" cy="324000"/>
              <wp:effectExtent l="0" t="0" r="2540" b="0"/>
              <wp:wrapNone/>
              <wp:docPr id="1433023279" name="Group 143302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80" name="Rectangle 1433023280"/>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917BB3" w14:textId="76044E8B" w:rsidR="00176C3C" w:rsidRDefault="00176C3C" w:rsidP="00176C3C">
                            <w:pPr>
                              <w:spacing w:after="0" w:line="240" w:lineRule="auto"/>
                              <w:jc w:val="right"/>
                            </w:pPr>
                            <w:r>
                              <w:t>WORKFORCE PATHWAYS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81" name="Rectangle 1433023281"/>
                      <wps:cNvSpPr/>
                      <wps:spPr>
                        <a:xfrm>
                          <a:off x="1666875" y="0"/>
                          <a:ext cx="1009935" cy="324000"/>
                        </a:xfrm>
                        <a:prstGeom prst="rect">
                          <a:avLst/>
                        </a:prstGeom>
                        <a:solidFill>
                          <a:srgbClr val="DAE3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EDBDD0E" id="Group 1433023279" o:spid="_x0000_s1270" alt="&quot;&quot;" style="position:absolute;margin-left:229.15pt;margin-top:24.75pt;width:280.35pt;height:25.5pt;z-index:251658244;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">
              <v:rect id="Rectangle 1433023280" o:spid="_x0000_s1271"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" fillcolor="white [3212]" stroked="f" strokeweight="1pt">
                <v:textbox>
                  <w:txbxContent>
                    <w:p w14:paraId="5A917BB3" w14:textId="76044E8B" w:rsidR="00176C3C" w:rsidRDefault="00176C3C" w:rsidP="00176C3C">
                      <w:pPr>
                        <w:spacing w:after="0" w:line="240" w:lineRule="auto"/>
                        <w:jc w:val="right"/>
                      </w:pPr>
                      <w:r>
                        <w:t>WORKFORCE PATHWAYS</w:t>
                      </w:r>
                    </w:p>
                  </w:txbxContent>
                </v:textbox>
              </v:rect>
              <v:rect id="Rectangle 1433023281" o:spid="_x0000_s1272"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" fillcolor="#dae3f5" stroked="f" strokeweight="1pt"/>
              <w10:wrap anchorx="pag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C22BF" w14:textId="08591C08" w:rsidR="001035C1" w:rsidRDefault="001035C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7B141" w14:textId="76AE5DB9" w:rsidR="001035C1" w:rsidRDefault="001035C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A523A" w14:textId="7E7D886C" w:rsidR="000C3CAC" w:rsidRPr="00E17EC6" w:rsidRDefault="0006795B" w:rsidP="00E17EC6">
    <w:pPr>
      <w:pStyle w:val="Header"/>
    </w:pPr>
    <w:r>
      <w:rPr>
        <w:noProof/>
      </w:rPr>
      <mc:AlternateContent>
        <mc:Choice Requires="wpg">
          <w:drawing>
            <wp:anchor distT="0" distB="0" distL="114300" distR="114300" simplePos="0" relativeHeight="251658245" behindDoc="0" locked="0" layoutInCell="1" allowOverlap="1" wp14:anchorId="4D3E540D" wp14:editId="4232C918">
              <wp:simplePos x="0" y="0"/>
              <wp:positionH relativeFrom="page">
                <wp:align>right</wp:align>
              </wp:positionH>
              <wp:positionV relativeFrom="paragraph">
                <wp:posOffset>223284</wp:posOffset>
              </wp:positionV>
              <wp:extent cx="3337714" cy="324000"/>
              <wp:effectExtent l="0" t="0" r="0" b="0"/>
              <wp:wrapNone/>
              <wp:docPr id="1341085334" name="Group 1341085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37714" cy="324000"/>
                        <a:chOff x="-660904" y="0"/>
                        <a:chExt cx="3337714" cy="324000"/>
                      </a:xfrm>
                    </wpg:grpSpPr>
                    <wps:wsp>
                      <wps:cNvPr id="1341085335" name="Rectangle 1341085335"/>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9F58B2" w14:textId="0C4A3920" w:rsidR="0006795B" w:rsidRPr="007979E2" w:rsidRDefault="0006795B" w:rsidP="0006795B">
                            <w:pPr>
                              <w:spacing w:after="0" w:line="240" w:lineRule="auto"/>
                              <w:jc w:val="right"/>
                              <w:rPr>
                                <w:rFonts w:asciiTheme="majorHAnsi" w:hAnsiTheme="majorHAnsi" w:cstheme="majorHAnsi"/>
                              </w:rPr>
                            </w:pPr>
                            <w:r>
                              <w:rPr>
                                <w:rFonts w:asciiTheme="majorHAnsi" w:hAnsiTheme="majorHAnsi" w:cstheme="majorHAnsi"/>
                              </w:rPr>
                              <w:t>WORKFORCE</w:t>
                            </w:r>
                            <w:r w:rsidR="00493CEF">
                              <w:rPr>
                                <w:rFonts w:asciiTheme="majorHAnsi" w:hAnsiTheme="majorHAnsi" w:cstheme="majorHAnsi"/>
                              </w:rPr>
                              <w:t xml:space="preserve"> PATHWAYS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36" name="Rectangle 1341085336"/>
                      <wps:cNvSpPr/>
                      <wps:spPr>
                        <a:xfrm>
                          <a:off x="1666875" y="0"/>
                          <a:ext cx="1009935" cy="324000"/>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D3E540D" id="Group 1341085334" o:spid="_x0000_s1273" alt="&quot;&quot;" style="position:absolute;margin-left:211.6pt;margin-top:17.6pt;width:262.8pt;height:25.5pt;z-index:251658245;mso-position-horizontal:right;mso-position-horizontal-relative:page;mso-position-vertical-relative:text;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">
              <v:rect id="Rectangle 1341085335" o:spid="_x0000_s1274"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" fillcolor="white [3212]" stroked="f" strokeweight="1pt">
                <v:textbox>
                  <w:txbxContent>
                    <w:p w14:paraId="149F58B2" w14:textId="0C4A3920" w:rsidR="0006795B" w:rsidRPr="007979E2" w:rsidRDefault="0006795B" w:rsidP="0006795B">
                      <w:pPr>
                        <w:spacing w:after="0" w:line="240" w:lineRule="auto"/>
                        <w:jc w:val="right"/>
                        <w:rPr>
                          <w:rFonts w:asciiTheme="majorHAnsi" w:hAnsiTheme="majorHAnsi" w:cstheme="majorHAnsi"/>
                        </w:rPr>
                      </w:pPr>
                      <w:r>
                        <w:rPr>
                          <w:rFonts w:asciiTheme="majorHAnsi" w:hAnsiTheme="majorHAnsi" w:cstheme="majorHAnsi"/>
                        </w:rPr>
                        <w:t>WORKFORCE</w:t>
                      </w:r>
                      <w:r w:rsidR="00493CEF">
                        <w:rPr>
                          <w:rFonts w:asciiTheme="majorHAnsi" w:hAnsiTheme="majorHAnsi" w:cstheme="majorHAnsi"/>
                        </w:rPr>
                        <w:t xml:space="preserve"> PATHWAYS</w:t>
                      </w:r>
                    </w:p>
                  </w:txbxContent>
                </v:textbox>
              </v:rect>
              <v:rect id="Rectangle 1341085336" o:spid="_x0000_s1275"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" fillcolor="#cee9fb [662]" stroked="f" strokeweight="1pt"/>
              <w10:wrap anchorx="pag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6D04D" w14:textId="4D348D10" w:rsidR="001035C1" w:rsidRDefault="00513AF8">
    <w:pPr>
      <w:pStyle w:val="Header"/>
    </w:pPr>
    <w:r>
      <w:rPr>
        <w:noProof/>
      </w:rPr>
      <mc:AlternateContent>
        <mc:Choice Requires="wpg">
          <w:drawing>
            <wp:anchor distT="0" distB="0" distL="114300" distR="114300" simplePos="0" relativeHeight="251658246" behindDoc="0" locked="0" layoutInCell="1" allowOverlap="1" wp14:anchorId="74146C23" wp14:editId="7FF92B6C">
              <wp:simplePos x="0" y="0"/>
              <wp:positionH relativeFrom="page">
                <wp:align>right</wp:align>
              </wp:positionH>
              <wp:positionV relativeFrom="page">
                <wp:posOffset>323850</wp:posOffset>
              </wp:positionV>
              <wp:extent cx="3337560" cy="323850"/>
              <wp:effectExtent l="0" t="0" r="0" b="0"/>
              <wp:wrapTopAndBottom/>
              <wp:docPr id="1433023257" name="Group 1433023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37560" cy="323850"/>
                        <a:chOff x="-660904" y="0"/>
                        <a:chExt cx="3337714" cy="324000"/>
                      </a:xfrm>
                    </wpg:grpSpPr>
                    <wps:wsp>
                      <wps:cNvPr id="1433023258" name="Rectangle 1433023258"/>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F2468" w14:textId="77777777" w:rsidR="00513AF8" w:rsidRPr="007979E2" w:rsidRDefault="00513AF8" w:rsidP="00513AF8">
                            <w:pPr>
                              <w:spacing w:after="0" w:line="240" w:lineRule="auto"/>
                              <w:jc w:val="right"/>
                              <w:rPr>
                                <w:rFonts w:asciiTheme="majorHAnsi" w:hAnsiTheme="majorHAnsi" w:cstheme="majorHAnsi"/>
                              </w:rPr>
                            </w:pPr>
                            <w:r>
                              <w:rPr>
                                <w:rFonts w:asciiTheme="majorHAnsi" w:hAnsiTheme="majorHAnsi" w:cstheme="majorHAnsi"/>
                              </w:rPr>
                              <w:t>WORKFORCE FUTURES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59" name="Rectangle 1433023259"/>
                      <wps:cNvSpPr/>
                      <wps:spPr>
                        <a:xfrm>
                          <a:off x="1666875" y="0"/>
                          <a:ext cx="1009935" cy="324000"/>
                        </a:xfrm>
                        <a:prstGeom prst="rect">
                          <a:avLst/>
                        </a:prstGeom>
                        <a:solidFill>
                          <a:srgbClr val="F4B1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4146C23" id="Group 1433023257" o:spid="_x0000_s1276" alt="&quot;&quot;" style="position:absolute;margin-left:211.6pt;margin-top:25.5pt;width:262.8pt;height:25.5pt;z-index:251658246;mso-position-horizontal:right;mso-position-horizontal-relative:page;mso-position-vertical-relative:page;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">
              <v:rect id="Rectangle 1433023258" o:spid="_x0000_s1277"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" fillcolor="white [3212]" stroked="f" strokeweight="1pt">
                <v:textbox>
                  <w:txbxContent>
                    <w:p w14:paraId="4E4F2468" w14:textId="77777777" w:rsidR="00513AF8" w:rsidRPr="007979E2" w:rsidRDefault="00513AF8" w:rsidP="00513AF8">
                      <w:pPr>
                        <w:spacing w:after="0" w:line="240" w:lineRule="auto"/>
                        <w:jc w:val="right"/>
                        <w:rPr>
                          <w:rFonts w:asciiTheme="majorHAnsi" w:hAnsiTheme="majorHAnsi" w:cstheme="majorHAnsi"/>
                        </w:rPr>
                      </w:pPr>
                      <w:r>
                        <w:rPr>
                          <w:rFonts w:asciiTheme="majorHAnsi" w:hAnsiTheme="majorHAnsi" w:cstheme="majorHAnsi"/>
                        </w:rPr>
                        <w:t>WORKFORCE FUTURES</w:t>
                      </w:r>
                    </w:p>
                  </w:txbxContent>
                </v:textbox>
              </v:rect>
              <v:rect id="Rectangle 1433023259" o:spid="_x0000_s1278"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" fillcolor="#f4b183" stroked="f" strokeweight="1pt"/>
              <w10:wrap type="topAndBottom" anchorx="page" anchory="pag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86FA8" w14:textId="77777777" w:rsidR="00CD2B22" w:rsidRDefault="00CD2B22">
    <w:pPr>
      <w:pStyle w:val="Header"/>
    </w:pPr>
    <w:r>
      <w:rPr>
        <w:noProof/>
      </w:rPr>
      <mc:AlternateContent>
        <mc:Choice Requires="wpg">
          <w:drawing>
            <wp:anchor distT="0" distB="0" distL="114300" distR="114300" simplePos="0" relativeHeight="251658252" behindDoc="0" locked="0" layoutInCell="1" allowOverlap="1" wp14:anchorId="57913E7C" wp14:editId="315966ED">
              <wp:simplePos x="0" y="0"/>
              <wp:positionH relativeFrom="page">
                <wp:align>right</wp:align>
              </wp:positionH>
              <wp:positionV relativeFrom="paragraph">
                <wp:posOffset>331718</wp:posOffset>
              </wp:positionV>
              <wp:extent cx="3337560" cy="323850"/>
              <wp:effectExtent l="0" t="0" r="0" b="0"/>
              <wp:wrapNone/>
              <wp:docPr id="2030496873" name="Group 2030496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7560" cy="323850"/>
                        <a:chOff x="-660904" y="0"/>
                        <a:chExt cx="3337714" cy="324000"/>
                      </a:xfrm>
                    </wpg:grpSpPr>
                    <wps:wsp>
                      <wps:cNvPr id="1741509216" name="Rectangle 14"/>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E496D3" w14:textId="77777777" w:rsidR="00CD2B22" w:rsidRDefault="00CD2B22">
                            <w:pPr>
                              <w:spacing w:after="0" w:line="240" w:lineRule="auto"/>
                              <w:jc w:val="right"/>
                            </w:pPr>
                            <w:r>
                              <w:t>FUTURE STATES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348053" name="Rectangle 15"/>
                      <wps:cNvSpPr/>
                      <wps:spPr>
                        <a:xfrm>
                          <a:off x="1666875" y="0"/>
                          <a:ext cx="1009935" cy="324000"/>
                        </a:xfrm>
                        <a:prstGeom prst="rect">
                          <a:avLst/>
                        </a:prstGeom>
                        <a:solidFill>
                          <a:srgbClr val="FEDBD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57913E7C" id="Group 2030496873" o:spid="_x0000_s1279" alt="&quot;&quot;" style="position:absolute;margin-left:211.6pt;margin-top:26.1pt;width:262.8pt;height:25.5pt;z-index:251658252;mso-position-horizontal:right;mso-position-horizontal-relative:page;mso-position-vertical-relative:text;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">
              <v:rect id="Rectangle 14" o:spid="_x0000_s1280"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" fillcolor="white [3212]" stroked="f" strokeweight="1pt">
                <v:textbox>
                  <w:txbxContent>
                    <w:p w14:paraId="02E496D3" w14:textId="77777777" w:rsidR="00CD2B22" w:rsidRDefault="00CD2B22">
                      <w:pPr>
                        <w:spacing w:after="0" w:line="240" w:lineRule="auto"/>
                        <w:jc w:val="right"/>
                      </w:pPr>
                      <w:r>
                        <w:t>FUTURE STATES</w:t>
                      </w:r>
                    </w:p>
                  </w:txbxContent>
                </v:textbox>
              </v:rect>
              <v:rect id="Rectangle 15" o:spid="_x0000_s1281"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" fillcolor="#fedbdd" stroked="f" strokeweight="1pt"/>
              <w10:wrap anchorx="pag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5D3FC" w14:textId="0D351CC3" w:rsidR="00CD2B22" w:rsidRPr="00600493" w:rsidRDefault="00AE559F">
    <w:pPr>
      <w:pStyle w:val="Header"/>
      <w:spacing w:before="600"/>
      <w:jc w:val="right"/>
      <w:rPr>
        <w:b/>
        <w:bCs/>
        <w:sz w:val="24"/>
        <w:szCs w:val="24"/>
      </w:rPr>
    </w:pPr>
    <w:r>
      <w:rPr>
        <w:noProof/>
      </w:rPr>
      <mc:AlternateContent>
        <mc:Choice Requires="wpg">
          <w:drawing>
            <wp:anchor distT="0" distB="0" distL="114300" distR="114300" simplePos="0" relativeHeight="251658253" behindDoc="0" locked="0" layoutInCell="1" allowOverlap="1" wp14:anchorId="499D0B47" wp14:editId="4DCE5755">
              <wp:simplePos x="0" y="0"/>
              <wp:positionH relativeFrom="page">
                <wp:align>right</wp:align>
              </wp:positionH>
              <wp:positionV relativeFrom="paragraph">
                <wp:posOffset>294198</wp:posOffset>
              </wp:positionV>
              <wp:extent cx="3337560" cy="323850"/>
              <wp:effectExtent l="0" t="0" r="0" b="0"/>
              <wp:wrapNone/>
              <wp:docPr id="1717162651" name="Group 1717162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7560" cy="323850"/>
                        <a:chOff x="-660904" y="0"/>
                        <a:chExt cx="3337714" cy="324000"/>
                      </a:xfrm>
                    </wpg:grpSpPr>
                    <wps:wsp>
                      <wps:cNvPr id="1584205358" name="Rectangle 14"/>
                      <wps:cNvSpPr/>
                      <wps:spPr>
                        <a:xfrm>
                          <a:off x="-660904" y="0"/>
                          <a:ext cx="2363607"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754C96" w14:textId="77777777" w:rsidR="00AE559F" w:rsidRDefault="00AE559F" w:rsidP="00AE559F">
                            <w:pPr>
                              <w:spacing w:after="0" w:line="240" w:lineRule="auto"/>
                              <w:jc w:val="right"/>
                            </w:pPr>
                            <w:r>
                              <w:t>FUTURE STATES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6360218" name="Rectangle 15"/>
                      <wps:cNvSpPr/>
                      <wps:spPr>
                        <a:xfrm>
                          <a:off x="1666875" y="0"/>
                          <a:ext cx="1009935" cy="32400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499D0B47" id="Group 1717162651" o:spid="_x0000_s1282" alt="&quot;&quot;" style="position:absolute;left:0;text-align:left;margin-left:211.6pt;margin-top:23.15pt;width:262.8pt;height:25.5pt;z-index:251658253;mso-position-horizontal:right;mso-position-horizontal-relative:page;mso-position-vertical-relative:text;mso-width-relative:margin" coordorigin="-6609" coordsize="33377,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">
              <v:rect id="Rectangle 14" o:spid="_x0000_s1283" style="position:absolute;left:-6609;width:2363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" fillcolor="white [3212]" stroked="f" strokeweight="1pt">
                <v:textbox>
                  <w:txbxContent>
                    <w:p w14:paraId="14754C96" w14:textId="77777777" w:rsidR="00AE559F" w:rsidRDefault="00AE559F" w:rsidP="00AE559F">
                      <w:pPr>
                        <w:spacing w:after="0" w:line="240" w:lineRule="auto"/>
                        <w:jc w:val="right"/>
                      </w:pPr>
                      <w:r>
                        <w:t>FUTURE STATES</w:t>
                      </w:r>
                    </w:p>
                  </w:txbxContent>
                </v:textbox>
              </v:rect>
              <v:rect id="Rectangle 15" o:spid="_x0000_s1284"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" fillcolor="#fedbdd [664]" stroked="f" strokeweight="1pt"/>
              <w10:wrap anchorx="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8D852" w14:textId="4EF9CDE7" w:rsidR="001035C1" w:rsidRDefault="001035C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99DD2" w14:textId="1A599B42" w:rsidR="001035C1" w:rsidRDefault="001035C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8C223" w14:textId="5FAEE99C" w:rsidR="00D57138" w:rsidRDefault="00D5713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00B33" w14:textId="48549F10" w:rsidR="001035C1" w:rsidRDefault="001035C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1AF6E" w14:textId="48D00E22" w:rsidR="001035C1" w:rsidRDefault="001035C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2257" w14:textId="6CA85590" w:rsidR="009D1AE6" w:rsidRDefault="009D1AE6">
    <w:pPr>
      <w:pStyle w:val="Header"/>
    </w:pPr>
    <w:r>
      <w:rPr>
        <w:noProof/>
      </w:rPr>
      <mc:AlternateContent>
        <mc:Choice Requires="wpg">
          <w:drawing>
            <wp:anchor distT="0" distB="0" distL="114300" distR="114300" simplePos="0" relativeHeight="251658243" behindDoc="0" locked="0" layoutInCell="1" allowOverlap="1" wp14:anchorId="7099B1E7" wp14:editId="0C1AF5BE">
              <wp:simplePos x="0" y="0"/>
              <wp:positionH relativeFrom="page">
                <wp:posOffset>3997960</wp:posOffset>
              </wp:positionH>
              <wp:positionV relativeFrom="paragraph">
                <wp:posOffset>323565</wp:posOffset>
              </wp:positionV>
              <wp:extent cx="3560135" cy="324000"/>
              <wp:effectExtent l="0" t="0" r="2540" b="0"/>
              <wp:wrapNone/>
              <wp:docPr id="612265798" name="Group 612265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612265799" name="Rectangle 612265799"/>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0559B7" w14:textId="77777777" w:rsidR="009D1AE6" w:rsidRDefault="009D1AE6" w:rsidP="009D1AE6">
                            <w:pPr>
                              <w:spacing w:after="0" w:line="240" w:lineRule="auto"/>
                              <w:jc w:val="right"/>
                            </w:pPr>
                            <w:r>
                              <w:t>EMERGING AND TRANSFORMING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265800" name="Rectangle 612265800"/>
                      <wps:cNvSpPr/>
                      <wps:spPr>
                        <a:xfrm>
                          <a:off x="1666875" y="0"/>
                          <a:ext cx="1009935" cy="324000"/>
                        </a:xfrm>
                        <a:prstGeom prst="rect">
                          <a:avLst/>
                        </a:prstGeom>
                        <a:solidFill>
                          <a:srgbClr val="F6C6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099B1E7" id="Group 612265798" o:spid="_x0000_s1285" alt="&quot;&quot;" style="position:absolute;margin-left:314.8pt;margin-top:25.5pt;width:280.35pt;height:25.5pt;z-index:251658243;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">
              <v:rect id="Rectangle 612265799" o:spid="_x0000_s1286"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" fillcolor="white [3212]" stroked="f" strokeweight="1pt">
                <v:textbox>
                  <w:txbxContent>
                    <w:p w14:paraId="0B0559B7" w14:textId="77777777" w:rsidR="009D1AE6" w:rsidRDefault="009D1AE6" w:rsidP="009D1AE6">
                      <w:pPr>
                        <w:spacing w:after="0" w:line="240" w:lineRule="auto"/>
                        <w:jc w:val="right"/>
                      </w:pPr>
                      <w:r>
                        <w:t>EMERGING AND TRANSFORMING</w:t>
                      </w:r>
                    </w:p>
                  </w:txbxContent>
                </v:textbox>
              </v:rect>
              <v:rect id="Rectangle 612265800" o:spid="_x0000_s1287"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" fillcolor="#f6c6db" stroked="f" strokeweight="1pt"/>
              <w10:wrap anchorx="pag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51D04" w14:textId="3CA1C64E" w:rsidR="001035C1" w:rsidRDefault="001035C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25490" w14:textId="090CF5AC" w:rsidR="001035C1" w:rsidRDefault="001035C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F5352" w14:textId="77777777" w:rsidR="00D530BA" w:rsidRDefault="00E412CF">
    <w:pPr>
      <w:pStyle w:val="Header"/>
    </w:pPr>
    <w:r>
      <w:rPr>
        <w:noProof/>
      </w:rPr>
      <mc:AlternateContent>
        <mc:Choice Requires="wpg">
          <w:drawing>
            <wp:anchor distT="0" distB="0" distL="114300" distR="114300" simplePos="0" relativeHeight="251658250" behindDoc="0" locked="0" layoutInCell="1" allowOverlap="1" wp14:anchorId="36CAF40D" wp14:editId="7890081B">
              <wp:simplePos x="0" y="0"/>
              <wp:positionH relativeFrom="page">
                <wp:posOffset>3877937</wp:posOffset>
              </wp:positionH>
              <wp:positionV relativeFrom="paragraph">
                <wp:posOffset>363557</wp:posOffset>
              </wp:positionV>
              <wp:extent cx="3681321" cy="324000"/>
              <wp:effectExtent l="0" t="0" r="0" b="0"/>
              <wp:wrapNone/>
              <wp:docPr id="80" name="Group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81" name="Rectangle 81"/>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25687" w14:textId="77777777" w:rsidR="00E412CF" w:rsidRDefault="00E412CF" w:rsidP="00E412CF">
                            <w:pPr>
                              <w:spacing w:after="0" w:line="240" w:lineRule="auto"/>
                              <w:jc w:val="right"/>
                            </w:pPr>
                            <w:r>
                              <w:t>EDUCATION AND TRAINING REFORM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a:off x="1666875" y="0"/>
                          <a:ext cx="1009935" cy="324000"/>
                        </a:xfrm>
                        <a:prstGeom prst="rect">
                          <a:avLst/>
                        </a:prstGeom>
                        <a:solidFill>
                          <a:srgbClr val="C2A5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6CAF40D" id="Group 80" o:spid="_x0000_s1288" alt="&quot;&quot;" style="position:absolute;margin-left:305.35pt;margin-top:28.65pt;width:289.85pt;height:25.5pt;z-index:251658250;mso-position-horizontal-relative:page;mso-position-vertical-relative:text;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">
              <v:rect id="Rectangle 81" o:spid="_x0000_s1289"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" fillcolor="white [3212]" stroked="f" strokeweight="1pt">
                <v:textbox>
                  <w:txbxContent>
                    <w:p w14:paraId="0FC25687" w14:textId="77777777" w:rsidR="00E412CF" w:rsidRDefault="00E412CF" w:rsidP="00E412CF">
                      <w:pPr>
                        <w:spacing w:after="0" w:line="240" w:lineRule="auto"/>
                        <w:jc w:val="right"/>
                      </w:pPr>
                      <w:r>
                        <w:t>EDUCATION AND TRAINING REFORM</w:t>
                      </w:r>
                    </w:p>
                  </w:txbxContent>
                </v:textbox>
              </v:rect>
              <v:rect id="Rectangle 96" o:spid="_x0000_s1290"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" fillcolor="#c2a5ec" stroked="f" strokeweight="1pt"/>
              <w10:wrap anchorx="pag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B0B9F" w14:textId="499E350A" w:rsidR="001035C1" w:rsidRDefault="001035C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CFACB" w14:textId="75822098" w:rsidR="001A4E0F" w:rsidRDefault="001A4E0F">
    <w:pPr>
      <w:pStyle w:val="Header"/>
    </w:pPr>
    <w:r>
      <w:rPr>
        <w:noProof/>
      </w:rPr>
      <mc:AlternateContent>
        <mc:Choice Requires="wpg">
          <w:drawing>
            <wp:anchor distT="0" distB="0" distL="114300" distR="114300" simplePos="0" relativeHeight="251658249" behindDoc="0" locked="0" layoutInCell="1" allowOverlap="1" wp14:anchorId="5EEE0BD2" wp14:editId="5C0F836B">
              <wp:simplePos x="0" y="0"/>
              <wp:positionH relativeFrom="page">
                <wp:posOffset>3877937</wp:posOffset>
              </wp:positionH>
              <wp:positionV relativeFrom="paragraph">
                <wp:posOffset>363557</wp:posOffset>
              </wp:positionV>
              <wp:extent cx="3681321" cy="324000"/>
              <wp:effectExtent l="0" t="0" r="0" b="0"/>
              <wp:wrapNone/>
              <wp:docPr id="1087981679" name="Group 10879816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087981680" name="Rectangle 1087981680"/>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477D25" w14:textId="26A768B1" w:rsidR="001A4E0F" w:rsidRDefault="001A4E0F" w:rsidP="00E412CF">
                            <w:pPr>
                              <w:spacing w:after="0" w:line="240" w:lineRule="auto"/>
                              <w:jc w:val="right"/>
                            </w:pPr>
                            <w:r>
                              <w:t>WORKPLACES AND COMMUNITIES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981681" name="Rectangle 1087981681"/>
                      <wps:cNvSpPr/>
                      <wps:spPr>
                        <a:xfrm>
                          <a:off x="1666875" y="0"/>
                          <a:ext cx="1009935" cy="324000"/>
                        </a:xfrm>
                        <a:prstGeom prst="rect">
                          <a:avLst/>
                        </a:prstGeom>
                        <a:solidFill>
                          <a:srgbClr val="C2A5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EEE0BD2" id="Group 1087981679" o:spid="_x0000_s1291" alt="&quot;&quot;" style="position:absolute;margin-left:305.35pt;margin-top:28.65pt;width:289.85pt;height:25.5pt;z-index:251658249;mso-position-horizontal-relative:page;mso-position-vertical-relative:text;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">
              <v:rect id="Rectangle 1087981680" o:spid="_x0000_s1292"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" fillcolor="white [3212]" stroked="f" strokeweight="1pt">
                <v:textbox>
                  <w:txbxContent>
                    <w:p w14:paraId="7D477D25" w14:textId="26A768B1" w:rsidR="001A4E0F" w:rsidRDefault="001A4E0F" w:rsidP="00E412CF">
                      <w:pPr>
                        <w:spacing w:after="0" w:line="240" w:lineRule="auto"/>
                        <w:jc w:val="right"/>
                      </w:pPr>
                      <w:r>
                        <w:t>WORKPLACES AND COMMUNITIES</w:t>
                      </w:r>
                    </w:p>
                  </w:txbxContent>
                </v:textbox>
              </v:rect>
              <v:rect id="Rectangle 1087981681" o:spid="_x0000_s1293"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" fillcolor="#c2a5ec" stroked="f" strokeweight="1pt"/>
              <w10:wrap anchorx="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7E37D" w14:textId="75AB2261" w:rsidR="00E17EC6" w:rsidRPr="00E17EC6" w:rsidRDefault="00522CF6" w:rsidP="00E17EC6">
    <w:pPr>
      <w:pStyle w:val="Header"/>
    </w:pPr>
    <w:r>
      <w:rPr>
        <w:noProof/>
      </w:rPr>
      <w:drawing>
        <wp:anchor distT="0" distB="0" distL="114300" distR="114300" simplePos="0" relativeHeight="251658256" behindDoc="1" locked="0" layoutInCell="1" allowOverlap="1" wp14:anchorId="4152EC48" wp14:editId="40459434">
          <wp:simplePos x="0" y="0"/>
          <wp:positionH relativeFrom="page">
            <wp:posOffset>8449</wp:posOffset>
          </wp:positionH>
          <wp:positionV relativeFrom="paragraph">
            <wp:posOffset>0</wp:posOffset>
          </wp:positionV>
          <wp:extent cx="7560000" cy="155504"/>
          <wp:effectExtent l="0" t="0" r="0" b="0"/>
          <wp:wrapNone/>
          <wp:docPr id="755709510" name="Picture 755709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9693787" name="Picture 1879693787">
                    <a:extLst>
                      <a:ext uri="{C183D7F6-B498-43B3-948B-1728B52AA6E4}">
                        <adec:decorative xmlns:adec="http://schemas.microsoft.com/office/drawing/2017/decorative" val="1"/>
                      </a:ext>
                    </a:extLst>
                  </pic:cNvPr>
                  <pic:cNvPicPr preferRelativeResize="0"/>
                </pic:nvPicPr>
                <pic:blipFill rotWithShape="1">
                  <a:blip r:embed="rId1"/>
                  <a:srcRect b="9104"/>
                  <a:stretch/>
                </pic:blipFill>
                <pic:spPr bwMode="auto">
                  <a:xfrm>
                    <a:off x="0" y="0"/>
                    <a:ext cx="7560000" cy="155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8EF4E" w14:textId="31C67D63" w:rsidR="005D6170" w:rsidRDefault="005D6170">
    <w:pPr>
      <w:pStyle w:val="Header"/>
    </w:pPr>
    <w:r>
      <w:rPr>
        <w:noProof/>
      </w:rPr>
      <mc:AlternateContent>
        <mc:Choice Requires="wpg">
          <w:drawing>
            <wp:anchor distT="0" distB="0" distL="114300" distR="114300" simplePos="0" relativeHeight="251658251" behindDoc="0" locked="0" layoutInCell="1" allowOverlap="1" wp14:anchorId="3AD1723B" wp14:editId="3890572E">
              <wp:simplePos x="0" y="0"/>
              <wp:positionH relativeFrom="page">
                <wp:posOffset>3877937</wp:posOffset>
              </wp:positionH>
              <wp:positionV relativeFrom="paragraph">
                <wp:posOffset>363557</wp:posOffset>
              </wp:positionV>
              <wp:extent cx="3681321" cy="324000"/>
              <wp:effectExtent l="0" t="0" r="0" b="0"/>
              <wp:wrapNone/>
              <wp:docPr id="1341085345" name="Group 1341085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81321" cy="324000"/>
                        <a:chOff x="-1004511" y="0"/>
                        <a:chExt cx="3681321" cy="324000"/>
                      </a:xfrm>
                    </wpg:grpSpPr>
                    <wps:wsp>
                      <wps:cNvPr id="1341085346" name="Rectangle 1341085346"/>
                      <wps:cNvSpPr/>
                      <wps:spPr>
                        <a:xfrm>
                          <a:off x="-1004511" y="0"/>
                          <a:ext cx="270686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0CD90" w14:textId="2FCB5BB4" w:rsidR="005D6170" w:rsidRDefault="005D6170" w:rsidP="00E412CF">
                            <w:pPr>
                              <w:spacing w:after="0" w:line="240" w:lineRule="auto"/>
                              <w:jc w:val="right"/>
                            </w:pPr>
                            <w:r>
                              <w:t>FINDINGS AND OPPORTUNITIES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1085347" name="Rectangle 1341085347"/>
                      <wps:cNvSpPr/>
                      <wps:spPr>
                        <a:xfrm>
                          <a:off x="1666875" y="0"/>
                          <a:ext cx="1009935" cy="324000"/>
                        </a:xfrm>
                        <a:prstGeom prst="rect">
                          <a:avLst/>
                        </a:prstGeom>
                        <a:solidFill>
                          <a:srgbClr val="4040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AD1723B" id="Group 1341085345" o:spid="_x0000_s1294" alt="&quot;&quot;" style="position:absolute;margin-left:305.35pt;margin-top:28.65pt;width:289.85pt;height:25.5pt;z-index:251658251;mso-position-horizontal-relative:page;mso-position-vertical-relative:text;mso-width-relative:margin" coordorigin="-10045" coordsize="36813,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">
              <v:rect id="Rectangle 1341085346" o:spid="_x0000_s1295" style="position:absolute;left:-10045;width:270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" fillcolor="white [3212]" stroked="f" strokeweight="1pt">
                <v:textbox>
                  <w:txbxContent>
                    <w:p w14:paraId="4420CD90" w14:textId="2FCB5BB4" w:rsidR="005D6170" w:rsidRDefault="005D6170" w:rsidP="00E412CF">
                      <w:pPr>
                        <w:spacing w:after="0" w:line="240" w:lineRule="auto"/>
                        <w:jc w:val="right"/>
                      </w:pPr>
                      <w:r>
                        <w:t>FINDINGS AND OPPORTUNITIES</w:t>
                      </w:r>
                    </w:p>
                  </w:txbxContent>
                </v:textbox>
              </v:rect>
              <v:rect id="Rectangle 1341085347" o:spid="_x0000_s1296"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" fillcolor="#404040" stroked="f" strokeweight="1pt"/>
              <w10:wrap anchorx="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DCBC4" w14:textId="058A5779" w:rsidR="001035C1" w:rsidRDefault="001035C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F78EF" w14:textId="26FC95C8" w:rsidR="002811CD" w:rsidRPr="002811CD" w:rsidRDefault="002811CD" w:rsidP="002811CD">
    <w:pPr>
      <w:pStyle w:val="Header"/>
    </w:pPr>
    <w:r>
      <w:rPr>
        <w:noProof/>
      </w:rPr>
      <mc:AlternateContent>
        <mc:Choice Requires="wpg">
          <w:drawing>
            <wp:anchor distT="0" distB="0" distL="114300" distR="114300" simplePos="0" relativeHeight="251658257" behindDoc="0" locked="0" layoutInCell="1" allowOverlap="1" wp14:anchorId="430AEB41" wp14:editId="66B49594">
              <wp:simplePos x="0" y="0"/>
              <wp:positionH relativeFrom="page">
                <wp:posOffset>3993100</wp:posOffset>
              </wp:positionH>
              <wp:positionV relativeFrom="paragraph">
                <wp:posOffset>323850</wp:posOffset>
              </wp:positionV>
              <wp:extent cx="3560135" cy="324000"/>
              <wp:effectExtent l="0" t="0" r="2540" b="0"/>
              <wp:wrapNone/>
              <wp:docPr id="706917501" name="Group 706917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511335877" name="Rectangle 511335877"/>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54F9B7" w14:textId="3EF88306" w:rsidR="002811CD" w:rsidRDefault="00BD4F5E" w:rsidP="002811CD">
                            <w:pPr>
                              <w:spacing w:after="0" w:line="240" w:lineRule="auto"/>
                              <w:jc w:val="right"/>
                            </w:pPr>
                            <w:r>
                              <w:t>THE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992490" name="Rectangle 1552992490"/>
                      <wps:cNvSpPr/>
                      <wps:spPr>
                        <a:xfrm>
                          <a:off x="1666875" y="0"/>
                          <a:ext cx="1009935" cy="324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30AEB41" id="Group 706917501" o:spid="_x0000_s1252" alt="&quot;&quot;" style="position:absolute;margin-left:314.4pt;margin-top:25.5pt;width:280.35pt;height:25.5pt;z-index:251658257;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">
              <v:rect id="Rectangle 511335877" o:spid="_x0000_s1253"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" fillcolor="white [3212]" stroked="f" strokeweight="1pt">
                <v:textbox>
                  <w:txbxContent>
                    <w:p w14:paraId="1054F9B7" w14:textId="3EF88306" w:rsidR="002811CD" w:rsidRDefault="00BD4F5E" w:rsidP="002811CD">
                      <w:pPr>
                        <w:spacing w:after="0" w:line="240" w:lineRule="auto"/>
                        <w:jc w:val="right"/>
                      </w:pPr>
                      <w:r>
                        <w:t>THE STUDY</w:t>
                      </w:r>
                    </w:p>
                  </w:txbxContent>
                </v:textbox>
              </v:rect>
              <v:rect id="Rectangle 1552992490" o:spid="_x0000_s1254"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" fillcolor="#d2de5a [3214]" stroked="f" strokeweight="1pt"/>
              <w10:wrap anchorx="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6728B" w14:textId="156AEB80" w:rsidR="001035C1" w:rsidRDefault="001035C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058D8" w14:textId="484396D5" w:rsidR="007F3187" w:rsidRPr="00E17EC6" w:rsidRDefault="00B66A8F" w:rsidP="00E17EC6">
    <w:pPr>
      <w:pStyle w:val="Header"/>
    </w:pPr>
    <w:r>
      <w:rPr>
        <w:noProof/>
      </w:rPr>
      <mc:AlternateContent>
        <mc:Choice Requires="wpg">
          <w:drawing>
            <wp:anchor distT="0" distB="0" distL="114300" distR="114300" simplePos="0" relativeHeight="251658240" behindDoc="0" locked="0" layoutInCell="1" allowOverlap="1" wp14:anchorId="63FE3774" wp14:editId="658C0F9D">
              <wp:simplePos x="0" y="0"/>
              <wp:positionH relativeFrom="page">
                <wp:align>right</wp:align>
              </wp:positionH>
              <wp:positionV relativeFrom="paragraph">
                <wp:posOffset>313267</wp:posOffset>
              </wp:positionV>
              <wp:extent cx="3560135" cy="324000"/>
              <wp:effectExtent l="0" t="0" r="2540" b="0"/>
              <wp:wrapNone/>
              <wp:docPr id="1433023285" name="Group 14330232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560135" cy="324000"/>
                        <a:chOff x="-883325" y="0"/>
                        <a:chExt cx="3560135" cy="324000"/>
                      </a:xfrm>
                    </wpg:grpSpPr>
                    <wps:wsp>
                      <wps:cNvPr id="1433023286" name="Rectangle 1433023286"/>
                      <wps:cNvSpPr/>
                      <wps:spPr>
                        <a:xfrm>
                          <a:off x="-883325" y="0"/>
                          <a:ext cx="2585919" cy="3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09402" w14:textId="7E3DA590" w:rsidR="00B66A8F" w:rsidRDefault="00B66A8F" w:rsidP="00B66A8F">
                            <w:pPr>
                              <w:spacing w:after="0" w:line="240" w:lineRule="auto"/>
                              <w:jc w:val="right"/>
                            </w:pPr>
                            <w:r>
                              <w:t>DEFINING CLEAN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23287" name="Rectangle 1433023287"/>
                      <wps:cNvSpPr/>
                      <wps:spPr>
                        <a:xfrm>
                          <a:off x="1666875" y="0"/>
                          <a:ext cx="1009935" cy="324000"/>
                        </a:xfrm>
                        <a:prstGeom prst="rect">
                          <a:avLst/>
                        </a:prstGeom>
                        <a:solidFill>
                          <a:srgbClr val="BAD9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3FE3774" id="Group 1433023285" o:spid="_x0000_s1255" alt="&quot;&quot;" style="position:absolute;margin-left:229.15pt;margin-top:24.65pt;width:280.35pt;height:25.5pt;z-index:251658240;mso-position-horizontal:right;mso-position-horizontal-relative:page;mso-position-vertical-relative:text;mso-width-relative:margin" coordorigin="-8833" coordsize="3560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">
              <v:rect id="Rectangle 1433023286" o:spid="_x0000_s1256" style="position:absolute;left:-8833;width:2585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" fillcolor="white [3212]" stroked="f" strokeweight="1pt">
                <v:textbox>
                  <w:txbxContent>
                    <w:p w14:paraId="72709402" w14:textId="7E3DA590" w:rsidR="00B66A8F" w:rsidRDefault="00B66A8F" w:rsidP="00B66A8F">
                      <w:pPr>
                        <w:spacing w:after="0" w:line="240" w:lineRule="auto"/>
                        <w:jc w:val="right"/>
                      </w:pPr>
                      <w:r>
                        <w:t>DEFINING CLEAN ENERGY</w:t>
                      </w:r>
                    </w:p>
                  </w:txbxContent>
                </v:textbox>
              </v:rect>
              <v:rect id="Rectangle 1433023287" o:spid="_x0000_s1257" style="position:absolute;left:16668;width:1010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" fillcolor="#bad9c3" stroked="f" strokeweight="1pt"/>
              <w10:wrap anchorx="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EEAAB" w14:textId="6F1D7D04" w:rsidR="001035C1" w:rsidRDefault="001035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1BA"/>
    <w:multiLevelType w:val="hybridMultilevel"/>
    <w:tmpl w:val="622244A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906879"/>
    <w:multiLevelType w:val="hybridMultilevel"/>
    <w:tmpl w:val="2CB2F14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78109F6"/>
    <w:multiLevelType w:val="hybridMultilevel"/>
    <w:tmpl w:val="158AD17E"/>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7F029F1"/>
    <w:multiLevelType w:val="hybridMultilevel"/>
    <w:tmpl w:val="528E691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372115"/>
    <w:multiLevelType w:val="hybridMultilevel"/>
    <w:tmpl w:val="70886F0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9DC7C94"/>
    <w:multiLevelType w:val="hybridMultilevel"/>
    <w:tmpl w:val="1B8C395A"/>
    <w:lvl w:ilvl="0" w:tplc="C4987394">
      <w:start w:val="1"/>
      <w:numFmt w:val="bullet"/>
      <w:lvlText w:val="•"/>
      <w:lvlJc w:val="left"/>
      <w:pPr>
        <w:tabs>
          <w:tab w:val="num" w:pos="360"/>
        </w:tabs>
        <w:ind w:left="360" w:hanging="360"/>
      </w:pPr>
      <w:rPr>
        <w:rFonts w:ascii="Arial" w:hAnsi="Arial" w:cs="Times New Roman" w:hint="default"/>
      </w:rPr>
    </w:lvl>
    <w:lvl w:ilvl="1" w:tplc="6DFCEDAE">
      <w:start w:val="1"/>
      <w:numFmt w:val="bullet"/>
      <w:lvlText w:val="•"/>
      <w:lvlJc w:val="left"/>
      <w:pPr>
        <w:tabs>
          <w:tab w:val="num" w:pos="1080"/>
        </w:tabs>
        <w:ind w:left="1080" w:hanging="360"/>
      </w:pPr>
      <w:rPr>
        <w:rFonts w:ascii="Arial" w:hAnsi="Arial" w:cs="Times New Roman" w:hint="default"/>
      </w:rPr>
    </w:lvl>
    <w:lvl w:ilvl="2" w:tplc="CECE2E0C">
      <w:start w:val="1"/>
      <w:numFmt w:val="bullet"/>
      <w:lvlText w:val="•"/>
      <w:lvlJc w:val="left"/>
      <w:pPr>
        <w:tabs>
          <w:tab w:val="num" w:pos="1800"/>
        </w:tabs>
        <w:ind w:left="1800" w:hanging="360"/>
      </w:pPr>
      <w:rPr>
        <w:rFonts w:ascii="Arial" w:hAnsi="Arial" w:cs="Times New Roman" w:hint="default"/>
      </w:rPr>
    </w:lvl>
    <w:lvl w:ilvl="3" w:tplc="F844E87E">
      <w:start w:val="1"/>
      <w:numFmt w:val="bullet"/>
      <w:lvlText w:val="•"/>
      <w:lvlJc w:val="left"/>
      <w:pPr>
        <w:tabs>
          <w:tab w:val="num" w:pos="2520"/>
        </w:tabs>
        <w:ind w:left="2520" w:hanging="360"/>
      </w:pPr>
      <w:rPr>
        <w:rFonts w:ascii="Arial" w:hAnsi="Arial" w:cs="Times New Roman" w:hint="default"/>
      </w:rPr>
    </w:lvl>
    <w:lvl w:ilvl="4" w:tplc="B8985044">
      <w:start w:val="1"/>
      <w:numFmt w:val="bullet"/>
      <w:lvlText w:val="•"/>
      <w:lvlJc w:val="left"/>
      <w:pPr>
        <w:tabs>
          <w:tab w:val="num" w:pos="3240"/>
        </w:tabs>
        <w:ind w:left="3240" w:hanging="360"/>
      </w:pPr>
      <w:rPr>
        <w:rFonts w:ascii="Arial" w:hAnsi="Arial" w:cs="Times New Roman" w:hint="default"/>
      </w:rPr>
    </w:lvl>
    <w:lvl w:ilvl="5" w:tplc="D270D3E2">
      <w:start w:val="1"/>
      <w:numFmt w:val="bullet"/>
      <w:lvlText w:val="•"/>
      <w:lvlJc w:val="left"/>
      <w:pPr>
        <w:tabs>
          <w:tab w:val="num" w:pos="3960"/>
        </w:tabs>
        <w:ind w:left="3960" w:hanging="360"/>
      </w:pPr>
      <w:rPr>
        <w:rFonts w:ascii="Arial" w:hAnsi="Arial" w:cs="Times New Roman" w:hint="default"/>
      </w:rPr>
    </w:lvl>
    <w:lvl w:ilvl="6" w:tplc="142C5E18">
      <w:start w:val="1"/>
      <w:numFmt w:val="bullet"/>
      <w:lvlText w:val="•"/>
      <w:lvlJc w:val="left"/>
      <w:pPr>
        <w:tabs>
          <w:tab w:val="num" w:pos="4680"/>
        </w:tabs>
        <w:ind w:left="4680" w:hanging="360"/>
      </w:pPr>
      <w:rPr>
        <w:rFonts w:ascii="Arial" w:hAnsi="Arial" w:cs="Times New Roman" w:hint="default"/>
      </w:rPr>
    </w:lvl>
    <w:lvl w:ilvl="7" w:tplc="395A96CC">
      <w:start w:val="1"/>
      <w:numFmt w:val="bullet"/>
      <w:lvlText w:val="•"/>
      <w:lvlJc w:val="left"/>
      <w:pPr>
        <w:tabs>
          <w:tab w:val="num" w:pos="5400"/>
        </w:tabs>
        <w:ind w:left="5400" w:hanging="360"/>
      </w:pPr>
      <w:rPr>
        <w:rFonts w:ascii="Arial" w:hAnsi="Arial" w:cs="Times New Roman" w:hint="default"/>
      </w:rPr>
    </w:lvl>
    <w:lvl w:ilvl="8" w:tplc="B9404A3E">
      <w:start w:val="1"/>
      <w:numFmt w:val="bullet"/>
      <w:lvlText w:val="•"/>
      <w:lvlJc w:val="left"/>
      <w:pPr>
        <w:tabs>
          <w:tab w:val="num" w:pos="6120"/>
        </w:tabs>
        <w:ind w:left="6120" w:hanging="360"/>
      </w:pPr>
      <w:rPr>
        <w:rFonts w:ascii="Arial" w:hAnsi="Arial" w:cs="Times New Roman" w:hint="default"/>
      </w:rPr>
    </w:lvl>
  </w:abstractNum>
  <w:abstractNum w:abstractNumId="6" w15:restartNumberingAfterBreak="0">
    <w:nsid w:val="0F392EF5"/>
    <w:multiLevelType w:val="hybridMultilevel"/>
    <w:tmpl w:val="2CEA73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0105AD3"/>
    <w:multiLevelType w:val="hybridMultilevel"/>
    <w:tmpl w:val="FF90FBE2"/>
    <w:lvl w:ilvl="0" w:tplc="403C9DCC">
      <w:start w:val="1"/>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10937AE8"/>
    <w:multiLevelType w:val="hybridMultilevel"/>
    <w:tmpl w:val="33F48AB6"/>
    <w:lvl w:ilvl="0" w:tplc="0C090005">
      <w:start w:val="1"/>
      <w:numFmt w:val="bullet"/>
      <w:lvlText w:val=""/>
      <w:lvlJc w:val="left"/>
      <w:pPr>
        <w:ind w:left="890" w:hanging="360"/>
      </w:pPr>
      <w:rPr>
        <w:rFonts w:ascii="Wingdings" w:hAnsi="Wingdings"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9" w15:restartNumberingAfterBreak="0">
    <w:nsid w:val="10E5451F"/>
    <w:multiLevelType w:val="hybridMultilevel"/>
    <w:tmpl w:val="5BE4996A"/>
    <w:lvl w:ilvl="0" w:tplc="0C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24A50CA"/>
    <w:multiLevelType w:val="hybridMultilevel"/>
    <w:tmpl w:val="7B9EE37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66973BD"/>
    <w:multiLevelType w:val="hybridMultilevel"/>
    <w:tmpl w:val="472A85F0"/>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7CF2466"/>
    <w:multiLevelType w:val="hybridMultilevel"/>
    <w:tmpl w:val="0FA82470"/>
    <w:lvl w:ilvl="0" w:tplc="403C9DCC">
      <w:start w:val="1"/>
      <w:numFmt w:val="bullet"/>
      <w:lvlText w:val="-"/>
      <w:lvlJc w:val="left"/>
      <w:pPr>
        <w:ind w:left="947" w:hanging="360"/>
      </w:pPr>
      <w:rPr>
        <w:rFonts w:ascii="Calibri" w:eastAsiaTheme="minorHAnsi" w:hAnsi="Calibri" w:cs="Calibri"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3" w15:restartNumberingAfterBreak="0">
    <w:nsid w:val="18344603"/>
    <w:multiLevelType w:val="hybridMultilevel"/>
    <w:tmpl w:val="32E62706"/>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A60178A"/>
    <w:multiLevelType w:val="hybridMultilevel"/>
    <w:tmpl w:val="9C9CAF9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AB7246E"/>
    <w:multiLevelType w:val="hybridMultilevel"/>
    <w:tmpl w:val="F126CB0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BC35069"/>
    <w:multiLevelType w:val="hybridMultilevel"/>
    <w:tmpl w:val="12DAA89E"/>
    <w:lvl w:ilvl="0" w:tplc="403C9DCC">
      <w:start w:val="1"/>
      <w:numFmt w:val="bullet"/>
      <w:lvlText w:val="-"/>
      <w:lvlJc w:val="left"/>
      <w:pPr>
        <w:ind w:left="41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BD202E2"/>
    <w:multiLevelType w:val="hybridMultilevel"/>
    <w:tmpl w:val="A3BE39A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D493458"/>
    <w:multiLevelType w:val="hybridMultilevel"/>
    <w:tmpl w:val="7A90758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D585F53"/>
    <w:multiLevelType w:val="multilevel"/>
    <w:tmpl w:val="3DD44284"/>
    <w:name w:val="ListBullets"/>
    <w:lvl w:ilvl="0">
      <w:start w:val="1"/>
      <w:numFmt w:val="bullet"/>
      <w:pStyle w:val="ListBullet"/>
      <w:lvlText w:val="•"/>
      <w:lvlJc w:val="left"/>
      <w:pPr>
        <w:ind w:left="340" w:hanging="340"/>
      </w:pPr>
      <w:rPr>
        <w:rFonts w:ascii="Calibri" w:hAnsi="Calibri" w:hint="default"/>
        <w:color w:val="auto"/>
      </w:rPr>
    </w:lvl>
    <w:lvl w:ilvl="1">
      <w:start w:val="1"/>
      <w:numFmt w:val="bullet"/>
      <w:pStyle w:val="ListBullet2"/>
      <w:lvlText w:val="–"/>
      <w:lvlJc w:val="left"/>
      <w:pPr>
        <w:ind w:left="680" w:hanging="340"/>
      </w:pPr>
      <w:rPr>
        <w:rFonts w:ascii="Arial" w:hAnsi="Arial" w:hint="default"/>
        <w:color w:val="auto"/>
      </w:rPr>
    </w:lvl>
    <w:lvl w:ilvl="2">
      <w:start w:val="1"/>
      <w:numFmt w:val="bullet"/>
      <w:pStyle w:val="ListBullet3"/>
      <w:lvlText w:val="○"/>
      <w:lvlJc w:val="left"/>
      <w:pPr>
        <w:ind w:left="1020" w:hanging="340"/>
      </w:pPr>
      <w:rPr>
        <w:rFonts w:ascii="Times New Roman" w:hAnsi="Times New Roman" w:cs="Times New Roman" w:hint="default"/>
        <w:color w:val="auto"/>
      </w:rPr>
    </w:lvl>
    <w:lvl w:ilvl="3">
      <w:start w:val="1"/>
      <w:numFmt w:val="bullet"/>
      <w:pStyle w:val="ListBullet4"/>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20" w15:restartNumberingAfterBreak="0">
    <w:nsid w:val="1E0D7EDE"/>
    <w:multiLevelType w:val="hybridMultilevel"/>
    <w:tmpl w:val="D436B80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06D1CFF"/>
    <w:multiLevelType w:val="hybridMultilevel"/>
    <w:tmpl w:val="581ED5AE"/>
    <w:lvl w:ilvl="0" w:tplc="0C090005">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2" w15:restartNumberingAfterBreak="0">
    <w:nsid w:val="23411D14"/>
    <w:multiLevelType w:val="hybridMultilevel"/>
    <w:tmpl w:val="A4F4BAF4"/>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4964112"/>
    <w:multiLevelType w:val="hybridMultilevel"/>
    <w:tmpl w:val="21924254"/>
    <w:lvl w:ilvl="0" w:tplc="946A11FA">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4D717D2"/>
    <w:multiLevelType w:val="hybridMultilevel"/>
    <w:tmpl w:val="A3F2FB5C"/>
    <w:lvl w:ilvl="0" w:tplc="D6FE7268">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79255E6"/>
    <w:multiLevelType w:val="hybridMultilevel"/>
    <w:tmpl w:val="95AC8DB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8A6253C"/>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2AAD71F3"/>
    <w:multiLevelType w:val="hybridMultilevel"/>
    <w:tmpl w:val="827A2B4A"/>
    <w:lvl w:ilvl="0" w:tplc="0C090005">
      <w:start w:val="1"/>
      <w:numFmt w:val="bullet"/>
      <w:lvlText w:val=""/>
      <w:lvlJc w:val="left"/>
      <w:pPr>
        <w:ind w:left="1004" w:hanging="360"/>
      </w:pPr>
      <w:rPr>
        <w:rFonts w:ascii="Wingdings" w:hAnsi="Wingdings"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8" w15:restartNumberingAfterBreak="0">
    <w:nsid w:val="2BAB7A7B"/>
    <w:multiLevelType w:val="hybridMultilevel"/>
    <w:tmpl w:val="1294092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D6F41A1"/>
    <w:multiLevelType w:val="hybridMultilevel"/>
    <w:tmpl w:val="208843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30765C8A"/>
    <w:multiLevelType w:val="hybridMultilevel"/>
    <w:tmpl w:val="1840B90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33C305F"/>
    <w:multiLevelType w:val="hybridMultilevel"/>
    <w:tmpl w:val="CE96E78E"/>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33EF1707"/>
    <w:multiLevelType w:val="hybridMultilevel"/>
    <w:tmpl w:val="98E4064A"/>
    <w:lvl w:ilvl="0" w:tplc="0C090005">
      <w:start w:val="1"/>
      <w:numFmt w:val="bullet"/>
      <w:lvlText w:val=""/>
      <w:lvlJc w:val="left"/>
      <w:pPr>
        <w:ind w:left="720" w:hanging="360"/>
      </w:pPr>
      <w:rPr>
        <w:rFonts w:ascii="Wingdings" w:hAnsi="Wingdings" w:hint="default"/>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3FD2224"/>
    <w:multiLevelType w:val="hybridMultilevel"/>
    <w:tmpl w:val="C1AA3EE4"/>
    <w:lvl w:ilvl="0" w:tplc="FFFFFFFF">
      <w:start w:val="1"/>
      <w:numFmt w:val="bullet"/>
      <w:lvlText w:val=""/>
      <w:lvlJc w:val="left"/>
      <w:pPr>
        <w:ind w:left="720" w:hanging="360"/>
      </w:pPr>
      <w:rPr>
        <w:rFonts w:ascii="Symbol" w:hAnsi="Symbol" w:hint="default"/>
      </w:rPr>
    </w:lvl>
    <w:lvl w:ilvl="1" w:tplc="0BC2539A">
      <w:start w:val="1"/>
      <w:numFmt w:val="decimal"/>
      <w:lvlText w:val="%2."/>
      <w:lvlJc w:val="left"/>
      <w:pPr>
        <w:ind w:left="720" w:hanging="360"/>
      </w:pPr>
      <w:rPr>
        <w:rFonts w:ascii="Arial" w:eastAsiaTheme="minorHAnsi" w:hAnsi="Arial" w:cs="Arial"/>
      </w:rPr>
    </w:lvl>
    <w:lvl w:ilvl="2" w:tplc="0C090005">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4D7F9FE"/>
    <w:multiLevelType w:val="hybridMultilevel"/>
    <w:tmpl w:val="FFFFFFFF"/>
    <w:lvl w:ilvl="0" w:tplc="405C9766">
      <w:start w:val="1"/>
      <w:numFmt w:val="bullet"/>
      <w:lvlText w:val=""/>
      <w:lvlJc w:val="left"/>
      <w:pPr>
        <w:ind w:left="720" w:hanging="360"/>
      </w:pPr>
      <w:rPr>
        <w:rFonts w:ascii="Wingdings" w:hAnsi="Wingdings" w:hint="default"/>
      </w:rPr>
    </w:lvl>
    <w:lvl w:ilvl="1" w:tplc="B9D0F3EA">
      <w:start w:val="1"/>
      <w:numFmt w:val="bullet"/>
      <w:lvlText w:val="o"/>
      <w:lvlJc w:val="left"/>
      <w:pPr>
        <w:ind w:left="1440" w:hanging="360"/>
      </w:pPr>
      <w:rPr>
        <w:rFonts w:ascii="Courier New" w:hAnsi="Courier New" w:hint="default"/>
      </w:rPr>
    </w:lvl>
    <w:lvl w:ilvl="2" w:tplc="1876C4E4">
      <w:start w:val="1"/>
      <w:numFmt w:val="bullet"/>
      <w:lvlText w:val=""/>
      <w:lvlJc w:val="left"/>
      <w:pPr>
        <w:ind w:left="2160" w:hanging="360"/>
      </w:pPr>
      <w:rPr>
        <w:rFonts w:ascii="Wingdings" w:hAnsi="Wingdings" w:hint="default"/>
      </w:rPr>
    </w:lvl>
    <w:lvl w:ilvl="3" w:tplc="F028E8EC">
      <w:start w:val="1"/>
      <w:numFmt w:val="bullet"/>
      <w:lvlText w:val=""/>
      <w:lvlJc w:val="left"/>
      <w:pPr>
        <w:ind w:left="2880" w:hanging="360"/>
      </w:pPr>
      <w:rPr>
        <w:rFonts w:ascii="Symbol" w:hAnsi="Symbol" w:hint="default"/>
      </w:rPr>
    </w:lvl>
    <w:lvl w:ilvl="4" w:tplc="670A69D8">
      <w:start w:val="1"/>
      <w:numFmt w:val="bullet"/>
      <w:lvlText w:val="o"/>
      <w:lvlJc w:val="left"/>
      <w:pPr>
        <w:ind w:left="3600" w:hanging="360"/>
      </w:pPr>
      <w:rPr>
        <w:rFonts w:ascii="Courier New" w:hAnsi="Courier New" w:hint="default"/>
      </w:rPr>
    </w:lvl>
    <w:lvl w:ilvl="5" w:tplc="DADA998A">
      <w:start w:val="1"/>
      <w:numFmt w:val="bullet"/>
      <w:lvlText w:val=""/>
      <w:lvlJc w:val="left"/>
      <w:pPr>
        <w:ind w:left="4320" w:hanging="360"/>
      </w:pPr>
      <w:rPr>
        <w:rFonts w:ascii="Wingdings" w:hAnsi="Wingdings" w:hint="default"/>
      </w:rPr>
    </w:lvl>
    <w:lvl w:ilvl="6" w:tplc="D76E2A66">
      <w:start w:val="1"/>
      <w:numFmt w:val="bullet"/>
      <w:lvlText w:val=""/>
      <w:lvlJc w:val="left"/>
      <w:pPr>
        <w:ind w:left="5040" w:hanging="360"/>
      </w:pPr>
      <w:rPr>
        <w:rFonts w:ascii="Symbol" w:hAnsi="Symbol" w:hint="default"/>
      </w:rPr>
    </w:lvl>
    <w:lvl w:ilvl="7" w:tplc="CF8CD316">
      <w:start w:val="1"/>
      <w:numFmt w:val="bullet"/>
      <w:lvlText w:val="o"/>
      <w:lvlJc w:val="left"/>
      <w:pPr>
        <w:ind w:left="5760" w:hanging="360"/>
      </w:pPr>
      <w:rPr>
        <w:rFonts w:ascii="Courier New" w:hAnsi="Courier New" w:hint="default"/>
      </w:rPr>
    </w:lvl>
    <w:lvl w:ilvl="8" w:tplc="8F1805C8">
      <w:start w:val="1"/>
      <w:numFmt w:val="bullet"/>
      <w:lvlText w:val=""/>
      <w:lvlJc w:val="left"/>
      <w:pPr>
        <w:ind w:left="6480" w:hanging="360"/>
      </w:pPr>
      <w:rPr>
        <w:rFonts w:ascii="Wingdings" w:hAnsi="Wingdings" w:hint="default"/>
      </w:rPr>
    </w:lvl>
  </w:abstractNum>
  <w:abstractNum w:abstractNumId="35" w15:restartNumberingAfterBreak="0">
    <w:nsid w:val="35251A5F"/>
    <w:multiLevelType w:val="hybridMultilevel"/>
    <w:tmpl w:val="ECF87C4C"/>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6CF5533"/>
    <w:multiLevelType w:val="hybridMultilevel"/>
    <w:tmpl w:val="5F9EAF3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38CD528B"/>
    <w:multiLevelType w:val="hybridMultilevel"/>
    <w:tmpl w:val="D3202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9006E15"/>
    <w:multiLevelType w:val="hybridMultilevel"/>
    <w:tmpl w:val="F962CDFC"/>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9" w15:restartNumberingAfterBreak="0">
    <w:nsid w:val="39581E25"/>
    <w:multiLevelType w:val="hybridMultilevel"/>
    <w:tmpl w:val="F49229E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9B6393D"/>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3AEB1902"/>
    <w:multiLevelType w:val="hybridMultilevel"/>
    <w:tmpl w:val="1CE4CDA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D1931B0"/>
    <w:multiLevelType w:val="hybridMultilevel"/>
    <w:tmpl w:val="DB02990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D2E5C90"/>
    <w:multiLevelType w:val="hybridMultilevel"/>
    <w:tmpl w:val="043CF06E"/>
    <w:lvl w:ilvl="0" w:tplc="0C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4" w15:restartNumberingAfterBreak="0">
    <w:nsid w:val="3DE94228"/>
    <w:multiLevelType w:val="hybridMultilevel"/>
    <w:tmpl w:val="4F143966"/>
    <w:lvl w:ilvl="0" w:tplc="0C090005">
      <w:start w:val="1"/>
      <w:numFmt w:val="bullet"/>
      <w:lvlText w:val=""/>
      <w:lvlJc w:val="left"/>
      <w:pPr>
        <w:ind w:left="833" w:hanging="360"/>
      </w:pPr>
      <w:rPr>
        <w:rFonts w:ascii="Wingdings" w:hAnsi="Wingdings"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45" w15:restartNumberingAfterBreak="0">
    <w:nsid w:val="3E9D3BB4"/>
    <w:multiLevelType w:val="hybridMultilevel"/>
    <w:tmpl w:val="D0A4CD7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3F47D952"/>
    <w:multiLevelType w:val="hybridMultilevel"/>
    <w:tmpl w:val="FFFFFFFF"/>
    <w:lvl w:ilvl="0" w:tplc="CDEC5FE2">
      <w:start w:val="1"/>
      <w:numFmt w:val="bullet"/>
      <w:lvlText w:val=""/>
      <w:lvlJc w:val="left"/>
      <w:pPr>
        <w:ind w:left="720" w:hanging="360"/>
      </w:pPr>
      <w:rPr>
        <w:rFonts w:ascii="Wingdings" w:hAnsi="Wingdings" w:hint="default"/>
      </w:rPr>
    </w:lvl>
    <w:lvl w:ilvl="1" w:tplc="DD5E17FE">
      <w:start w:val="1"/>
      <w:numFmt w:val="bullet"/>
      <w:lvlText w:val="o"/>
      <w:lvlJc w:val="left"/>
      <w:pPr>
        <w:ind w:left="1440" w:hanging="360"/>
      </w:pPr>
      <w:rPr>
        <w:rFonts w:ascii="Courier New" w:hAnsi="Courier New" w:hint="default"/>
      </w:rPr>
    </w:lvl>
    <w:lvl w:ilvl="2" w:tplc="AB8E17A0">
      <w:start w:val="1"/>
      <w:numFmt w:val="bullet"/>
      <w:lvlText w:val=""/>
      <w:lvlJc w:val="left"/>
      <w:pPr>
        <w:ind w:left="2160" w:hanging="360"/>
      </w:pPr>
      <w:rPr>
        <w:rFonts w:ascii="Wingdings" w:hAnsi="Wingdings" w:hint="default"/>
      </w:rPr>
    </w:lvl>
    <w:lvl w:ilvl="3" w:tplc="94D8A5FC">
      <w:start w:val="1"/>
      <w:numFmt w:val="bullet"/>
      <w:lvlText w:val=""/>
      <w:lvlJc w:val="left"/>
      <w:pPr>
        <w:ind w:left="2880" w:hanging="360"/>
      </w:pPr>
      <w:rPr>
        <w:rFonts w:ascii="Symbol" w:hAnsi="Symbol" w:hint="default"/>
      </w:rPr>
    </w:lvl>
    <w:lvl w:ilvl="4" w:tplc="447EE51E">
      <w:start w:val="1"/>
      <w:numFmt w:val="bullet"/>
      <w:lvlText w:val="o"/>
      <w:lvlJc w:val="left"/>
      <w:pPr>
        <w:ind w:left="3600" w:hanging="360"/>
      </w:pPr>
      <w:rPr>
        <w:rFonts w:ascii="Courier New" w:hAnsi="Courier New" w:hint="default"/>
      </w:rPr>
    </w:lvl>
    <w:lvl w:ilvl="5" w:tplc="73D41700">
      <w:start w:val="1"/>
      <w:numFmt w:val="bullet"/>
      <w:lvlText w:val=""/>
      <w:lvlJc w:val="left"/>
      <w:pPr>
        <w:ind w:left="4320" w:hanging="360"/>
      </w:pPr>
      <w:rPr>
        <w:rFonts w:ascii="Wingdings" w:hAnsi="Wingdings" w:hint="default"/>
      </w:rPr>
    </w:lvl>
    <w:lvl w:ilvl="6" w:tplc="B6485E7E">
      <w:start w:val="1"/>
      <w:numFmt w:val="bullet"/>
      <w:lvlText w:val=""/>
      <w:lvlJc w:val="left"/>
      <w:pPr>
        <w:ind w:left="5040" w:hanging="360"/>
      </w:pPr>
      <w:rPr>
        <w:rFonts w:ascii="Symbol" w:hAnsi="Symbol" w:hint="default"/>
      </w:rPr>
    </w:lvl>
    <w:lvl w:ilvl="7" w:tplc="79CC00D4">
      <w:start w:val="1"/>
      <w:numFmt w:val="bullet"/>
      <w:lvlText w:val="o"/>
      <w:lvlJc w:val="left"/>
      <w:pPr>
        <w:ind w:left="5760" w:hanging="360"/>
      </w:pPr>
      <w:rPr>
        <w:rFonts w:ascii="Courier New" w:hAnsi="Courier New" w:hint="default"/>
      </w:rPr>
    </w:lvl>
    <w:lvl w:ilvl="8" w:tplc="017666D6">
      <w:start w:val="1"/>
      <w:numFmt w:val="bullet"/>
      <w:lvlText w:val=""/>
      <w:lvlJc w:val="left"/>
      <w:pPr>
        <w:ind w:left="6480" w:hanging="360"/>
      </w:pPr>
      <w:rPr>
        <w:rFonts w:ascii="Wingdings" w:hAnsi="Wingdings" w:hint="default"/>
      </w:rPr>
    </w:lvl>
  </w:abstractNum>
  <w:abstractNum w:abstractNumId="47" w15:restartNumberingAfterBreak="0">
    <w:nsid w:val="426566E9"/>
    <w:multiLevelType w:val="hybridMultilevel"/>
    <w:tmpl w:val="72163238"/>
    <w:lvl w:ilvl="0" w:tplc="DB00473E">
      <w:start w:val="1"/>
      <w:numFmt w:val="bullet"/>
      <w:lvlText w:val="•"/>
      <w:lvlJc w:val="left"/>
      <w:pPr>
        <w:tabs>
          <w:tab w:val="num" w:pos="360"/>
        </w:tabs>
        <w:ind w:left="360" w:hanging="360"/>
      </w:pPr>
      <w:rPr>
        <w:rFonts w:ascii="Arial" w:hAnsi="Arial" w:cs="Times New Roman" w:hint="default"/>
      </w:rPr>
    </w:lvl>
    <w:lvl w:ilvl="1" w:tplc="9752B37E">
      <w:start w:val="1"/>
      <w:numFmt w:val="bullet"/>
      <w:lvlText w:val="•"/>
      <w:lvlJc w:val="left"/>
      <w:pPr>
        <w:tabs>
          <w:tab w:val="num" w:pos="1080"/>
        </w:tabs>
        <w:ind w:left="1080" w:hanging="360"/>
      </w:pPr>
      <w:rPr>
        <w:rFonts w:ascii="Arial" w:hAnsi="Arial" w:cs="Times New Roman" w:hint="default"/>
      </w:rPr>
    </w:lvl>
    <w:lvl w:ilvl="2" w:tplc="8E305B32">
      <w:start w:val="1"/>
      <w:numFmt w:val="bullet"/>
      <w:lvlText w:val="•"/>
      <w:lvlJc w:val="left"/>
      <w:pPr>
        <w:tabs>
          <w:tab w:val="num" w:pos="1800"/>
        </w:tabs>
        <w:ind w:left="1800" w:hanging="360"/>
      </w:pPr>
      <w:rPr>
        <w:rFonts w:ascii="Arial" w:hAnsi="Arial" w:cs="Times New Roman" w:hint="default"/>
      </w:rPr>
    </w:lvl>
    <w:lvl w:ilvl="3" w:tplc="250EEAD8">
      <w:start w:val="1"/>
      <w:numFmt w:val="bullet"/>
      <w:lvlText w:val="•"/>
      <w:lvlJc w:val="left"/>
      <w:pPr>
        <w:tabs>
          <w:tab w:val="num" w:pos="2520"/>
        </w:tabs>
        <w:ind w:left="2520" w:hanging="360"/>
      </w:pPr>
      <w:rPr>
        <w:rFonts w:ascii="Arial" w:hAnsi="Arial" w:cs="Times New Roman" w:hint="default"/>
      </w:rPr>
    </w:lvl>
    <w:lvl w:ilvl="4" w:tplc="2604C9C8">
      <w:start w:val="1"/>
      <w:numFmt w:val="bullet"/>
      <w:lvlText w:val="•"/>
      <w:lvlJc w:val="left"/>
      <w:pPr>
        <w:tabs>
          <w:tab w:val="num" w:pos="3240"/>
        </w:tabs>
        <w:ind w:left="3240" w:hanging="360"/>
      </w:pPr>
      <w:rPr>
        <w:rFonts w:ascii="Arial" w:hAnsi="Arial" w:cs="Times New Roman" w:hint="default"/>
      </w:rPr>
    </w:lvl>
    <w:lvl w:ilvl="5" w:tplc="765C2AA0">
      <w:start w:val="1"/>
      <w:numFmt w:val="bullet"/>
      <w:lvlText w:val="•"/>
      <w:lvlJc w:val="left"/>
      <w:pPr>
        <w:tabs>
          <w:tab w:val="num" w:pos="3960"/>
        </w:tabs>
        <w:ind w:left="3960" w:hanging="360"/>
      </w:pPr>
      <w:rPr>
        <w:rFonts w:ascii="Arial" w:hAnsi="Arial" w:cs="Times New Roman" w:hint="default"/>
      </w:rPr>
    </w:lvl>
    <w:lvl w:ilvl="6" w:tplc="C9EE48B0">
      <w:start w:val="1"/>
      <w:numFmt w:val="bullet"/>
      <w:lvlText w:val="•"/>
      <w:lvlJc w:val="left"/>
      <w:pPr>
        <w:tabs>
          <w:tab w:val="num" w:pos="4680"/>
        </w:tabs>
        <w:ind w:left="4680" w:hanging="360"/>
      </w:pPr>
      <w:rPr>
        <w:rFonts w:ascii="Arial" w:hAnsi="Arial" w:cs="Times New Roman" w:hint="default"/>
      </w:rPr>
    </w:lvl>
    <w:lvl w:ilvl="7" w:tplc="E334F298">
      <w:start w:val="1"/>
      <w:numFmt w:val="bullet"/>
      <w:lvlText w:val="•"/>
      <w:lvlJc w:val="left"/>
      <w:pPr>
        <w:tabs>
          <w:tab w:val="num" w:pos="5400"/>
        </w:tabs>
        <w:ind w:left="5400" w:hanging="360"/>
      </w:pPr>
      <w:rPr>
        <w:rFonts w:ascii="Arial" w:hAnsi="Arial" w:cs="Times New Roman" w:hint="default"/>
      </w:rPr>
    </w:lvl>
    <w:lvl w:ilvl="8" w:tplc="4116493C">
      <w:start w:val="1"/>
      <w:numFmt w:val="bullet"/>
      <w:lvlText w:val="•"/>
      <w:lvlJc w:val="left"/>
      <w:pPr>
        <w:tabs>
          <w:tab w:val="num" w:pos="6120"/>
        </w:tabs>
        <w:ind w:left="6120" w:hanging="360"/>
      </w:pPr>
      <w:rPr>
        <w:rFonts w:ascii="Arial" w:hAnsi="Arial" w:cs="Times New Roman" w:hint="default"/>
      </w:rPr>
    </w:lvl>
  </w:abstractNum>
  <w:abstractNum w:abstractNumId="48" w15:restartNumberingAfterBreak="0">
    <w:nsid w:val="428E7257"/>
    <w:multiLevelType w:val="hybridMultilevel"/>
    <w:tmpl w:val="7702E2D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0C090005">
      <w:start w:val="1"/>
      <w:numFmt w:val="bullet"/>
      <w:lvlText w:val=""/>
      <w:lvlJc w:val="left"/>
      <w:pPr>
        <w:ind w:left="720" w:hanging="360"/>
      </w:pPr>
      <w:rPr>
        <w:rFonts w:ascii="Wingdings" w:hAnsi="Wingding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42FF058A"/>
    <w:multiLevelType w:val="hybridMultilevel"/>
    <w:tmpl w:val="F13ACB9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43E6005C"/>
    <w:multiLevelType w:val="hybridMultilevel"/>
    <w:tmpl w:val="2CCE6348"/>
    <w:lvl w:ilvl="0" w:tplc="60EA4D1C">
      <w:start w:val="1"/>
      <w:numFmt w:val="bullet"/>
      <w:lvlText w:val=""/>
      <w:lvlJc w:val="left"/>
      <w:pPr>
        <w:ind w:left="1080" w:hanging="360"/>
      </w:pPr>
      <w:rPr>
        <w:rFonts w:ascii="Wingdings" w:hAnsi="Wingdings" w:hint="default"/>
        <w:sz w:val="22"/>
        <w:szCs w:val="22"/>
        <w:vertAlign w:val="baseline"/>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15:restartNumberingAfterBreak="0">
    <w:nsid w:val="444F3DA0"/>
    <w:multiLevelType w:val="multilevel"/>
    <w:tmpl w:val="6780F364"/>
    <w:lvl w:ilvl="0">
      <w:start w:val="1"/>
      <w:numFmt w:val="bullet"/>
      <w:lvlText w:val=""/>
      <w:lvlJc w:val="left"/>
      <w:pPr>
        <w:ind w:left="340" w:hanging="340"/>
      </w:pPr>
      <w:rPr>
        <w:rFonts w:ascii="Wingdings" w:hAnsi="Wingdings" w:hint="default"/>
        <w:color w:val="auto"/>
      </w:rPr>
    </w:lvl>
    <w:lvl w:ilvl="1">
      <w:start w:val="1"/>
      <w:numFmt w:val="bullet"/>
      <w:lvlText w:val="–"/>
      <w:lvlJc w:val="left"/>
      <w:pPr>
        <w:ind w:left="680" w:hanging="340"/>
      </w:pPr>
      <w:rPr>
        <w:rFonts w:ascii="Arial" w:hAnsi="Arial" w:hint="default"/>
        <w:color w:val="auto"/>
      </w:rPr>
    </w:lvl>
    <w:lvl w:ilvl="2">
      <w:start w:val="1"/>
      <w:numFmt w:val="bullet"/>
      <w:lvlText w:val="○"/>
      <w:lvlJc w:val="left"/>
      <w:pPr>
        <w:ind w:left="1020" w:hanging="340"/>
      </w:pPr>
      <w:rPr>
        <w:rFonts w:ascii="Times New Roman" w:hAnsi="Times New Roman" w:cs="Times New Roman" w:hint="default"/>
        <w:color w:val="auto"/>
      </w:rPr>
    </w:lvl>
    <w:lvl w:ilvl="3">
      <w:start w:val="1"/>
      <w:numFmt w:val="bullet"/>
      <w:lvlText w:val="•"/>
      <w:lvlJc w:val="left"/>
      <w:pPr>
        <w:ind w:left="1360" w:hanging="340"/>
      </w:pPr>
      <w:rPr>
        <w:rFonts w:ascii="Arial" w:hAnsi="Arial" w:hint="default"/>
        <w:color w:val="auto"/>
      </w:rPr>
    </w:lvl>
    <w:lvl w:ilvl="4">
      <w:start w:val="1"/>
      <w:numFmt w:val="none"/>
      <w:lvlText w:val=""/>
      <w:lvlJc w:val="left"/>
      <w:pPr>
        <w:tabs>
          <w:tab w:val="num" w:pos="1712"/>
        </w:tabs>
        <w:ind w:left="1700" w:hanging="340"/>
      </w:pPr>
      <w:rPr>
        <w:rFonts w:hint="default"/>
      </w:rPr>
    </w:lvl>
    <w:lvl w:ilvl="5">
      <w:start w:val="1"/>
      <w:numFmt w:val="none"/>
      <w:lvlText w:val=""/>
      <w:lvlJc w:val="left"/>
      <w:pPr>
        <w:tabs>
          <w:tab w:val="num" w:pos="2069"/>
        </w:tabs>
        <w:ind w:left="2040" w:hanging="340"/>
      </w:pPr>
      <w:rPr>
        <w:rFonts w:hint="default"/>
      </w:rPr>
    </w:lvl>
    <w:lvl w:ilvl="6">
      <w:start w:val="1"/>
      <w:numFmt w:val="none"/>
      <w:lvlText w:val=""/>
      <w:lvlJc w:val="left"/>
      <w:pPr>
        <w:tabs>
          <w:tab w:val="num" w:pos="2426"/>
        </w:tabs>
        <w:ind w:left="2380" w:hanging="340"/>
      </w:pPr>
      <w:rPr>
        <w:rFonts w:hint="default"/>
      </w:rPr>
    </w:lvl>
    <w:lvl w:ilvl="7">
      <w:start w:val="1"/>
      <w:numFmt w:val="none"/>
      <w:lvlText w:val=""/>
      <w:lvlJc w:val="left"/>
      <w:pPr>
        <w:tabs>
          <w:tab w:val="num" w:pos="2783"/>
        </w:tabs>
        <w:ind w:left="2720" w:hanging="340"/>
      </w:pPr>
      <w:rPr>
        <w:rFonts w:hint="default"/>
      </w:rPr>
    </w:lvl>
    <w:lvl w:ilvl="8">
      <w:start w:val="1"/>
      <w:numFmt w:val="none"/>
      <w:lvlText w:val=""/>
      <w:lvlJc w:val="left"/>
      <w:pPr>
        <w:tabs>
          <w:tab w:val="num" w:pos="3140"/>
        </w:tabs>
        <w:ind w:left="3060" w:hanging="340"/>
      </w:pPr>
      <w:rPr>
        <w:rFonts w:hint="default"/>
      </w:rPr>
    </w:lvl>
  </w:abstractNum>
  <w:abstractNum w:abstractNumId="52" w15:restartNumberingAfterBreak="0">
    <w:nsid w:val="45ED4CC8"/>
    <w:multiLevelType w:val="hybridMultilevel"/>
    <w:tmpl w:val="B80C2336"/>
    <w:lvl w:ilvl="0" w:tplc="403C9DCC">
      <w:start w:val="1"/>
      <w:numFmt w:val="bullet"/>
      <w:lvlText w:val="-"/>
      <w:lvlJc w:val="left"/>
      <w:pPr>
        <w:ind w:left="947" w:hanging="360"/>
      </w:pPr>
      <w:rPr>
        <w:rFonts w:ascii="Calibri" w:eastAsiaTheme="minorHAnsi" w:hAnsi="Calibri" w:cs="Calibri"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3" w15:restartNumberingAfterBreak="0">
    <w:nsid w:val="466E3CB5"/>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46AF66DD"/>
    <w:multiLevelType w:val="hybridMultilevel"/>
    <w:tmpl w:val="1C50B06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B122ACE"/>
    <w:multiLevelType w:val="hybridMultilevel"/>
    <w:tmpl w:val="484025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6" w15:restartNumberingAfterBreak="0">
    <w:nsid w:val="4C1C1801"/>
    <w:multiLevelType w:val="hybridMultilevel"/>
    <w:tmpl w:val="1B6C721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CCF672E"/>
    <w:multiLevelType w:val="hybridMultilevel"/>
    <w:tmpl w:val="BF4C3F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0DF31CA"/>
    <w:multiLevelType w:val="hybridMultilevel"/>
    <w:tmpl w:val="C770C6A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514B643D"/>
    <w:multiLevelType w:val="hybridMultilevel"/>
    <w:tmpl w:val="AC1C1D8C"/>
    <w:lvl w:ilvl="0" w:tplc="DDD49376">
      <w:start w:val="1"/>
      <w:numFmt w:val="bullet"/>
      <w:lvlText w:val="•"/>
      <w:lvlJc w:val="left"/>
      <w:pPr>
        <w:tabs>
          <w:tab w:val="num" w:pos="360"/>
        </w:tabs>
        <w:ind w:left="360" w:hanging="360"/>
      </w:pPr>
      <w:rPr>
        <w:rFonts w:ascii="Arial" w:hAnsi="Arial" w:cs="Times New Roman" w:hint="default"/>
      </w:rPr>
    </w:lvl>
    <w:lvl w:ilvl="1" w:tplc="91A86386">
      <w:start w:val="1"/>
      <w:numFmt w:val="bullet"/>
      <w:lvlText w:val="•"/>
      <w:lvlJc w:val="left"/>
      <w:pPr>
        <w:tabs>
          <w:tab w:val="num" w:pos="1080"/>
        </w:tabs>
        <w:ind w:left="1080" w:hanging="360"/>
      </w:pPr>
      <w:rPr>
        <w:rFonts w:ascii="Arial" w:hAnsi="Arial" w:cs="Times New Roman" w:hint="default"/>
      </w:rPr>
    </w:lvl>
    <w:lvl w:ilvl="2" w:tplc="707A6150">
      <w:start w:val="1"/>
      <w:numFmt w:val="bullet"/>
      <w:lvlText w:val="•"/>
      <w:lvlJc w:val="left"/>
      <w:pPr>
        <w:tabs>
          <w:tab w:val="num" w:pos="1800"/>
        </w:tabs>
        <w:ind w:left="1800" w:hanging="360"/>
      </w:pPr>
      <w:rPr>
        <w:rFonts w:ascii="Arial" w:hAnsi="Arial" w:cs="Times New Roman" w:hint="default"/>
      </w:rPr>
    </w:lvl>
    <w:lvl w:ilvl="3" w:tplc="A566DC12">
      <w:start w:val="1"/>
      <w:numFmt w:val="bullet"/>
      <w:lvlText w:val="•"/>
      <w:lvlJc w:val="left"/>
      <w:pPr>
        <w:tabs>
          <w:tab w:val="num" w:pos="2520"/>
        </w:tabs>
        <w:ind w:left="2520" w:hanging="360"/>
      </w:pPr>
      <w:rPr>
        <w:rFonts w:ascii="Arial" w:hAnsi="Arial" w:cs="Times New Roman" w:hint="default"/>
      </w:rPr>
    </w:lvl>
    <w:lvl w:ilvl="4" w:tplc="47F4C902">
      <w:start w:val="1"/>
      <w:numFmt w:val="bullet"/>
      <w:lvlText w:val="•"/>
      <w:lvlJc w:val="left"/>
      <w:pPr>
        <w:tabs>
          <w:tab w:val="num" w:pos="3240"/>
        </w:tabs>
        <w:ind w:left="3240" w:hanging="360"/>
      </w:pPr>
      <w:rPr>
        <w:rFonts w:ascii="Arial" w:hAnsi="Arial" w:cs="Times New Roman" w:hint="default"/>
      </w:rPr>
    </w:lvl>
    <w:lvl w:ilvl="5" w:tplc="08A28D2E">
      <w:start w:val="1"/>
      <w:numFmt w:val="bullet"/>
      <w:lvlText w:val="•"/>
      <w:lvlJc w:val="left"/>
      <w:pPr>
        <w:tabs>
          <w:tab w:val="num" w:pos="3960"/>
        </w:tabs>
        <w:ind w:left="3960" w:hanging="360"/>
      </w:pPr>
      <w:rPr>
        <w:rFonts w:ascii="Arial" w:hAnsi="Arial" w:cs="Times New Roman" w:hint="default"/>
      </w:rPr>
    </w:lvl>
    <w:lvl w:ilvl="6" w:tplc="BB3A408A">
      <w:start w:val="1"/>
      <w:numFmt w:val="bullet"/>
      <w:lvlText w:val="•"/>
      <w:lvlJc w:val="left"/>
      <w:pPr>
        <w:tabs>
          <w:tab w:val="num" w:pos="4680"/>
        </w:tabs>
        <w:ind w:left="4680" w:hanging="360"/>
      </w:pPr>
      <w:rPr>
        <w:rFonts w:ascii="Arial" w:hAnsi="Arial" w:cs="Times New Roman" w:hint="default"/>
      </w:rPr>
    </w:lvl>
    <w:lvl w:ilvl="7" w:tplc="783C2F64">
      <w:start w:val="1"/>
      <w:numFmt w:val="bullet"/>
      <w:lvlText w:val="•"/>
      <w:lvlJc w:val="left"/>
      <w:pPr>
        <w:tabs>
          <w:tab w:val="num" w:pos="5400"/>
        </w:tabs>
        <w:ind w:left="5400" w:hanging="360"/>
      </w:pPr>
      <w:rPr>
        <w:rFonts w:ascii="Arial" w:hAnsi="Arial" w:cs="Times New Roman" w:hint="default"/>
      </w:rPr>
    </w:lvl>
    <w:lvl w:ilvl="8" w:tplc="99AA8B40">
      <w:start w:val="1"/>
      <w:numFmt w:val="bullet"/>
      <w:lvlText w:val="•"/>
      <w:lvlJc w:val="left"/>
      <w:pPr>
        <w:tabs>
          <w:tab w:val="num" w:pos="6120"/>
        </w:tabs>
        <w:ind w:left="6120" w:hanging="360"/>
      </w:pPr>
      <w:rPr>
        <w:rFonts w:ascii="Arial" w:hAnsi="Arial" w:cs="Times New Roman" w:hint="default"/>
      </w:rPr>
    </w:lvl>
  </w:abstractNum>
  <w:abstractNum w:abstractNumId="60" w15:restartNumberingAfterBreak="0">
    <w:nsid w:val="521C5404"/>
    <w:multiLevelType w:val="multilevel"/>
    <w:tmpl w:val="0F1022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52B07220"/>
    <w:multiLevelType w:val="hybridMultilevel"/>
    <w:tmpl w:val="FFFFFFFF"/>
    <w:lvl w:ilvl="0" w:tplc="C91EFE14">
      <w:start w:val="1"/>
      <w:numFmt w:val="bullet"/>
      <w:lvlText w:val=""/>
      <w:lvlJc w:val="left"/>
      <w:pPr>
        <w:ind w:left="720" w:hanging="360"/>
      </w:pPr>
      <w:rPr>
        <w:rFonts w:ascii="Wingdings" w:hAnsi="Wingdings" w:hint="default"/>
      </w:rPr>
    </w:lvl>
    <w:lvl w:ilvl="1" w:tplc="D30891DA">
      <w:start w:val="1"/>
      <w:numFmt w:val="bullet"/>
      <w:lvlText w:val="o"/>
      <w:lvlJc w:val="left"/>
      <w:pPr>
        <w:ind w:left="1440" w:hanging="360"/>
      </w:pPr>
      <w:rPr>
        <w:rFonts w:ascii="Courier New" w:hAnsi="Courier New" w:hint="default"/>
      </w:rPr>
    </w:lvl>
    <w:lvl w:ilvl="2" w:tplc="CB92319C">
      <w:start w:val="1"/>
      <w:numFmt w:val="bullet"/>
      <w:lvlText w:val=""/>
      <w:lvlJc w:val="left"/>
      <w:pPr>
        <w:ind w:left="2160" w:hanging="360"/>
      </w:pPr>
      <w:rPr>
        <w:rFonts w:ascii="Wingdings" w:hAnsi="Wingdings" w:hint="default"/>
      </w:rPr>
    </w:lvl>
    <w:lvl w:ilvl="3" w:tplc="730881D0">
      <w:start w:val="1"/>
      <w:numFmt w:val="bullet"/>
      <w:lvlText w:val=""/>
      <w:lvlJc w:val="left"/>
      <w:pPr>
        <w:ind w:left="2880" w:hanging="360"/>
      </w:pPr>
      <w:rPr>
        <w:rFonts w:ascii="Symbol" w:hAnsi="Symbol" w:hint="default"/>
      </w:rPr>
    </w:lvl>
    <w:lvl w:ilvl="4" w:tplc="A0C2B5FE">
      <w:start w:val="1"/>
      <w:numFmt w:val="bullet"/>
      <w:lvlText w:val="o"/>
      <w:lvlJc w:val="left"/>
      <w:pPr>
        <w:ind w:left="3600" w:hanging="360"/>
      </w:pPr>
      <w:rPr>
        <w:rFonts w:ascii="Courier New" w:hAnsi="Courier New" w:hint="default"/>
      </w:rPr>
    </w:lvl>
    <w:lvl w:ilvl="5" w:tplc="72B6113C">
      <w:start w:val="1"/>
      <w:numFmt w:val="bullet"/>
      <w:lvlText w:val=""/>
      <w:lvlJc w:val="left"/>
      <w:pPr>
        <w:ind w:left="4320" w:hanging="360"/>
      </w:pPr>
      <w:rPr>
        <w:rFonts w:ascii="Wingdings" w:hAnsi="Wingdings" w:hint="default"/>
      </w:rPr>
    </w:lvl>
    <w:lvl w:ilvl="6" w:tplc="664E4D80">
      <w:start w:val="1"/>
      <w:numFmt w:val="bullet"/>
      <w:lvlText w:val=""/>
      <w:lvlJc w:val="left"/>
      <w:pPr>
        <w:ind w:left="5040" w:hanging="360"/>
      </w:pPr>
      <w:rPr>
        <w:rFonts w:ascii="Symbol" w:hAnsi="Symbol" w:hint="default"/>
      </w:rPr>
    </w:lvl>
    <w:lvl w:ilvl="7" w:tplc="9E76C26C">
      <w:start w:val="1"/>
      <w:numFmt w:val="bullet"/>
      <w:lvlText w:val="o"/>
      <w:lvlJc w:val="left"/>
      <w:pPr>
        <w:ind w:left="5760" w:hanging="360"/>
      </w:pPr>
      <w:rPr>
        <w:rFonts w:ascii="Courier New" w:hAnsi="Courier New" w:hint="default"/>
      </w:rPr>
    </w:lvl>
    <w:lvl w:ilvl="8" w:tplc="32C4FA30">
      <w:start w:val="1"/>
      <w:numFmt w:val="bullet"/>
      <w:lvlText w:val=""/>
      <w:lvlJc w:val="left"/>
      <w:pPr>
        <w:ind w:left="6480" w:hanging="360"/>
      </w:pPr>
      <w:rPr>
        <w:rFonts w:ascii="Wingdings" w:hAnsi="Wingdings" w:hint="default"/>
      </w:rPr>
    </w:lvl>
  </w:abstractNum>
  <w:abstractNum w:abstractNumId="62" w15:restartNumberingAfterBreak="0">
    <w:nsid w:val="53506A2D"/>
    <w:multiLevelType w:val="hybridMultilevel"/>
    <w:tmpl w:val="91F86EE2"/>
    <w:lvl w:ilvl="0" w:tplc="0C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63" w15:restartNumberingAfterBreak="0">
    <w:nsid w:val="537567C4"/>
    <w:multiLevelType w:val="hybridMultilevel"/>
    <w:tmpl w:val="0D7480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53942C1E"/>
    <w:multiLevelType w:val="hybridMultilevel"/>
    <w:tmpl w:val="5044CCA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558E70B9"/>
    <w:multiLevelType w:val="hybridMultilevel"/>
    <w:tmpl w:val="6486CCEC"/>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55B718D0"/>
    <w:multiLevelType w:val="hybridMultilevel"/>
    <w:tmpl w:val="600E5834"/>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997498B"/>
    <w:multiLevelType w:val="hybridMultilevel"/>
    <w:tmpl w:val="FBF44F38"/>
    <w:lvl w:ilvl="0" w:tplc="0C090005">
      <w:start w:val="1"/>
      <w:numFmt w:val="bullet"/>
      <w:lvlText w:val=""/>
      <w:lvlJc w:val="left"/>
      <w:pPr>
        <w:ind w:left="947" w:hanging="360"/>
      </w:pPr>
      <w:rPr>
        <w:rFonts w:ascii="Wingdings" w:hAnsi="Wingdings" w:hint="default"/>
      </w:rPr>
    </w:lvl>
    <w:lvl w:ilvl="1" w:tplc="FFFFFFFF" w:tentative="1">
      <w:start w:val="1"/>
      <w:numFmt w:val="bullet"/>
      <w:lvlText w:val="o"/>
      <w:lvlJc w:val="left"/>
      <w:pPr>
        <w:ind w:left="1667" w:hanging="360"/>
      </w:pPr>
      <w:rPr>
        <w:rFonts w:ascii="Courier New" w:hAnsi="Courier New" w:cs="Courier New" w:hint="default"/>
      </w:rPr>
    </w:lvl>
    <w:lvl w:ilvl="2" w:tplc="FFFFFFFF" w:tentative="1">
      <w:start w:val="1"/>
      <w:numFmt w:val="bullet"/>
      <w:lvlText w:val=""/>
      <w:lvlJc w:val="left"/>
      <w:pPr>
        <w:ind w:left="2387" w:hanging="360"/>
      </w:pPr>
      <w:rPr>
        <w:rFonts w:ascii="Wingdings" w:hAnsi="Wingdings" w:hint="default"/>
      </w:rPr>
    </w:lvl>
    <w:lvl w:ilvl="3" w:tplc="FFFFFFFF" w:tentative="1">
      <w:start w:val="1"/>
      <w:numFmt w:val="bullet"/>
      <w:lvlText w:val=""/>
      <w:lvlJc w:val="left"/>
      <w:pPr>
        <w:ind w:left="3107" w:hanging="360"/>
      </w:pPr>
      <w:rPr>
        <w:rFonts w:ascii="Symbol" w:hAnsi="Symbol" w:hint="default"/>
      </w:rPr>
    </w:lvl>
    <w:lvl w:ilvl="4" w:tplc="FFFFFFFF" w:tentative="1">
      <w:start w:val="1"/>
      <w:numFmt w:val="bullet"/>
      <w:lvlText w:val="o"/>
      <w:lvlJc w:val="left"/>
      <w:pPr>
        <w:ind w:left="3827" w:hanging="360"/>
      </w:pPr>
      <w:rPr>
        <w:rFonts w:ascii="Courier New" w:hAnsi="Courier New" w:cs="Courier New" w:hint="default"/>
      </w:rPr>
    </w:lvl>
    <w:lvl w:ilvl="5" w:tplc="FFFFFFFF" w:tentative="1">
      <w:start w:val="1"/>
      <w:numFmt w:val="bullet"/>
      <w:lvlText w:val=""/>
      <w:lvlJc w:val="left"/>
      <w:pPr>
        <w:ind w:left="4547" w:hanging="360"/>
      </w:pPr>
      <w:rPr>
        <w:rFonts w:ascii="Wingdings" w:hAnsi="Wingdings" w:hint="default"/>
      </w:rPr>
    </w:lvl>
    <w:lvl w:ilvl="6" w:tplc="FFFFFFFF" w:tentative="1">
      <w:start w:val="1"/>
      <w:numFmt w:val="bullet"/>
      <w:lvlText w:val=""/>
      <w:lvlJc w:val="left"/>
      <w:pPr>
        <w:ind w:left="5267" w:hanging="360"/>
      </w:pPr>
      <w:rPr>
        <w:rFonts w:ascii="Symbol" w:hAnsi="Symbol" w:hint="default"/>
      </w:rPr>
    </w:lvl>
    <w:lvl w:ilvl="7" w:tplc="FFFFFFFF" w:tentative="1">
      <w:start w:val="1"/>
      <w:numFmt w:val="bullet"/>
      <w:lvlText w:val="o"/>
      <w:lvlJc w:val="left"/>
      <w:pPr>
        <w:ind w:left="5987" w:hanging="360"/>
      </w:pPr>
      <w:rPr>
        <w:rFonts w:ascii="Courier New" w:hAnsi="Courier New" w:cs="Courier New" w:hint="default"/>
      </w:rPr>
    </w:lvl>
    <w:lvl w:ilvl="8" w:tplc="FFFFFFFF" w:tentative="1">
      <w:start w:val="1"/>
      <w:numFmt w:val="bullet"/>
      <w:lvlText w:val=""/>
      <w:lvlJc w:val="left"/>
      <w:pPr>
        <w:ind w:left="6707" w:hanging="360"/>
      </w:pPr>
      <w:rPr>
        <w:rFonts w:ascii="Wingdings" w:hAnsi="Wingdings" w:hint="default"/>
      </w:rPr>
    </w:lvl>
  </w:abstractNum>
  <w:abstractNum w:abstractNumId="68" w15:restartNumberingAfterBreak="0">
    <w:nsid w:val="59AB33CF"/>
    <w:multiLevelType w:val="hybridMultilevel"/>
    <w:tmpl w:val="16865F98"/>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5A73374C"/>
    <w:multiLevelType w:val="hybridMultilevel"/>
    <w:tmpl w:val="09DA5072"/>
    <w:lvl w:ilvl="0" w:tplc="009E29BA">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DE67A9B"/>
    <w:multiLevelType w:val="hybridMultilevel"/>
    <w:tmpl w:val="2D8A7754"/>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1" w15:restartNumberingAfterBreak="0">
    <w:nsid w:val="60AF6947"/>
    <w:multiLevelType w:val="hybridMultilevel"/>
    <w:tmpl w:val="FB5E053E"/>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61302B8F"/>
    <w:multiLevelType w:val="hybridMultilevel"/>
    <w:tmpl w:val="279CD25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36033FF"/>
    <w:multiLevelType w:val="hybridMultilevel"/>
    <w:tmpl w:val="ABF67ED8"/>
    <w:lvl w:ilvl="0" w:tplc="0C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659712B2"/>
    <w:multiLevelType w:val="hybridMultilevel"/>
    <w:tmpl w:val="BB9AAF36"/>
    <w:lvl w:ilvl="0" w:tplc="0C090005">
      <w:start w:val="1"/>
      <w:numFmt w:val="bullet"/>
      <w:lvlText w:val=""/>
      <w:lvlJc w:val="left"/>
      <w:pPr>
        <w:ind w:left="1077" w:hanging="360"/>
      </w:pPr>
      <w:rPr>
        <w:rFonts w:ascii="Wingdings" w:hAnsi="Wingdings"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75" w15:restartNumberingAfterBreak="0">
    <w:nsid w:val="67C54AFA"/>
    <w:multiLevelType w:val="hybridMultilevel"/>
    <w:tmpl w:val="872E96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CBC4965"/>
    <w:multiLevelType w:val="hybridMultilevel"/>
    <w:tmpl w:val="CC045CF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E877FD7"/>
    <w:multiLevelType w:val="hybridMultilevel"/>
    <w:tmpl w:val="7C402EE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10C3411"/>
    <w:multiLevelType w:val="hybridMultilevel"/>
    <w:tmpl w:val="0ECAB0C0"/>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9" w15:restartNumberingAfterBreak="0">
    <w:nsid w:val="713A12E4"/>
    <w:multiLevelType w:val="hybridMultilevel"/>
    <w:tmpl w:val="D9A42A0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2045E90"/>
    <w:multiLevelType w:val="hybridMultilevel"/>
    <w:tmpl w:val="5030A89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73491331"/>
    <w:multiLevelType w:val="hybridMultilevel"/>
    <w:tmpl w:val="8EF61BEE"/>
    <w:lvl w:ilvl="0" w:tplc="FFFFFFFF">
      <w:start w:val="1"/>
      <w:numFmt w:val="decimal"/>
      <w:lvlText w:val="%1."/>
      <w:lvlJc w:val="left"/>
      <w:pPr>
        <w:ind w:left="720" w:hanging="360"/>
      </w:pPr>
      <w:rPr>
        <w:rFonts w:hint="default"/>
      </w:rPr>
    </w:lvl>
    <w:lvl w:ilvl="1" w:tplc="0C090005">
      <w:start w:val="1"/>
      <w:numFmt w:val="bullet"/>
      <w:lvlText w:val=""/>
      <w:lvlJc w:val="left"/>
      <w:pPr>
        <w:ind w:left="720" w:hanging="360"/>
      </w:pPr>
      <w:rPr>
        <w:rFonts w:ascii="Wingdings" w:hAnsi="Wingding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734D17CC"/>
    <w:multiLevelType w:val="hybridMultilevel"/>
    <w:tmpl w:val="66C280A2"/>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74622402"/>
    <w:multiLevelType w:val="hybridMultilevel"/>
    <w:tmpl w:val="A4CA7284"/>
    <w:lvl w:ilvl="0" w:tplc="0C090005">
      <w:start w:val="1"/>
      <w:numFmt w:val="bullet"/>
      <w:lvlText w:val=""/>
      <w:lvlJc w:val="left"/>
      <w:pPr>
        <w:ind w:left="410" w:hanging="360"/>
      </w:pPr>
      <w:rPr>
        <w:rFonts w:ascii="Wingdings" w:hAnsi="Wingdings" w:hint="default"/>
      </w:rPr>
    </w:lvl>
    <w:lvl w:ilvl="1" w:tplc="FFFFFFFF">
      <w:start w:val="1"/>
      <w:numFmt w:val="bullet"/>
      <w:lvlText w:val="o"/>
      <w:lvlJc w:val="left"/>
      <w:pPr>
        <w:ind w:left="1130" w:hanging="360"/>
      </w:pPr>
      <w:rPr>
        <w:rFonts w:ascii="Courier New" w:hAnsi="Courier New" w:cs="Courier New" w:hint="default"/>
      </w:rPr>
    </w:lvl>
    <w:lvl w:ilvl="2" w:tplc="FFFFFFFF" w:tentative="1">
      <w:start w:val="1"/>
      <w:numFmt w:val="bullet"/>
      <w:lvlText w:val=""/>
      <w:lvlJc w:val="left"/>
      <w:pPr>
        <w:ind w:left="1850" w:hanging="360"/>
      </w:pPr>
      <w:rPr>
        <w:rFonts w:ascii="Wingdings" w:hAnsi="Wingdings" w:hint="default"/>
      </w:rPr>
    </w:lvl>
    <w:lvl w:ilvl="3" w:tplc="FFFFFFFF" w:tentative="1">
      <w:start w:val="1"/>
      <w:numFmt w:val="bullet"/>
      <w:lvlText w:val=""/>
      <w:lvlJc w:val="left"/>
      <w:pPr>
        <w:ind w:left="2570" w:hanging="360"/>
      </w:pPr>
      <w:rPr>
        <w:rFonts w:ascii="Symbol" w:hAnsi="Symbol" w:hint="default"/>
      </w:rPr>
    </w:lvl>
    <w:lvl w:ilvl="4" w:tplc="FFFFFFFF" w:tentative="1">
      <w:start w:val="1"/>
      <w:numFmt w:val="bullet"/>
      <w:lvlText w:val="o"/>
      <w:lvlJc w:val="left"/>
      <w:pPr>
        <w:ind w:left="3290" w:hanging="360"/>
      </w:pPr>
      <w:rPr>
        <w:rFonts w:ascii="Courier New" w:hAnsi="Courier New" w:cs="Courier New" w:hint="default"/>
      </w:rPr>
    </w:lvl>
    <w:lvl w:ilvl="5" w:tplc="FFFFFFFF" w:tentative="1">
      <w:start w:val="1"/>
      <w:numFmt w:val="bullet"/>
      <w:lvlText w:val=""/>
      <w:lvlJc w:val="left"/>
      <w:pPr>
        <w:ind w:left="4010" w:hanging="360"/>
      </w:pPr>
      <w:rPr>
        <w:rFonts w:ascii="Wingdings" w:hAnsi="Wingdings" w:hint="default"/>
      </w:rPr>
    </w:lvl>
    <w:lvl w:ilvl="6" w:tplc="FFFFFFFF" w:tentative="1">
      <w:start w:val="1"/>
      <w:numFmt w:val="bullet"/>
      <w:lvlText w:val=""/>
      <w:lvlJc w:val="left"/>
      <w:pPr>
        <w:ind w:left="4730" w:hanging="360"/>
      </w:pPr>
      <w:rPr>
        <w:rFonts w:ascii="Symbol" w:hAnsi="Symbol" w:hint="default"/>
      </w:rPr>
    </w:lvl>
    <w:lvl w:ilvl="7" w:tplc="FFFFFFFF" w:tentative="1">
      <w:start w:val="1"/>
      <w:numFmt w:val="bullet"/>
      <w:lvlText w:val="o"/>
      <w:lvlJc w:val="left"/>
      <w:pPr>
        <w:ind w:left="5450" w:hanging="360"/>
      </w:pPr>
      <w:rPr>
        <w:rFonts w:ascii="Courier New" w:hAnsi="Courier New" w:cs="Courier New" w:hint="default"/>
      </w:rPr>
    </w:lvl>
    <w:lvl w:ilvl="8" w:tplc="FFFFFFFF" w:tentative="1">
      <w:start w:val="1"/>
      <w:numFmt w:val="bullet"/>
      <w:lvlText w:val=""/>
      <w:lvlJc w:val="left"/>
      <w:pPr>
        <w:ind w:left="6170" w:hanging="360"/>
      </w:pPr>
      <w:rPr>
        <w:rFonts w:ascii="Wingdings" w:hAnsi="Wingdings" w:hint="default"/>
      </w:rPr>
    </w:lvl>
  </w:abstractNum>
  <w:abstractNum w:abstractNumId="84" w15:restartNumberingAfterBreak="0">
    <w:nsid w:val="74C74CAA"/>
    <w:multiLevelType w:val="hybridMultilevel"/>
    <w:tmpl w:val="B87E61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752153A4"/>
    <w:multiLevelType w:val="hybridMultilevel"/>
    <w:tmpl w:val="2126332A"/>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76696472"/>
    <w:multiLevelType w:val="hybridMultilevel"/>
    <w:tmpl w:val="7E08829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B217AE8"/>
    <w:multiLevelType w:val="hybridMultilevel"/>
    <w:tmpl w:val="258262C0"/>
    <w:lvl w:ilvl="0" w:tplc="D38EA498">
      <w:start w:val="1"/>
      <w:numFmt w:val="decimal"/>
      <w:lvlText w:val="%1."/>
      <w:lvlJc w:val="left"/>
      <w:pPr>
        <w:ind w:left="720" w:hanging="360"/>
      </w:pPr>
      <w:rPr>
        <w:rFonts w:hint="default"/>
        <w:b/>
        <w:bCs/>
        <w:color w:val="005D5D" w:themeColor="accent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C1041DA"/>
    <w:multiLevelType w:val="hybridMultilevel"/>
    <w:tmpl w:val="FCAACED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7C9816E3"/>
    <w:multiLevelType w:val="hybridMultilevel"/>
    <w:tmpl w:val="8C062A78"/>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90" w15:restartNumberingAfterBreak="0">
    <w:nsid w:val="7CFC333B"/>
    <w:multiLevelType w:val="hybridMultilevel"/>
    <w:tmpl w:val="2B70DC04"/>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1" w15:restartNumberingAfterBreak="0">
    <w:nsid w:val="7EDE645A"/>
    <w:multiLevelType w:val="hybridMultilevel"/>
    <w:tmpl w:val="1E84308A"/>
    <w:lvl w:ilvl="0" w:tplc="0C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047246184">
    <w:abstractNumId w:val="19"/>
  </w:num>
  <w:num w:numId="2" w16cid:durableId="505899052">
    <w:abstractNumId w:val="43"/>
  </w:num>
  <w:num w:numId="3" w16cid:durableId="1517575706">
    <w:abstractNumId w:val="41"/>
  </w:num>
  <w:num w:numId="4" w16cid:durableId="854542499">
    <w:abstractNumId w:val="90"/>
  </w:num>
  <w:num w:numId="5" w16cid:durableId="916750332">
    <w:abstractNumId w:val="46"/>
  </w:num>
  <w:num w:numId="6" w16cid:durableId="1122575917">
    <w:abstractNumId w:val="80"/>
  </w:num>
  <w:num w:numId="7" w16cid:durableId="819929045">
    <w:abstractNumId w:val="86"/>
  </w:num>
  <w:num w:numId="8" w16cid:durableId="381249178">
    <w:abstractNumId w:val="21"/>
  </w:num>
  <w:num w:numId="9" w16cid:durableId="1372656401">
    <w:abstractNumId w:val="42"/>
  </w:num>
  <w:num w:numId="10" w16cid:durableId="1857188974">
    <w:abstractNumId w:val="69"/>
  </w:num>
  <w:num w:numId="11" w16cid:durableId="429200283">
    <w:abstractNumId w:val="83"/>
  </w:num>
  <w:num w:numId="12" w16cid:durableId="1516655292">
    <w:abstractNumId w:val="84"/>
  </w:num>
  <w:num w:numId="13" w16cid:durableId="51538481">
    <w:abstractNumId w:val="51"/>
  </w:num>
  <w:num w:numId="14" w16cid:durableId="300771260">
    <w:abstractNumId w:val="16"/>
  </w:num>
  <w:num w:numId="15" w16cid:durableId="1389186798">
    <w:abstractNumId w:val="73"/>
  </w:num>
  <w:num w:numId="16" w16cid:durableId="2006976102">
    <w:abstractNumId w:val="12"/>
  </w:num>
  <w:num w:numId="17" w16cid:durableId="301078811">
    <w:abstractNumId w:val="52"/>
  </w:num>
  <w:num w:numId="18" w16cid:durableId="1536189261">
    <w:abstractNumId w:val="64"/>
  </w:num>
  <w:num w:numId="19" w16cid:durableId="62023927">
    <w:abstractNumId w:val="24"/>
  </w:num>
  <w:num w:numId="20" w16cid:durableId="44754764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3881736">
    <w:abstractNumId w:val="57"/>
  </w:num>
  <w:num w:numId="22" w16cid:durableId="1221090173">
    <w:abstractNumId w:val="60"/>
  </w:num>
  <w:num w:numId="23" w16cid:durableId="610088261">
    <w:abstractNumId w:val="26"/>
  </w:num>
  <w:num w:numId="24" w16cid:durableId="1517773706">
    <w:abstractNumId w:val="53"/>
  </w:num>
  <w:num w:numId="25" w16cid:durableId="2107070859">
    <w:abstractNumId w:val="23"/>
  </w:num>
  <w:num w:numId="26" w16cid:durableId="955723304">
    <w:abstractNumId w:val="10"/>
  </w:num>
  <w:num w:numId="27" w16cid:durableId="920063262">
    <w:abstractNumId w:val="27"/>
  </w:num>
  <w:num w:numId="28" w16cid:durableId="1739785322">
    <w:abstractNumId w:val="58"/>
  </w:num>
  <w:num w:numId="29" w16cid:durableId="2047564408">
    <w:abstractNumId w:val="79"/>
  </w:num>
  <w:num w:numId="30" w16cid:durableId="2035882278">
    <w:abstractNumId w:val="29"/>
  </w:num>
  <w:num w:numId="31" w16cid:durableId="214512557">
    <w:abstractNumId w:val="55"/>
  </w:num>
  <w:num w:numId="32" w16cid:durableId="1961298223">
    <w:abstractNumId w:val="87"/>
  </w:num>
  <w:num w:numId="33" w16cid:durableId="113252000">
    <w:abstractNumId w:val="81"/>
  </w:num>
  <w:num w:numId="34" w16cid:durableId="657612251">
    <w:abstractNumId w:val="48"/>
  </w:num>
  <w:num w:numId="35" w16cid:durableId="1532110829">
    <w:abstractNumId w:val="67"/>
  </w:num>
  <w:num w:numId="36" w16cid:durableId="117259057">
    <w:abstractNumId w:val="33"/>
  </w:num>
  <w:num w:numId="37" w16cid:durableId="413626556">
    <w:abstractNumId w:val="8"/>
  </w:num>
  <w:num w:numId="38" w16cid:durableId="1038312774">
    <w:abstractNumId w:val="91"/>
  </w:num>
  <w:num w:numId="39" w16cid:durableId="2066710344">
    <w:abstractNumId w:val="4"/>
  </w:num>
  <w:num w:numId="40" w16cid:durableId="959336528">
    <w:abstractNumId w:val="68"/>
  </w:num>
  <w:num w:numId="41" w16cid:durableId="1066876657">
    <w:abstractNumId w:val="22"/>
  </w:num>
  <w:num w:numId="42" w16cid:durableId="1887570082">
    <w:abstractNumId w:val="89"/>
  </w:num>
  <w:num w:numId="43" w16cid:durableId="1359770482">
    <w:abstractNumId w:val="50"/>
  </w:num>
  <w:num w:numId="44" w16cid:durableId="1071587441">
    <w:abstractNumId w:val="72"/>
  </w:num>
  <w:num w:numId="45" w16cid:durableId="1401249680">
    <w:abstractNumId w:val="38"/>
  </w:num>
  <w:num w:numId="46" w16cid:durableId="1526869446">
    <w:abstractNumId w:val="2"/>
  </w:num>
  <w:num w:numId="47" w16cid:durableId="1319924163">
    <w:abstractNumId w:val="49"/>
  </w:num>
  <w:num w:numId="48" w16cid:durableId="808593920">
    <w:abstractNumId w:val="9"/>
  </w:num>
  <w:num w:numId="49" w16cid:durableId="751242176">
    <w:abstractNumId w:val="7"/>
  </w:num>
  <w:num w:numId="50" w16cid:durableId="120609608">
    <w:abstractNumId w:val="85"/>
  </w:num>
  <w:num w:numId="51" w16cid:durableId="1718041627">
    <w:abstractNumId w:val="20"/>
  </w:num>
  <w:num w:numId="52" w16cid:durableId="795561070">
    <w:abstractNumId w:val="45"/>
  </w:num>
  <w:num w:numId="53" w16cid:durableId="915750236">
    <w:abstractNumId w:val="44"/>
  </w:num>
  <w:num w:numId="54" w16cid:durableId="1391032536">
    <w:abstractNumId w:val="63"/>
  </w:num>
  <w:num w:numId="55" w16cid:durableId="506988961">
    <w:abstractNumId w:val="13"/>
  </w:num>
  <w:num w:numId="56" w16cid:durableId="1587836896">
    <w:abstractNumId w:val="11"/>
  </w:num>
  <w:num w:numId="57" w16cid:durableId="1941642162">
    <w:abstractNumId w:val="0"/>
  </w:num>
  <w:num w:numId="58" w16cid:durableId="286669527">
    <w:abstractNumId w:val="71"/>
  </w:num>
  <w:num w:numId="59" w16cid:durableId="706758801">
    <w:abstractNumId w:val="82"/>
  </w:num>
  <w:num w:numId="60" w16cid:durableId="1457063710">
    <w:abstractNumId w:val="18"/>
  </w:num>
  <w:num w:numId="61" w16cid:durableId="1300574110">
    <w:abstractNumId w:val="15"/>
  </w:num>
  <w:num w:numId="62" w16cid:durableId="664821132">
    <w:abstractNumId w:val="78"/>
  </w:num>
  <w:num w:numId="63" w16cid:durableId="404648667">
    <w:abstractNumId w:val="88"/>
  </w:num>
  <w:num w:numId="64" w16cid:durableId="431165491">
    <w:abstractNumId w:val="66"/>
  </w:num>
  <w:num w:numId="65" w16cid:durableId="1761221617">
    <w:abstractNumId w:val="54"/>
  </w:num>
  <w:num w:numId="66" w16cid:durableId="1707945646">
    <w:abstractNumId w:val="14"/>
  </w:num>
  <w:num w:numId="67" w16cid:durableId="1722631295">
    <w:abstractNumId w:val="75"/>
  </w:num>
  <w:num w:numId="68" w16cid:durableId="1860005530">
    <w:abstractNumId w:val="25"/>
  </w:num>
  <w:num w:numId="69" w16cid:durableId="1672096613">
    <w:abstractNumId w:val="35"/>
  </w:num>
  <w:num w:numId="70" w16cid:durableId="1688095794">
    <w:abstractNumId w:val="32"/>
  </w:num>
  <w:num w:numId="71" w16cid:durableId="1899392412">
    <w:abstractNumId w:val="28"/>
  </w:num>
  <w:num w:numId="72" w16cid:durableId="1094936535">
    <w:abstractNumId w:val="34"/>
  </w:num>
  <w:num w:numId="73" w16cid:durableId="1932278552">
    <w:abstractNumId w:val="61"/>
  </w:num>
  <w:num w:numId="74" w16cid:durableId="1149204450">
    <w:abstractNumId w:val="76"/>
  </w:num>
  <w:num w:numId="75" w16cid:durableId="1257404293">
    <w:abstractNumId w:val="5"/>
  </w:num>
  <w:num w:numId="76" w16cid:durableId="949700835">
    <w:abstractNumId w:val="59"/>
  </w:num>
  <w:num w:numId="77" w16cid:durableId="1467622721">
    <w:abstractNumId w:val="47"/>
  </w:num>
  <w:num w:numId="78" w16cid:durableId="1168055423">
    <w:abstractNumId w:val="3"/>
  </w:num>
  <w:num w:numId="79" w16cid:durableId="1526941674">
    <w:abstractNumId w:val="6"/>
  </w:num>
  <w:num w:numId="80" w16cid:durableId="397944425">
    <w:abstractNumId w:val="36"/>
  </w:num>
  <w:num w:numId="81" w16cid:durableId="1812091109">
    <w:abstractNumId w:val="37"/>
  </w:num>
  <w:num w:numId="82" w16cid:durableId="1389187899">
    <w:abstractNumId w:val="17"/>
  </w:num>
  <w:num w:numId="83" w16cid:durableId="1345206452">
    <w:abstractNumId w:val="62"/>
  </w:num>
  <w:num w:numId="84" w16cid:durableId="1542548417">
    <w:abstractNumId w:val="77"/>
  </w:num>
  <w:num w:numId="85" w16cid:durableId="868421245">
    <w:abstractNumId w:val="39"/>
  </w:num>
  <w:num w:numId="86" w16cid:durableId="1149251154">
    <w:abstractNumId w:val="56"/>
  </w:num>
  <w:num w:numId="87" w16cid:durableId="1616643245">
    <w:abstractNumId w:val="30"/>
  </w:num>
  <w:num w:numId="88" w16cid:durableId="1917013374">
    <w:abstractNumId w:val="70"/>
  </w:num>
  <w:num w:numId="89" w16cid:durableId="1749376468">
    <w:abstractNumId w:val="31"/>
  </w:num>
  <w:num w:numId="90" w16cid:durableId="779224131">
    <w:abstractNumId w:val="65"/>
  </w:num>
  <w:num w:numId="91" w16cid:durableId="571544462">
    <w:abstractNumId w:val="74"/>
  </w:num>
  <w:num w:numId="92" w16cid:durableId="692147632">
    <w:abstractNumId w:val="1"/>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1218"/>
    <w:rsid w:val="00000058"/>
    <w:rsid w:val="00000285"/>
    <w:rsid w:val="000002FC"/>
    <w:rsid w:val="00000A83"/>
    <w:rsid w:val="00000A8F"/>
    <w:rsid w:val="00000BC1"/>
    <w:rsid w:val="00000C00"/>
    <w:rsid w:val="000010AB"/>
    <w:rsid w:val="00001206"/>
    <w:rsid w:val="00001AA3"/>
    <w:rsid w:val="00001D78"/>
    <w:rsid w:val="00001EDD"/>
    <w:rsid w:val="00002406"/>
    <w:rsid w:val="00002555"/>
    <w:rsid w:val="0000267E"/>
    <w:rsid w:val="000026CE"/>
    <w:rsid w:val="00002DE2"/>
    <w:rsid w:val="00002F8E"/>
    <w:rsid w:val="0000313B"/>
    <w:rsid w:val="0000330E"/>
    <w:rsid w:val="000034F5"/>
    <w:rsid w:val="000036FF"/>
    <w:rsid w:val="00003951"/>
    <w:rsid w:val="0000396B"/>
    <w:rsid w:val="00003AF9"/>
    <w:rsid w:val="00003D08"/>
    <w:rsid w:val="00003FFE"/>
    <w:rsid w:val="000042FF"/>
    <w:rsid w:val="00004FB2"/>
    <w:rsid w:val="000052D6"/>
    <w:rsid w:val="000053CB"/>
    <w:rsid w:val="000054D8"/>
    <w:rsid w:val="000055D1"/>
    <w:rsid w:val="00005748"/>
    <w:rsid w:val="000057FE"/>
    <w:rsid w:val="00005BF8"/>
    <w:rsid w:val="00005E45"/>
    <w:rsid w:val="00005F2D"/>
    <w:rsid w:val="0000644E"/>
    <w:rsid w:val="000066B5"/>
    <w:rsid w:val="0000680B"/>
    <w:rsid w:val="00006A49"/>
    <w:rsid w:val="0000720F"/>
    <w:rsid w:val="00007662"/>
    <w:rsid w:val="00007787"/>
    <w:rsid w:val="00007D7D"/>
    <w:rsid w:val="00010269"/>
    <w:rsid w:val="00010615"/>
    <w:rsid w:val="00011058"/>
    <w:rsid w:val="00011385"/>
    <w:rsid w:val="000116C8"/>
    <w:rsid w:val="000120D3"/>
    <w:rsid w:val="00012151"/>
    <w:rsid w:val="000122DB"/>
    <w:rsid w:val="0001236B"/>
    <w:rsid w:val="0001272B"/>
    <w:rsid w:val="00012816"/>
    <w:rsid w:val="0001284F"/>
    <w:rsid w:val="00012A21"/>
    <w:rsid w:val="00012D0B"/>
    <w:rsid w:val="0001384B"/>
    <w:rsid w:val="00013A12"/>
    <w:rsid w:val="00013CFA"/>
    <w:rsid w:val="00013F80"/>
    <w:rsid w:val="00014009"/>
    <w:rsid w:val="000147D5"/>
    <w:rsid w:val="00014A84"/>
    <w:rsid w:val="00014F2F"/>
    <w:rsid w:val="00015633"/>
    <w:rsid w:val="00015C67"/>
    <w:rsid w:val="00015DA7"/>
    <w:rsid w:val="00015E4C"/>
    <w:rsid w:val="00016293"/>
    <w:rsid w:val="00016873"/>
    <w:rsid w:val="000168A8"/>
    <w:rsid w:val="00016BF6"/>
    <w:rsid w:val="00016FD1"/>
    <w:rsid w:val="00017045"/>
    <w:rsid w:val="00017054"/>
    <w:rsid w:val="0001725A"/>
    <w:rsid w:val="00017383"/>
    <w:rsid w:val="00017785"/>
    <w:rsid w:val="00017D2D"/>
    <w:rsid w:val="00017EEC"/>
    <w:rsid w:val="00017F97"/>
    <w:rsid w:val="0002005D"/>
    <w:rsid w:val="000200CC"/>
    <w:rsid w:val="000201B1"/>
    <w:rsid w:val="00020296"/>
    <w:rsid w:val="000205DB"/>
    <w:rsid w:val="000208AE"/>
    <w:rsid w:val="00020BC0"/>
    <w:rsid w:val="00020D5B"/>
    <w:rsid w:val="00020FFF"/>
    <w:rsid w:val="000219B5"/>
    <w:rsid w:val="00021B84"/>
    <w:rsid w:val="00022200"/>
    <w:rsid w:val="0002245E"/>
    <w:rsid w:val="00022521"/>
    <w:rsid w:val="0002259A"/>
    <w:rsid w:val="00022894"/>
    <w:rsid w:val="00022907"/>
    <w:rsid w:val="00022925"/>
    <w:rsid w:val="00022996"/>
    <w:rsid w:val="00022D03"/>
    <w:rsid w:val="00022DE5"/>
    <w:rsid w:val="00022EBB"/>
    <w:rsid w:val="00022FC5"/>
    <w:rsid w:val="00023376"/>
    <w:rsid w:val="00023671"/>
    <w:rsid w:val="000236CA"/>
    <w:rsid w:val="00023BD2"/>
    <w:rsid w:val="00023C31"/>
    <w:rsid w:val="00024352"/>
    <w:rsid w:val="00024AC2"/>
    <w:rsid w:val="00025537"/>
    <w:rsid w:val="00025766"/>
    <w:rsid w:val="00025940"/>
    <w:rsid w:val="000259B5"/>
    <w:rsid w:val="000259D0"/>
    <w:rsid w:val="00025C3C"/>
    <w:rsid w:val="00025D5C"/>
    <w:rsid w:val="000262D1"/>
    <w:rsid w:val="0002653B"/>
    <w:rsid w:val="000269CD"/>
    <w:rsid w:val="00026C1D"/>
    <w:rsid w:val="00027A44"/>
    <w:rsid w:val="00027A4D"/>
    <w:rsid w:val="00027CAF"/>
    <w:rsid w:val="00027F24"/>
    <w:rsid w:val="00027F5B"/>
    <w:rsid w:val="00027F65"/>
    <w:rsid w:val="0003049C"/>
    <w:rsid w:val="000308CF"/>
    <w:rsid w:val="00030AB2"/>
    <w:rsid w:val="00031463"/>
    <w:rsid w:val="00031AB3"/>
    <w:rsid w:val="00031D8C"/>
    <w:rsid w:val="00031F1A"/>
    <w:rsid w:val="000320D2"/>
    <w:rsid w:val="00032623"/>
    <w:rsid w:val="000327FD"/>
    <w:rsid w:val="0003284A"/>
    <w:rsid w:val="000328D4"/>
    <w:rsid w:val="00032925"/>
    <w:rsid w:val="00032C62"/>
    <w:rsid w:val="000336C3"/>
    <w:rsid w:val="000336C4"/>
    <w:rsid w:val="00033BE6"/>
    <w:rsid w:val="00033C68"/>
    <w:rsid w:val="00033EDD"/>
    <w:rsid w:val="00034217"/>
    <w:rsid w:val="000347AA"/>
    <w:rsid w:val="00034ED0"/>
    <w:rsid w:val="000350F0"/>
    <w:rsid w:val="000351EE"/>
    <w:rsid w:val="0003555A"/>
    <w:rsid w:val="00035623"/>
    <w:rsid w:val="000358CB"/>
    <w:rsid w:val="00035937"/>
    <w:rsid w:val="0003596B"/>
    <w:rsid w:val="00035B11"/>
    <w:rsid w:val="00035C13"/>
    <w:rsid w:val="00035C3E"/>
    <w:rsid w:val="000360C6"/>
    <w:rsid w:val="000362DE"/>
    <w:rsid w:val="00036336"/>
    <w:rsid w:val="00036423"/>
    <w:rsid w:val="000364F3"/>
    <w:rsid w:val="00036556"/>
    <w:rsid w:val="00036711"/>
    <w:rsid w:val="00036AB6"/>
    <w:rsid w:val="00036CB6"/>
    <w:rsid w:val="000374BC"/>
    <w:rsid w:val="000378AF"/>
    <w:rsid w:val="000379C2"/>
    <w:rsid w:val="00037B8E"/>
    <w:rsid w:val="00037C96"/>
    <w:rsid w:val="00037CF1"/>
    <w:rsid w:val="00037EB9"/>
    <w:rsid w:val="000404CE"/>
    <w:rsid w:val="00040564"/>
    <w:rsid w:val="000405A4"/>
    <w:rsid w:val="00040EF3"/>
    <w:rsid w:val="00040FCE"/>
    <w:rsid w:val="00041104"/>
    <w:rsid w:val="00041347"/>
    <w:rsid w:val="0004219F"/>
    <w:rsid w:val="00042247"/>
    <w:rsid w:val="00042611"/>
    <w:rsid w:val="000426A5"/>
    <w:rsid w:val="00042896"/>
    <w:rsid w:val="000429C2"/>
    <w:rsid w:val="00042DAA"/>
    <w:rsid w:val="00042EDF"/>
    <w:rsid w:val="000430F9"/>
    <w:rsid w:val="0004327C"/>
    <w:rsid w:val="000433A4"/>
    <w:rsid w:val="000439E0"/>
    <w:rsid w:val="00043E4C"/>
    <w:rsid w:val="00043F4D"/>
    <w:rsid w:val="00043F58"/>
    <w:rsid w:val="000440B3"/>
    <w:rsid w:val="000440E8"/>
    <w:rsid w:val="00044A26"/>
    <w:rsid w:val="00044DE7"/>
    <w:rsid w:val="00044EF2"/>
    <w:rsid w:val="00044FBE"/>
    <w:rsid w:val="00044FD9"/>
    <w:rsid w:val="00045538"/>
    <w:rsid w:val="000456C3"/>
    <w:rsid w:val="00045874"/>
    <w:rsid w:val="000458C1"/>
    <w:rsid w:val="00045D38"/>
    <w:rsid w:val="000473BE"/>
    <w:rsid w:val="0004761E"/>
    <w:rsid w:val="0004778C"/>
    <w:rsid w:val="000479B4"/>
    <w:rsid w:val="00047A5B"/>
    <w:rsid w:val="00047B11"/>
    <w:rsid w:val="00047D52"/>
    <w:rsid w:val="00047F00"/>
    <w:rsid w:val="0005063D"/>
    <w:rsid w:val="00050F0F"/>
    <w:rsid w:val="00051223"/>
    <w:rsid w:val="0005146C"/>
    <w:rsid w:val="00051783"/>
    <w:rsid w:val="00051DC7"/>
    <w:rsid w:val="000522B7"/>
    <w:rsid w:val="00052337"/>
    <w:rsid w:val="000523A6"/>
    <w:rsid w:val="00052808"/>
    <w:rsid w:val="00052E33"/>
    <w:rsid w:val="000530E5"/>
    <w:rsid w:val="0005354D"/>
    <w:rsid w:val="0005360B"/>
    <w:rsid w:val="000536C3"/>
    <w:rsid w:val="00053708"/>
    <w:rsid w:val="0005370C"/>
    <w:rsid w:val="000537C4"/>
    <w:rsid w:val="00053938"/>
    <w:rsid w:val="00053AB4"/>
    <w:rsid w:val="000540D3"/>
    <w:rsid w:val="0005438C"/>
    <w:rsid w:val="00054849"/>
    <w:rsid w:val="000548AB"/>
    <w:rsid w:val="00054AD6"/>
    <w:rsid w:val="00054B2B"/>
    <w:rsid w:val="00054C2C"/>
    <w:rsid w:val="00054CF7"/>
    <w:rsid w:val="00055531"/>
    <w:rsid w:val="000556F0"/>
    <w:rsid w:val="00055D11"/>
    <w:rsid w:val="0005652F"/>
    <w:rsid w:val="00056685"/>
    <w:rsid w:val="0005675A"/>
    <w:rsid w:val="00056BC0"/>
    <w:rsid w:val="00056ED5"/>
    <w:rsid w:val="000576E9"/>
    <w:rsid w:val="000578BA"/>
    <w:rsid w:val="00057A75"/>
    <w:rsid w:val="00057DB3"/>
    <w:rsid w:val="00057F31"/>
    <w:rsid w:val="00057F48"/>
    <w:rsid w:val="00057FB2"/>
    <w:rsid w:val="000606EF"/>
    <w:rsid w:val="00060808"/>
    <w:rsid w:val="00060907"/>
    <w:rsid w:val="00060957"/>
    <w:rsid w:val="00060A68"/>
    <w:rsid w:val="00060C8E"/>
    <w:rsid w:val="00060EBA"/>
    <w:rsid w:val="000617B8"/>
    <w:rsid w:val="000620D8"/>
    <w:rsid w:val="0006221E"/>
    <w:rsid w:val="000622A1"/>
    <w:rsid w:val="000626A2"/>
    <w:rsid w:val="00062747"/>
    <w:rsid w:val="00063504"/>
    <w:rsid w:val="0006388E"/>
    <w:rsid w:val="00063954"/>
    <w:rsid w:val="00063C10"/>
    <w:rsid w:val="00063CF2"/>
    <w:rsid w:val="00063DB3"/>
    <w:rsid w:val="0006417F"/>
    <w:rsid w:val="000645E8"/>
    <w:rsid w:val="00064EBA"/>
    <w:rsid w:val="00064EFF"/>
    <w:rsid w:val="00065046"/>
    <w:rsid w:val="000653DC"/>
    <w:rsid w:val="00065719"/>
    <w:rsid w:val="00065A48"/>
    <w:rsid w:val="00065E45"/>
    <w:rsid w:val="00065EFB"/>
    <w:rsid w:val="0006688A"/>
    <w:rsid w:val="00066F69"/>
    <w:rsid w:val="00067132"/>
    <w:rsid w:val="000672BC"/>
    <w:rsid w:val="000674B1"/>
    <w:rsid w:val="0006795B"/>
    <w:rsid w:val="00067F70"/>
    <w:rsid w:val="00067F88"/>
    <w:rsid w:val="00070277"/>
    <w:rsid w:val="00070517"/>
    <w:rsid w:val="00070862"/>
    <w:rsid w:val="00070AA4"/>
    <w:rsid w:val="00070AB9"/>
    <w:rsid w:val="00070E35"/>
    <w:rsid w:val="000715DD"/>
    <w:rsid w:val="000719B0"/>
    <w:rsid w:val="00071CBD"/>
    <w:rsid w:val="0007234E"/>
    <w:rsid w:val="00072483"/>
    <w:rsid w:val="00072731"/>
    <w:rsid w:val="00072BBE"/>
    <w:rsid w:val="00072F0A"/>
    <w:rsid w:val="00073356"/>
    <w:rsid w:val="0007374E"/>
    <w:rsid w:val="00073823"/>
    <w:rsid w:val="0007382B"/>
    <w:rsid w:val="000739EB"/>
    <w:rsid w:val="00073B3A"/>
    <w:rsid w:val="00073CDB"/>
    <w:rsid w:val="000742D8"/>
    <w:rsid w:val="00074378"/>
    <w:rsid w:val="0007484B"/>
    <w:rsid w:val="00074860"/>
    <w:rsid w:val="00074A77"/>
    <w:rsid w:val="00074B08"/>
    <w:rsid w:val="00074D14"/>
    <w:rsid w:val="00074E6E"/>
    <w:rsid w:val="000753B1"/>
    <w:rsid w:val="000758F2"/>
    <w:rsid w:val="000759A2"/>
    <w:rsid w:val="00075AD7"/>
    <w:rsid w:val="00075D49"/>
    <w:rsid w:val="00076074"/>
    <w:rsid w:val="000763CA"/>
    <w:rsid w:val="0007657F"/>
    <w:rsid w:val="00076595"/>
    <w:rsid w:val="00076707"/>
    <w:rsid w:val="00076964"/>
    <w:rsid w:val="00076DE3"/>
    <w:rsid w:val="00076F9B"/>
    <w:rsid w:val="00077035"/>
    <w:rsid w:val="000772AD"/>
    <w:rsid w:val="000774E6"/>
    <w:rsid w:val="00077513"/>
    <w:rsid w:val="00077A4E"/>
    <w:rsid w:val="00077DB8"/>
    <w:rsid w:val="00077E77"/>
    <w:rsid w:val="00077ED7"/>
    <w:rsid w:val="00077FB6"/>
    <w:rsid w:val="00080AEA"/>
    <w:rsid w:val="00080E8F"/>
    <w:rsid w:val="00081399"/>
    <w:rsid w:val="000814B3"/>
    <w:rsid w:val="000817E7"/>
    <w:rsid w:val="0008182A"/>
    <w:rsid w:val="000819B2"/>
    <w:rsid w:val="00081BAA"/>
    <w:rsid w:val="00081C4E"/>
    <w:rsid w:val="00081EDB"/>
    <w:rsid w:val="00081FF7"/>
    <w:rsid w:val="00082158"/>
    <w:rsid w:val="0008251F"/>
    <w:rsid w:val="000826F7"/>
    <w:rsid w:val="00082824"/>
    <w:rsid w:val="000829EF"/>
    <w:rsid w:val="00082AAC"/>
    <w:rsid w:val="00082B38"/>
    <w:rsid w:val="00082D8B"/>
    <w:rsid w:val="00082F36"/>
    <w:rsid w:val="000831BA"/>
    <w:rsid w:val="00083325"/>
    <w:rsid w:val="0008379C"/>
    <w:rsid w:val="00084012"/>
    <w:rsid w:val="00084072"/>
    <w:rsid w:val="00084A2C"/>
    <w:rsid w:val="00084D08"/>
    <w:rsid w:val="00084DD0"/>
    <w:rsid w:val="00084E4D"/>
    <w:rsid w:val="00084F1D"/>
    <w:rsid w:val="0008522E"/>
    <w:rsid w:val="00085A8A"/>
    <w:rsid w:val="00085EF8"/>
    <w:rsid w:val="00085F8B"/>
    <w:rsid w:val="000863C9"/>
    <w:rsid w:val="000864A3"/>
    <w:rsid w:val="000865DA"/>
    <w:rsid w:val="000866E1"/>
    <w:rsid w:val="000867B1"/>
    <w:rsid w:val="00086901"/>
    <w:rsid w:val="00086AED"/>
    <w:rsid w:val="00086DBF"/>
    <w:rsid w:val="00087598"/>
    <w:rsid w:val="00087909"/>
    <w:rsid w:val="00087968"/>
    <w:rsid w:val="00087E4C"/>
    <w:rsid w:val="00087FDF"/>
    <w:rsid w:val="00090187"/>
    <w:rsid w:val="0009040A"/>
    <w:rsid w:val="000905C0"/>
    <w:rsid w:val="00090D2F"/>
    <w:rsid w:val="00090F66"/>
    <w:rsid w:val="0009125B"/>
    <w:rsid w:val="0009137A"/>
    <w:rsid w:val="00091982"/>
    <w:rsid w:val="00091B72"/>
    <w:rsid w:val="00091D7D"/>
    <w:rsid w:val="00092142"/>
    <w:rsid w:val="000930A9"/>
    <w:rsid w:val="000930AC"/>
    <w:rsid w:val="0009347E"/>
    <w:rsid w:val="0009388A"/>
    <w:rsid w:val="00093A11"/>
    <w:rsid w:val="00093BB7"/>
    <w:rsid w:val="00093DA3"/>
    <w:rsid w:val="00094188"/>
    <w:rsid w:val="0009454E"/>
    <w:rsid w:val="0009471C"/>
    <w:rsid w:val="00094DDA"/>
    <w:rsid w:val="00094FD7"/>
    <w:rsid w:val="000955F7"/>
    <w:rsid w:val="00095E11"/>
    <w:rsid w:val="00095EBD"/>
    <w:rsid w:val="000962C8"/>
    <w:rsid w:val="000965EA"/>
    <w:rsid w:val="000966B8"/>
    <w:rsid w:val="00096776"/>
    <w:rsid w:val="000968A6"/>
    <w:rsid w:val="00096C78"/>
    <w:rsid w:val="00096D20"/>
    <w:rsid w:val="00096D28"/>
    <w:rsid w:val="00096FDA"/>
    <w:rsid w:val="000972FC"/>
    <w:rsid w:val="000976AD"/>
    <w:rsid w:val="000978F6"/>
    <w:rsid w:val="0009798D"/>
    <w:rsid w:val="00097BC6"/>
    <w:rsid w:val="00097E32"/>
    <w:rsid w:val="00097F02"/>
    <w:rsid w:val="000A007B"/>
    <w:rsid w:val="000A0511"/>
    <w:rsid w:val="000A06D9"/>
    <w:rsid w:val="000A0CA3"/>
    <w:rsid w:val="000A1026"/>
    <w:rsid w:val="000A1111"/>
    <w:rsid w:val="000A145A"/>
    <w:rsid w:val="000A1506"/>
    <w:rsid w:val="000A17F4"/>
    <w:rsid w:val="000A186F"/>
    <w:rsid w:val="000A188E"/>
    <w:rsid w:val="000A194B"/>
    <w:rsid w:val="000A1EA0"/>
    <w:rsid w:val="000A1F5E"/>
    <w:rsid w:val="000A20AE"/>
    <w:rsid w:val="000A2393"/>
    <w:rsid w:val="000A255A"/>
    <w:rsid w:val="000A28B1"/>
    <w:rsid w:val="000A293F"/>
    <w:rsid w:val="000A2CA9"/>
    <w:rsid w:val="000A31CE"/>
    <w:rsid w:val="000A335A"/>
    <w:rsid w:val="000A3524"/>
    <w:rsid w:val="000A3562"/>
    <w:rsid w:val="000A3A50"/>
    <w:rsid w:val="000A3B92"/>
    <w:rsid w:val="000A3B96"/>
    <w:rsid w:val="000A3CD3"/>
    <w:rsid w:val="000A3CD9"/>
    <w:rsid w:val="000A42B2"/>
    <w:rsid w:val="000A4A3C"/>
    <w:rsid w:val="000A4F43"/>
    <w:rsid w:val="000A4FD1"/>
    <w:rsid w:val="000A51A3"/>
    <w:rsid w:val="000A5225"/>
    <w:rsid w:val="000A5396"/>
    <w:rsid w:val="000A5F77"/>
    <w:rsid w:val="000A6732"/>
    <w:rsid w:val="000A67B4"/>
    <w:rsid w:val="000A6FA1"/>
    <w:rsid w:val="000A76B0"/>
    <w:rsid w:val="000A7715"/>
    <w:rsid w:val="000A77E7"/>
    <w:rsid w:val="000A7E22"/>
    <w:rsid w:val="000A7F1E"/>
    <w:rsid w:val="000A7F3D"/>
    <w:rsid w:val="000A7F99"/>
    <w:rsid w:val="000A7FD2"/>
    <w:rsid w:val="000B003C"/>
    <w:rsid w:val="000B0339"/>
    <w:rsid w:val="000B0C21"/>
    <w:rsid w:val="000B0E5B"/>
    <w:rsid w:val="000B1107"/>
    <w:rsid w:val="000B1B60"/>
    <w:rsid w:val="000B1E57"/>
    <w:rsid w:val="000B2032"/>
    <w:rsid w:val="000B233F"/>
    <w:rsid w:val="000B278A"/>
    <w:rsid w:val="000B290E"/>
    <w:rsid w:val="000B33FF"/>
    <w:rsid w:val="000B35BE"/>
    <w:rsid w:val="000B3B2E"/>
    <w:rsid w:val="000B410B"/>
    <w:rsid w:val="000B43DD"/>
    <w:rsid w:val="000B440F"/>
    <w:rsid w:val="000B472F"/>
    <w:rsid w:val="000B4843"/>
    <w:rsid w:val="000B486E"/>
    <w:rsid w:val="000B5C17"/>
    <w:rsid w:val="000B6324"/>
    <w:rsid w:val="000B666F"/>
    <w:rsid w:val="000B69E4"/>
    <w:rsid w:val="000B6B3D"/>
    <w:rsid w:val="000B6B8E"/>
    <w:rsid w:val="000B6E1D"/>
    <w:rsid w:val="000B7402"/>
    <w:rsid w:val="000B761B"/>
    <w:rsid w:val="000B76E3"/>
    <w:rsid w:val="000B7745"/>
    <w:rsid w:val="000B7776"/>
    <w:rsid w:val="000B7E0E"/>
    <w:rsid w:val="000B7E6A"/>
    <w:rsid w:val="000B7F6D"/>
    <w:rsid w:val="000C01CD"/>
    <w:rsid w:val="000C02AE"/>
    <w:rsid w:val="000C02DD"/>
    <w:rsid w:val="000C04EC"/>
    <w:rsid w:val="000C05C7"/>
    <w:rsid w:val="000C0BA2"/>
    <w:rsid w:val="000C0CF8"/>
    <w:rsid w:val="000C0D14"/>
    <w:rsid w:val="000C10B6"/>
    <w:rsid w:val="000C12E8"/>
    <w:rsid w:val="000C15A6"/>
    <w:rsid w:val="000C15C4"/>
    <w:rsid w:val="000C1F34"/>
    <w:rsid w:val="000C2101"/>
    <w:rsid w:val="000C2270"/>
    <w:rsid w:val="000C235C"/>
    <w:rsid w:val="000C2987"/>
    <w:rsid w:val="000C2AF1"/>
    <w:rsid w:val="000C2D65"/>
    <w:rsid w:val="000C3490"/>
    <w:rsid w:val="000C34BE"/>
    <w:rsid w:val="000C3570"/>
    <w:rsid w:val="000C3872"/>
    <w:rsid w:val="000C3C54"/>
    <w:rsid w:val="000C3CAC"/>
    <w:rsid w:val="000C3EBB"/>
    <w:rsid w:val="000C4286"/>
    <w:rsid w:val="000C4370"/>
    <w:rsid w:val="000C4C88"/>
    <w:rsid w:val="000C4EC5"/>
    <w:rsid w:val="000C4FDB"/>
    <w:rsid w:val="000C5255"/>
    <w:rsid w:val="000C535B"/>
    <w:rsid w:val="000C54D2"/>
    <w:rsid w:val="000C5628"/>
    <w:rsid w:val="000C590B"/>
    <w:rsid w:val="000C5AA7"/>
    <w:rsid w:val="000C5C56"/>
    <w:rsid w:val="000C5D06"/>
    <w:rsid w:val="000C5EEB"/>
    <w:rsid w:val="000C61DA"/>
    <w:rsid w:val="000C621C"/>
    <w:rsid w:val="000C62AB"/>
    <w:rsid w:val="000C6606"/>
    <w:rsid w:val="000C6727"/>
    <w:rsid w:val="000C6802"/>
    <w:rsid w:val="000C7076"/>
    <w:rsid w:val="000C70F3"/>
    <w:rsid w:val="000C783F"/>
    <w:rsid w:val="000C7CA2"/>
    <w:rsid w:val="000D0300"/>
    <w:rsid w:val="000D0374"/>
    <w:rsid w:val="000D07AF"/>
    <w:rsid w:val="000D0BBA"/>
    <w:rsid w:val="000D0D66"/>
    <w:rsid w:val="000D1034"/>
    <w:rsid w:val="000D1280"/>
    <w:rsid w:val="000D143E"/>
    <w:rsid w:val="000D20D1"/>
    <w:rsid w:val="000D227C"/>
    <w:rsid w:val="000D2353"/>
    <w:rsid w:val="000D24B3"/>
    <w:rsid w:val="000D2545"/>
    <w:rsid w:val="000D264E"/>
    <w:rsid w:val="000D268E"/>
    <w:rsid w:val="000D2F72"/>
    <w:rsid w:val="000D3687"/>
    <w:rsid w:val="000D36D3"/>
    <w:rsid w:val="000D3D48"/>
    <w:rsid w:val="000D4372"/>
    <w:rsid w:val="000D454D"/>
    <w:rsid w:val="000D47C8"/>
    <w:rsid w:val="000D48D8"/>
    <w:rsid w:val="000D4A39"/>
    <w:rsid w:val="000D4AB4"/>
    <w:rsid w:val="000D5300"/>
    <w:rsid w:val="000D539E"/>
    <w:rsid w:val="000D596C"/>
    <w:rsid w:val="000D5AF8"/>
    <w:rsid w:val="000D5BC5"/>
    <w:rsid w:val="000D610E"/>
    <w:rsid w:val="000D6745"/>
    <w:rsid w:val="000D67C4"/>
    <w:rsid w:val="000D6C40"/>
    <w:rsid w:val="000D6E40"/>
    <w:rsid w:val="000D7104"/>
    <w:rsid w:val="000D718C"/>
    <w:rsid w:val="000D7207"/>
    <w:rsid w:val="000D7373"/>
    <w:rsid w:val="000D7622"/>
    <w:rsid w:val="000D79C0"/>
    <w:rsid w:val="000D7B5E"/>
    <w:rsid w:val="000D7E71"/>
    <w:rsid w:val="000E0010"/>
    <w:rsid w:val="000E00AC"/>
    <w:rsid w:val="000E016E"/>
    <w:rsid w:val="000E0854"/>
    <w:rsid w:val="000E0ADF"/>
    <w:rsid w:val="000E0E26"/>
    <w:rsid w:val="000E1111"/>
    <w:rsid w:val="000E15FF"/>
    <w:rsid w:val="000E191E"/>
    <w:rsid w:val="000E197D"/>
    <w:rsid w:val="000E19F8"/>
    <w:rsid w:val="000E1BC3"/>
    <w:rsid w:val="000E1F73"/>
    <w:rsid w:val="000E2139"/>
    <w:rsid w:val="000E224E"/>
    <w:rsid w:val="000E237C"/>
    <w:rsid w:val="000E2BF4"/>
    <w:rsid w:val="000E2F13"/>
    <w:rsid w:val="000E34E7"/>
    <w:rsid w:val="000E37A4"/>
    <w:rsid w:val="000E38BA"/>
    <w:rsid w:val="000E391A"/>
    <w:rsid w:val="000E3C29"/>
    <w:rsid w:val="000E3CDF"/>
    <w:rsid w:val="000E4726"/>
    <w:rsid w:val="000E502E"/>
    <w:rsid w:val="000E509F"/>
    <w:rsid w:val="000E55E5"/>
    <w:rsid w:val="000E58AF"/>
    <w:rsid w:val="000E5959"/>
    <w:rsid w:val="000E5ADF"/>
    <w:rsid w:val="000E5E18"/>
    <w:rsid w:val="000E672E"/>
    <w:rsid w:val="000E68C1"/>
    <w:rsid w:val="000E6A03"/>
    <w:rsid w:val="000E6D6A"/>
    <w:rsid w:val="000E6DB7"/>
    <w:rsid w:val="000E7042"/>
    <w:rsid w:val="000E7123"/>
    <w:rsid w:val="000E74AE"/>
    <w:rsid w:val="000E785A"/>
    <w:rsid w:val="000E7ADF"/>
    <w:rsid w:val="000E7BD5"/>
    <w:rsid w:val="000E7EBE"/>
    <w:rsid w:val="000F0301"/>
    <w:rsid w:val="000F0415"/>
    <w:rsid w:val="000F041B"/>
    <w:rsid w:val="000F04E5"/>
    <w:rsid w:val="000F04EE"/>
    <w:rsid w:val="000F079C"/>
    <w:rsid w:val="000F0CD4"/>
    <w:rsid w:val="000F167E"/>
    <w:rsid w:val="000F187A"/>
    <w:rsid w:val="000F1B20"/>
    <w:rsid w:val="000F1ECC"/>
    <w:rsid w:val="000F1F5D"/>
    <w:rsid w:val="000F1F9B"/>
    <w:rsid w:val="000F21E5"/>
    <w:rsid w:val="000F2759"/>
    <w:rsid w:val="000F3094"/>
    <w:rsid w:val="000F3505"/>
    <w:rsid w:val="000F3DFE"/>
    <w:rsid w:val="000F3F36"/>
    <w:rsid w:val="000F40D6"/>
    <w:rsid w:val="000F41C1"/>
    <w:rsid w:val="000F428F"/>
    <w:rsid w:val="000F4563"/>
    <w:rsid w:val="000F4645"/>
    <w:rsid w:val="000F4790"/>
    <w:rsid w:val="000F4831"/>
    <w:rsid w:val="000F4964"/>
    <w:rsid w:val="000F49B7"/>
    <w:rsid w:val="000F4C1C"/>
    <w:rsid w:val="000F585F"/>
    <w:rsid w:val="000F58E4"/>
    <w:rsid w:val="000F596B"/>
    <w:rsid w:val="000F6013"/>
    <w:rsid w:val="000F610B"/>
    <w:rsid w:val="000F667D"/>
    <w:rsid w:val="000F71D8"/>
    <w:rsid w:val="000F7581"/>
    <w:rsid w:val="000F7AE8"/>
    <w:rsid w:val="0010023B"/>
    <w:rsid w:val="0010063F"/>
    <w:rsid w:val="001006FD"/>
    <w:rsid w:val="00100D9C"/>
    <w:rsid w:val="0010131C"/>
    <w:rsid w:val="00101391"/>
    <w:rsid w:val="00101988"/>
    <w:rsid w:val="00101A18"/>
    <w:rsid w:val="00101E2D"/>
    <w:rsid w:val="00101EC3"/>
    <w:rsid w:val="00102394"/>
    <w:rsid w:val="001023DC"/>
    <w:rsid w:val="001024EF"/>
    <w:rsid w:val="0010253B"/>
    <w:rsid w:val="00102595"/>
    <w:rsid w:val="001025D5"/>
    <w:rsid w:val="00102712"/>
    <w:rsid w:val="0010281A"/>
    <w:rsid w:val="00102CE0"/>
    <w:rsid w:val="00102F0E"/>
    <w:rsid w:val="00102F5C"/>
    <w:rsid w:val="001031D5"/>
    <w:rsid w:val="001035C1"/>
    <w:rsid w:val="001036F2"/>
    <w:rsid w:val="00103AF9"/>
    <w:rsid w:val="00103D36"/>
    <w:rsid w:val="00104150"/>
    <w:rsid w:val="0010423C"/>
    <w:rsid w:val="00104579"/>
    <w:rsid w:val="001045A5"/>
    <w:rsid w:val="00104694"/>
    <w:rsid w:val="0010474F"/>
    <w:rsid w:val="0010477B"/>
    <w:rsid w:val="0010499C"/>
    <w:rsid w:val="00104C31"/>
    <w:rsid w:val="00104F75"/>
    <w:rsid w:val="0010513F"/>
    <w:rsid w:val="00105145"/>
    <w:rsid w:val="0010514F"/>
    <w:rsid w:val="001051D9"/>
    <w:rsid w:val="00105E05"/>
    <w:rsid w:val="0010634F"/>
    <w:rsid w:val="001064AE"/>
    <w:rsid w:val="00106F42"/>
    <w:rsid w:val="00107240"/>
    <w:rsid w:val="001074E1"/>
    <w:rsid w:val="001078C1"/>
    <w:rsid w:val="001079AB"/>
    <w:rsid w:val="00107A59"/>
    <w:rsid w:val="00107A89"/>
    <w:rsid w:val="00107B31"/>
    <w:rsid w:val="00110751"/>
    <w:rsid w:val="001108CF"/>
    <w:rsid w:val="00110AE3"/>
    <w:rsid w:val="00110CD3"/>
    <w:rsid w:val="00110DC9"/>
    <w:rsid w:val="00111203"/>
    <w:rsid w:val="0011183B"/>
    <w:rsid w:val="00111EA0"/>
    <w:rsid w:val="0011229A"/>
    <w:rsid w:val="00112301"/>
    <w:rsid w:val="001124BB"/>
    <w:rsid w:val="001127C0"/>
    <w:rsid w:val="001128D7"/>
    <w:rsid w:val="001130FE"/>
    <w:rsid w:val="001131EA"/>
    <w:rsid w:val="001132DD"/>
    <w:rsid w:val="00113404"/>
    <w:rsid w:val="001134C7"/>
    <w:rsid w:val="001134FA"/>
    <w:rsid w:val="001136D3"/>
    <w:rsid w:val="001136F4"/>
    <w:rsid w:val="00113A91"/>
    <w:rsid w:val="00113F4D"/>
    <w:rsid w:val="0011427F"/>
    <w:rsid w:val="001146BA"/>
    <w:rsid w:val="00114892"/>
    <w:rsid w:val="00114CFC"/>
    <w:rsid w:val="001150DB"/>
    <w:rsid w:val="001151A8"/>
    <w:rsid w:val="00115490"/>
    <w:rsid w:val="001157CA"/>
    <w:rsid w:val="00115F10"/>
    <w:rsid w:val="00115F37"/>
    <w:rsid w:val="0011629E"/>
    <w:rsid w:val="0011666A"/>
    <w:rsid w:val="0011666B"/>
    <w:rsid w:val="00116D4C"/>
    <w:rsid w:val="00116DCE"/>
    <w:rsid w:val="00117094"/>
    <w:rsid w:val="0011751A"/>
    <w:rsid w:val="00117750"/>
    <w:rsid w:val="00117ACF"/>
    <w:rsid w:val="00117AF9"/>
    <w:rsid w:val="00117C74"/>
    <w:rsid w:val="00117E91"/>
    <w:rsid w:val="00117F16"/>
    <w:rsid w:val="00117F3F"/>
    <w:rsid w:val="00117FB2"/>
    <w:rsid w:val="001202E0"/>
    <w:rsid w:val="0012040B"/>
    <w:rsid w:val="00120698"/>
    <w:rsid w:val="0012145E"/>
    <w:rsid w:val="001214BE"/>
    <w:rsid w:val="00121834"/>
    <w:rsid w:val="0012186E"/>
    <w:rsid w:val="001219E8"/>
    <w:rsid w:val="0012219C"/>
    <w:rsid w:val="00122456"/>
    <w:rsid w:val="00122607"/>
    <w:rsid w:val="001226A6"/>
    <w:rsid w:val="00122952"/>
    <w:rsid w:val="001229CD"/>
    <w:rsid w:val="00122A84"/>
    <w:rsid w:val="0012314F"/>
    <w:rsid w:val="001231A7"/>
    <w:rsid w:val="00123716"/>
    <w:rsid w:val="0012399A"/>
    <w:rsid w:val="001239DB"/>
    <w:rsid w:val="00123ADF"/>
    <w:rsid w:val="00124346"/>
    <w:rsid w:val="0012436A"/>
    <w:rsid w:val="0012447B"/>
    <w:rsid w:val="001246D2"/>
    <w:rsid w:val="00124936"/>
    <w:rsid w:val="00124AA3"/>
    <w:rsid w:val="00124B0A"/>
    <w:rsid w:val="00124B94"/>
    <w:rsid w:val="00124CA7"/>
    <w:rsid w:val="00125389"/>
    <w:rsid w:val="00125771"/>
    <w:rsid w:val="00125C36"/>
    <w:rsid w:val="001260F6"/>
    <w:rsid w:val="00126B15"/>
    <w:rsid w:val="00126F02"/>
    <w:rsid w:val="001273E0"/>
    <w:rsid w:val="00127439"/>
    <w:rsid w:val="00127957"/>
    <w:rsid w:val="00127C18"/>
    <w:rsid w:val="00127C92"/>
    <w:rsid w:val="00127D31"/>
    <w:rsid w:val="00127F44"/>
    <w:rsid w:val="001300CD"/>
    <w:rsid w:val="0013013F"/>
    <w:rsid w:val="001301C9"/>
    <w:rsid w:val="0013057F"/>
    <w:rsid w:val="00130840"/>
    <w:rsid w:val="00130935"/>
    <w:rsid w:val="00130956"/>
    <w:rsid w:val="00130E0C"/>
    <w:rsid w:val="00130F10"/>
    <w:rsid w:val="00131417"/>
    <w:rsid w:val="001314AC"/>
    <w:rsid w:val="00131529"/>
    <w:rsid w:val="001315DE"/>
    <w:rsid w:val="00131656"/>
    <w:rsid w:val="00131A37"/>
    <w:rsid w:val="00132016"/>
    <w:rsid w:val="00132247"/>
    <w:rsid w:val="00132329"/>
    <w:rsid w:val="0013233A"/>
    <w:rsid w:val="001334B8"/>
    <w:rsid w:val="00133543"/>
    <w:rsid w:val="00133705"/>
    <w:rsid w:val="001337B3"/>
    <w:rsid w:val="001339A2"/>
    <w:rsid w:val="00133B2F"/>
    <w:rsid w:val="00133E32"/>
    <w:rsid w:val="0013410D"/>
    <w:rsid w:val="001343B8"/>
    <w:rsid w:val="001343DE"/>
    <w:rsid w:val="001346B8"/>
    <w:rsid w:val="001347EC"/>
    <w:rsid w:val="0013482B"/>
    <w:rsid w:val="00134AA0"/>
    <w:rsid w:val="00134EE2"/>
    <w:rsid w:val="0013509D"/>
    <w:rsid w:val="00135126"/>
    <w:rsid w:val="001352D8"/>
    <w:rsid w:val="00135628"/>
    <w:rsid w:val="00135952"/>
    <w:rsid w:val="00135AF1"/>
    <w:rsid w:val="00135CC3"/>
    <w:rsid w:val="00135E2C"/>
    <w:rsid w:val="0013625B"/>
    <w:rsid w:val="00136282"/>
    <w:rsid w:val="00136299"/>
    <w:rsid w:val="0013695A"/>
    <w:rsid w:val="00136C0C"/>
    <w:rsid w:val="001373C3"/>
    <w:rsid w:val="001373EB"/>
    <w:rsid w:val="00137472"/>
    <w:rsid w:val="00137703"/>
    <w:rsid w:val="00137A4C"/>
    <w:rsid w:val="00137D4A"/>
    <w:rsid w:val="00137D53"/>
    <w:rsid w:val="00137E0C"/>
    <w:rsid w:val="00137F0F"/>
    <w:rsid w:val="00140003"/>
    <w:rsid w:val="00140164"/>
    <w:rsid w:val="001408F4"/>
    <w:rsid w:val="00141210"/>
    <w:rsid w:val="0014129B"/>
    <w:rsid w:val="001414AB"/>
    <w:rsid w:val="001414BF"/>
    <w:rsid w:val="0014158E"/>
    <w:rsid w:val="001415D1"/>
    <w:rsid w:val="00141C45"/>
    <w:rsid w:val="00141F44"/>
    <w:rsid w:val="00142398"/>
    <w:rsid w:val="001423E3"/>
    <w:rsid w:val="00142445"/>
    <w:rsid w:val="001428F7"/>
    <w:rsid w:val="00142969"/>
    <w:rsid w:val="00143083"/>
    <w:rsid w:val="001431C4"/>
    <w:rsid w:val="00143208"/>
    <w:rsid w:val="00143564"/>
    <w:rsid w:val="0014361E"/>
    <w:rsid w:val="001438A5"/>
    <w:rsid w:val="00143A58"/>
    <w:rsid w:val="00143E32"/>
    <w:rsid w:val="0014423B"/>
    <w:rsid w:val="00144588"/>
    <w:rsid w:val="00144776"/>
    <w:rsid w:val="001449D6"/>
    <w:rsid w:val="0014579D"/>
    <w:rsid w:val="001457D1"/>
    <w:rsid w:val="0014591D"/>
    <w:rsid w:val="00145CE3"/>
    <w:rsid w:val="0014638E"/>
    <w:rsid w:val="00146407"/>
    <w:rsid w:val="001467F4"/>
    <w:rsid w:val="00146851"/>
    <w:rsid w:val="001474EE"/>
    <w:rsid w:val="00147560"/>
    <w:rsid w:val="0014786A"/>
    <w:rsid w:val="00147BE5"/>
    <w:rsid w:val="00147CAA"/>
    <w:rsid w:val="00147DF8"/>
    <w:rsid w:val="0015010A"/>
    <w:rsid w:val="00150709"/>
    <w:rsid w:val="00150DC1"/>
    <w:rsid w:val="00150EC5"/>
    <w:rsid w:val="0015130D"/>
    <w:rsid w:val="00151541"/>
    <w:rsid w:val="001519E0"/>
    <w:rsid w:val="00151BE0"/>
    <w:rsid w:val="00151CAF"/>
    <w:rsid w:val="001521E0"/>
    <w:rsid w:val="001526D9"/>
    <w:rsid w:val="00152716"/>
    <w:rsid w:val="00152C96"/>
    <w:rsid w:val="00153483"/>
    <w:rsid w:val="0015359A"/>
    <w:rsid w:val="001535ED"/>
    <w:rsid w:val="001539E3"/>
    <w:rsid w:val="00153DCF"/>
    <w:rsid w:val="00154693"/>
    <w:rsid w:val="00154A13"/>
    <w:rsid w:val="00154E41"/>
    <w:rsid w:val="001555A4"/>
    <w:rsid w:val="001555D0"/>
    <w:rsid w:val="00155C4C"/>
    <w:rsid w:val="00156195"/>
    <w:rsid w:val="00156546"/>
    <w:rsid w:val="0015689C"/>
    <w:rsid w:val="00156B51"/>
    <w:rsid w:val="00157136"/>
    <w:rsid w:val="001574C4"/>
    <w:rsid w:val="00157D59"/>
    <w:rsid w:val="00157FDB"/>
    <w:rsid w:val="0016041C"/>
    <w:rsid w:val="001606B7"/>
    <w:rsid w:val="00160AB7"/>
    <w:rsid w:val="00161196"/>
    <w:rsid w:val="0016171A"/>
    <w:rsid w:val="001617F4"/>
    <w:rsid w:val="00161936"/>
    <w:rsid w:val="00161A21"/>
    <w:rsid w:val="00161BBB"/>
    <w:rsid w:val="00161BBF"/>
    <w:rsid w:val="00161CD2"/>
    <w:rsid w:val="001624AB"/>
    <w:rsid w:val="00162504"/>
    <w:rsid w:val="0016289A"/>
    <w:rsid w:val="00162A1B"/>
    <w:rsid w:val="0016314C"/>
    <w:rsid w:val="0016385D"/>
    <w:rsid w:val="00163D32"/>
    <w:rsid w:val="00163F35"/>
    <w:rsid w:val="0016433C"/>
    <w:rsid w:val="0016448E"/>
    <w:rsid w:val="00164614"/>
    <w:rsid w:val="00164789"/>
    <w:rsid w:val="00164826"/>
    <w:rsid w:val="00164BF9"/>
    <w:rsid w:val="00164F5C"/>
    <w:rsid w:val="0016597B"/>
    <w:rsid w:val="00165B6F"/>
    <w:rsid w:val="00166765"/>
    <w:rsid w:val="00166EB0"/>
    <w:rsid w:val="00167603"/>
    <w:rsid w:val="0016781C"/>
    <w:rsid w:val="00167859"/>
    <w:rsid w:val="00167874"/>
    <w:rsid w:val="00167D8A"/>
    <w:rsid w:val="0017019F"/>
    <w:rsid w:val="0017085B"/>
    <w:rsid w:val="00170D8E"/>
    <w:rsid w:val="00170FBE"/>
    <w:rsid w:val="0017115E"/>
    <w:rsid w:val="001711BD"/>
    <w:rsid w:val="001717BA"/>
    <w:rsid w:val="00171964"/>
    <w:rsid w:val="00171CFA"/>
    <w:rsid w:val="00171EC3"/>
    <w:rsid w:val="00172457"/>
    <w:rsid w:val="0017279B"/>
    <w:rsid w:val="00172D80"/>
    <w:rsid w:val="0017325E"/>
    <w:rsid w:val="00173951"/>
    <w:rsid w:val="00173E07"/>
    <w:rsid w:val="00173EEE"/>
    <w:rsid w:val="00174589"/>
    <w:rsid w:val="0017478D"/>
    <w:rsid w:val="00174D56"/>
    <w:rsid w:val="00174E71"/>
    <w:rsid w:val="0017519D"/>
    <w:rsid w:val="0017522A"/>
    <w:rsid w:val="001755E4"/>
    <w:rsid w:val="00175980"/>
    <w:rsid w:val="00175A1B"/>
    <w:rsid w:val="00175D70"/>
    <w:rsid w:val="00175F8C"/>
    <w:rsid w:val="0017641D"/>
    <w:rsid w:val="00176C3C"/>
    <w:rsid w:val="00176D32"/>
    <w:rsid w:val="0017781B"/>
    <w:rsid w:val="00177965"/>
    <w:rsid w:val="001779C9"/>
    <w:rsid w:val="0018029C"/>
    <w:rsid w:val="001802D5"/>
    <w:rsid w:val="00180456"/>
    <w:rsid w:val="00180811"/>
    <w:rsid w:val="00180C21"/>
    <w:rsid w:val="00180EE4"/>
    <w:rsid w:val="00181539"/>
    <w:rsid w:val="001815BD"/>
    <w:rsid w:val="00181761"/>
    <w:rsid w:val="001818FA"/>
    <w:rsid w:val="00181931"/>
    <w:rsid w:val="0018201A"/>
    <w:rsid w:val="00182051"/>
    <w:rsid w:val="00182460"/>
    <w:rsid w:val="00182812"/>
    <w:rsid w:val="00182AA3"/>
    <w:rsid w:val="00182C6F"/>
    <w:rsid w:val="00182E5A"/>
    <w:rsid w:val="00182EC3"/>
    <w:rsid w:val="00182FB6"/>
    <w:rsid w:val="001833E6"/>
    <w:rsid w:val="00183401"/>
    <w:rsid w:val="0018358B"/>
    <w:rsid w:val="00183650"/>
    <w:rsid w:val="00183737"/>
    <w:rsid w:val="00183A77"/>
    <w:rsid w:val="00183F59"/>
    <w:rsid w:val="0018400F"/>
    <w:rsid w:val="00184055"/>
    <w:rsid w:val="001843E2"/>
    <w:rsid w:val="001847DF"/>
    <w:rsid w:val="00184D0C"/>
    <w:rsid w:val="0018504D"/>
    <w:rsid w:val="001850CF"/>
    <w:rsid w:val="0018512E"/>
    <w:rsid w:val="001856CA"/>
    <w:rsid w:val="00185894"/>
    <w:rsid w:val="00185915"/>
    <w:rsid w:val="00185960"/>
    <w:rsid w:val="00185B56"/>
    <w:rsid w:val="00185B72"/>
    <w:rsid w:val="00185F65"/>
    <w:rsid w:val="0018631E"/>
    <w:rsid w:val="001863A7"/>
    <w:rsid w:val="00186C80"/>
    <w:rsid w:val="00186E67"/>
    <w:rsid w:val="00187112"/>
    <w:rsid w:val="0018716C"/>
    <w:rsid w:val="001872CB"/>
    <w:rsid w:val="00187A20"/>
    <w:rsid w:val="00187ACE"/>
    <w:rsid w:val="00187ADB"/>
    <w:rsid w:val="00187E4C"/>
    <w:rsid w:val="00190055"/>
    <w:rsid w:val="0019040C"/>
    <w:rsid w:val="001905A7"/>
    <w:rsid w:val="001905DE"/>
    <w:rsid w:val="00190950"/>
    <w:rsid w:val="00190A9F"/>
    <w:rsid w:val="00190E04"/>
    <w:rsid w:val="00190FA3"/>
    <w:rsid w:val="001911CB"/>
    <w:rsid w:val="00191487"/>
    <w:rsid w:val="00191828"/>
    <w:rsid w:val="00191DFB"/>
    <w:rsid w:val="001923F4"/>
    <w:rsid w:val="00192659"/>
    <w:rsid w:val="00192A7C"/>
    <w:rsid w:val="00192BED"/>
    <w:rsid w:val="00192CFB"/>
    <w:rsid w:val="00193256"/>
    <w:rsid w:val="00193737"/>
    <w:rsid w:val="00193E7B"/>
    <w:rsid w:val="001942F3"/>
    <w:rsid w:val="001944BA"/>
    <w:rsid w:val="00194A84"/>
    <w:rsid w:val="001954B8"/>
    <w:rsid w:val="00195A11"/>
    <w:rsid w:val="00196579"/>
    <w:rsid w:val="00196629"/>
    <w:rsid w:val="001969D0"/>
    <w:rsid w:val="00196C9C"/>
    <w:rsid w:val="00196ED1"/>
    <w:rsid w:val="00196ED4"/>
    <w:rsid w:val="00196FC8"/>
    <w:rsid w:val="001972D7"/>
    <w:rsid w:val="001972F3"/>
    <w:rsid w:val="001972FC"/>
    <w:rsid w:val="0019774C"/>
    <w:rsid w:val="00197A31"/>
    <w:rsid w:val="00197A8E"/>
    <w:rsid w:val="00197BB6"/>
    <w:rsid w:val="00197D13"/>
    <w:rsid w:val="00197E17"/>
    <w:rsid w:val="00197E1C"/>
    <w:rsid w:val="00197ED9"/>
    <w:rsid w:val="001A0941"/>
    <w:rsid w:val="001A09A6"/>
    <w:rsid w:val="001A0A83"/>
    <w:rsid w:val="001A0EB4"/>
    <w:rsid w:val="001A148F"/>
    <w:rsid w:val="001A1A34"/>
    <w:rsid w:val="001A1D2D"/>
    <w:rsid w:val="001A1D70"/>
    <w:rsid w:val="001A2E4F"/>
    <w:rsid w:val="001A3158"/>
    <w:rsid w:val="001A3495"/>
    <w:rsid w:val="001A3673"/>
    <w:rsid w:val="001A3906"/>
    <w:rsid w:val="001A3ABE"/>
    <w:rsid w:val="001A3FCA"/>
    <w:rsid w:val="001A40FB"/>
    <w:rsid w:val="001A4419"/>
    <w:rsid w:val="001A4743"/>
    <w:rsid w:val="001A488D"/>
    <w:rsid w:val="001A4922"/>
    <w:rsid w:val="001A4E0F"/>
    <w:rsid w:val="001A58EC"/>
    <w:rsid w:val="001A5935"/>
    <w:rsid w:val="001A6085"/>
    <w:rsid w:val="001A60FE"/>
    <w:rsid w:val="001A6281"/>
    <w:rsid w:val="001A6331"/>
    <w:rsid w:val="001A660A"/>
    <w:rsid w:val="001A6B85"/>
    <w:rsid w:val="001A6F21"/>
    <w:rsid w:val="001A704D"/>
    <w:rsid w:val="001A7340"/>
    <w:rsid w:val="001A7532"/>
    <w:rsid w:val="001A7721"/>
    <w:rsid w:val="001A7900"/>
    <w:rsid w:val="001A79B6"/>
    <w:rsid w:val="001A7AC1"/>
    <w:rsid w:val="001A7BF7"/>
    <w:rsid w:val="001A7ECA"/>
    <w:rsid w:val="001B00FA"/>
    <w:rsid w:val="001B03D5"/>
    <w:rsid w:val="001B0409"/>
    <w:rsid w:val="001B0921"/>
    <w:rsid w:val="001B0932"/>
    <w:rsid w:val="001B0A83"/>
    <w:rsid w:val="001B0CED"/>
    <w:rsid w:val="001B0D03"/>
    <w:rsid w:val="001B0EF5"/>
    <w:rsid w:val="001B1188"/>
    <w:rsid w:val="001B1383"/>
    <w:rsid w:val="001B14CB"/>
    <w:rsid w:val="001B17B4"/>
    <w:rsid w:val="001B1A5C"/>
    <w:rsid w:val="001B2484"/>
    <w:rsid w:val="001B257F"/>
    <w:rsid w:val="001B30DE"/>
    <w:rsid w:val="001B3174"/>
    <w:rsid w:val="001B383A"/>
    <w:rsid w:val="001B3D13"/>
    <w:rsid w:val="001B4113"/>
    <w:rsid w:val="001B42C1"/>
    <w:rsid w:val="001B4ADE"/>
    <w:rsid w:val="001B4B44"/>
    <w:rsid w:val="001B4E59"/>
    <w:rsid w:val="001B4EB7"/>
    <w:rsid w:val="001B5129"/>
    <w:rsid w:val="001B51EF"/>
    <w:rsid w:val="001B5694"/>
    <w:rsid w:val="001B57FE"/>
    <w:rsid w:val="001B58FB"/>
    <w:rsid w:val="001B643F"/>
    <w:rsid w:val="001B6819"/>
    <w:rsid w:val="001B6966"/>
    <w:rsid w:val="001B6D38"/>
    <w:rsid w:val="001B751B"/>
    <w:rsid w:val="001B7A8A"/>
    <w:rsid w:val="001C0232"/>
    <w:rsid w:val="001C0567"/>
    <w:rsid w:val="001C0988"/>
    <w:rsid w:val="001C0C59"/>
    <w:rsid w:val="001C0CB2"/>
    <w:rsid w:val="001C0D18"/>
    <w:rsid w:val="001C10E0"/>
    <w:rsid w:val="001C12CB"/>
    <w:rsid w:val="001C13E8"/>
    <w:rsid w:val="001C1459"/>
    <w:rsid w:val="001C15C5"/>
    <w:rsid w:val="001C1606"/>
    <w:rsid w:val="001C1959"/>
    <w:rsid w:val="001C1AFE"/>
    <w:rsid w:val="001C1B8F"/>
    <w:rsid w:val="001C1BBE"/>
    <w:rsid w:val="001C1CF3"/>
    <w:rsid w:val="001C1F0F"/>
    <w:rsid w:val="001C1F17"/>
    <w:rsid w:val="001C2144"/>
    <w:rsid w:val="001C256E"/>
    <w:rsid w:val="001C2577"/>
    <w:rsid w:val="001C26AA"/>
    <w:rsid w:val="001C2779"/>
    <w:rsid w:val="001C2833"/>
    <w:rsid w:val="001C2AA3"/>
    <w:rsid w:val="001C2E6A"/>
    <w:rsid w:val="001C348F"/>
    <w:rsid w:val="001C381D"/>
    <w:rsid w:val="001C3D64"/>
    <w:rsid w:val="001C3E72"/>
    <w:rsid w:val="001C448A"/>
    <w:rsid w:val="001C4722"/>
    <w:rsid w:val="001C4819"/>
    <w:rsid w:val="001C4995"/>
    <w:rsid w:val="001C50F5"/>
    <w:rsid w:val="001C5739"/>
    <w:rsid w:val="001C5C12"/>
    <w:rsid w:val="001C5F97"/>
    <w:rsid w:val="001C5FC6"/>
    <w:rsid w:val="001C610B"/>
    <w:rsid w:val="001C63E4"/>
    <w:rsid w:val="001C647F"/>
    <w:rsid w:val="001C66E5"/>
    <w:rsid w:val="001C6B57"/>
    <w:rsid w:val="001C6FF5"/>
    <w:rsid w:val="001C70A7"/>
    <w:rsid w:val="001C71E4"/>
    <w:rsid w:val="001C75A9"/>
    <w:rsid w:val="001C7606"/>
    <w:rsid w:val="001C7755"/>
    <w:rsid w:val="001C78F6"/>
    <w:rsid w:val="001C7939"/>
    <w:rsid w:val="001C7BDD"/>
    <w:rsid w:val="001C7D09"/>
    <w:rsid w:val="001C7D77"/>
    <w:rsid w:val="001D00BE"/>
    <w:rsid w:val="001D081D"/>
    <w:rsid w:val="001D0C6F"/>
    <w:rsid w:val="001D1060"/>
    <w:rsid w:val="001D13B0"/>
    <w:rsid w:val="001D1556"/>
    <w:rsid w:val="001D18C8"/>
    <w:rsid w:val="001D1A95"/>
    <w:rsid w:val="001D1BCC"/>
    <w:rsid w:val="001D1D8D"/>
    <w:rsid w:val="001D2095"/>
    <w:rsid w:val="001D2219"/>
    <w:rsid w:val="001D24AA"/>
    <w:rsid w:val="001D2560"/>
    <w:rsid w:val="001D25C8"/>
    <w:rsid w:val="001D2BC8"/>
    <w:rsid w:val="001D2F29"/>
    <w:rsid w:val="001D308E"/>
    <w:rsid w:val="001D3B56"/>
    <w:rsid w:val="001D48D0"/>
    <w:rsid w:val="001D49EE"/>
    <w:rsid w:val="001D4CC1"/>
    <w:rsid w:val="001D4FB3"/>
    <w:rsid w:val="001D4FE7"/>
    <w:rsid w:val="001D552A"/>
    <w:rsid w:val="001D5544"/>
    <w:rsid w:val="001D55D2"/>
    <w:rsid w:val="001D5860"/>
    <w:rsid w:val="001D586A"/>
    <w:rsid w:val="001D5B62"/>
    <w:rsid w:val="001D60FE"/>
    <w:rsid w:val="001D613D"/>
    <w:rsid w:val="001D61F5"/>
    <w:rsid w:val="001D6327"/>
    <w:rsid w:val="001D654E"/>
    <w:rsid w:val="001D6721"/>
    <w:rsid w:val="001D676C"/>
    <w:rsid w:val="001D690F"/>
    <w:rsid w:val="001D6A7A"/>
    <w:rsid w:val="001D6ADD"/>
    <w:rsid w:val="001D6EF5"/>
    <w:rsid w:val="001D723A"/>
    <w:rsid w:val="001D77E3"/>
    <w:rsid w:val="001D7F52"/>
    <w:rsid w:val="001D7FA6"/>
    <w:rsid w:val="001E00F2"/>
    <w:rsid w:val="001E04C0"/>
    <w:rsid w:val="001E0694"/>
    <w:rsid w:val="001E06C8"/>
    <w:rsid w:val="001E078F"/>
    <w:rsid w:val="001E08A5"/>
    <w:rsid w:val="001E09DB"/>
    <w:rsid w:val="001E0C17"/>
    <w:rsid w:val="001E0C25"/>
    <w:rsid w:val="001E1961"/>
    <w:rsid w:val="001E1ADA"/>
    <w:rsid w:val="001E1C07"/>
    <w:rsid w:val="001E1D76"/>
    <w:rsid w:val="001E2403"/>
    <w:rsid w:val="001E2587"/>
    <w:rsid w:val="001E2D87"/>
    <w:rsid w:val="001E30E3"/>
    <w:rsid w:val="001E3273"/>
    <w:rsid w:val="001E3877"/>
    <w:rsid w:val="001E3C93"/>
    <w:rsid w:val="001E414E"/>
    <w:rsid w:val="001E4217"/>
    <w:rsid w:val="001E4263"/>
    <w:rsid w:val="001E4423"/>
    <w:rsid w:val="001E4504"/>
    <w:rsid w:val="001E49C1"/>
    <w:rsid w:val="001E4AF6"/>
    <w:rsid w:val="001E5501"/>
    <w:rsid w:val="001E5AD5"/>
    <w:rsid w:val="001E5BAA"/>
    <w:rsid w:val="001E5E3F"/>
    <w:rsid w:val="001E6368"/>
    <w:rsid w:val="001E665A"/>
    <w:rsid w:val="001E67AB"/>
    <w:rsid w:val="001E6B8C"/>
    <w:rsid w:val="001E6EEB"/>
    <w:rsid w:val="001E7130"/>
    <w:rsid w:val="001E7692"/>
    <w:rsid w:val="001E76E1"/>
    <w:rsid w:val="001E7AF1"/>
    <w:rsid w:val="001E7CDD"/>
    <w:rsid w:val="001E7D5B"/>
    <w:rsid w:val="001EC47C"/>
    <w:rsid w:val="001F00B0"/>
    <w:rsid w:val="001F00FF"/>
    <w:rsid w:val="001F02BF"/>
    <w:rsid w:val="001F034B"/>
    <w:rsid w:val="001F061C"/>
    <w:rsid w:val="001F063F"/>
    <w:rsid w:val="001F074B"/>
    <w:rsid w:val="001F09DC"/>
    <w:rsid w:val="001F0E8F"/>
    <w:rsid w:val="001F0F49"/>
    <w:rsid w:val="001F1848"/>
    <w:rsid w:val="001F1DEE"/>
    <w:rsid w:val="001F1E2D"/>
    <w:rsid w:val="001F22F1"/>
    <w:rsid w:val="001F25E4"/>
    <w:rsid w:val="001F2941"/>
    <w:rsid w:val="001F30F2"/>
    <w:rsid w:val="001F3483"/>
    <w:rsid w:val="001F37E4"/>
    <w:rsid w:val="001F39C1"/>
    <w:rsid w:val="001F3ADE"/>
    <w:rsid w:val="001F4BCD"/>
    <w:rsid w:val="001F5009"/>
    <w:rsid w:val="001F50C5"/>
    <w:rsid w:val="001F57F5"/>
    <w:rsid w:val="001F58FB"/>
    <w:rsid w:val="001F59D3"/>
    <w:rsid w:val="001F5DAC"/>
    <w:rsid w:val="001F5DE3"/>
    <w:rsid w:val="001F5EBF"/>
    <w:rsid w:val="001F61A5"/>
    <w:rsid w:val="001F62D3"/>
    <w:rsid w:val="001F6601"/>
    <w:rsid w:val="001F6630"/>
    <w:rsid w:val="001F6B21"/>
    <w:rsid w:val="001F6D49"/>
    <w:rsid w:val="001F7379"/>
    <w:rsid w:val="001F755B"/>
    <w:rsid w:val="001F7666"/>
    <w:rsid w:val="001F7775"/>
    <w:rsid w:val="002001D0"/>
    <w:rsid w:val="002006FA"/>
    <w:rsid w:val="00200794"/>
    <w:rsid w:val="002007BF"/>
    <w:rsid w:val="00200CF3"/>
    <w:rsid w:val="00200D09"/>
    <w:rsid w:val="0020170F"/>
    <w:rsid w:val="0020173E"/>
    <w:rsid w:val="00201967"/>
    <w:rsid w:val="00201984"/>
    <w:rsid w:val="00201D91"/>
    <w:rsid w:val="00201E5A"/>
    <w:rsid w:val="0020344D"/>
    <w:rsid w:val="0020358F"/>
    <w:rsid w:val="002037E7"/>
    <w:rsid w:val="00203ABC"/>
    <w:rsid w:val="002049CD"/>
    <w:rsid w:val="00204E80"/>
    <w:rsid w:val="00205077"/>
    <w:rsid w:val="002052D0"/>
    <w:rsid w:val="002052DA"/>
    <w:rsid w:val="0020552A"/>
    <w:rsid w:val="002055FF"/>
    <w:rsid w:val="00205907"/>
    <w:rsid w:val="00205A80"/>
    <w:rsid w:val="00206249"/>
    <w:rsid w:val="002062CF"/>
    <w:rsid w:val="00206892"/>
    <w:rsid w:val="002068C5"/>
    <w:rsid w:val="00206A0E"/>
    <w:rsid w:val="00206C60"/>
    <w:rsid w:val="00206DF6"/>
    <w:rsid w:val="00207026"/>
    <w:rsid w:val="0020763C"/>
    <w:rsid w:val="00207A2D"/>
    <w:rsid w:val="00210170"/>
    <w:rsid w:val="00210531"/>
    <w:rsid w:val="0021134D"/>
    <w:rsid w:val="002114A8"/>
    <w:rsid w:val="00211E5C"/>
    <w:rsid w:val="00211F59"/>
    <w:rsid w:val="00212346"/>
    <w:rsid w:val="00212364"/>
    <w:rsid w:val="002123C9"/>
    <w:rsid w:val="00212635"/>
    <w:rsid w:val="00212ACA"/>
    <w:rsid w:val="00213304"/>
    <w:rsid w:val="002135C5"/>
    <w:rsid w:val="00213917"/>
    <w:rsid w:val="00213ADF"/>
    <w:rsid w:val="00213B38"/>
    <w:rsid w:val="00213BC8"/>
    <w:rsid w:val="00213D5C"/>
    <w:rsid w:val="00213DC6"/>
    <w:rsid w:val="00213E80"/>
    <w:rsid w:val="00213EC2"/>
    <w:rsid w:val="00214289"/>
    <w:rsid w:val="00214578"/>
    <w:rsid w:val="002147AA"/>
    <w:rsid w:val="00214A4B"/>
    <w:rsid w:val="00214B1A"/>
    <w:rsid w:val="00214C0D"/>
    <w:rsid w:val="00214EE6"/>
    <w:rsid w:val="0021500B"/>
    <w:rsid w:val="00215571"/>
    <w:rsid w:val="00215784"/>
    <w:rsid w:val="002158F3"/>
    <w:rsid w:val="002159EA"/>
    <w:rsid w:val="002160CE"/>
    <w:rsid w:val="0021610A"/>
    <w:rsid w:val="002162AB"/>
    <w:rsid w:val="0021638B"/>
    <w:rsid w:val="002163B4"/>
    <w:rsid w:val="002163D4"/>
    <w:rsid w:val="00216625"/>
    <w:rsid w:val="00216654"/>
    <w:rsid w:val="00216C29"/>
    <w:rsid w:val="00216DFF"/>
    <w:rsid w:val="00216E29"/>
    <w:rsid w:val="0021724B"/>
    <w:rsid w:val="002177C5"/>
    <w:rsid w:val="00217BB1"/>
    <w:rsid w:val="00217E05"/>
    <w:rsid w:val="00217E86"/>
    <w:rsid w:val="00220251"/>
    <w:rsid w:val="0022093A"/>
    <w:rsid w:val="00220AB4"/>
    <w:rsid w:val="002210A5"/>
    <w:rsid w:val="00221233"/>
    <w:rsid w:val="002213BB"/>
    <w:rsid w:val="0022141E"/>
    <w:rsid w:val="002217A5"/>
    <w:rsid w:val="00221AC6"/>
    <w:rsid w:val="00221C52"/>
    <w:rsid w:val="00221D59"/>
    <w:rsid w:val="0022212F"/>
    <w:rsid w:val="002222E7"/>
    <w:rsid w:val="002226B7"/>
    <w:rsid w:val="0022280D"/>
    <w:rsid w:val="00222AE8"/>
    <w:rsid w:val="00223092"/>
    <w:rsid w:val="002231A9"/>
    <w:rsid w:val="0022320F"/>
    <w:rsid w:val="002232B3"/>
    <w:rsid w:val="002232EC"/>
    <w:rsid w:val="00223352"/>
    <w:rsid w:val="0022370A"/>
    <w:rsid w:val="00223775"/>
    <w:rsid w:val="0022398F"/>
    <w:rsid w:val="00223ABA"/>
    <w:rsid w:val="00223C9D"/>
    <w:rsid w:val="00223CC5"/>
    <w:rsid w:val="002249C3"/>
    <w:rsid w:val="002251A2"/>
    <w:rsid w:val="002251B8"/>
    <w:rsid w:val="00225933"/>
    <w:rsid w:val="00225AA6"/>
    <w:rsid w:val="00225CF8"/>
    <w:rsid w:val="00225FC6"/>
    <w:rsid w:val="002264A9"/>
    <w:rsid w:val="0022679A"/>
    <w:rsid w:val="00227311"/>
    <w:rsid w:val="002276C8"/>
    <w:rsid w:val="002279AA"/>
    <w:rsid w:val="00230207"/>
    <w:rsid w:val="002303B0"/>
    <w:rsid w:val="0023049D"/>
    <w:rsid w:val="002305C4"/>
    <w:rsid w:val="00230B56"/>
    <w:rsid w:val="00230BC5"/>
    <w:rsid w:val="00230C28"/>
    <w:rsid w:val="00230D7F"/>
    <w:rsid w:val="00231139"/>
    <w:rsid w:val="00231300"/>
    <w:rsid w:val="00231889"/>
    <w:rsid w:val="00231B0C"/>
    <w:rsid w:val="00231BB2"/>
    <w:rsid w:val="00231BDF"/>
    <w:rsid w:val="00231CEF"/>
    <w:rsid w:val="00231D59"/>
    <w:rsid w:val="0023295C"/>
    <w:rsid w:val="00232B75"/>
    <w:rsid w:val="00232D87"/>
    <w:rsid w:val="00233552"/>
    <w:rsid w:val="00233B23"/>
    <w:rsid w:val="00233BFB"/>
    <w:rsid w:val="00233CCD"/>
    <w:rsid w:val="00233CEE"/>
    <w:rsid w:val="00233DE8"/>
    <w:rsid w:val="00233DF8"/>
    <w:rsid w:val="00234096"/>
    <w:rsid w:val="00234582"/>
    <w:rsid w:val="00234CA7"/>
    <w:rsid w:val="002350AA"/>
    <w:rsid w:val="0023514B"/>
    <w:rsid w:val="0023524F"/>
    <w:rsid w:val="00235F28"/>
    <w:rsid w:val="0023624E"/>
    <w:rsid w:val="0023680B"/>
    <w:rsid w:val="00236862"/>
    <w:rsid w:val="00236FCB"/>
    <w:rsid w:val="002373E7"/>
    <w:rsid w:val="002375D7"/>
    <w:rsid w:val="00237874"/>
    <w:rsid w:val="00237C5C"/>
    <w:rsid w:val="00237F66"/>
    <w:rsid w:val="0024026E"/>
    <w:rsid w:val="00240455"/>
    <w:rsid w:val="0024061D"/>
    <w:rsid w:val="00240D73"/>
    <w:rsid w:val="00240FE5"/>
    <w:rsid w:val="00241094"/>
    <w:rsid w:val="00241240"/>
    <w:rsid w:val="002412CF"/>
    <w:rsid w:val="002416FE"/>
    <w:rsid w:val="00241924"/>
    <w:rsid w:val="0024242E"/>
    <w:rsid w:val="00242B87"/>
    <w:rsid w:val="00242D53"/>
    <w:rsid w:val="002431B4"/>
    <w:rsid w:val="00243254"/>
    <w:rsid w:val="0024346E"/>
    <w:rsid w:val="002434BA"/>
    <w:rsid w:val="00243900"/>
    <w:rsid w:val="0024392D"/>
    <w:rsid w:val="00243C53"/>
    <w:rsid w:val="00243DE8"/>
    <w:rsid w:val="0024405E"/>
    <w:rsid w:val="00244277"/>
    <w:rsid w:val="00244487"/>
    <w:rsid w:val="002448C4"/>
    <w:rsid w:val="00244B43"/>
    <w:rsid w:val="00244CE2"/>
    <w:rsid w:val="00244FC5"/>
    <w:rsid w:val="00245387"/>
    <w:rsid w:val="002454BB"/>
    <w:rsid w:val="00245517"/>
    <w:rsid w:val="002458C3"/>
    <w:rsid w:val="00245CA6"/>
    <w:rsid w:val="00245D96"/>
    <w:rsid w:val="00245D9F"/>
    <w:rsid w:val="00245F04"/>
    <w:rsid w:val="0024615D"/>
    <w:rsid w:val="002464EE"/>
    <w:rsid w:val="00246600"/>
    <w:rsid w:val="002469A0"/>
    <w:rsid w:val="00246C6B"/>
    <w:rsid w:val="00246D53"/>
    <w:rsid w:val="00246D5C"/>
    <w:rsid w:val="00247076"/>
    <w:rsid w:val="00247298"/>
    <w:rsid w:val="0024753C"/>
    <w:rsid w:val="0024759C"/>
    <w:rsid w:val="002475EE"/>
    <w:rsid w:val="00247965"/>
    <w:rsid w:val="00247B2E"/>
    <w:rsid w:val="00250777"/>
    <w:rsid w:val="00250796"/>
    <w:rsid w:val="00250A73"/>
    <w:rsid w:val="00250B85"/>
    <w:rsid w:val="00251099"/>
    <w:rsid w:val="002511BA"/>
    <w:rsid w:val="00251871"/>
    <w:rsid w:val="002520F1"/>
    <w:rsid w:val="00252DCB"/>
    <w:rsid w:val="00252ECF"/>
    <w:rsid w:val="002537F9"/>
    <w:rsid w:val="00254098"/>
    <w:rsid w:val="002541EE"/>
    <w:rsid w:val="0025484D"/>
    <w:rsid w:val="00254D6C"/>
    <w:rsid w:val="00255702"/>
    <w:rsid w:val="00255881"/>
    <w:rsid w:val="00255989"/>
    <w:rsid w:val="00255A14"/>
    <w:rsid w:val="00255C7B"/>
    <w:rsid w:val="00255D5A"/>
    <w:rsid w:val="00255D65"/>
    <w:rsid w:val="00256156"/>
    <w:rsid w:val="00256311"/>
    <w:rsid w:val="002563DD"/>
    <w:rsid w:val="002564EA"/>
    <w:rsid w:val="00256933"/>
    <w:rsid w:val="00256F05"/>
    <w:rsid w:val="00256F9C"/>
    <w:rsid w:val="00257113"/>
    <w:rsid w:val="00257192"/>
    <w:rsid w:val="002574AB"/>
    <w:rsid w:val="00257AFA"/>
    <w:rsid w:val="00257E3B"/>
    <w:rsid w:val="00260A58"/>
    <w:rsid w:val="00260A65"/>
    <w:rsid w:val="00260E12"/>
    <w:rsid w:val="00261137"/>
    <w:rsid w:val="00261200"/>
    <w:rsid w:val="0026128C"/>
    <w:rsid w:val="002614EA"/>
    <w:rsid w:val="002618DF"/>
    <w:rsid w:val="00261D00"/>
    <w:rsid w:val="00261D6E"/>
    <w:rsid w:val="00262481"/>
    <w:rsid w:val="002624E4"/>
    <w:rsid w:val="002625DA"/>
    <w:rsid w:val="00262655"/>
    <w:rsid w:val="0026292C"/>
    <w:rsid w:val="00262A24"/>
    <w:rsid w:val="002633D9"/>
    <w:rsid w:val="002634EF"/>
    <w:rsid w:val="002644F1"/>
    <w:rsid w:val="002645B4"/>
    <w:rsid w:val="002647C8"/>
    <w:rsid w:val="00264A88"/>
    <w:rsid w:val="00264EB1"/>
    <w:rsid w:val="00265099"/>
    <w:rsid w:val="0026525A"/>
    <w:rsid w:val="00265537"/>
    <w:rsid w:val="00265B09"/>
    <w:rsid w:val="00265F99"/>
    <w:rsid w:val="0026695F"/>
    <w:rsid w:val="00266DA3"/>
    <w:rsid w:val="00267014"/>
    <w:rsid w:val="00267096"/>
    <w:rsid w:val="00267298"/>
    <w:rsid w:val="002672FF"/>
    <w:rsid w:val="00267599"/>
    <w:rsid w:val="002679F7"/>
    <w:rsid w:val="00267DF2"/>
    <w:rsid w:val="0027024C"/>
    <w:rsid w:val="00270546"/>
    <w:rsid w:val="002705B7"/>
    <w:rsid w:val="00270C92"/>
    <w:rsid w:val="00270D35"/>
    <w:rsid w:val="00270D36"/>
    <w:rsid w:val="00270D3B"/>
    <w:rsid w:val="00270F1E"/>
    <w:rsid w:val="00271093"/>
    <w:rsid w:val="002710BD"/>
    <w:rsid w:val="002717A9"/>
    <w:rsid w:val="002724B9"/>
    <w:rsid w:val="002729B6"/>
    <w:rsid w:val="00272AF2"/>
    <w:rsid w:val="00273069"/>
    <w:rsid w:val="0027340D"/>
    <w:rsid w:val="002735DF"/>
    <w:rsid w:val="0027365C"/>
    <w:rsid w:val="00273672"/>
    <w:rsid w:val="00274480"/>
    <w:rsid w:val="0027494C"/>
    <w:rsid w:val="00274C82"/>
    <w:rsid w:val="00274FBA"/>
    <w:rsid w:val="0027511C"/>
    <w:rsid w:val="00275159"/>
    <w:rsid w:val="00275164"/>
    <w:rsid w:val="00275165"/>
    <w:rsid w:val="002751BE"/>
    <w:rsid w:val="00275302"/>
    <w:rsid w:val="00275810"/>
    <w:rsid w:val="002766DF"/>
    <w:rsid w:val="0027685B"/>
    <w:rsid w:val="00276B42"/>
    <w:rsid w:val="00276B83"/>
    <w:rsid w:val="00276DBE"/>
    <w:rsid w:val="00277473"/>
    <w:rsid w:val="0027748F"/>
    <w:rsid w:val="00277B80"/>
    <w:rsid w:val="00277D52"/>
    <w:rsid w:val="00280293"/>
    <w:rsid w:val="00280359"/>
    <w:rsid w:val="00280AC6"/>
    <w:rsid w:val="00280CCA"/>
    <w:rsid w:val="00280D09"/>
    <w:rsid w:val="00280D95"/>
    <w:rsid w:val="00280E6A"/>
    <w:rsid w:val="00280F2C"/>
    <w:rsid w:val="00281065"/>
    <w:rsid w:val="00281092"/>
    <w:rsid w:val="002811CD"/>
    <w:rsid w:val="00281545"/>
    <w:rsid w:val="00281848"/>
    <w:rsid w:val="00281A8F"/>
    <w:rsid w:val="00281C34"/>
    <w:rsid w:val="002824C3"/>
    <w:rsid w:val="00282644"/>
    <w:rsid w:val="00282EDC"/>
    <w:rsid w:val="00282F22"/>
    <w:rsid w:val="00283CF2"/>
    <w:rsid w:val="00283DC1"/>
    <w:rsid w:val="00283E04"/>
    <w:rsid w:val="00284376"/>
    <w:rsid w:val="00284570"/>
    <w:rsid w:val="00284815"/>
    <w:rsid w:val="00284B2C"/>
    <w:rsid w:val="00285D36"/>
    <w:rsid w:val="0028604A"/>
    <w:rsid w:val="002862D2"/>
    <w:rsid w:val="00286CA0"/>
    <w:rsid w:val="002870AF"/>
    <w:rsid w:val="00287182"/>
    <w:rsid w:val="002873FC"/>
    <w:rsid w:val="00287517"/>
    <w:rsid w:val="00287EF2"/>
    <w:rsid w:val="002900DA"/>
    <w:rsid w:val="0029049C"/>
    <w:rsid w:val="002904FB"/>
    <w:rsid w:val="0029057D"/>
    <w:rsid w:val="00290BA1"/>
    <w:rsid w:val="00290DCB"/>
    <w:rsid w:val="0029112D"/>
    <w:rsid w:val="0029135A"/>
    <w:rsid w:val="0029180B"/>
    <w:rsid w:val="00291AAC"/>
    <w:rsid w:val="00291C2A"/>
    <w:rsid w:val="00291E36"/>
    <w:rsid w:val="00291F17"/>
    <w:rsid w:val="0029223D"/>
    <w:rsid w:val="002923EF"/>
    <w:rsid w:val="0029251D"/>
    <w:rsid w:val="00292766"/>
    <w:rsid w:val="00292D1E"/>
    <w:rsid w:val="00292E04"/>
    <w:rsid w:val="00292F7F"/>
    <w:rsid w:val="00292FA9"/>
    <w:rsid w:val="00293071"/>
    <w:rsid w:val="00293424"/>
    <w:rsid w:val="00293C02"/>
    <w:rsid w:val="00293C61"/>
    <w:rsid w:val="002943A4"/>
    <w:rsid w:val="002943DE"/>
    <w:rsid w:val="00294578"/>
    <w:rsid w:val="00294D1B"/>
    <w:rsid w:val="00294EDE"/>
    <w:rsid w:val="00294F3A"/>
    <w:rsid w:val="002950ED"/>
    <w:rsid w:val="002952F6"/>
    <w:rsid w:val="00295429"/>
    <w:rsid w:val="002957B2"/>
    <w:rsid w:val="00295876"/>
    <w:rsid w:val="00295B1B"/>
    <w:rsid w:val="00295BDB"/>
    <w:rsid w:val="00295F5C"/>
    <w:rsid w:val="002960F6"/>
    <w:rsid w:val="00296220"/>
    <w:rsid w:val="0029632E"/>
    <w:rsid w:val="002963A5"/>
    <w:rsid w:val="002963CE"/>
    <w:rsid w:val="00296487"/>
    <w:rsid w:val="002967BF"/>
    <w:rsid w:val="00296879"/>
    <w:rsid w:val="002969A0"/>
    <w:rsid w:val="00296D0B"/>
    <w:rsid w:val="00297A05"/>
    <w:rsid w:val="002A0676"/>
    <w:rsid w:val="002A06B9"/>
    <w:rsid w:val="002A0B2D"/>
    <w:rsid w:val="002A0EEB"/>
    <w:rsid w:val="002A12CD"/>
    <w:rsid w:val="002A1435"/>
    <w:rsid w:val="002A144F"/>
    <w:rsid w:val="002A1684"/>
    <w:rsid w:val="002A176D"/>
    <w:rsid w:val="002A19D4"/>
    <w:rsid w:val="002A1D6B"/>
    <w:rsid w:val="002A1DB1"/>
    <w:rsid w:val="002A20ED"/>
    <w:rsid w:val="002A2631"/>
    <w:rsid w:val="002A26E0"/>
    <w:rsid w:val="002A2A85"/>
    <w:rsid w:val="002A2B3F"/>
    <w:rsid w:val="002A2CD0"/>
    <w:rsid w:val="002A3036"/>
    <w:rsid w:val="002A332B"/>
    <w:rsid w:val="002A3485"/>
    <w:rsid w:val="002A35E6"/>
    <w:rsid w:val="002A3633"/>
    <w:rsid w:val="002A375C"/>
    <w:rsid w:val="002A3F39"/>
    <w:rsid w:val="002A400D"/>
    <w:rsid w:val="002A4086"/>
    <w:rsid w:val="002A42BF"/>
    <w:rsid w:val="002A4815"/>
    <w:rsid w:val="002A48C1"/>
    <w:rsid w:val="002A4B17"/>
    <w:rsid w:val="002A4E17"/>
    <w:rsid w:val="002A4FCE"/>
    <w:rsid w:val="002A52C9"/>
    <w:rsid w:val="002A5458"/>
    <w:rsid w:val="002A5A88"/>
    <w:rsid w:val="002A5D81"/>
    <w:rsid w:val="002A6399"/>
    <w:rsid w:val="002A6635"/>
    <w:rsid w:val="002A6989"/>
    <w:rsid w:val="002A6C3C"/>
    <w:rsid w:val="002A6CA6"/>
    <w:rsid w:val="002A70E0"/>
    <w:rsid w:val="002A7182"/>
    <w:rsid w:val="002A71AC"/>
    <w:rsid w:val="002A73A5"/>
    <w:rsid w:val="002A7950"/>
    <w:rsid w:val="002A799D"/>
    <w:rsid w:val="002A7B52"/>
    <w:rsid w:val="002A7B65"/>
    <w:rsid w:val="002A7FA8"/>
    <w:rsid w:val="002B01B4"/>
    <w:rsid w:val="002B0313"/>
    <w:rsid w:val="002B0639"/>
    <w:rsid w:val="002B092F"/>
    <w:rsid w:val="002B0977"/>
    <w:rsid w:val="002B0B19"/>
    <w:rsid w:val="002B0E1E"/>
    <w:rsid w:val="002B1385"/>
    <w:rsid w:val="002B141D"/>
    <w:rsid w:val="002B166E"/>
    <w:rsid w:val="002B1CD2"/>
    <w:rsid w:val="002B24D8"/>
    <w:rsid w:val="002B26A9"/>
    <w:rsid w:val="002B296B"/>
    <w:rsid w:val="002B2F7A"/>
    <w:rsid w:val="002B3A93"/>
    <w:rsid w:val="002B47BE"/>
    <w:rsid w:val="002B4D05"/>
    <w:rsid w:val="002B4E55"/>
    <w:rsid w:val="002B4F06"/>
    <w:rsid w:val="002B5209"/>
    <w:rsid w:val="002B54A2"/>
    <w:rsid w:val="002B5B87"/>
    <w:rsid w:val="002B5DEA"/>
    <w:rsid w:val="002B5DF9"/>
    <w:rsid w:val="002B601E"/>
    <w:rsid w:val="002B6041"/>
    <w:rsid w:val="002B61D0"/>
    <w:rsid w:val="002B664E"/>
    <w:rsid w:val="002B669F"/>
    <w:rsid w:val="002B6723"/>
    <w:rsid w:val="002B6A9B"/>
    <w:rsid w:val="002B6B04"/>
    <w:rsid w:val="002B71F5"/>
    <w:rsid w:val="002B7343"/>
    <w:rsid w:val="002B739D"/>
    <w:rsid w:val="002B73E9"/>
    <w:rsid w:val="002B7555"/>
    <w:rsid w:val="002C034E"/>
    <w:rsid w:val="002C0484"/>
    <w:rsid w:val="002C0944"/>
    <w:rsid w:val="002C1011"/>
    <w:rsid w:val="002C1163"/>
    <w:rsid w:val="002C12DD"/>
    <w:rsid w:val="002C13FC"/>
    <w:rsid w:val="002C1691"/>
    <w:rsid w:val="002C1F03"/>
    <w:rsid w:val="002C2A31"/>
    <w:rsid w:val="002C2D1B"/>
    <w:rsid w:val="002C2D61"/>
    <w:rsid w:val="002C2FC9"/>
    <w:rsid w:val="002C30E8"/>
    <w:rsid w:val="002C3184"/>
    <w:rsid w:val="002C31AF"/>
    <w:rsid w:val="002C3204"/>
    <w:rsid w:val="002C32B4"/>
    <w:rsid w:val="002C35E3"/>
    <w:rsid w:val="002C36C0"/>
    <w:rsid w:val="002C388C"/>
    <w:rsid w:val="002C3B9C"/>
    <w:rsid w:val="002C3EC8"/>
    <w:rsid w:val="002C4533"/>
    <w:rsid w:val="002C4646"/>
    <w:rsid w:val="002C49DE"/>
    <w:rsid w:val="002C509F"/>
    <w:rsid w:val="002C51CB"/>
    <w:rsid w:val="002C5825"/>
    <w:rsid w:val="002C59E4"/>
    <w:rsid w:val="002C5A3D"/>
    <w:rsid w:val="002C5F3C"/>
    <w:rsid w:val="002C6009"/>
    <w:rsid w:val="002C69EB"/>
    <w:rsid w:val="002C718A"/>
    <w:rsid w:val="002C7478"/>
    <w:rsid w:val="002C74E4"/>
    <w:rsid w:val="002C7602"/>
    <w:rsid w:val="002C78B4"/>
    <w:rsid w:val="002C7BB7"/>
    <w:rsid w:val="002C7D06"/>
    <w:rsid w:val="002C7D2C"/>
    <w:rsid w:val="002C7F44"/>
    <w:rsid w:val="002C7FBC"/>
    <w:rsid w:val="002D0258"/>
    <w:rsid w:val="002D0356"/>
    <w:rsid w:val="002D06B9"/>
    <w:rsid w:val="002D0A3D"/>
    <w:rsid w:val="002D0D17"/>
    <w:rsid w:val="002D1045"/>
    <w:rsid w:val="002D10D3"/>
    <w:rsid w:val="002D1139"/>
    <w:rsid w:val="002D13EF"/>
    <w:rsid w:val="002D18FD"/>
    <w:rsid w:val="002D1945"/>
    <w:rsid w:val="002D20E1"/>
    <w:rsid w:val="002D2120"/>
    <w:rsid w:val="002D222D"/>
    <w:rsid w:val="002D2339"/>
    <w:rsid w:val="002D25B2"/>
    <w:rsid w:val="002D27A9"/>
    <w:rsid w:val="002D287E"/>
    <w:rsid w:val="002D3BDC"/>
    <w:rsid w:val="002D44B2"/>
    <w:rsid w:val="002D44C2"/>
    <w:rsid w:val="002D47D0"/>
    <w:rsid w:val="002D4897"/>
    <w:rsid w:val="002D490C"/>
    <w:rsid w:val="002D4A30"/>
    <w:rsid w:val="002D4A7B"/>
    <w:rsid w:val="002D4B71"/>
    <w:rsid w:val="002D4D11"/>
    <w:rsid w:val="002D4F7E"/>
    <w:rsid w:val="002D5014"/>
    <w:rsid w:val="002D506F"/>
    <w:rsid w:val="002D58FF"/>
    <w:rsid w:val="002D5F4B"/>
    <w:rsid w:val="002D6211"/>
    <w:rsid w:val="002D634A"/>
    <w:rsid w:val="002D6768"/>
    <w:rsid w:val="002D6804"/>
    <w:rsid w:val="002D68E2"/>
    <w:rsid w:val="002D6A21"/>
    <w:rsid w:val="002D6A38"/>
    <w:rsid w:val="002D6A77"/>
    <w:rsid w:val="002D6ECF"/>
    <w:rsid w:val="002D7011"/>
    <w:rsid w:val="002D72E6"/>
    <w:rsid w:val="002D732A"/>
    <w:rsid w:val="002D747B"/>
    <w:rsid w:val="002D7768"/>
    <w:rsid w:val="002D776B"/>
    <w:rsid w:val="002D7813"/>
    <w:rsid w:val="002D7CB3"/>
    <w:rsid w:val="002D7DE3"/>
    <w:rsid w:val="002D7F0E"/>
    <w:rsid w:val="002E0AB0"/>
    <w:rsid w:val="002E0ACF"/>
    <w:rsid w:val="002E0D2C"/>
    <w:rsid w:val="002E0E18"/>
    <w:rsid w:val="002E1019"/>
    <w:rsid w:val="002E1353"/>
    <w:rsid w:val="002E1446"/>
    <w:rsid w:val="002E144B"/>
    <w:rsid w:val="002E1498"/>
    <w:rsid w:val="002E14AF"/>
    <w:rsid w:val="002E14F1"/>
    <w:rsid w:val="002E1660"/>
    <w:rsid w:val="002E1837"/>
    <w:rsid w:val="002E1FD2"/>
    <w:rsid w:val="002E26C3"/>
    <w:rsid w:val="002E299E"/>
    <w:rsid w:val="002E35C5"/>
    <w:rsid w:val="002E3669"/>
    <w:rsid w:val="002E3D53"/>
    <w:rsid w:val="002E3D87"/>
    <w:rsid w:val="002E3E8D"/>
    <w:rsid w:val="002E42C8"/>
    <w:rsid w:val="002E46C0"/>
    <w:rsid w:val="002E478C"/>
    <w:rsid w:val="002E4CE8"/>
    <w:rsid w:val="002E4D1E"/>
    <w:rsid w:val="002E4EEA"/>
    <w:rsid w:val="002E51A5"/>
    <w:rsid w:val="002E54F0"/>
    <w:rsid w:val="002E5DD0"/>
    <w:rsid w:val="002E5F1F"/>
    <w:rsid w:val="002E5F6B"/>
    <w:rsid w:val="002E621D"/>
    <w:rsid w:val="002E6ACA"/>
    <w:rsid w:val="002E6E2F"/>
    <w:rsid w:val="002E7153"/>
    <w:rsid w:val="002E7228"/>
    <w:rsid w:val="002E7313"/>
    <w:rsid w:val="002E74F9"/>
    <w:rsid w:val="002F0086"/>
    <w:rsid w:val="002F015E"/>
    <w:rsid w:val="002F0C88"/>
    <w:rsid w:val="002F0CD9"/>
    <w:rsid w:val="002F0E6C"/>
    <w:rsid w:val="002F17C4"/>
    <w:rsid w:val="002F1A7B"/>
    <w:rsid w:val="002F1E73"/>
    <w:rsid w:val="002F26E2"/>
    <w:rsid w:val="002F2816"/>
    <w:rsid w:val="002F292A"/>
    <w:rsid w:val="002F2C3C"/>
    <w:rsid w:val="002F36A2"/>
    <w:rsid w:val="002F3E6D"/>
    <w:rsid w:val="002F3EB5"/>
    <w:rsid w:val="002F4124"/>
    <w:rsid w:val="002F4384"/>
    <w:rsid w:val="002F4755"/>
    <w:rsid w:val="002F535B"/>
    <w:rsid w:val="002F53E0"/>
    <w:rsid w:val="002F5690"/>
    <w:rsid w:val="002F6027"/>
    <w:rsid w:val="002F6249"/>
    <w:rsid w:val="002F6D7D"/>
    <w:rsid w:val="002F6DEE"/>
    <w:rsid w:val="002F7490"/>
    <w:rsid w:val="002F7B6E"/>
    <w:rsid w:val="00300262"/>
    <w:rsid w:val="00300C07"/>
    <w:rsid w:val="00300E87"/>
    <w:rsid w:val="00300EE1"/>
    <w:rsid w:val="00301040"/>
    <w:rsid w:val="00301328"/>
    <w:rsid w:val="003013A5"/>
    <w:rsid w:val="003013BE"/>
    <w:rsid w:val="003018F0"/>
    <w:rsid w:val="00301F72"/>
    <w:rsid w:val="0030226C"/>
    <w:rsid w:val="003025F9"/>
    <w:rsid w:val="003027FF"/>
    <w:rsid w:val="003029FF"/>
    <w:rsid w:val="00302AAB"/>
    <w:rsid w:val="00302D7D"/>
    <w:rsid w:val="00302E0C"/>
    <w:rsid w:val="00302E4C"/>
    <w:rsid w:val="00302FE3"/>
    <w:rsid w:val="00303338"/>
    <w:rsid w:val="003033B0"/>
    <w:rsid w:val="003036BF"/>
    <w:rsid w:val="00303831"/>
    <w:rsid w:val="003043AE"/>
    <w:rsid w:val="003043C8"/>
    <w:rsid w:val="003046B0"/>
    <w:rsid w:val="003046D4"/>
    <w:rsid w:val="0030473D"/>
    <w:rsid w:val="003047FB"/>
    <w:rsid w:val="00304D4B"/>
    <w:rsid w:val="00304D73"/>
    <w:rsid w:val="00304D92"/>
    <w:rsid w:val="00304F5D"/>
    <w:rsid w:val="003050E8"/>
    <w:rsid w:val="00305219"/>
    <w:rsid w:val="00305CDC"/>
    <w:rsid w:val="00305CE6"/>
    <w:rsid w:val="00305E0D"/>
    <w:rsid w:val="003060CC"/>
    <w:rsid w:val="00306187"/>
    <w:rsid w:val="003071ED"/>
    <w:rsid w:val="00307610"/>
    <w:rsid w:val="00307745"/>
    <w:rsid w:val="003077F6"/>
    <w:rsid w:val="00307887"/>
    <w:rsid w:val="00310CA1"/>
    <w:rsid w:val="00310F63"/>
    <w:rsid w:val="00310FC9"/>
    <w:rsid w:val="0031143D"/>
    <w:rsid w:val="00311C14"/>
    <w:rsid w:val="003122E1"/>
    <w:rsid w:val="0031295A"/>
    <w:rsid w:val="00312E61"/>
    <w:rsid w:val="00313427"/>
    <w:rsid w:val="003136EF"/>
    <w:rsid w:val="00313957"/>
    <w:rsid w:val="00313B29"/>
    <w:rsid w:val="00313B3F"/>
    <w:rsid w:val="00313B80"/>
    <w:rsid w:val="00313F75"/>
    <w:rsid w:val="003140BF"/>
    <w:rsid w:val="0031434C"/>
    <w:rsid w:val="00314D83"/>
    <w:rsid w:val="00314DAA"/>
    <w:rsid w:val="00314E27"/>
    <w:rsid w:val="00315060"/>
    <w:rsid w:val="0031518F"/>
    <w:rsid w:val="003151DB"/>
    <w:rsid w:val="0031528B"/>
    <w:rsid w:val="0031585B"/>
    <w:rsid w:val="00315A71"/>
    <w:rsid w:val="00315DA3"/>
    <w:rsid w:val="00315FC7"/>
    <w:rsid w:val="0031660A"/>
    <w:rsid w:val="00316C0B"/>
    <w:rsid w:val="00316E61"/>
    <w:rsid w:val="0031721F"/>
    <w:rsid w:val="003175A4"/>
    <w:rsid w:val="00317839"/>
    <w:rsid w:val="003179A4"/>
    <w:rsid w:val="00317E6A"/>
    <w:rsid w:val="00320335"/>
    <w:rsid w:val="003203EB"/>
    <w:rsid w:val="0032063B"/>
    <w:rsid w:val="00320852"/>
    <w:rsid w:val="00320BF5"/>
    <w:rsid w:val="0032113D"/>
    <w:rsid w:val="003211E9"/>
    <w:rsid w:val="00321491"/>
    <w:rsid w:val="00321912"/>
    <w:rsid w:val="00322334"/>
    <w:rsid w:val="00322375"/>
    <w:rsid w:val="003226A2"/>
    <w:rsid w:val="003228F5"/>
    <w:rsid w:val="00322AF9"/>
    <w:rsid w:val="00322CA0"/>
    <w:rsid w:val="00322CF7"/>
    <w:rsid w:val="00322D33"/>
    <w:rsid w:val="00322E10"/>
    <w:rsid w:val="003236FF"/>
    <w:rsid w:val="00323A20"/>
    <w:rsid w:val="00323AA8"/>
    <w:rsid w:val="00323B92"/>
    <w:rsid w:val="00324545"/>
    <w:rsid w:val="0032465E"/>
    <w:rsid w:val="00324D73"/>
    <w:rsid w:val="00324F61"/>
    <w:rsid w:val="00325088"/>
    <w:rsid w:val="003254BF"/>
    <w:rsid w:val="00325552"/>
    <w:rsid w:val="0032573D"/>
    <w:rsid w:val="00325B5B"/>
    <w:rsid w:val="00325D50"/>
    <w:rsid w:val="00325EF6"/>
    <w:rsid w:val="003260F9"/>
    <w:rsid w:val="00326A84"/>
    <w:rsid w:val="003270B7"/>
    <w:rsid w:val="0032742C"/>
    <w:rsid w:val="00327513"/>
    <w:rsid w:val="00327AB4"/>
    <w:rsid w:val="00327EBE"/>
    <w:rsid w:val="00330642"/>
    <w:rsid w:val="00330722"/>
    <w:rsid w:val="00331079"/>
    <w:rsid w:val="003312BF"/>
    <w:rsid w:val="00331B50"/>
    <w:rsid w:val="00331BA7"/>
    <w:rsid w:val="0033200A"/>
    <w:rsid w:val="0033254A"/>
    <w:rsid w:val="00332646"/>
    <w:rsid w:val="003328C1"/>
    <w:rsid w:val="00332989"/>
    <w:rsid w:val="00332B8E"/>
    <w:rsid w:val="00332C56"/>
    <w:rsid w:val="00332CA8"/>
    <w:rsid w:val="00332D41"/>
    <w:rsid w:val="0033316C"/>
    <w:rsid w:val="00333248"/>
    <w:rsid w:val="00333510"/>
    <w:rsid w:val="0033352E"/>
    <w:rsid w:val="003335F0"/>
    <w:rsid w:val="003337FF"/>
    <w:rsid w:val="00333AA0"/>
    <w:rsid w:val="00333B0F"/>
    <w:rsid w:val="00333B71"/>
    <w:rsid w:val="00333E16"/>
    <w:rsid w:val="003340D0"/>
    <w:rsid w:val="00334330"/>
    <w:rsid w:val="0033461A"/>
    <w:rsid w:val="00334CED"/>
    <w:rsid w:val="00334E75"/>
    <w:rsid w:val="00334FC6"/>
    <w:rsid w:val="00335056"/>
    <w:rsid w:val="003353FC"/>
    <w:rsid w:val="0033569A"/>
    <w:rsid w:val="00335A7C"/>
    <w:rsid w:val="00335B4E"/>
    <w:rsid w:val="00336075"/>
    <w:rsid w:val="00336C93"/>
    <w:rsid w:val="00336D55"/>
    <w:rsid w:val="00336D8B"/>
    <w:rsid w:val="00337351"/>
    <w:rsid w:val="0033742E"/>
    <w:rsid w:val="00337A52"/>
    <w:rsid w:val="00337B75"/>
    <w:rsid w:val="00337D4B"/>
    <w:rsid w:val="00337EA5"/>
    <w:rsid w:val="00340151"/>
    <w:rsid w:val="003402D9"/>
    <w:rsid w:val="003403E1"/>
    <w:rsid w:val="0034041F"/>
    <w:rsid w:val="00340540"/>
    <w:rsid w:val="00340755"/>
    <w:rsid w:val="003408B1"/>
    <w:rsid w:val="00341383"/>
    <w:rsid w:val="00341386"/>
    <w:rsid w:val="0034141C"/>
    <w:rsid w:val="003419D3"/>
    <w:rsid w:val="00341C98"/>
    <w:rsid w:val="00341CDB"/>
    <w:rsid w:val="00341F88"/>
    <w:rsid w:val="00342161"/>
    <w:rsid w:val="003421E5"/>
    <w:rsid w:val="0034228D"/>
    <w:rsid w:val="00342569"/>
    <w:rsid w:val="00342674"/>
    <w:rsid w:val="00342AFB"/>
    <w:rsid w:val="00342B5B"/>
    <w:rsid w:val="00342BCD"/>
    <w:rsid w:val="00342F5A"/>
    <w:rsid w:val="003430DC"/>
    <w:rsid w:val="00343584"/>
    <w:rsid w:val="003437F1"/>
    <w:rsid w:val="003439BE"/>
    <w:rsid w:val="00343BF5"/>
    <w:rsid w:val="00343C63"/>
    <w:rsid w:val="00343FBB"/>
    <w:rsid w:val="00344112"/>
    <w:rsid w:val="003442B5"/>
    <w:rsid w:val="00344801"/>
    <w:rsid w:val="003448D3"/>
    <w:rsid w:val="003448F2"/>
    <w:rsid w:val="00344F61"/>
    <w:rsid w:val="003455BD"/>
    <w:rsid w:val="00345C7A"/>
    <w:rsid w:val="00345CA0"/>
    <w:rsid w:val="00345CA8"/>
    <w:rsid w:val="00345D96"/>
    <w:rsid w:val="00345DF2"/>
    <w:rsid w:val="003464E0"/>
    <w:rsid w:val="00346630"/>
    <w:rsid w:val="003468A4"/>
    <w:rsid w:val="00346A50"/>
    <w:rsid w:val="00346D72"/>
    <w:rsid w:val="00346D78"/>
    <w:rsid w:val="003470AE"/>
    <w:rsid w:val="0034788D"/>
    <w:rsid w:val="0034789A"/>
    <w:rsid w:val="00347C9C"/>
    <w:rsid w:val="0035005F"/>
    <w:rsid w:val="0035031F"/>
    <w:rsid w:val="003503DC"/>
    <w:rsid w:val="00350814"/>
    <w:rsid w:val="003508A6"/>
    <w:rsid w:val="00350B5F"/>
    <w:rsid w:val="00350CC2"/>
    <w:rsid w:val="00350D22"/>
    <w:rsid w:val="00350D2A"/>
    <w:rsid w:val="00350EF0"/>
    <w:rsid w:val="003510AB"/>
    <w:rsid w:val="00351153"/>
    <w:rsid w:val="0035131B"/>
    <w:rsid w:val="00351678"/>
    <w:rsid w:val="00351CAC"/>
    <w:rsid w:val="00351E59"/>
    <w:rsid w:val="00351F59"/>
    <w:rsid w:val="00351FEC"/>
    <w:rsid w:val="003521B7"/>
    <w:rsid w:val="00352218"/>
    <w:rsid w:val="00352226"/>
    <w:rsid w:val="003522B7"/>
    <w:rsid w:val="00352592"/>
    <w:rsid w:val="00352C5C"/>
    <w:rsid w:val="00352ECC"/>
    <w:rsid w:val="003530A5"/>
    <w:rsid w:val="00353280"/>
    <w:rsid w:val="00353356"/>
    <w:rsid w:val="003538D7"/>
    <w:rsid w:val="00353A4B"/>
    <w:rsid w:val="00353AA6"/>
    <w:rsid w:val="00353ACE"/>
    <w:rsid w:val="00353C8D"/>
    <w:rsid w:val="00353CB7"/>
    <w:rsid w:val="00353D39"/>
    <w:rsid w:val="00353E05"/>
    <w:rsid w:val="00353E98"/>
    <w:rsid w:val="00354262"/>
    <w:rsid w:val="0035438A"/>
    <w:rsid w:val="00354765"/>
    <w:rsid w:val="003547A1"/>
    <w:rsid w:val="0035485A"/>
    <w:rsid w:val="00354889"/>
    <w:rsid w:val="00354AD3"/>
    <w:rsid w:val="00354B3C"/>
    <w:rsid w:val="00354D59"/>
    <w:rsid w:val="0035523B"/>
    <w:rsid w:val="00355274"/>
    <w:rsid w:val="003552F3"/>
    <w:rsid w:val="0035584C"/>
    <w:rsid w:val="0035596D"/>
    <w:rsid w:val="00355BF9"/>
    <w:rsid w:val="00355E2F"/>
    <w:rsid w:val="003565B5"/>
    <w:rsid w:val="00356AD8"/>
    <w:rsid w:val="00356FB7"/>
    <w:rsid w:val="00357246"/>
    <w:rsid w:val="003573F2"/>
    <w:rsid w:val="003576A3"/>
    <w:rsid w:val="00357702"/>
    <w:rsid w:val="003577A4"/>
    <w:rsid w:val="0035797E"/>
    <w:rsid w:val="00357BB4"/>
    <w:rsid w:val="0036034B"/>
    <w:rsid w:val="0036052A"/>
    <w:rsid w:val="003617FF"/>
    <w:rsid w:val="0036209D"/>
    <w:rsid w:val="00362156"/>
    <w:rsid w:val="003621CB"/>
    <w:rsid w:val="003622E3"/>
    <w:rsid w:val="003626A6"/>
    <w:rsid w:val="003626E4"/>
    <w:rsid w:val="00362766"/>
    <w:rsid w:val="00362B1E"/>
    <w:rsid w:val="00362B48"/>
    <w:rsid w:val="00362B90"/>
    <w:rsid w:val="00362C4A"/>
    <w:rsid w:val="00362D94"/>
    <w:rsid w:val="00362FF5"/>
    <w:rsid w:val="00362FF7"/>
    <w:rsid w:val="00363135"/>
    <w:rsid w:val="003634C2"/>
    <w:rsid w:val="0036355F"/>
    <w:rsid w:val="003636BC"/>
    <w:rsid w:val="00363B8D"/>
    <w:rsid w:val="00364CFE"/>
    <w:rsid w:val="00364DE1"/>
    <w:rsid w:val="00364F7B"/>
    <w:rsid w:val="00365151"/>
    <w:rsid w:val="00365335"/>
    <w:rsid w:val="003656F0"/>
    <w:rsid w:val="00365841"/>
    <w:rsid w:val="00365AE2"/>
    <w:rsid w:val="00365AF7"/>
    <w:rsid w:val="00365CB9"/>
    <w:rsid w:val="0036600D"/>
    <w:rsid w:val="0036621A"/>
    <w:rsid w:val="003664A7"/>
    <w:rsid w:val="00366923"/>
    <w:rsid w:val="00366AC7"/>
    <w:rsid w:val="00366F3F"/>
    <w:rsid w:val="003670E5"/>
    <w:rsid w:val="00367104"/>
    <w:rsid w:val="003675CF"/>
    <w:rsid w:val="00367622"/>
    <w:rsid w:val="00367F8D"/>
    <w:rsid w:val="003708C1"/>
    <w:rsid w:val="0037096B"/>
    <w:rsid w:val="00370D77"/>
    <w:rsid w:val="00370DE7"/>
    <w:rsid w:val="00371034"/>
    <w:rsid w:val="00371980"/>
    <w:rsid w:val="003722D3"/>
    <w:rsid w:val="00372480"/>
    <w:rsid w:val="00372744"/>
    <w:rsid w:val="00372B50"/>
    <w:rsid w:val="00372E45"/>
    <w:rsid w:val="00372FA4"/>
    <w:rsid w:val="003731C2"/>
    <w:rsid w:val="00373559"/>
    <w:rsid w:val="003735FF"/>
    <w:rsid w:val="00373960"/>
    <w:rsid w:val="00373AA2"/>
    <w:rsid w:val="00373BB4"/>
    <w:rsid w:val="00373E44"/>
    <w:rsid w:val="00374179"/>
    <w:rsid w:val="003741D8"/>
    <w:rsid w:val="0037427D"/>
    <w:rsid w:val="00374394"/>
    <w:rsid w:val="00374526"/>
    <w:rsid w:val="003745BE"/>
    <w:rsid w:val="00374E6E"/>
    <w:rsid w:val="00374FDF"/>
    <w:rsid w:val="003761DF"/>
    <w:rsid w:val="003769D1"/>
    <w:rsid w:val="00376DD2"/>
    <w:rsid w:val="0037702A"/>
    <w:rsid w:val="0037705E"/>
    <w:rsid w:val="00377071"/>
    <w:rsid w:val="00377210"/>
    <w:rsid w:val="003772BF"/>
    <w:rsid w:val="003776A4"/>
    <w:rsid w:val="003776D0"/>
    <w:rsid w:val="0037790B"/>
    <w:rsid w:val="00377B56"/>
    <w:rsid w:val="00377E6C"/>
    <w:rsid w:val="00380315"/>
    <w:rsid w:val="003804BF"/>
    <w:rsid w:val="00380714"/>
    <w:rsid w:val="00380782"/>
    <w:rsid w:val="00380B69"/>
    <w:rsid w:val="00380BF2"/>
    <w:rsid w:val="00380C9C"/>
    <w:rsid w:val="00380FF9"/>
    <w:rsid w:val="00381557"/>
    <w:rsid w:val="00381829"/>
    <w:rsid w:val="0038190D"/>
    <w:rsid w:val="00381912"/>
    <w:rsid w:val="00381FF9"/>
    <w:rsid w:val="00382418"/>
    <w:rsid w:val="00382A2A"/>
    <w:rsid w:val="00382C96"/>
    <w:rsid w:val="00382F33"/>
    <w:rsid w:val="0038330C"/>
    <w:rsid w:val="00383832"/>
    <w:rsid w:val="00383837"/>
    <w:rsid w:val="00383B53"/>
    <w:rsid w:val="00383BB1"/>
    <w:rsid w:val="00383F04"/>
    <w:rsid w:val="003843CA"/>
    <w:rsid w:val="0038475A"/>
    <w:rsid w:val="0038480A"/>
    <w:rsid w:val="003848A7"/>
    <w:rsid w:val="00384932"/>
    <w:rsid w:val="00384A86"/>
    <w:rsid w:val="0038530C"/>
    <w:rsid w:val="0038530D"/>
    <w:rsid w:val="00385666"/>
    <w:rsid w:val="003857E7"/>
    <w:rsid w:val="00385996"/>
    <w:rsid w:val="00385BFF"/>
    <w:rsid w:val="00385FF3"/>
    <w:rsid w:val="003860F2"/>
    <w:rsid w:val="003865C3"/>
    <w:rsid w:val="00386655"/>
    <w:rsid w:val="00386EE9"/>
    <w:rsid w:val="0038711A"/>
    <w:rsid w:val="00387441"/>
    <w:rsid w:val="00387C58"/>
    <w:rsid w:val="00387CE5"/>
    <w:rsid w:val="00387F17"/>
    <w:rsid w:val="00390117"/>
    <w:rsid w:val="00390FBC"/>
    <w:rsid w:val="0039115D"/>
    <w:rsid w:val="00391163"/>
    <w:rsid w:val="0039122E"/>
    <w:rsid w:val="00391500"/>
    <w:rsid w:val="0039170D"/>
    <w:rsid w:val="0039193F"/>
    <w:rsid w:val="00391DE5"/>
    <w:rsid w:val="00391E5D"/>
    <w:rsid w:val="00392402"/>
    <w:rsid w:val="003926FD"/>
    <w:rsid w:val="003929F2"/>
    <w:rsid w:val="00392C3A"/>
    <w:rsid w:val="00392D2B"/>
    <w:rsid w:val="00392FAB"/>
    <w:rsid w:val="003931DD"/>
    <w:rsid w:val="00393384"/>
    <w:rsid w:val="003938E2"/>
    <w:rsid w:val="00393C95"/>
    <w:rsid w:val="00393E2D"/>
    <w:rsid w:val="00393EA0"/>
    <w:rsid w:val="00393FB8"/>
    <w:rsid w:val="00394709"/>
    <w:rsid w:val="003947AF"/>
    <w:rsid w:val="0039493B"/>
    <w:rsid w:val="00394AD3"/>
    <w:rsid w:val="0039506E"/>
    <w:rsid w:val="003953D1"/>
    <w:rsid w:val="003955C9"/>
    <w:rsid w:val="0039597F"/>
    <w:rsid w:val="003959C8"/>
    <w:rsid w:val="00396254"/>
    <w:rsid w:val="00396319"/>
    <w:rsid w:val="0039699D"/>
    <w:rsid w:val="0039718F"/>
    <w:rsid w:val="003971EB"/>
    <w:rsid w:val="0039732C"/>
    <w:rsid w:val="00397A5D"/>
    <w:rsid w:val="00397B0F"/>
    <w:rsid w:val="00397EAD"/>
    <w:rsid w:val="003A0025"/>
    <w:rsid w:val="003A0935"/>
    <w:rsid w:val="003A0A0F"/>
    <w:rsid w:val="003A10B2"/>
    <w:rsid w:val="003A1204"/>
    <w:rsid w:val="003A1283"/>
    <w:rsid w:val="003A12DD"/>
    <w:rsid w:val="003A14B3"/>
    <w:rsid w:val="003A14FC"/>
    <w:rsid w:val="003A15DF"/>
    <w:rsid w:val="003A17CD"/>
    <w:rsid w:val="003A1A27"/>
    <w:rsid w:val="003A1B91"/>
    <w:rsid w:val="003A1D44"/>
    <w:rsid w:val="003A1EF6"/>
    <w:rsid w:val="003A201B"/>
    <w:rsid w:val="003A221E"/>
    <w:rsid w:val="003A2337"/>
    <w:rsid w:val="003A23CC"/>
    <w:rsid w:val="003A2652"/>
    <w:rsid w:val="003A2BBA"/>
    <w:rsid w:val="003A316D"/>
    <w:rsid w:val="003A3170"/>
    <w:rsid w:val="003A3643"/>
    <w:rsid w:val="003A3770"/>
    <w:rsid w:val="003A3AE9"/>
    <w:rsid w:val="003A3E58"/>
    <w:rsid w:val="003A3E67"/>
    <w:rsid w:val="003A3EA1"/>
    <w:rsid w:val="003A46D0"/>
    <w:rsid w:val="003A4703"/>
    <w:rsid w:val="003A4ED3"/>
    <w:rsid w:val="003A51C7"/>
    <w:rsid w:val="003A56CE"/>
    <w:rsid w:val="003A5A4A"/>
    <w:rsid w:val="003A5C53"/>
    <w:rsid w:val="003A5F9E"/>
    <w:rsid w:val="003A6021"/>
    <w:rsid w:val="003A6140"/>
    <w:rsid w:val="003A66A3"/>
    <w:rsid w:val="003A6B88"/>
    <w:rsid w:val="003A7202"/>
    <w:rsid w:val="003A7383"/>
    <w:rsid w:val="003A7480"/>
    <w:rsid w:val="003A7B2B"/>
    <w:rsid w:val="003A7C61"/>
    <w:rsid w:val="003A7D3B"/>
    <w:rsid w:val="003A7F4D"/>
    <w:rsid w:val="003B0498"/>
    <w:rsid w:val="003B071D"/>
    <w:rsid w:val="003B0BAF"/>
    <w:rsid w:val="003B0C58"/>
    <w:rsid w:val="003B1157"/>
    <w:rsid w:val="003B14A3"/>
    <w:rsid w:val="003B188F"/>
    <w:rsid w:val="003B1D39"/>
    <w:rsid w:val="003B2165"/>
    <w:rsid w:val="003B26A9"/>
    <w:rsid w:val="003B295E"/>
    <w:rsid w:val="003B29DA"/>
    <w:rsid w:val="003B2F8F"/>
    <w:rsid w:val="003B303F"/>
    <w:rsid w:val="003B35BD"/>
    <w:rsid w:val="003B370B"/>
    <w:rsid w:val="003B399F"/>
    <w:rsid w:val="003B4362"/>
    <w:rsid w:val="003B446B"/>
    <w:rsid w:val="003B474F"/>
    <w:rsid w:val="003B483C"/>
    <w:rsid w:val="003B4A8B"/>
    <w:rsid w:val="003B4C11"/>
    <w:rsid w:val="003B4E8A"/>
    <w:rsid w:val="003B4ECA"/>
    <w:rsid w:val="003B517A"/>
    <w:rsid w:val="003B5350"/>
    <w:rsid w:val="003B53C2"/>
    <w:rsid w:val="003B5497"/>
    <w:rsid w:val="003B5659"/>
    <w:rsid w:val="003B5982"/>
    <w:rsid w:val="003B5C0E"/>
    <w:rsid w:val="003B5D16"/>
    <w:rsid w:val="003B5E64"/>
    <w:rsid w:val="003B5E7D"/>
    <w:rsid w:val="003B5F53"/>
    <w:rsid w:val="003B60DF"/>
    <w:rsid w:val="003B661F"/>
    <w:rsid w:val="003B6841"/>
    <w:rsid w:val="003B6AB5"/>
    <w:rsid w:val="003B6CCC"/>
    <w:rsid w:val="003B71A2"/>
    <w:rsid w:val="003B72D4"/>
    <w:rsid w:val="003B7307"/>
    <w:rsid w:val="003B7309"/>
    <w:rsid w:val="003C05D7"/>
    <w:rsid w:val="003C0E86"/>
    <w:rsid w:val="003C12F2"/>
    <w:rsid w:val="003C12F7"/>
    <w:rsid w:val="003C144D"/>
    <w:rsid w:val="003C17B5"/>
    <w:rsid w:val="003C1841"/>
    <w:rsid w:val="003C1A47"/>
    <w:rsid w:val="003C1D46"/>
    <w:rsid w:val="003C1D50"/>
    <w:rsid w:val="003C21AF"/>
    <w:rsid w:val="003C237F"/>
    <w:rsid w:val="003C2564"/>
    <w:rsid w:val="003C2786"/>
    <w:rsid w:val="003C27A5"/>
    <w:rsid w:val="003C29BA"/>
    <w:rsid w:val="003C29ED"/>
    <w:rsid w:val="003C2C61"/>
    <w:rsid w:val="003C2F93"/>
    <w:rsid w:val="003C3170"/>
    <w:rsid w:val="003C31B4"/>
    <w:rsid w:val="003C338B"/>
    <w:rsid w:val="003C34FF"/>
    <w:rsid w:val="003C3743"/>
    <w:rsid w:val="003C383C"/>
    <w:rsid w:val="003C3E54"/>
    <w:rsid w:val="003C3EC5"/>
    <w:rsid w:val="003C4482"/>
    <w:rsid w:val="003C46AE"/>
    <w:rsid w:val="003C48D3"/>
    <w:rsid w:val="003C4B16"/>
    <w:rsid w:val="003C4C79"/>
    <w:rsid w:val="003C4EAD"/>
    <w:rsid w:val="003C5D90"/>
    <w:rsid w:val="003C602E"/>
    <w:rsid w:val="003C650D"/>
    <w:rsid w:val="003C654A"/>
    <w:rsid w:val="003C65B0"/>
    <w:rsid w:val="003C6825"/>
    <w:rsid w:val="003C6874"/>
    <w:rsid w:val="003C6D94"/>
    <w:rsid w:val="003C7054"/>
    <w:rsid w:val="003C752A"/>
    <w:rsid w:val="003C7714"/>
    <w:rsid w:val="003C7976"/>
    <w:rsid w:val="003C79F2"/>
    <w:rsid w:val="003C7E30"/>
    <w:rsid w:val="003D00ED"/>
    <w:rsid w:val="003D02B2"/>
    <w:rsid w:val="003D02B9"/>
    <w:rsid w:val="003D09A7"/>
    <w:rsid w:val="003D0D5D"/>
    <w:rsid w:val="003D0DF4"/>
    <w:rsid w:val="003D1386"/>
    <w:rsid w:val="003D1526"/>
    <w:rsid w:val="003D15E1"/>
    <w:rsid w:val="003D178D"/>
    <w:rsid w:val="003D1F46"/>
    <w:rsid w:val="003D20A2"/>
    <w:rsid w:val="003D21F8"/>
    <w:rsid w:val="003D23C1"/>
    <w:rsid w:val="003D25ED"/>
    <w:rsid w:val="003D28CF"/>
    <w:rsid w:val="003D2B03"/>
    <w:rsid w:val="003D2E2E"/>
    <w:rsid w:val="003D304F"/>
    <w:rsid w:val="003D3455"/>
    <w:rsid w:val="003D3657"/>
    <w:rsid w:val="003D3CE1"/>
    <w:rsid w:val="003D3E52"/>
    <w:rsid w:val="003D40E9"/>
    <w:rsid w:val="003D4438"/>
    <w:rsid w:val="003D4AE7"/>
    <w:rsid w:val="003D4D6D"/>
    <w:rsid w:val="003D4EB6"/>
    <w:rsid w:val="003D50BB"/>
    <w:rsid w:val="003D5250"/>
    <w:rsid w:val="003D5B12"/>
    <w:rsid w:val="003D5C52"/>
    <w:rsid w:val="003D5F13"/>
    <w:rsid w:val="003D5FA2"/>
    <w:rsid w:val="003D64C6"/>
    <w:rsid w:val="003D6597"/>
    <w:rsid w:val="003D6699"/>
    <w:rsid w:val="003D6B89"/>
    <w:rsid w:val="003D6FD5"/>
    <w:rsid w:val="003D70A3"/>
    <w:rsid w:val="003D710E"/>
    <w:rsid w:val="003D71F1"/>
    <w:rsid w:val="003D7369"/>
    <w:rsid w:val="003D77D5"/>
    <w:rsid w:val="003D782B"/>
    <w:rsid w:val="003D7BF0"/>
    <w:rsid w:val="003D7CCF"/>
    <w:rsid w:val="003D7FC9"/>
    <w:rsid w:val="003E00CE"/>
    <w:rsid w:val="003E0636"/>
    <w:rsid w:val="003E0854"/>
    <w:rsid w:val="003E13CD"/>
    <w:rsid w:val="003E1425"/>
    <w:rsid w:val="003E14E3"/>
    <w:rsid w:val="003E1C7C"/>
    <w:rsid w:val="003E1DD7"/>
    <w:rsid w:val="003E2089"/>
    <w:rsid w:val="003E2751"/>
    <w:rsid w:val="003E28FC"/>
    <w:rsid w:val="003E2941"/>
    <w:rsid w:val="003E2B7E"/>
    <w:rsid w:val="003E3078"/>
    <w:rsid w:val="003E30E1"/>
    <w:rsid w:val="003E3383"/>
    <w:rsid w:val="003E3395"/>
    <w:rsid w:val="003E35E3"/>
    <w:rsid w:val="003E38C5"/>
    <w:rsid w:val="003E39B2"/>
    <w:rsid w:val="003E45E4"/>
    <w:rsid w:val="003E48FE"/>
    <w:rsid w:val="003E49A8"/>
    <w:rsid w:val="003E4BCF"/>
    <w:rsid w:val="003E4D30"/>
    <w:rsid w:val="003E5109"/>
    <w:rsid w:val="003E5180"/>
    <w:rsid w:val="003E54D9"/>
    <w:rsid w:val="003E5A23"/>
    <w:rsid w:val="003E5BEE"/>
    <w:rsid w:val="003E61FC"/>
    <w:rsid w:val="003E6371"/>
    <w:rsid w:val="003E655F"/>
    <w:rsid w:val="003E6731"/>
    <w:rsid w:val="003E6B91"/>
    <w:rsid w:val="003E6C25"/>
    <w:rsid w:val="003E6CE2"/>
    <w:rsid w:val="003E6E03"/>
    <w:rsid w:val="003E7197"/>
    <w:rsid w:val="003E743D"/>
    <w:rsid w:val="003E7450"/>
    <w:rsid w:val="003E776D"/>
    <w:rsid w:val="003E7B70"/>
    <w:rsid w:val="003F012E"/>
    <w:rsid w:val="003F04CC"/>
    <w:rsid w:val="003F0739"/>
    <w:rsid w:val="003F074A"/>
    <w:rsid w:val="003F0E1B"/>
    <w:rsid w:val="003F1017"/>
    <w:rsid w:val="003F1069"/>
    <w:rsid w:val="003F13C1"/>
    <w:rsid w:val="003F16A3"/>
    <w:rsid w:val="003F1730"/>
    <w:rsid w:val="003F267A"/>
    <w:rsid w:val="003F276F"/>
    <w:rsid w:val="003F2A95"/>
    <w:rsid w:val="003F2B18"/>
    <w:rsid w:val="003F322C"/>
    <w:rsid w:val="003F3B7D"/>
    <w:rsid w:val="003F3CF8"/>
    <w:rsid w:val="003F4510"/>
    <w:rsid w:val="003F46A1"/>
    <w:rsid w:val="003F4731"/>
    <w:rsid w:val="003F4E59"/>
    <w:rsid w:val="003F4F89"/>
    <w:rsid w:val="003F5152"/>
    <w:rsid w:val="003F5560"/>
    <w:rsid w:val="003F5BAD"/>
    <w:rsid w:val="003F5D1B"/>
    <w:rsid w:val="003F6211"/>
    <w:rsid w:val="003F655F"/>
    <w:rsid w:val="003F6668"/>
    <w:rsid w:val="003F6C10"/>
    <w:rsid w:val="003F6C40"/>
    <w:rsid w:val="003F6C60"/>
    <w:rsid w:val="003F6D17"/>
    <w:rsid w:val="003F6F91"/>
    <w:rsid w:val="003F72EB"/>
    <w:rsid w:val="003F792C"/>
    <w:rsid w:val="003F7FA4"/>
    <w:rsid w:val="00400099"/>
    <w:rsid w:val="00400323"/>
    <w:rsid w:val="004008E6"/>
    <w:rsid w:val="00400990"/>
    <w:rsid w:val="00400ABA"/>
    <w:rsid w:val="0040131A"/>
    <w:rsid w:val="004014C4"/>
    <w:rsid w:val="00401F65"/>
    <w:rsid w:val="0040202D"/>
    <w:rsid w:val="00402045"/>
    <w:rsid w:val="004026CF"/>
    <w:rsid w:val="0040271F"/>
    <w:rsid w:val="00402D38"/>
    <w:rsid w:val="00402E52"/>
    <w:rsid w:val="00402E98"/>
    <w:rsid w:val="004032B3"/>
    <w:rsid w:val="004032DC"/>
    <w:rsid w:val="00403424"/>
    <w:rsid w:val="00403956"/>
    <w:rsid w:val="00403BC4"/>
    <w:rsid w:val="00403C7D"/>
    <w:rsid w:val="00403E9E"/>
    <w:rsid w:val="00404032"/>
    <w:rsid w:val="00404207"/>
    <w:rsid w:val="0040426E"/>
    <w:rsid w:val="0040437D"/>
    <w:rsid w:val="00404463"/>
    <w:rsid w:val="00404B7E"/>
    <w:rsid w:val="00404B8B"/>
    <w:rsid w:val="00404DF1"/>
    <w:rsid w:val="00404EA5"/>
    <w:rsid w:val="00405126"/>
    <w:rsid w:val="004057B7"/>
    <w:rsid w:val="00405869"/>
    <w:rsid w:val="00405E27"/>
    <w:rsid w:val="00405EB4"/>
    <w:rsid w:val="00405EEA"/>
    <w:rsid w:val="00405F9A"/>
    <w:rsid w:val="00406810"/>
    <w:rsid w:val="004069E0"/>
    <w:rsid w:val="00406CD0"/>
    <w:rsid w:val="00406E7D"/>
    <w:rsid w:val="00407A4D"/>
    <w:rsid w:val="00407D0F"/>
    <w:rsid w:val="00407D82"/>
    <w:rsid w:val="00407FF0"/>
    <w:rsid w:val="004103BF"/>
    <w:rsid w:val="00411032"/>
    <w:rsid w:val="004113C4"/>
    <w:rsid w:val="00411A4C"/>
    <w:rsid w:val="004120A6"/>
    <w:rsid w:val="0041220A"/>
    <w:rsid w:val="00412393"/>
    <w:rsid w:val="004129AF"/>
    <w:rsid w:val="00412E02"/>
    <w:rsid w:val="00413603"/>
    <w:rsid w:val="004136F3"/>
    <w:rsid w:val="004137FB"/>
    <w:rsid w:val="00413BC6"/>
    <w:rsid w:val="00414019"/>
    <w:rsid w:val="00414602"/>
    <w:rsid w:val="004146D0"/>
    <w:rsid w:val="00414841"/>
    <w:rsid w:val="004149EE"/>
    <w:rsid w:val="00414A4A"/>
    <w:rsid w:val="00414EAB"/>
    <w:rsid w:val="004152BE"/>
    <w:rsid w:val="004152F2"/>
    <w:rsid w:val="004153FC"/>
    <w:rsid w:val="00415F04"/>
    <w:rsid w:val="00415F62"/>
    <w:rsid w:val="0041619A"/>
    <w:rsid w:val="00416260"/>
    <w:rsid w:val="004162BD"/>
    <w:rsid w:val="00416478"/>
    <w:rsid w:val="004167B0"/>
    <w:rsid w:val="004169EC"/>
    <w:rsid w:val="00416E07"/>
    <w:rsid w:val="00417049"/>
    <w:rsid w:val="00417382"/>
    <w:rsid w:val="00417684"/>
    <w:rsid w:val="00417EB1"/>
    <w:rsid w:val="004200C5"/>
    <w:rsid w:val="004201DC"/>
    <w:rsid w:val="00420947"/>
    <w:rsid w:val="00420BD7"/>
    <w:rsid w:val="00420EB2"/>
    <w:rsid w:val="00421598"/>
    <w:rsid w:val="0042167E"/>
    <w:rsid w:val="0042171F"/>
    <w:rsid w:val="004218C4"/>
    <w:rsid w:val="004218CB"/>
    <w:rsid w:val="00421A27"/>
    <w:rsid w:val="00421AE4"/>
    <w:rsid w:val="004221D5"/>
    <w:rsid w:val="00422779"/>
    <w:rsid w:val="00422A5A"/>
    <w:rsid w:val="00422A5E"/>
    <w:rsid w:val="00422A9C"/>
    <w:rsid w:val="00422AD4"/>
    <w:rsid w:val="00423489"/>
    <w:rsid w:val="004238D8"/>
    <w:rsid w:val="00423D1F"/>
    <w:rsid w:val="00423DC1"/>
    <w:rsid w:val="00424551"/>
    <w:rsid w:val="004245AA"/>
    <w:rsid w:val="00424611"/>
    <w:rsid w:val="004247F3"/>
    <w:rsid w:val="0042486D"/>
    <w:rsid w:val="004248D0"/>
    <w:rsid w:val="00424A0D"/>
    <w:rsid w:val="00424A8C"/>
    <w:rsid w:val="00424ED2"/>
    <w:rsid w:val="00425121"/>
    <w:rsid w:val="00425311"/>
    <w:rsid w:val="00425430"/>
    <w:rsid w:val="004254E9"/>
    <w:rsid w:val="00425557"/>
    <w:rsid w:val="00425819"/>
    <w:rsid w:val="00425C46"/>
    <w:rsid w:val="00426231"/>
    <w:rsid w:val="004263FF"/>
    <w:rsid w:val="004265D9"/>
    <w:rsid w:val="0042669B"/>
    <w:rsid w:val="00426B28"/>
    <w:rsid w:val="00426E91"/>
    <w:rsid w:val="0042709C"/>
    <w:rsid w:val="00427846"/>
    <w:rsid w:val="0042C020"/>
    <w:rsid w:val="00430A9E"/>
    <w:rsid w:val="00430F22"/>
    <w:rsid w:val="004310E0"/>
    <w:rsid w:val="00431104"/>
    <w:rsid w:val="00431405"/>
    <w:rsid w:val="00431543"/>
    <w:rsid w:val="00431B66"/>
    <w:rsid w:val="00431BE4"/>
    <w:rsid w:val="00431BFC"/>
    <w:rsid w:val="00431CF7"/>
    <w:rsid w:val="00431F7B"/>
    <w:rsid w:val="004320FE"/>
    <w:rsid w:val="00432239"/>
    <w:rsid w:val="00432245"/>
    <w:rsid w:val="00432323"/>
    <w:rsid w:val="0043250F"/>
    <w:rsid w:val="004329CC"/>
    <w:rsid w:val="00432D7E"/>
    <w:rsid w:val="00432EA7"/>
    <w:rsid w:val="004330CA"/>
    <w:rsid w:val="00433BA9"/>
    <w:rsid w:val="00433CA8"/>
    <w:rsid w:val="00434097"/>
    <w:rsid w:val="004340E6"/>
    <w:rsid w:val="0043424D"/>
    <w:rsid w:val="0043433A"/>
    <w:rsid w:val="0043434D"/>
    <w:rsid w:val="00434CEA"/>
    <w:rsid w:val="00434E1D"/>
    <w:rsid w:val="00434E81"/>
    <w:rsid w:val="004350D0"/>
    <w:rsid w:val="00435347"/>
    <w:rsid w:val="00435815"/>
    <w:rsid w:val="00435B90"/>
    <w:rsid w:val="00436303"/>
    <w:rsid w:val="0043668A"/>
    <w:rsid w:val="004368E8"/>
    <w:rsid w:val="004377C8"/>
    <w:rsid w:val="004377EB"/>
    <w:rsid w:val="00437835"/>
    <w:rsid w:val="00437869"/>
    <w:rsid w:val="004378BE"/>
    <w:rsid w:val="00437A3D"/>
    <w:rsid w:val="00437DA0"/>
    <w:rsid w:val="00440A60"/>
    <w:rsid w:val="00440C82"/>
    <w:rsid w:val="0044109F"/>
    <w:rsid w:val="00441102"/>
    <w:rsid w:val="004414A8"/>
    <w:rsid w:val="00441ADB"/>
    <w:rsid w:val="00441C97"/>
    <w:rsid w:val="00442482"/>
    <w:rsid w:val="004424A0"/>
    <w:rsid w:val="00442912"/>
    <w:rsid w:val="00442E2F"/>
    <w:rsid w:val="00443403"/>
    <w:rsid w:val="00443796"/>
    <w:rsid w:val="004438A6"/>
    <w:rsid w:val="004439CD"/>
    <w:rsid w:val="00443C8C"/>
    <w:rsid w:val="00443E95"/>
    <w:rsid w:val="004440ED"/>
    <w:rsid w:val="00444165"/>
    <w:rsid w:val="00444377"/>
    <w:rsid w:val="00444634"/>
    <w:rsid w:val="00444B56"/>
    <w:rsid w:val="00444D00"/>
    <w:rsid w:val="00444D67"/>
    <w:rsid w:val="00444DD1"/>
    <w:rsid w:val="00444E4E"/>
    <w:rsid w:val="0044504A"/>
    <w:rsid w:val="004452ED"/>
    <w:rsid w:val="00445792"/>
    <w:rsid w:val="00445963"/>
    <w:rsid w:val="00445EEE"/>
    <w:rsid w:val="00446312"/>
    <w:rsid w:val="00446373"/>
    <w:rsid w:val="004463D7"/>
    <w:rsid w:val="004463E4"/>
    <w:rsid w:val="004467B9"/>
    <w:rsid w:val="00446B27"/>
    <w:rsid w:val="00446B9A"/>
    <w:rsid w:val="00446C21"/>
    <w:rsid w:val="0044709D"/>
    <w:rsid w:val="004470E9"/>
    <w:rsid w:val="004471AB"/>
    <w:rsid w:val="0044764C"/>
    <w:rsid w:val="004476DE"/>
    <w:rsid w:val="00447887"/>
    <w:rsid w:val="00447E40"/>
    <w:rsid w:val="00450117"/>
    <w:rsid w:val="004507F3"/>
    <w:rsid w:val="00450A26"/>
    <w:rsid w:val="00450AB4"/>
    <w:rsid w:val="00450B71"/>
    <w:rsid w:val="00451022"/>
    <w:rsid w:val="0045116E"/>
    <w:rsid w:val="004511C4"/>
    <w:rsid w:val="004516AE"/>
    <w:rsid w:val="004520C5"/>
    <w:rsid w:val="00452605"/>
    <w:rsid w:val="004527AF"/>
    <w:rsid w:val="00452884"/>
    <w:rsid w:val="00452DED"/>
    <w:rsid w:val="00452FCF"/>
    <w:rsid w:val="004530DD"/>
    <w:rsid w:val="00453920"/>
    <w:rsid w:val="00453B44"/>
    <w:rsid w:val="00453BFC"/>
    <w:rsid w:val="00453E06"/>
    <w:rsid w:val="004543EB"/>
    <w:rsid w:val="004546F7"/>
    <w:rsid w:val="00454B77"/>
    <w:rsid w:val="00455262"/>
    <w:rsid w:val="004553A7"/>
    <w:rsid w:val="004553AC"/>
    <w:rsid w:val="0045570F"/>
    <w:rsid w:val="00455731"/>
    <w:rsid w:val="00455825"/>
    <w:rsid w:val="00455C18"/>
    <w:rsid w:val="00455CB1"/>
    <w:rsid w:val="00455CDD"/>
    <w:rsid w:val="00456873"/>
    <w:rsid w:val="004568E3"/>
    <w:rsid w:val="00456AF4"/>
    <w:rsid w:val="0045703C"/>
    <w:rsid w:val="00460106"/>
    <w:rsid w:val="004601FF"/>
    <w:rsid w:val="004602C6"/>
    <w:rsid w:val="00460681"/>
    <w:rsid w:val="00460841"/>
    <w:rsid w:val="0046099A"/>
    <w:rsid w:val="00461CDE"/>
    <w:rsid w:val="00461CF4"/>
    <w:rsid w:val="00462177"/>
    <w:rsid w:val="00462285"/>
    <w:rsid w:val="0046299E"/>
    <w:rsid w:val="00462AA1"/>
    <w:rsid w:val="00462D81"/>
    <w:rsid w:val="00462DFA"/>
    <w:rsid w:val="00462E4E"/>
    <w:rsid w:val="00463253"/>
    <w:rsid w:val="00463475"/>
    <w:rsid w:val="0046347B"/>
    <w:rsid w:val="0046393B"/>
    <w:rsid w:val="00463BAD"/>
    <w:rsid w:val="00463D6E"/>
    <w:rsid w:val="00464684"/>
    <w:rsid w:val="00464708"/>
    <w:rsid w:val="004647E5"/>
    <w:rsid w:val="00464914"/>
    <w:rsid w:val="00464C14"/>
    <w:rsid w:val="0046509F"/>
    <w:rsid w:val="00465736"/>
    <w:rsid w:val="004657A5"/>
    <w:rsid w:val="00466463"/>
    <w:rsid w:val="004668E3"/>
    <w:rsid w:val="004675CC"/>
    <w:rsid w:val="004677AE"/>
    <w:rsid w:val="004678C0"/>
    <w:rsid w:val="00467C34"/>
    <w:rsid w:val="00467D89"/>
    <w:rsid w:val="00467D9A"/>
    <w:rsid w:val="00467FE0"/>
    <w:rsid w:val="00468ECB"/>
    <w:rsid w:val="0047056B"/>
    <w:rsid w:val="00470608"/>
    <w:rsid w:val="00470E1F"/>
    <w:rsid w:val="004715A9"/>
    <w:rsid w:val="004715DC"/>
    <w:rsid w:val="00471929"/>
    <w:rsid w:val="00471B2E"/>
    <w:rsid w:val="00471EE8"/>
    <w:rsid w:val="00472244"/>
    <w:rsid w:val="00472290"/>
    <w:rsid w:val="00472ACA"/>
    <w:rsid w:val="00473383"/>
    <w:rsid w:val="004739D0"/>
    <w:rsid w:val="00473D77"/>
    <w:rsid w:val="00474037"/>
    <w:rsid w:val="004742C8"/>
    <w:rsid w:val="004742FE"/>
    <w:rsid w:val="004747AC"/>
    <w:rsid w:val="00474A62"/>
    <w:rsid w:val="004754F0"/>
    <w:rsid w:val="00475A1F"/>
    <w:rsid w:val="00475B7D"/>
    <w:rsid w:val="00475BE5"/>
    <w:rsid w:val="004764CA"/>
    <w:rsid w:val="00476AE0"/>
    <w:rsid w:val="00476E65"/>
    <w:rsid w:val="004770F8"/>
    <w:rsid w:val="004771ED"/>
    <w:rsid w:val="004772A2"/>
    <w:rsid w:val="004773D3"/>
    <w:rsid w:val="0047780F"/>
    <w:rsid w:val="00477D68"/>
    <w:rsid w:val="00480325"/>
    <w:rsid w:val="0048045E"/>
    <w:rsid w:val="0048078C"/>
    <w:rsid w:val="004807DB"/>
    <w:rsid w:val="00480871"/>
    <w:rsid w:val="00480999"/>
    <w:rsid w:val="00480ADF"/>
    <w:rsid w:val="00480C6B"/>
    <w:rsid w:val="004817E8"/>
    <w:rsid w:val="004818B5"/>
    <w:rsid w:val="00481934"/>
    <w:rsid w:val="004819A1"/>
    <w:rsid w:val="00481C61"/>
    <w:rsid w:val="00482240"/>
    <w:rsid w:val="0048236A"/>
    <w:rsid w:val="004825F3"/>
    <w:rsid w:val="004826FB"/>
    <w:rsid w:val="0048286A"/>
    <w:rsid w:val="00482A62"/>
    <w:rsid w:val="00482AB5"/>
    <w:rsid w:val="00482B1F"/>
    <w:rsid w:val="00482BAA"/>
    <w:rsid w:val="00482F0E"/>
    <w:rsid w:val="00483017"/>
    <w:rsid w:val="004832B6"/>
    <w:rsid w:val="0048351C"/>
    <w:rsid w:val="00483A9B"/>
    <w:rsid w:val="00483ACC"/>
    <w:rsid w:val="0048404E"/>
    <w:rsid w:val="00484621"/>
    <w:rsid w:val="004850F0"/>
    <w:rsid w:val="004853C7"/>
    <w:rsid w:val="004855F6"/>
    <w:rsid w:val="004858E1"/>
    <w:rsid w:val="004859FE"/>
    <w:rsid w:val="00485ABF"/>
    <w:rsid w:val="00485B0A"/>
    <w:rsid w:val="00485B81"/>
    <w:rsid w:val="00485C2F"/>
    <w:rsid w:val="00485F63"/>
    <w:rsid w:val="00485F7F"/>
    <w:rsid w:val="004863A5"/>
    <w:rsid w:val="00486493"/>
    <w:rsid w:val="00486606"/>
    <w:rsid w:val="00486945"/>
    <w:rsid w:val="00486A07"/>
    <w:rsid w:val="00486B22"/>
    <w:rsid w:val="00486DFA"/>
    <w:rsid w:val="004872DB"/>
    <w:rsid w:val="00487478"/>
    <w:rsid w:val="00487565"/>
    <w:rsid w:val="004878AB"/>
    <w:rsid w:val="00487A8C"/>
    <w:rsid w:val="00487CD4"/>
    <w:rsid w:val="00490415"/>
    <w:rsid w:val="0049067C"/>
    <w:rsid w:val="004906C5"/>
    <w:rsid w:val="00490BA1"/>
    <w:rsid w:val="00490DD7"/>
    <w:rsid w:val="00490E84"/>
    <w:rsid w:val="0049125C"/>
    <w:rsid w:val="004915D1"/>
    <w:rsid w:val="00491CCC"/>
    <w:rsid w:val="00491CEB"/>
    <w:rsid w:val="004925EC"/>
    <w:rsid w:val="00492781"/>
    <w:rsid w:val="00492888"/>
    <w:rsid w:val="00492940"/>
    <w:rsid w:val="00492A1E"/>
    <w:rsid w:val="00492A46"/>
    <w:rsid w:val="0049308B"/>
    <w:rsid w:val="004930C7"/>
    <w:rsid w:val="00493639"/>
    <w:rsid w:val="0049377E"/>
    <w:rsid w:val="004939E6"/>
    <w:rsid w:val="00493CEF"/>
    <w:rsid w:val="00493D94"/>
    <w:rsid w:val="00493E31"/>
    <w:rsid w:val="00494030"/>
    <w:rsid w:val="004943B1"/>
    <w:rsid w:val="00494417"/>
    <w:rsid w:val="004944C8"/>
    <w:rsid w:val="00494756"/>
    <w:rsid w:val="00494BA7"/>
    <w:rsid w:val="004953F4"/>
    <w:rsid w:val="0049570E"/>
    <w:rsid w:val="00495712"/>
    <w:rsid w:val="004959E6"/>
    <w:rsid w:val="00495F19"/>
    <w:rsid w:val="004960E0"/>
    <w:rsid w:val="00496431"/>
    <w:rsid w:val="00496B28"/>
    <w:rsid w:val="00496BB2"/>
    <w:rsid w:val="004973BF"/>
    <w:rsid w:val="004A0A05"/>
    <w:rsid w:val="004A0E31"/>
    <w:rsid w:val="004A0E55"/>
    <w:rsid w:val="004A1306"/>
    <w:rsid w:val="004A1DB4"/>
    <w:rsid w:val="004A204E"/>
    <w:rsid w:val="004A22EB"/>
    <w:rsid w:val="004A2398"/>
    <w:rsid w:val="004A299B"/>
    <w:rsid w:val="004A30C8"/>
    <w:rsid w:val="004A3427"/>
    <w:rsid w:val="004A345E"/>
    <w:rsid w:val="004A3A41"/>
    <w:rsid w:val="004A3A49"/>
    <w:rsid w:val="004A3CD5"/>
    <w:rsid w:val="004A41BC"/>
    <w:rsid w:val="004A42BA"/>
    <w:rsid w:val="004A4773"/>
    <w:rsid w:val="004A4982"/>
    <w:rsid w:val="004A4DA2"/>
    <w:rsid w:val="004A51FA"/>
    <w:rsid w:val="004A5587"/>
    <w:rsid w:val="004A5B9A"/>
    <w:rsid w:val="004A61B1"/>
    <w:rsid w:val="004A69C8"/>
    <w:rsid w:val="004A6BF4"/>
    <w:rsid w:val="004A7071"/>
    <w:rsid w:val="004A7467"/>
    <w:rsid w:val="004A7635"/>
    <w:rsid w:val="004A7C18"/>
    <w:rsid w:val="004A7DF2"/>
    <w:rsid w:val="004A7E94"/>
    <w:rsid w:val="004B0421"/>
    <w:rsid w:val="004B0698"/>
    <w:rsid w:val="004B0B83"/>
    <w:rsid w:val="004B0CC8"/>
    <w:rsid w:val="004B0F73"/>
    <w:rsid w:val="004B1251"/>
    <w:rsid w:val="004B1777"/>
    <w:rsid w:val="004B19B4"/>
    <w:rsid w:val="004B1E35"/>
    <w:rsid w:val="004B215C"/>
    <w:rsid w:val="004B249D"/>
    <w:rsid w:val="004B2947"/>
    <w:rsid w:val="004B297E"/>
    <w:rsid w:val="004B2BF1"/>
    <w:rsid w:val="004B2D1F"/>
    <w:rsid w:val="004B2F6F"/>
    <w:rsid w:val="004B36E2"/>
    <w:rsid w:val="004B3A10"/>
    <w:rsid w:val="004B3B4E"/>
    <w:rsid w:val="004B3D4B"/>
    <w:rsid w:val="004B3DD9"/>
    <w:rsid w:val="004B4481"/>
    <w:rsid w:val="004B4668"/>
    <w:rsid w:val="004B5D87"/>
    <w:rsid w:val="004B5DF4"/>
    <w:rsid w:val="004B5EA1"/>
    <w:rsid w:val="004B5F96"/>
    <w:rsid w:val="004B5FBE"/>
    <w:rsid w:val="004B6218"/>
    <w:rsid w:val="004B6994"/>
    <w:rsid w:val="004B71D6"/>
    <w:rsid w:val="004B7500"/>
    <w:rsid w:val="004B76DC"/>
    <w:rsid w:val="004B7915"/>
    <w:rsid w:val="004B7954"/>
    <w:rsid w:val="004B79CD"/>
    <w:rsid w:val="004C053F"/>
    <w:rsid w:val="004C070D"/>
    <w:rsid w:val="004C088B"/>
    <w:rsid w:val="004C0EBE"/>
    <w:rsid w:val="004C0FBA"/>
    <w:rsid w:val="004C1691"/>
    <w:rsid w:val="004C1824"/>
    <w:rsid w:val="004C1AAC"/>
    <w:rsid w:val="004C1E38"/>
    <w:rsid w:val="004C20A1"/>
    <w:rsid w:val="004C21D7"/>
    <w:rsid w:val="004C22F4"/>
    <w:rsid w:val="004C24AB"/>
    <w:rsid w:val="004C2B21"/>
    <w:rsid w:val="004C2CE2"/>
    <w:rsid w:val="004C34BE"/>
    <w:rsid w:val="004C3524"/>
    <w:rsid w:val="004C3576"/>
    <w:rsid w:val="004C3BD9"/>
    <w:rsid w:val="004C3C00"/>
    <w:rsid w:val="004C43B6"/>
    <w:rsid w:val="004C4517"/>
    <w:rsid w:val="004C470F"/>
    <w:rsid w:val="004C4A92"/>
    <w:rsid w:val="004C4B41"/>
    <w:rsid w:val="004C4EEA"/>
    <w:rsid w:val="004C51F9"/>
    <w:rsid w:val="004C535B"/>
    <w:rsid w:val="004C58A5"/>
    <w:rsid w:val="004C5C14"/>
    <w:rsid w:val="004C62BA"/>
    <w:rsid w:val="004C6442"/>
    <w:rsid w:val="004C6B7D"/>
    <w:rsid w:val="004C705B"/>
    <w:rsid w:val="004C7358"/>
    <w:rsid w:val="004C7365"/>
    <w:rsid w:val="004C74F2"/>
    <w:rsid w:val="004C7600"/>
    <w:rsid w:val="004C780A"/>
    <w:rsid w:val="004C796A"/>
    <w:rsid w:val="004C7D5E"/>
    <w:rsid w:val="004C7DAB"/>
    <w:rsid w:val="004C7ECC"/>
    <w:rsid w:val="004D00DE"/>
    <w:rsid w:val="004D01D7"/>
    <w:rsid w:val="004D02AA"/>
    <w:rsid w:val="004D040B"/>
    <w:rsid w:val="004D0B65"/>
    <w:rsid w:val="004D0D44"/>
    <w:rsid w:val="004D12F2"/>
    <w:rsid w:val="004D17C9"/>
    <w:rsid w:val="004D1F35"/>
    <w:rsid w:val="004D1FC9"/>
    <w:rsid w:val="004D22A5"/>
    <w:rsid w:val="004D23A8"/>
    <w:rsid w:val="004D2BEA"/>
    <w:rsid w:val="004D2C00"/>
    <w:rsid w:val="004D3224"/>
    <w:rsid w:val="004D362C"/>
    <w:rsid w:val="004D3A08"/>
    <w:rsid w:val="004D3ACD"/>
    <w:rsid w:val="004D3BA3"/>
    <w:rsid w:val="004D3D48"/>
    <w:rsid w:val="004D3E1D"/>
    <w:rsid w:val="004D4400"/>
    <w:rsid w:val="004D4814"/>
    <w:rsid w:val="004D4AC4"/>
    <w:rsid w:val="004D4C6E"/>
    <w:rsid w:val="004D4FDD"/>
    <w:rsid w:val="004D5033"/>
    <w:rsid w:val="004D53D5"/>
    <w:rsid w:val="004D5A80"/>
    <w:rsid w:val="004D5A96"/>
    <w:rsid w:val="004D5FBF"/>
    <w:rsid w:val="004D5FD7"/>
    <w:rsid w:val="004D618A"/>
    <w:rsid w:val="004D6840"/>
    <w:rsid w:val="004D6CD1"/>
    <w:rsid w:val="004D6EF9"/>
    <w:rsid w:val="004D7123"/>
    <w:rsid w:val="004D77E1"/>
    <w:rsid w:val="004D7FE2"/>
    <w:rsid w:val="004E0011"/>
    <w:rsid w:val="004E0016"/>
    <w:rsid w:val="004E051B"/>
    <w:rsid w:val="004E05BE"/>
    <w:rsid w:val="004E0709"/>
    <w:rsid w:val="004E08B7"/>
    <w:rsid w:val="004E0ADA"/>
    <w:rsid w:val="004E0D3D"/>
    <w:rsid w:val="004E0E72"/>
    <w:rsid w:val="004E0F41"/>
    <w:rsid w:val="004E0FDA"/>
    <w:rsid w:val="004E1595"/>
    <w:rsid w:val="004E15A8"/>
    <w:rsid w:val="004E1923"/>
    <w:rsid w:val="004E1E0E"/>
    <w:rsid w:val="004E2314"/>
    <w:rsid w:val="004E294A"/>
    <w:rsid w:val="004E299D"/>
    <w:rsid w:val="004E2E4F"/>
    <w:rsid w:val="004E3683"/>
    <w:rsid w:val="004E38DD"/>
    <w:rsid w:val="004E3D56"/>
    <w:rsid w:val="004E3FCF"/>
    <w:rsid w:val="004E42D8"/>
    <w:rsid w:val="004E4566"/>
    <w:rsid w:val="004E45E5"/>
    <w:rsid w:val="004E4718"/>
    <w:rsid w:val="004E487C"/>
    <w:rsid w:val="004E4D83"/>
    <w:rsid w:val="004E4F61"/>
    <w:rsid w:val="004E5381"/>
    <w:rsid w:val="004E53FF"/>
    <w:rsid w:val="004E5596"/>
    <w:rsid w:val="004E55EC"/>
    <w:rsid w:val="004E56D9"/>
    <w:rsid w:val="004E5762"/>
    <w:rsid w:val="004E57A8"/>
    <w:rsid w:val="004E5D06"/>
    <w:rsid w:val="004E6022"/>
    <w:rsid w:val="004E60FD"/>
    <w:rsid w:val="004E62C8"/>
    <w:rsid w:val="004E65DE"/>
    <w:rsid w:val="004E6737"/>
    <w:rsid w:val="004E6B1B"/>
    <w:rsid w:val="004E6CCF"/>
    <w:rsid w:val="004E6F8A"/>
    <w:rsid w:val="004E70BE"/>
    <w:rsid w:val="004E70CC"/>
    <w:rsid w:val="004E7CF9"/>
    <w:rsid w:val="004F02BA"/>
    <w:rsid w:val="004F0333"/>
    <w:rsid w:val="004F10EC"/>
    <w:rsid w:val="004F110E"/>
    <w:rsid w:val="004F14A5"/>
    <w:rsid w:val="004F1A6D"/>
    <w:rsid w:val="004F229E"/>
    <w:rsid w:val="004F251F"/>
    <w:rsid w:val="004F259D"/>
    <w:rsid w:val="004F25BE"/>
    <w:rsid w:val="004F26D6"/>
    <w:rsid w:val="004F2A73"/>
    <w:rsid w:val="004F3210"/>
    <w:rsid w:val="004F325B"/>
    <w:rsid w:val="004F3623"/>
    <w:rsid w:val="004F375D"/>
    <w:rsid w:val="004F37BE"/>
    <w:rsid w:val="004F385C"/>
    <w:rsid w:val="004F3B00"/>
    <w:rsid w:val="004F3B42"/>
    <w:rsid w:val="004F44E4"/>
    <w:rsid w:val="004F4582"/>
    <w:rsid w:val="004F4761"/>
    <w:rsid w:val="004F47A3"/>
    <w:rsid w:val="004F489A"/>
    <w:rsid w:val="004F4991"/>
    <w:rsid w:val="004F4B0C"/>
    <w:rsid w:val="004F4E6A"/>
    <w:rsid w:val="004F5279"/>
    <w:rsid w:val="004F5391"/>
    <w:rsid w:val="004F53B0"/>
    <w:rsid w:val="004F541A"/>
    <w:rsid w:val="004F541F"/>
    <w:rsid w:val="004F5B42"/>
    <w:rsid w:val="004F5E21"/>
    <w:rsid w:val="004F5F81"/>
    <w:rsid w:val="004F6455"/>
    <w:rsid w:val="004F656D"/>
    <w:rsid w:val="004F690B"/>
    <w:rsid w:val="004F6B52"/>
    <w:rsid w:val="004F7060"/>
    <w:rsid w:val="004F713F"/>
    <w:rsid w:val="004F731C"/>
    <w:rsid w:val="004F74E5"/>
    <w:rsid w:val="004F77A7"/>
    <w:rsid w:val="004F7D54"/>
    <w:rsid w:val="004F7D84"/>
    <w:rsid w:val="004F7FF9"/>
    <w:rsid w:val="00500008"/>
    <w:rsid w:val="00500195"/>
    <w:rsid w:val="0050042D"/>
    <w:rsid w:val="005005B9"/>
    <w:rsid w:val="00500765"/>
    <w:rsid w:val="0050081E"/>
    <w:rsid w:val="00500A87"/>
    <w:rsid w:val="00500D7D"/>
    <w:rsid w:val="00500F27"/>
    <w:rsid w:val="005012C8"/>
    <w:rsid w:val="0050149D"/>
    <w:rsid w:val="00501837"/>
    <w:rsid w:val="00501954"/>
    <w:rsid w:val="00501E0B"/>
    <w:rsid w:val="00501EB7"/>
    <w:rsid w:val="00501F44"/>
    <w:rsid w:val="00502706"/>
    <w:rsid w:val="00502712"/>
    <w:rsid w:val="005029AF"/>
    <w:rsid w:val="00502AF9"/>
    <w:rsid w:val="00502F33"/>
    <w:rsid w:val="00502FAD"/>
    <w:rsid w:val="005030B7"/>
    <w:rsid w:val="00503306"/>
    <w:rsid w:val="00503700"/>
    <w:rsid w:val="005039E9"/>
    <w:rsid w:val="00504926"/>
    <w:rsid w:val="005049B5"/>
    <w:rsid w:val="005049D0"/>
    <w:rsid w:val="005049DB"/>
    <w:rsid w:val="00504CC0"/>
    <w:rsid w:val="00504ED9"/>
    <w:rsid w:val="005056B1"/>
    <w:rsid w:val="005058D8"/>
    <w:rsid w:val="005059BF"/>
    <w:rsid w:val="00505AE6"/>
    <w:rsid w:val="00505EE8"/>
    <w:rsid w:val="00505F57"/>
    <w:rsid w:val="0050640E"/>
    <w:rsid w:val="0050643A"/>
    <w:rsid w:val="005066D7"/>
    <w:rsid w:val="00506B4B"/>
    <w:rsid w:val="00507088"/>
    <w:rsid w:val="0050756C"/>
    <w:rsid w:val="00507579"/>
    <w:rsid w:val="005076AC"/>
    <w:rsid w:val="005078F9"/>
    <w:rsid w:val="00507D46"/>
    <w:rsid w:val="00507F20"/>
    <w:rsid w:val="0051002D"/>
    <w:rsid w:val="00510070"/>
    <w:rsid w:val="0051024A"/>
    <w:rsid w:val="00510452"/>
    <w:rsid w:val="005107F4"/>
    <w:rsid w:val="0051092B"/>
    <w:rsid w:val="0051098B"/>
    <w:rsid w:val="005109B7"/>
    <w:rsid w:val="00510A96"/>
    <w:rsid w:val="00510B3E"/>
    <w:rsid w:val="00510C25"/>
    <w:rsid w:val="005115B9"/>
    <w:rsid w:val="0051177A"/>
    <w:rsid w:val="005126DB"/>
    <w:rsid w:val="005128A3"/>
    <w:rsid w:val="00512BEE"/>
    <w:rsid w:val="00512DA8"/>
    <w:rsid w:val="005136BF"/>
    <w:rsid w:val="005137BD"/>
    <w:rsid w:val="00513AF8"/>
    <w:rsid w:val="00513C8F"/>
    <w:rsid w:val="00513CCC"/>
    <w:rsid w:val="00513E09"/>
    <w:rsid w:val="00514043"/>
    <w:rsid w:val="00514197"/>
    <w:rsid w:val="005141BF"/>
    <w:rsid w:val="00514351"/>
    <w:rsid w:val="00514762"/>
    <w:rsid w:val="00514AEF"/>
    <w:rsid w:val="00514BED"/>
    <w:rsid w:val="00514F39"/>
    <w:rsid w:val="00514FDF"/>
    <w:rsid w:val="0051507F"/>
    <w:rsid w:val="00515193"/>
    <w:rsid w:val="0051555C"/>
    <w:rsid w:val="0051562C"/>
    <w:rsid w:val="00515BF4"/>
    <w:rsid w:val="00515C1B"/>
    <w:rsid w:val="00515E6E"/>
    <w:rsid w:val="00516B24"/>
    <w:rsid w:val="00516FE5"/>
    <w:rsid w:val="00517329"/>
    <w:rsid w:val="005173EF"/>
    <w:rsid w:val="00517426"/>
    <w:rsid w:val="00517503"/>
    <w:rsid w:val="005179D3"/>
    <w:rsid w:val="0052047E"/>
    <w:rsid w:val="005207CE"/>
    <w:rsid w:val="005208B9"/>
    <w:rsid w:val="00520C13"/>
    <w:rsid w:val="00520C25"/>
    <w:rsid w:val="00520C53"/>
    <w:rsid w:val="0052111D"/>
    <w:rsid w:val="005213D8"/>
    <w:rsid w:val="005216AB"/>
    <w:rsid w:val="005216B7"/>
    <w:rsid w:val="00521811"/>
    <w:rsid w:val="00521D5E"/>
    <w:rsid w:val="005222B4"/>
    <w:rsid w:val="005226A2"/>
    <w:rsid w:val="0052276B"/>
    <w:rsid w:val="00522CF6"/>
    <w:rsid w:val="00523662"/>
    <w:rsid w:val="00523B10"/>
    <w:rsid w:val="00523D40"/>
    <w:rsid w:val="00523F0F"/>
    <w:rsid w:val="005240A5"/>
    <w:rsid w:val="005240A9"/>
    <w:rsid w:val="005241FC"/>
    <w:rsid w:val="00524429"/>
    <w:rsid w:val="00524848"/>
    <w:rsid w:val="00524E35"/>
    <w:rsid w:val="0052509F"/>
    <w:rsid w:val="00525376"/>
    <w:rsid w:val="0052568C"/>
    <w:rsid w:val="005258F1"/>
    <w:rsid w:val="00525C64"/>
    <w:rsid w:val="00525E64"/>
    <w:rsid w:val="0052601F"/>
    <w:rsid w:val="005263BC"/>
    <w:rsid w:val="00526606"/>
    <w:rsid w:val="00526A1F"/>
    <w:rsid w:val="00526CA9"/>
    <w:rsid w:val="0052765D"/>
    <w:rsid w:val="0052775E"/>
    <w:rsid w:val="00527A09"/>
    <w:rsid w:val="00527A2A"/>
    <w:rsid w:val="00527C12"/>
    <w:rsid w:val="00527C56"/>
    <w:rsid w:val="00527CB2"/>
    <w:rsid w:val="00527DAA"/>
    <w:rsid w:val="00527FF8"/>
    <w:rsid w:val="0052A2C5"/>
    <w:rsid w:val="00530363"/>
    <w:rsid w:val="00530630"/>
    <w:rsid w:val="0053088B"/>
    <w:rsid w:val="005309FC"/>
    <w:rsid w:val="005310FF"/>
    <w:rsid w:val="0053113B"/>
    <w:rsid w:val="005312D2"/>
    <w:rsid w:val="00531678"/>
    <w:rsid w:val="00531F7E"/>
    <w:rsid w:val="0053269A"/>
    <w:rsid w:val="005328D9"/>
    <w:rsid w:val="00532FFD"/>
    <w:rsid w:val="00533332"/>
    <w:rsid w:val="0053371F"/>
    <w:rsid w:val="00533971"/>
    <w:rsid w:val="00534244"/>
    <w:rsid w:val="0053441D"/>
    <w:rsid w:val="005348EE"/>
    <w:rsid w:val="00534F89"/>
    <w:rsid w:val="00534F9D"/>
    <w:rsid w:val="00535364"/>
    <w:rsid w:val="00535623"/>
    <w:rsid w:val="00535758"/>
    <w:rsid w:val="005357D9"/>
    <w:rsid w:val="005358B1"/>
    <w:rsid w:val="0053612E"/>
    <w:rsid w:val="005361BA"/>
    <w:rsid w:val="00536686"/>
    <w:rsid w:val="00536977"/>
    <w:rsid w:val="00536FF5"/>
    <w:rsid w:val="00537EF7"/>
    <w:rsid w:val="0054022D"/>
    <w:rsid w:val="0054082D"/>
    <w:rsid w:val="00540CA2"/>
    <w:rsid w:val="00540CEF"/>
    <w:rsid w:val="00540F96"/>
    <w:rsid w:val="005410ED"/>
    <w:rsid w:val="005411A8"/>
    <w:rsid w:val="005413DE"/>
    <w:rsid w:val="00541566"/>
    <w:rsid w:val="0054158A"/>
    <w:rsid w:val="00541674"/>
    <w:rsid w:val="00541AC5"/>
    <w:rsid w:val="005422A8"/>
    <w:rsid w:val="00542369"/>
    <w:rsid w:val="005424F4"/>
    <w:rsid w:val="005437F7"/>
    <w:rsid w:val="0054397C"/>
    <w:rsid w:val="00543CF9"/>
    <w:rsid w:val="00543D06"/>
    <w:rsid w:val="00544695"/>
    <w:rsid w:val="0054490F"/>
    <w:rsid w:val="00544CAE"/>
    <w:rsid w:val="00544EBC"/>
    <w:rsid w:val="00545320"/>
    <w:rsid w:val="00545435"/>
    <w:rsid w:val="0054593E"/>
    <w:rsid w:val="00545C93"/>
    <w:rsid w:val="0054603D"/>
    <w:rsid w:val="005462EE"/>
    <w:rsid w:val="0054651B"/>
    <w:rsid w:val="00546B2D"/>
    <w:rsid w:val="00546F30"/>
    <w:rsid w:val="00546F97"/>
    <w:rsid w:val="005477F3"/>
    <w:rsid w:val="005479F7"/>
    <w:rsid w:val="00547F0C"/>
    <w:rsid w:val="00547FE5"/>
    <w:rsid w:val="005501AB"/>
    <w:rsid w:val="00550646"/>
    <w:rsid w:val="0055097D"/>
    <w:rsid w:val="00550A90"/>
    <w:rsid w:val="00550AB2"/>
    <w:rsid w:val="00550DAE"/>
    <w:rsid w:val="0055157E"/>
    <w:rsid w:val="00551818"/>
    <w:rsid w:val="005519AD"/>
    <w:rsid w:val="00551A48"/>
    <w:rsid w:val="00551DF8"/>
    <w:rsid w:val="005521A8"/>
    <w:rsid w:val="005521CB"/>
    <w:rsid w:val="00552550"/>
    <w:rsid w:val="00552974"/>
    <w:rsid w:val="00552B54"/>
    <w:rsid w:val="00552C87"/>
    <w:rsid w:val="00552F63"/>
    <w:rsid w:val="0055373A"/>
    <w:rsid w:val="005537C5"/>
    <w:rsid w:val="00553F30"/>
    <w:rsid w:val="00554678"/>
    <w:rsid w:val="00554DC6"/>
    <w:rsid w:val="00554E86"/>
    <w:rsid w:val="00554F10"/>
    <w:rsid w:val="00554F8D"/>
    <w:rsid w:val="00554FDC"/>
    <w:rsid w:val="00555F5E"/>
    <w:rsid w:val="00556599"/>
    <w:rsid w:val="0055674A"/>
    <w:rsid w:val="005567FD"/>
    <w:rsid w:val="00556A07"/>
    <w:rsid w:val="00556CA8"/>
    <w:rsid w:val="00556E45"/>
    <w:rsid w:val="00556F74"/>
    <w:rsid w:val="00557477"/>
    <w:rsid w:val="005576A2"/>
    <w:rsid w:val="00557764"/>
    <w:rsid w:val="0055776B"/>
    <w:rsid w:val="00557896"/>
    <w:rsid w:val="00557957"/>
    <w:rsid w:val="00557E94"/>
    <w:rsid w:val="0056007A"/>
    <w:rsid w:val="005602D0"/>
    <w:rsid w:val="00560330"/>
    <w:rsid w:val="0056045F"/>
    <w:rsid w:val="00560579"/>
    <w:rsid w:val="0056084C"/>
    <w:rsid w:val="005609DF"/>
    <w:rsid w:val="00560BF2"/>
    <w:rsid w:val="005613D9"/>
    <w:rsid w:val="0056149A"/>
    <w:rsid w:val="00561B01"/>
    <w:rsid w:val="00561EE4"/>
    <w:rsid w:val="00561EF6"/>
    <w:rsid w:val="005620CA"/>
    <w:rsid w:val="005625EC"/>
    <w:rsid w:val="00562744"/>
    <w:rsid w:val="00562BE6"/>
    <w:rsid w:val="00562DF7"/>
    <w:rsid w:val="005630B3"/>
    <w:rsid w:val="005631F3"/>
    <w:rsid w:val="005632A4"/>
    <w:rsid w:val="005636D8"/>
    <w:rsid w:val="00563855"/>
    <w:rsid w:val="00563CBD"/>
    <w:rsid w:val="0056413A"/>
    <w:rsid w:val="005649D2"/>
    <w:rsid w:val="00564AAD"/>
    <w:rsid w:val="00564B73"/>
    <w:rsid w:val="00564E5D"/>
    <w:rsid w:val="00564F3F"/>
    <w:rsid w:val="005653E3"/>
    <w:rsid w:val="0056556B"/>
    <w:rsid w:val="00565990"/>
    <w:rsid w:val="00565BFF"/>
    <w:rsid w:val="00565C59"/>
    <w:rsid w:val="00566478"/>
    <w:rsid w:val="0056687E"/>
    <w:rsid w:val="00566B93"/>
    <w:rsid w:val="00566D1C"/>
    <w:rsid w:val="00566E7F"/>
    <w:rsid w:val="0056740A"/>
    <w:rsid w:val="005674AF"/>
    <w:rsid w:val="005677DA"/>
    <w:rsid w:val="005678E5"/>
    <w:rsid w:val="00567A8A"/>
    <w:rsid w:val="00567C49"/>
    <w:rsid w:val="00567E50"/>
    <w:rsid w:val="0057020A"/>
    <w:rsid w:val="005703BD"/>
    <w:rsid w:val="0057042D"/>
    <w:rsid w:val="00570913"/>
    <w:rsid w:val="00570CAF"/>
    <w:rsid w:val="00570D97"/>
    <w:rsid w:val="00571343"/>
    <w:rsid w:val="0057143D"/>
    <w:rsid w:val="00571659"/>
    <w:rsid w:val="00571885"/>
    <w:rsid w:val="00571DA1"/>
    <w:rsid w:val="00572133"/>
    <w:rsid w:val="005723C3"/>
    <w:rsid w:val="005725D2"/>
    <w:rsid w:val="005727AE"/>
    <w:rsid w:val="005727E7"/>
    <w:rsid w:val="00573100"/>
    <w:rsid w:val="00573601"/>
    <w:rsid w:val="00573756"/>
    <w:rsid w:val="00573A13"/>
    <w:rsid w:val="0057446B"/>
    <w:rsid w:val="005744FD"/>
    <w:rsid w:val="0057476B"/>
    <w:rsid w:val="00575514"/>
    <w:rsid w:val="00575574"/>
    <w:rsid w:val="005755DB"/>
    <w:rsid w:val="00575A81"/>
    <w:rsid w:val="00575E31"/>
    <w:rsid w:val="00575E8F"/>
    <w:rsid w:val="00576249"/>
    <w:rsid w:val="00576636"/>
    <w:rsid w:val="005768C0"/>
    <w:rsid w:val="00576C15"/>
    <w:rsid w:val="00576F40"/>
    <w:rsid w:val="005771BA"/>
    <w:rsid w:val="005775F8"/>
    <w:rsid w:val="00577657"/>
    <w:rsid w:val="00577B7C"/>
    <w:rsid w:val="00577E46"/>
    <w:rsid w:val="00580918"/>
    <w:rsid w:val="00580ABE"/>
    <w:rsid w:val="00580C4B"/>
    <w:rsid w:val="00581224"/>
    <w:rsid w:val="005814D9"/>
    <w:rsid w:val="005816E5"/>
    <w:rsid w:val="005819A8"/>
    <w:rsid w:val="00581C23"/>
    <w:rsid w:val="00581E80"/>
    <w:rsid w:val="00582373"/>
    <w:rsid w:val="00582623"/>
    <w:rsid w:val="00582729"/>
    <w:rsid w:val="00582EA8"/>
    <w:rsid w:val="005831F6"/>
    <w:rsid w:val="00583658"/>
    <w:rsid w:val="00583668"/>
    <w:rsid w:val="005837EE"/>
    <w:rsid w:val="005837FB"/>
    <w:rsid w:val="00584574"/>
    <w:rsid w:val="00584602"/>
    <w:rsid w:val="00584901"/>
    <w:rsid w:val="00584D09"/>
    <w:rsid w:val="00584E18"/>
    <w:rsid w:val="00584EA0"/>
    <w:rsid w:val="005859D8"/>
    <w:rsid w:val="005859F0"/>
    <w:rsid w:val="00585BFF"/>
    <w:rsid w:val="00585C0E"/>
    <w:rsid w:val="00585C72"/>
    <w:rsid w:val="00585D57"/>
    <w:rsid w:val="00585E67"/>
    <w:rsid w:val="00586779"/>
    <w:rsid w:val="00586B9D"/>
    <w:rsid w:val="00586D18"/>
    <w:rsid w:val="00586D5B"/>
    <w:rsid w:val="00586DC9"/>
    <w:rsid w:val="00586FC1"/>
    <w:rsid w:val="00586FE5"/>
    <w:rsid w:val="0058700E"/>
    <w:rsid w:val="0058712F"/>
    <w:rsid w:val="0058727F"/>
    <w:rsid w:val="00587484"/>
    <w:rsid w:val="00590305"/>
    <w:rsid w:val="00590453"/>
    <w:rsid w:val="0059061D"/>
    <w:rsid w:val="005906E6"/>
    <w:rsid w:val="00590830"/>
    <w:rsid w:val="00590C5A"/>
    <w:rsid w:val="00590D5C"/>
    <w:rsid w:val="00590F45"/>
    <w:rsid w:val="00591229"/>
    <w:rsid w:val="00591253"/>
    <w:rsid w:val="0059197F"/>
    <w:rsid w:val="005919F3"/>
    <w:rsid w:val="00591A2B"/>
    <w:rsid w:val="00591A35"/>
    <w:rsid w:val="00591A7C"/>
    <w:rsid w:val="00591B96"/>
    <w:rsid w:val="00592233"/>
    <w:rsid w:val="00592284"/>
    <w:rsid w:val="00592378"/>
    <w:rsid w:val="005923A5"/>
    <w:rsid w:val="00592932"/>
    <w:rsid w:val="00592ACF"/>
    <w:rsid w:val="00592AD4"/>
    <w:rsid w:val="00592FB5"/>
    <w:rsid w:val="005930B9"/>
    <w:rsid w:val="00593798"/>
    <w:rsid w:val="005944BF"/>
    <w:rsid w:val="005946C5"/>
    <w:rsid w:val="005948C9"/>
    <w:rsid w:val="00594C71"/>
    <w:rsid w:val="005952E3"/>
    <w:rsid w:val="00595790"/>
    <w:rsid w:val="00595976"/>
    <w:rsid w:val="00595A43"/>
    <w:rsid w:val="00595B53"/>
    <w:rsid w:val="00595D2C"/>
    <w:rsid w:val="00595E56"/>
    <w:rsid w:val="005961A0"/>
    <w:rsid w:val="005962E0"/>
    <w:rsid w:val="00596528"/>
    <w:rsid w:val="00596565"/>
    <w:rsid w:val="0059685F"/>
    <w:rsid w:val="005969B7"/>
    <w:rsid w:val="00596BE2"/>
    <w:rsid w:val="00596C2E"/>
    <w:rsid w:val="00596E3F"/>
    <w:rsid w:val="00596F69"/>
    <w:rsid w:val="005970D5"/>
    <w:rsid w:val="00597245"/>
    <w:rsid w:val="00597346"/>
    <w:rsid w:val="005974FF"/>
    <w:rsid w:val="00597B46"/>
    <w:rsid w:val="00597BBD"/>
    <w:rsid w:val="00597EF7"/>
    <w:rsid w:val="005A041D"/>
    <w:rsid w:val="005A0650"/>
    <w:rsid w:val="005A08B1"/>
    <w:rsid w:val="005A0B71"/>
    <w:rsid w:val="005A0E00"/>
    <w:rsid w:val="005A0E14"/>
    <w:rsid w:val="005A0F8B"/>
    <w:rsid w:val="005A10C6"/>
    <w:rsid w:val="005A121B"/>
    <w:rsid w:val="005A150B"/>
    <w:rsid w:val="005A1759"/>
    <w:rsid w:val="005A1955"/>
    <w:rsid w:val="005A195D"/>
    <w:rsid w:val="005A2862"/>
    <w:rsid w:val="005A2A39"/>
    <w:rsid w:val="005A368B"/>
    <w:rsid w:val="005A38AF"/>
    <w:rsid w:val="005A3B19"/>
    <w:rsid w:val="005A3CF9"/>
    <w:rsid w:val="005A4149"/>
    <w:rsid w:val="005A41ED"/>
    <w:rsid w:val="005A425D"/>
    <w:rsid w:val="005A4644"/>
    <w:rsid w:val="005A4824"/>
    <w:rsid w:val="005A4917"/>
    <w:rsid w:val="005A4A69"/>
    <w:rsid w:val="005A4B4F"/>
    <w:rsid w:val="005A4C35"/>
    <w:rsid w:val="005A4C40"/>
    <w:rsid w:val="005A4F84"/>
    <w:rsid w:val="005A596D"/>
    <w:rsid w:val="005A5CA4"/>
    <w:rsid w:val="005A60BD"/>
    <w:rsid w:val="005A6169"/>
    <w:rsid w:val="005A6665"/>
    <w:rsid w:val="005A66DD"/>
    <w:rsid w:val="005A68CF"/>
    <w:rsid w:val="005A6DC6"/>
    <w:rsid w:val="005A715D"/>
    <w:rsid w:val="005A722A"/>
    <w:rsid w:val="005A7718"/>
    <w:rsid w:val="005A7C61"/>
    <w:rsid w:val="005B0098"/>
    <w:rsid w:val="005B00F8"/>
    <w:rsid w:val="005B0A78"/>
    <w:rsid w:val="005B0A8D"/>
    <w:rsid w:val="005B0CD4"/>
    <w:rsid w:val="005B0E80"/>
    <w:rsid w:val="005B10B8"/>
    <w:rsid w:val="005B116E"/>
    <w:rsid w:val="005B1954"/>
    <w:rsid w:val="005B1B02"/>
    <w:rsid w:val="005B1D18"/>
    <w:rsid w:val="005B1F32"/>
    <w:rsid w:val="005B20A2"/>
    <w:rsid w:val="005B2318"/>
    <w:rsid w:val="005B274B"/>
    <w:rsid w:val="005B2E54"/>
    <w:rsid w:val="005B2EB6"/>
    <w:rsid w:val="005B3085"/>
    <w:rsid w:val="005B30E1"/>
    <w:rsid w:val="005B33B4"/>
    <w:rsid w:val="005B346E"/>
    <w:rsid w:val="005B357B"/>
    <w:rsid w:val="005B36C4"/>
    <w:rsid w:val="005B3997"/>
    <w:rsid w:val="005B3A2D"/>
    <w:rsid w:val="005B3A30"/>
    <w:rsid w:val="005B4034"/>
    <w:rsid w:val="005B415A"/>
    <w:rsid w:val="005B42E9"/>
    <w:rsid w:val="005B44A0"/>
    <w:rsid w:val="005B46CF"/>
    <w:rsid w:val="005B5160"/>
    <w:rsid w:val="005B5258"/>
    <w:rsid w:val="005B54BF"/>
    <w:rsid w:val="005B59C0"/>
    <w:rsid w:val="005B5A41"/>
    <w:rsid w:val="005B5C5F"/>
    <w:rsid w:val="005B5D4C"/>
    <w:rsid w:val="005B5E59"/>
    <w:rsid w:val="005B5EE1"/>
    <w:rsid w:val="005B6027"/>
    <w:rsid w:val="005B60AC"/>
    <w:rsid w:val="005B677E"/>
    <w:rsid w:val="005B69C3"/>
    <w:rsid w:val="005B6F83"/>
    <w:rsid w:val="005B6FB2"/>
    <w:rsid w:val="005B6FF0"/>
    <w:rsid w:val="005B7052"/>
    <w:rsid w:val="005B70FC"/>
    <w:rsid w:val="005B72A0"/>
    <w:rsid w:val="005B792B"/>
    <w:rsid w:val="005B793A"/>
    <w:rsid w:val="005B7B0E"/>
    <w:rsid w:val="005C004B"/>
    <w:rsid w:val="005C0084"/>
    <w:rsid w:val="005C04B1"/>
    <w:rsid w:val="005C0721"/>
    <w:rsid w:val="005C0D10"/>
    <w:rsid w:val="005C0D62"/>
    <w:rsid w:val="005C15E7"/>
    <w:rsid w:val="005C1691"/>
    <w:rsid w:val="005C177B"/>
    <w:rsid w:val="005C18B7"/>
    <w:rsid w:val="005C199D"/>
    <w:rsid w:val="005C1B0C"/>
    <w:rsid w:val="005C226D"/>
    <w:rsid w:val="005C2849"/>
    <w:rsid w:val="005C2D0E"/>
    <w:rsid w:val="005C2D3E"/>
    <w:rsid w:val="005C2EED"/>
    <w:rsid w:val="005C2FE2"/>
    <w:rsid w:val="005C307C"/>
    <w:rsid w:val="005C31F5"/>
    <w:rsid w:val="005C33AD"/>
    <w:rsid w:val="005C34C0"/>
    <w:rsid w:val="005C3891"/>
    <w:rsid w:val="005C3923"/>
    <w:rsid w:val="005C3A93"/>
    <w:rsid w:val="005C3E09"/>
    <w:rsid w:val="005C40C7"/>
    <w:rsid w:val="005C422F"/>
    <w:rsid w:val="005C4882"/>
    <w:rsid w:val="005C48A1"/>
    <w:rsid w:val="005C503D"/>
    <w:rsid w:val="005C5180"/>
    <w:rsid w:val="005C52DF"/>
    <w:rsid w:val="005C5442"/>
    <w:rsid w:val="005C55D1"/>
    <w:rsid w:val="005C572D"/>
    <w:rsid w:val="005C5AB0"/>
    <w:rsid w:val="005C5D05"/>
    <w:rsid w:val="005C61DB"/>
    <w:rsid w:val="005C6265"/>
    <w:rsid w:val="005C6471"/>
    <w:rsid w:val="005C67E7"/>
    <w:rsid w:val="005C68EA"/>
    <w:rsid w:val="005C7099"/>
    <w:rsid w:val="005C7118"/>
    <w:rsid w:val="005C71A0"/>
    <w:rsid w:val="005C74BE"/>
    <w:rsid w:val="005C7B96"/>
    <w:rsid w:val="005C7C2C"/>
    <w:rsid w:val="005D002B"/>
    <w:rsid w:val="005D0304"/>
    <w:rsid w:val="005D0A2B"/>
    <w:rsid w:val="005D0C1B"/>
    <w:rsid w:val="005D0CAE"/>
    <w:rsid w:val="005D0D08"/>
    <w:rsid w:val="005D0F0F"/>
    <w:rsid w:val="005D1365"/>
    <w:rsid w:val="005D15E7"/>
    <w:rsid w:val="005D18A6"/>
    <w:rsid w:val="005D1B73"/>
    <w:rsid w:val="005D215F"/>
    <w:rsid w:val="005D23A7"/>
    <w:rsid w:val="005D268E"/>
    <w:rsid w:val="005D2C0F"/>
    <w:rsid w:val="005D2D70"/>
    <w:rsid w:val="005D2E86"/>
    <w:rsid w:val="005D2F3A"/>
    <w:rsid w:val="005D2F87"/>
    <w:rsid w:val="005D3181"/>
    <w:rsid w:val="005D31E2"/>
    <w:rsid w:val="005D3694"/>
    <w:rsid w:val="005D389C"/>
    <w:rsid w:val="005D3927"/>
    <w:rsid w:val="005D467D"/>
    <w:rsid w:val="005D4A4E"/>
    <w:rsid w:val="005D4CD5"/>
    <w:rsid w:val="005D4D1B"/>
    <w:rsid w:val="005D4F9F"/>
    <w:rsid w:val="005D5178"/>
    <w:rsid w:val="005D55BC"/>
    <w:rsid w:val="005D5626"/>
    <w:rsid w:val="005D5C23"/>
    <w:rsid w:val="005D5D0A"/>
    <w:rsid w:val="005D613A"/>
    <w:rsid w:val="005D6170"/>
    <w:rsid w:val="005D61AA"/>
    <w:rsid w:val="005D6200"/>
    <w:rsid w:val="005D6294"/>
    <w:rsid w:val="005D6444"/>
    <w:rsid w:val="005D650B"/>
    <w:rsid w:val="005D658A"/>
    <w:rsid w:val="005D67B6"/>
    <w:rsid w:val="005D6EBA"/>
    <w:rsid w:val="005D74AD"/>
    <w:rsid w:val="005D7628"/>
    <w:rsid w:val="005D7E95"/>
    <w:rsid w:val="005E002A"/>
    <w:rsid w:val="005E0174"/>
    <w:rsid w:val="005E0286"/>
    <w:rsid w:val="005E052F"/>
    <w:rsid w:val="005E0A9D"/>
    <w:rsid w:val="005E0D4E"/>
    <w:rsid w:val="005E0D97"/>
    <w:rsid w:val="005E0F76"/>
    <w:rsid w:val="005E1482"/>
    <w:rsid w:val="005E14FB"/>
    <w:rsid w:val="005E197E"/>
    <w:rsid w:val="005E1B9A"/>
    <w:rsid w:val="005E1F6B"/>
    <w:rsid w:val="005E28DB"/>
    <w:rsid w:val="005E2C70"/>
    <w:rsid w:val="005E2CAF"/>
    <w:rsid w:val="005E2E44"/>
    <w:rsid w:val="005E315A"/>
    <w:rsid w:val="005E330A"/>
    <w:rsid w:val="005E3363"/>
    <w:rsid w:val="005E34D8"/>
    <w:rsid w:val="005E3785"/>
    <w:rsid w:val="005E3C5C"/>
    <w:rsid w:val="005E3FB2"/>
    <w:rsid w:val="005E425F"/>
    <w:rsid w:val="005E4393"/>
    <w:rsid w:val="005E447A"/>
    <w:rsid w:val="005E451D"/>
    <w:rsid w:val="005E478A"/>
    <w:rsid w:val="005E49D8"/>
    <w:rsid w:val="005E4CFD"/>
    <w:rsid w:val="005E4E9E"/>
    <w:rsid w:val="005E5000"/>
    <w:rsid w:val="005E5175"/>
    <w:rsid w:val="005E550D"/>
    <w:rsid w:val="005E5614"/>
    <w:rsid w:val="005E644F"/>
    <w:rsid w:val="005E656C"/>
    <w:rsid w:val="005E73E4"/>
    <w:rsid w:val="005E7B1C"/>
    <w:rsid w:val="005E7F10"/>
    <w:rsid w:val="005F0CDE"/>
    <w:rsid w:val="005F0F49"/>
    <w:rsid w:val="005F1479"/>
    <w:rsid w:val="005F1527"/>
    <w:rsid w:val="005F15E7"/>
    <w:rsid w:val="005F17DE"/>
    <w:rsid w:val="005F1B70"/>
    <w:rsid w:val="005F1E8D"/>
    <w:rsid w:val="005F209F"/>
    <w:rsid w:val="005F20A0"/>
    <w:rsid w:val="005F227D"/>
    <w:rsid w:val="005F2458"/>
    <w:rsid w:val="005F2867"/>
    <w:rsid w:val="005F2A35"/>
    <w:rsid w:val="005F2B73"/>
    <w:rsid w:val="005F2BE5"/>
    <w:rsid w:val="005F2D9C"/>
    <w:rsid w:val="005F325C"/>
    <w:rsid w:val="005F3442"/>
    <w:rsid w:val="005F3581"/>
    <w:rsid w:val="005F36FF"/>
    <w:rsid w:val="005F3747"/>
    <w:rsid w:val="005F3801"/>
    <w:rsid w:val="005F3912"/>
    <w:rsid w:val="005F3922"/>
    <w:rsid w:val="005F3CAD"/>
    <w:rsid w:val="005F41ED"/>
    <w:rsid w:val="005F42ED"/>
    <w:rsid w:val="005F43B5"/>
    <w:rsid w:val="005F43DB"/>
    <w:rsid w:val="005F46FC"/>
    <w:rsid w:val="005F4757"/>
    <w:rsid w:val="005F4B57"/>
    <w:rsid w:val="005F4BA2"/>
    <w:rsid w:val="005F5423"/>
    <w:rsid w:val="005F55F8"/>
    <w:rsid w:val="005F56BD"/>
    <w:rsid w:val="005F5AB9"/>
    <w:rsid w:val="005F5B31"/>
    <w:rsid w:val="005F5C34"/>
    <w:rsid w:val="005F5E1E"/>
    <w:rsid w:val="005F5E33"/>
    <w:rsid w:val="005F5E55"/>
    <w:rsid w:val="005F689E"/>
    <w:rsid w:val="005F698C"/>
    <w:rsid w:val="005F6D5E"/>
    <w:rsid w:val="005F6D8E"/>
    <w:rsid w:val="005F6FC9"/>
    <w:rsid w:val="005F703C"/>
    <w:rsid w:val="005F7432"/>
    <w:rsid w:val="005F7827"/>
    <w:rsid w:val="005F78B4"/>
    <w:rsid w:val="005F7936"/>
    <w:rsid w:val="005F7B3D"/>
    <w:rsid w:val="005F7B89"/>
    <w:rsid w:val="006000FA"/>
    <w:rsid w:val="006002CD"/>
    <w:rsid w:val="00600328"/>
    <w:rsid w:val="00600606"/>
    <w:rsid w:val="00600743"/>
    <w:rsid w:val="006007B0"/>
    <w:rsid w:val="00600947"/>
    <w:rsid w:val="00600959"/>
    <w:rsid w:val="00600D2D"/>
    <w:rsid w:val="00600F26"/>
    <w:rsid w:val="00601156"/>
    <w:rsid w:val="00601B88"/>
    <w:rsid w:val="00601F86"/>
    <w:rsid w:val="00602073"/>
    <w:rsid w:val="00602581"/>
    <w:rsid w:val="006029D6"/>
    <w:rsid w:val="006031D4"/>
    <w:rsid w:val="006034A4"/>
    <w:rsid w:val="006036A8"/>
    <w:rsid w:val="00603763"/>
    <w:rsid w:val="00603969"/>
    <w:rsid w:val="00603CE5"/>
    <w:rsid w:val="006041C2"/>
    <w:rsid w:val="00604613"/>
    <w:rsid w:val="00604BF5"/>
    <w:rsid w:val="00605347"/>
    <w:rsid w:val="00605B36"/>
    <w:rsid w:val="00605B79"/>
    <w:rsid w:val="00605D45"/>
    <w:rsid w:val="00605E3C"/>
    <w:rsid w:val="00605F24"/>
    <w:rsid w:val="0060636D"/>
    <w:rsid w:val="00606468"/>
    <w:rsid w:val="006066C4"/>
    <w:rsid w:val="00606A88"/>
    <w:rsid w:val="00606B27"/>
    <w:rsid w:val="00606E67"/>
    <w:rsid w:val="006070FD"/>
    <w:rsid w:val="00607D60"/>
    <w:rsid w:val="00607D6B"/>
    <w:rsid w:val="00607D96"/>
    <w:rsid w:val="006105C3"/>
    <w:rsid w:val="0061071E"/>
    <w:rsid w:val="00610A20"/>
    <w:rsid w:val="00610C6C"/>
    <w:rsid w:val="00611419"/>
    <w:rsid w:val="00611BDE"/>
    <w:rsid w:val="006127CE"/>
    <w:rsid w:val="00612C93"/>
    <w:rsid w:val="00612CCC"/>
    <w:rsid w:val="006132F0"/>
    <w:rsid w:val="00613450"/>
    <w:rsid w:val="00613E14"/>
    <w:rsid w:val="00613E8D"/>
    <w:rsid w:val="00613F5E"/>
    <w:rsid w:val="0061411C"/>
    <w:rsid w:val="006141BC"/>
    <w:rsid w:val="00614525"/>
    <w:rsid w:val="00614DAA"/>
    <w:rsid w:val="00615156"/>
    <w:rsid w:val="00615CA7"/>
    <w:rsid w:val="00615FBB"/>
    <w:rsid w:val="0061613F"/>
    <w:rsid w:val="006162B5"/>
    <w:rsid w:val="006162F2"/>
    <w:rsid w:val="00616362"/>
    <w:rsid w:val="006167F7"/>
    <w:rsid w:val="00616BE0"/>
    <w:rsid w:val="0061765F"/>
    <w:rsid w:val="006177F4"/>
    <w:rsid w:val="00617E3F"/>
    <w:rsid w:val="00617F3C"/>
    <w:rsid w:val="00617F44"/>
    <w:rsid w:val="006201B2"/>
    <w:rsid w:val="00620488"/>
    <w:rsid w:val="00620610"/>
    <w:rsid w:val="00620768"/>
    <w:rsid w:val="00620904"/>
    <w:rsid w:val="006209F8"/>
    <w:rsid w:val="00620A31"/>
    <w:rsid w:val="00620AB2"/>
    <w:rsid w:val="00620B2A"/>
    <w:rsid w:val="00620CE0"/>
    <w:rsid w:val="00620D26"/>
    <w:rsid w:val="00621260"/>
    <w:rsid w:val="006214C8"/>
    <w:rsid w:val="006217FC"/>
    <w:rsid w:val="006217FD"/>
    <w:rsid w:val="00621986"/>
    <w:rsid w:val="0062198E"/>
    <w:rsid w:val="00621B57"/>
    <w:rsid w:val="00621DD8"/>
    <w:rsid w:val="00622738"/>
    <w:rsid w:val="006228C9"/>
    <w:rsid w:val="0062295C"/>
    <w:rsid w:val="00622A3B"/>
    <w:rsid w:val="00622A87"/>
    <w:rsid w:val="00622C40"/>
    <w:rsid w:val="00622D6B"/>
    <w:rsid w:val="00623202"/>
    <w:rsid w:val="00623B05"/>
    <w:rsid w:val="00623B14"/>
    <w:rsid w:val="00624009"/>
    <w:rsid w:val="006241C4"/>
    <w:rsid w:val="006248CB"/>
    <w:rsid w:val="00624961"/>
    <w:rsid w:val="00624A47"/>
    <w:rsid w:val="0062518D"/>
    <w:rsid w:val="006251CA"/>
    <w:rsid w:val="00625659"/>
    <w:rsid w:val="00625A66"/>
    <w:rsid w:val="00625B18"/>
    <w:rsid w:val="00625F8C"/>
    <w:rsid w:val="006266E1"/>
    <w:rsid w:val="00626AAE"/>
    <w:rsid w:val="00626AFA"/>
    <w:rsid w:val="00626C19"/>
    <w:rsid w:val="00626CD7"/>
    <w:rsid w:val="00626E37"/>
    <w:rsid w:val="0062711F"/>
    <w:rsid w:val="006271AE"/>
    <w:rsid w:val="0062743C"/>
    <w:rsid w:val="00627539"/>
    <w:rsid w:val="0062754F"/>
    <w:rsid w:val="00627671"/>
    <w:rsid w:val="006277E3"/>
    <w:rsid w:val="00627A11"/>
    <w:rsid w:val="00627D65"/>
    <w:rsid w:val="00627FA6"/>
    <w:rsid w:val="00630107"/>
    <w:rsid w:val="006305B6"/>
    <w:rsid w:val="00630B87"/>
    <w:rsid w:val="00630EA1"/>
    <w:rsid w:val="00630FA9"/>
    <w:rsid w:val="00630FF6"/>
    <w:rsid w:val="00631079"/>
    <w:rsid w:val="006310D3"/>
    <w:rsid w:val="006313F7"/>
    <w:rsid w:val="006317F3"/>
    <w:rsid w:val="006318CF"/>
    <w:rsid w:val="00631FC5"/>
    <w:rsid w:val="0063204D"/>
    <w:rsid w:val="006328FD"/>
    <w:rsid w:val="00632953"/>
    <w:rsid w:val="00632A72"/>
    <w:rsid w:val="00632DC6"/>
    <w:rsid w:val="00632F56"/>
    <w:rsid w:val="0063312A"/>
    <w:rsid w:val="00633A3D"/>
    <w:rsid w:val="00633AC4"/>
    <w:rsid w:val="00633BFE"/>
    <w:rsid w:val="00633DB2"/>
    <w:rsid w:val="006346FB"/>
    <w:rsid w:val="0063485E"/>
    <w:rsid w:val="006349CF"/>
    <w:rsid w:val="00634B51"/>
    <w:rsid w:val="0063501E"/>
    <w:rsid w:val="0063507B"/>
    <w:rsid w:val="0063623F"/>
    <w:rsid w:val="00636408"/>
    <w:rsid w:val="006365E3"/>
    <w:rsid w:val="00636E2F"/>
    <w:rsid w:val="006371D0"/>
    <w:rsid w:val="006373E5"/>
    <w:rsid w:val="00637570"/>
    <w:rsid w:val="00637759"/>
    <w:rsid w:val="0063793F"/>
    <w:rsid w:val="0063EBA7"/>
    <w:rsid w:val="0064002D"/>
    <w:rsid w:val="00640A64"/>
    <w:rsid w:val="00641213"/>
    <w:rsid w:val="00641249"/>
    <w:rsid w:val="00641A96"/>
    <w:rsid w:val="00641B5D"/>
    <w:rsid w:val="00641B7B"/>
    <w:rsid w:val="00641FF4"/>
    <w:rsid w:val="00642001"/>
    <w:rsid w:val="0064229C"/>
    <w:rsid w:val="0064278E"/>
    <w:rsid w:val="00642B3F"/>
    <w:rsid w:val="00642C70"/>
    <w:rsid w:val="0064324C"/>
    <w:rsid w:val="00643908"/>
    <w:rsid w:val="00643967"/>
    <w:rsid w:val="006440D1"/>
    <w:rsid w:val="00644478"/>
    <w:rsid w:val="006446BC"/>
    <w:rsid w:val="00644759"/>
    <w:rsid w:val="00644763"/>
    <w:rsid w:val="00644AFF"/>
    <w:rsid w:val="00644E20"/>
    <w:rsid w:val="006451BD"/>
    <w:rsid w:val="00646306"/>
    <w:rsid w:val="0064636D"/>
    <w:rsid w:val="006465AA"/>
    <w:rsid w:val="00646870"/>
    <w:rsid w:val="00646911"/>
    <w:rsid w:val="00646DE1"/>
    <w:rsid w:val="00646F7A"/>
    <w:rsid w:val="006472E9"/>
    <w:rsid w:val="006475C1"/>
    <w:rsid w:val="00647B22"/>
    <w:rsid w:val="00647D26"/>
    <w:rsid w:val="00647FA6"/>
    <w:rsid w:val="00647FE9"/>
    <w:rsid w:val="0065019D"/>
    <w:rsid w:val="006502CB"/>
    <w:rsid w:val="00650316"/>
    <w:rsid w:val="006504F0"/>
    <w:rsid w:val="00650613"/>
    <w:rsid w:val="00650623"/>
    <w:rsid w:val="006508D1"/>
    <w:rsid w:val="00650945"/>
    <w:rsid w:val="00650B2C"/>
    <w:rsid w:val="00650F6B"/>
    <w:rsid w:val="00650F86"/>
    <w:rsid w:val="00651533"/>
    <w:rsid w:val="0065175A"/>
    <w:rsid w:val="006517A4"/>
    <w:rsid w:val="006520C9"/>
    <w:rsid w:val="0065223D"/>
    <w:rsid w:val="006523EB"/>
    <w:rsid w:val="00652477"/>
    <w:rsid w:val="00652622"/>
    <w:rsid w:val="00652AE4"/>
    <w:rsid w:val="00652E3E"/>
    <w:rsid w:val="0065321B"/>
    <w:rsid w:val="006532F8"/>
    <w:rsid w:val="0065346D"/>
    <w:rsid w:val="00653591"/>
    <w:rsid w:val="006536DE"/>
    <w:rsid w:val="00653A27"/>
    <w:rsid w:val="00653AB5"/>
    <w:rsid w:val="00653B56"/>
    <w:rsid w:val="00653FC3"/>
    <w:rsid w:val="00653FE6"/>
    <w:rsid w:val="00654977"/>
    <w:rsid w:val="00654C63"/>
    <w:rsid w:val="00654F48"/>
    <w:rsid w:val="0065506F"/>
    <w:rsid w:val="0065520D"/>
    <w:rsid w:val="0065549F"/>
    <w:rsid w:val="00655627"/>
    <w:rsid w:val="00655712"/>
    <w:rsid w:val="0065644D"/>
    <w:rsid w:val="006566BC"/>
    <w:rsid w:val="006566D6"/>
    <w:rsid w:val="00656734"/>
    <w:rsid w:val="006567E4"/>
    <w:rsid w:val="0065682D"/>
    <w:rsid w:val="0065702B"/>
    <w:rsid w:val="0065708D"/>
    <w:rsid w:val="00657413"/>
    <w:rsid w:val="00657705"/>
    <w:rsid w:val="006578D9"/>
    <w:rsid w:val="00657ADB"/>
    <w:rsid w:val="00657C6F"/>
    <w:rsid w:val="00660136"/>
    <w:rsid w:val="006601EE"/>
    <w:rsid w:val="0066026B"/>
    <w:rsid w:val="0066038D"/>
    <w:rsid w:val="006606E0"/>
    <w:rsid w:val="0066080A"/>
    <w:rsid w:val="00660894"/>
    <w:rsid w:val="006608C2"/>
    <w:rsid w:val="006609D7"/>
    <w:rsid w:val="00660BA7"/>
    <w:rsid w:val="00660E0D"/>
    <w:rsid w:val="00661380"/>
    <w:rsid w:val="006615EB"/>
    <w:rsid w:val="00661932"/>
    <w:rsid w:val="00661F1D"/>
    <w:rsid w:val="00661FF5"/>
    <w:rsid w:val="0066212D"/>
    <w:rsid w:val="00662272"/>
    <w:rsid w:val="006623B0"/>
    <w:rsid w:val="0066270A"/>
    <w:rsid w:val="006630F8"/>
    <w:rsid w:val="00663789"/>
    <w:rsid w:val="006637D1"/>
    <w:rsid w:val="00663C7F"/>
    <w:rsid w:val="00664318"/>
    <w:rsid w:val="006643CF"/>
    <w:rsid w:val="006646AA"/>
    <w:rsid w:val="0066493C"/>
    <w:rsid w:val="00664FC1"/>
    <w:rsid w:val="00664FF5"/>
    <w:rsid w:val="0066562F"/>
    <w:rsid w:val="00665A7F"/>
    <w:rsid w:val="00665EB4"/>
    <w:rsid w:val="00666528"/>
    <w:rsid w:val="00666566"/>
    <w:rsid w:val="006666AB"/>
    <w:rsid w:val="00666776"/>
    <w:rsid w:val="006667C8"/>
    <w:rsid w:val="00666ADE"/>
    <w:rsid w:val="00666E88"/>
    <w:rsid w:val="006670A4"/>
    <w:rsid w:val="0066717E"/>
    <w:rsid w:val="0066751C"/>
    <w:rsid w:val="00667651"/>
    <w:rsid w:val="00667AD5"/>
    <w:rsid w:val="00667D1E"/>
    <w:rsid w:val="00667DD9"/>
    <w:rsid w:val="00667F0E"/>
    <w:rsid w:val="0067040A"/>
    <w:rsid w:val="00670CBB"/>
    <w:rsid w:val="0067115B"/>
    <w:rsid w:val="00671930"/>
    <w:rsid w:val="006722E2"/>
    <w:rsid w:val="006722F6"/>
    <w:rsid w:val="0067276F"/>
    <w:rsid w:val="00672857"/>
    <w:rsid w:val="00672B5E"/>
    <w:rsid w:val="00672CF9"/>
    <w:rsid w:val="006731C6"/>
    <w:rsid w:val="00673281"/>
    <w:rsid w:val="00673E00"/>
    <w:rsid w:val="00673EA8"/>
    <w:rsid w:val="00674419"/>
    <w:rsid w:val="006744E1"/>
    <w:rsid w:val="0067453C"/>
    <w:rsid w:val="00675426"/>
    <w:rsid w:val="0067559B"/>
    <w:rsid w:val="00675A74"/>
    <w:rsid w:val="00675BC2"/>
    <w:rsid w:val="00675FC0"/>
    <w:rsid w:val="00676011"/>
    <w:rsid w:val="00676086"/>
    <w:rsid w:val="00676A4E"/>
    <w:rsid w:val="00677034"/>
    <w:rsid w:val="00677133"/>
    <w:rsid w:val="006771A7"/>
    <w:rsid w:val="00677F3C"/>
    <w:rsid w:val="00677F7E"/>
    <w:rsid w:val="00680360"/>
    <w:rsid w:val="006804E9"/>
    <w:rsid w:val="006808BC"/>
    <w:rsid w:val="0068126D"/>
    <w:rsid w:val="00681569"/>
    <w:rsid w:val="00681608"/>
    <w:rsid w:val="00681810"/>
    <w:rsid w:val="0068190A"/>
    <w:rsid w:val="00681B0E"/>
    <w:rsid w:val="00681D71"/>
    <w:rsid w:val="00682119"/>
    <w:rsid w:val="00682192"/>
    <w:rsid w:val="006822A5"/>
    <w:rsid w:val="0068260E"/>
    <w:rsid w:val="00682731"/>
    <w:rsid w:val="00682A1E"/>
    <w:rsid w:val="00682DCE"/>
    <w:rsid w:val="00682F5D"/>
    <w:rsid w:val="0068345C"/>
    <w:rsid w:val="00683F49"/>
    <w:rsid w:val="00683F4A"/>
    <w:rsid w:val="00684925"/>
    <w:rsid w:val="00684DD4"/>
    <w:rsid w:val="00684DD9"/>
    <w:rsid w:val="00684F5C"/>
    <w:rsid w:val="00685315"/>
    <w:rsid w:val="006853DF"/>
    <w:rsid w:val="006858BA"/>
    <w:rsid w:val="00685B0A"/>
    <w:rsid w:val="00685D63"/>
    <w:rsid w:val="00685FE8"/>
    <w:rsid w:val="006861B0"/>
    <w:rsid w:val="0068782B"/>
    <w:rsid w:val="00687F8A"/>
    <w:rsid w:val="0069008C"/>
    <w:rsid w:val="0069021D"/>
    <w:rsid w:val="006909D5"/>
    <w:rsid w:val="0069112D"/>
    <w:rsid w:val="00691485"/>
    <w:rsid w:val="0069171D"/>
    <w:rsid w:val="00691A79"/>
    <w:rsid w:val="00691FBC"/>
    <w:rsid w:val="00692556"/>
    <w:rsid w:val="00692772"/>
    <w:rsid w:val="006927ED"/>
    <w:rsid w:val="00692885"/>
    <w:rsid w:val="00692B13"/>
    <w:rsid w:val="00692B63"/>
    <w:rsid w:val="00692CFA"/>
    <w:rsid w:val="0069311C"/>
    <w:rsid w:val="006934F8"/>
    <w:rsid w:val="0069350D"/>
    <w:rsid w:val="0069359F"/>
    <w:rsid w:val="00693E00"/>
    <w:rsid w:val="00694396"/>
    <w:rsid w:val="00694858"/>
    <w:rsid w:val="006948BA"/>
    <w:rsid w:val="00694A1B"/>
    <w:rsid w:val="00694C5E"/>
    <w:rsid w:val="006950E7"/>
    <w:rsid w:val="0069511B"/>
    <w:rsid w:val="00695B7C"/>
    <w:rsid w:val="00695BCA"/>
    <w:rsid w:val="00695BF3"/>
    <w:rsid w:val="0069608C"/>
    <w:rsid w:val="0069642D"/>
    <w:rsid w:val="00696A1F"/>
    <w:rsid w:val="006972C9"/>
    <w:rsid w:val="00697361"/>
    <w:rsid w:val="0069765B"/>
    <w:rsid w:val="006976B2"/>
    <w:rsid w:val="006976D1"/>
    <w:rsid w:val="006978E7"/>
    <w:rsid w:val="00697AC2"/>
    <w:rsid w:val="00697AC5"/>
    <w:rsid w:val="00697C79"/>
    <w:rsid w:val="00697CF8"/>
    <w:rsid w:val="006A00F5"/>
    <w:rsid w:val="006A0214"/>
    <w:rsid w:val="006A03A2"/>
    <w:rsid w:val="006A04A1"/>
    <w:rsid w:val="006A0945"/>
    <w:rsid w:val="006A136A"/>
    <w:rsid w:val="006A1A13"/>
    <w:rsid w:val="006A1D5C"/>
    <w:rsid w:val="006A21E6"/>
    <w:rsid w:val="006A231B"/>
    <w:rsid w:val="006A2740"/>
    <w:rsid w:val="006A2867"/>
    <w:rsid w:val="006A2994"/>
    <w:rsid w:val="006A2DF5"/>
    <w:rsid w:val="006A3269"/>
    <w:rsid w:val="006A329A"/>
    <w:rsid w:val="006A3983"/>
    <w:rsid w:val="006A3B2A"/>
    <w:rsid w:val="006A3FCC"/>
    <w:rsid w:val="006A4A0A"/>
    <w:rsid w:val="006A4A31"/>
    <w:rsid w:val="006A53B7"/>
    <w:rsid w:val="006A598D"/>
    <w:rsid w:val="006A5A70"/>
    <w:rsid w:val="006A5AB0"/>
    <w:rsid w:val="006A5AEA"/>
    <w:rsid w:val="006A5CF9"/>
    <w:rsid w:val="006A5EDC"/>
    <w:rsid w:val="006A62C1"/>
    <w:rsid w:val="006A636A"/>
    <w:rsid w:val="006A65B1"/>
    <w:rsid w:val="006A66A2"/>
    <w:rsid w:val="006A6F20"/>
    <w:rsid w:val="006A7311"/>
    <w:rsid w:val="006A74FB"/>
    <w:rsid w:val="006A7913"/>
    <w:rsid w:val="006A7994"/>
    <w:rsid w:val="006A7B08"/>
    <w:rsid w:val="006A7F5C"/>
    <w:rsid w:val="006B0069"/>
    <w:rsid w:val="006B00C7"/>
    <w:rsid w:val="006B041D"/>
    <w:rsid w:val="006B054A"/>
    <w:rsid w:val="006B0661"/>
    <w:rsid w:val="006B0C34"/>
    <w:rsid w:val="006B0D17"/>
    <w:rsid w:val="006B0F75"/>
    <w:rsid w:val="006B1083"/>
    <w:rsid w:val="006B10EA"/>
    <w:rsid w:val="006B1292"/>
    <w:rsid w:val="006B12C2"/>
    <w:rsid w:val="006B14E3"/>
    <w:rsid w:val="006B1729"/>
    <w:rsid w:val="006B19DF"/>
    <w:rsid w:val="006B1B39"/>
    <w:rsid w:val="006B1DC0"/>
    <w:rsid w:val="006B208B"/>
    <w:rsid w:val="006B20B2"/>
    <w:rsid w:val="006B275C"/>
    <w:rsid w:val="006B2782"/>
    <w:rsid w:val="006B295C"/>
    <w:rsid w:val="006B2E84"/>
    <w:rsid w:val="006B30AD"/>
    <w:rsid w:val="006B35CC"/>
    <w:rsid w:val="006B368B"/>
    <w:rsid w:val="006B3BFC"/>
    <w:rsid w:val="006B3FEB"/>
    <w:rsid w:val="006B410B"/>
    <w:rsid w:val="006B4CBC"/>
    <w:rsid w:val="006B4D29"/>
    <w:rsid w:val="006B4ED1"/>
    <w:rsid w:val="006B5611"/>
    <w:rsid w:val="006B588B"/>
    <w:rsid w:val="006B5919"/>
    <w:rsid w:val="006B5966"/>
    <w:rsid w:val="006B5D93"/>
    <w:rsid w:val="006B6052"/>
    <w:rsid w:val="006B6129"/>
    <w:rsid w:val="006B6371"/>
    <w:rsid w:val="006B6418"/>
    <w:rsid w:val="006B677B"/>
    <w:rsid w:val="006B68C0"/>
    <w:rsid w:val="006B697A"/>
    <w:rsid w:val="006B6A2C"/>
    <w:rsid w:val="006B6BED"/>
    <w:rsid w:val="006B7572"/>
    <w:rsid w:val="006B77C3"/>
    <w:rsid w:val="006B78C5"/>
    <w:rsid w:val="006B7986"/>
    <w:rsid w:val="006B7ABD"/>
    <w:rsid w:val="006B7B20"/>
    <w:rsid w:val="006B7B37"/>
    <w:rsid w:val="006B7B63"/>
    <w:rsid w:val="006B7DDE"/>
    <w:rsid w:val="006B7E70"/>
    <w:rsid w:val="006C0034"/>
    <w:rsid w:val="006C006D"/>
    <w:rsid w:val="006C02F4"/>
    <w:rsid w:val="006C06BF"/>
    <w:rsid w:val="006C094C"/>
    <w:rsid w:val="006C096A"/>
    <w:rsid w:val="006C16E4"/>
    <w:rsid w:val="006C1B61"/>
    <w:rsid w:val="006C1EDE"/>
    <w:rsid w:val="006C21AF"/>
    <w:rsid w:val="006C2520"/>
    <w:rsid w:val="006C2A0A"/>
    <w:rsid w:val="006C2AB9"/>
    <w:rsid w:val="006C2B84"/>
    <w:rsid w:val="006C2BF9"/>
    <w:rsid w:val="006C2DE5"/>
    <w:rsid w:val="006C2F82"/>
    <w:rsid w:val="006C302E"/>
    <w:rsid w:val="006C3296"/>
    <w:rsid w:val="006C33A3"/>
    <w:rsid w:val="006C364B"/>
    <w:rsid w:val="006C3AEA"/>
    <w:rsid w:val="006C3BCC"/>
    <w:rsid w:val="006C3DED"/>
    <w:rsid w:val="006C3F96"/>
    <w:rsid w:val="006C448A"/>
    <w:rsid w:val="006C44BC"/>
    <w:rsid w:val="006C460B"/>
    <w:rsid w:val="006C463B"/>
    <w:rsid w:val="006C49A5"/>
    <w:rsid w:val="006C4B3B"/>
    <w:rsid w:val="006C51B0"/>
    <w:rsid w:val="006C5278"/>
    <w:rsid w:val="006C577F"/>
    <w:rsid w:val="006C579E"/>
    <w:rsid w:val="006C58E0"/>
    <w:rsid w:val="006C5F2A"/>
    <w:rsid w:val="006C665B"/>
    <w:rsid w:val="006C665F"/>
    <w:rsid w:val="006C66CE"/>
    <w:rsid w:val="006C6E11"/>
    <w:rsid w:val="006C730C"/>
    <w:rsid w:val="006C7451"/>
    <w:rsid w:val="006C7704"/>
    <w:rsid w:val="006C79B0"/>
    <w:rsid w:val="006D006A"/>
    <w:rsid w:val="006D04E6"/>
    <w:rsid w:val="006D0590"/>
    <w:rsid w:val="006D0C82"/>
    <w:rsid w:val="006D0DDF"/>
    <w:rsid w:val="006D1224"/>
    <w:rsid w:val="006D15EA"/>
    <w:rsid w:val="006D1608"/>
    <w:rsid w:val="006D19DA"/>
    <w:rsid w:val="006D1B0A"/>
    <w:rsid w:val="006D1DF1"/>
    <w:rsid w:val="006D2273"/>
    <w:rsid w:val="006D2DF0"/>
    <w:rsid w:val="006D3148"/>
    <w:rsid w:val="006D317D"/>
    <w:rsid w:val="006D3281"/>
    <w:rsid w:val="006D4778"/>
    <w:rsid w:val="006D4A68"/>
    <w:rsid w:val="006D4CE7"/>
    <w:rsid w:val="006D4F6C"/>
    <w:rsid w:val="006D5093"/>
    <w:rsid w:val="006D5370"/>
    <w:rsid w:val="006D54E3"/>
    <w:rsid w:val="006D648C"/>
    <w:rsid w:val="006D6901"/>
    <w:rsid w:val="006D69C4"/>
    <w:rsid w:val="006D6BA9"/>
    <w:rsid w:val="006D6C52"/>
    <w:rsid w:val="006D6DAB"/>
    <w:rsid w:val="006D6F50"/>
    <w:rsid w:val="006D703B"/>
    <w:rsid w:val="006D7058"/>
    <w:rsid w:val="006D74F0"/>
    <w:rsid w:val="006D7602"/>
    <w:rsid w:val="006D7862"/>
    <w:rsid w:val="006D7959"/>
    <w:rsid w:val="006D7A87"/>
    <w:rsid w:val="006D7D6B"/>
    <w:rsid w:val="006E0366"/>
    <w:rsid w:val="006E03B1"/>
    <w:rsid w:val="006E0604"/>
    <w:rsid w:val="006E0D5B"/>
    <w:rsid w:val="006E1070"/>
    <w:rsid w:val="006E1136"/>
    <w:rsid w:val="006E122F"/>
    <w:rsid w:val="006E1733"/>
    <w:rsid w:val="006E1764"/>
    <w:rsid w:val="006E1CB1"/>
    <w:rsid w:val="006E1F75"/>
    <w:rsid w:val="006E2214"/>
    <w:rsid w:val="006E24DF"/>
    <w:rsid w:val="006E2547"/>
    <w:rsid w:val="006E27B9"/>
    <w:rsid w:val="006E27EE"/>
    <w:rsid w:val="006E29C3"/>
    <w:rsid w:val="006E2C01"/>
    <w:rsid w:val="006E2CDD"/>
    <w:rsid w:val="006E2FFD"/>
    <w:rsid w:val="006E308C"/>
    <w:rsid w:val="006E3116"/>
    <w:rsid w:val="006E31FA"/>
    <w:rsid w:val="006E331B"/>
    <w:rsid w:val="006E3388"/>
    <w:rsid w:val="006E36CC"/>
    <w:rsid w:val="006E386F"/>
    <w:rsid w:val="006E398E"/>
    <w:rsid w:val="006E39AA"/>
    <w:rsid w:val="006E3CB5"/>
    <w:rsid w:val="006E3F53"/>
    <w:rsid w:val="006E422B"/>
    <w:rsid w:val="006E4A14"/>
    <w:rsid w:val="006E4B7D"/>
    <w:rsid w:val="006E51B3"/>
    <w:rsid w:val="006E5395"/>
    <w:rsid w:val="006E5468"/>
    <w:rsid w:val="006E548C"/>
    <w:rsid w:val="006E5C07"/>
    <w:rsid w:val="006E5C16"/>
    <w:rsid w:val="006E5C5E"/>
    <w:rsid w:val="006E5F7D"/>
    <w:rsid w:val="006E61EA"/>
    <w:rsid w:val="006E6589"/>
    <w:rsid w:val="006E65AC"/>
    <w:rsid w:val="006E6779"/>
    <w:rsid w:val="006E682A"/>
    <w:rsid w:val="006E6AAA"/>
    <w:rsid w:val="006E6AB2"/>
    <w:rsid w:val="006E6B6C"/>
    <w:rsid w:val="006E6D37"/>
    <w:rsid w:val="006E6DA7"/>
    <w:rsid w:val="006E6E12"/>
    <w:rsid w:val="006E77BE"/>
    <w:rsid w:val="006E79CB"/>
    <w:rsid w:val="006F009B"/>
    <w:rsid w:val="006F115B"/>
    <w:rsid w:val="006F1325"/>
    <w:rsid w:val="006F1461"/>
    <w:rsid w:val="006F19C2"/>
    <w:rsid w:val="006F1B14"/>
    <w:rsid w:val="006F1B90"/>
    <w:rsid w:val="006F1D25"/>
    <w:rsid w:val="006F2196"/>
    <w:rsid w:val="006F25EC"/>
    <w:rsid w:val="006F2605"/>
    <w:rsid w:val="006F27E1"/>
    <w:rsid w:val="006F2FA2"/>
    <w:rsid w:val="006F3000"/>
    <w:rsid w:val="006F306C"/>
    <w:rsid w:val="006F3092"/>
    <w:rsid w:val="006F31C1"/>
    <w:rsid w:val="006F328E"/>
    <w:rsid w:val="006F3344"/>
    <w:rsid w:val="006F336A"/>
    <w:rsid w:val="006F3431"/>
    <w:rsid w:val="006F36D2"/>
    <w:rsid w:val="006F3EC3"/>
    <w:rsid w:val="006F446D"/>
    <w:rsid w:val="006F4634"/>
    <w:rsid w:val="006F47C0"/>
    <w:rsid w:val="006F4DF5"/>
    <w:rsid w:val="006F5806"/>
    <w:rsid w:val="006F59B3"/>
    <w:rsid w:val="006F5B27"/>
    <w:rsid w:val="006F5B8F"/>
    <w:rsid w:val="006F5F1F"/>
    <w:rsid w:val="006F632D"/>
    <w:rsid w:val="006F643F"/>
    <w:rsid w:val="006F65AF"/>
    <w:rsid w:val="006F694F"/>
    <w:rsid w:val="006F6C07"/>
    <w:rsid w:val="006F6DFB"/>
    <w:rsid w:val="006F6ED5"/>
    <w:rsid w:val="006F70B3"/>
    <w:rsid w:val="006F751A"/>
    <w:rsid w:val="006F7520"/>
    <w:rsid w:val="006F7670"/>
    <w:rsid w:val="006F77B7"/>
    <w:rsid w:val="006F7B75"/>
    <w:rsid w:val="007003C9"/>
    <w:rsid w:val="0070087E"/>
    <w:rsid w:val="007008CB"/>
    <w:rsid w:val="007009D8"/>
    <w:rsid w:val="00700BC9"/>
    <w:rsid w:val="00700CF0"/>
    <w:rsid w:val="00700FFB"/>
    <w:rsid w:val="0070192D"/>
    <w:rsid w:val="007021BA"/>
    <w:rsid w:val="0070299A"/>
    <w:rsid w:val="00702CB5"/>
    <w:rsid w:val="00703260"/>
    <w:rsid w:val="00703337"/>
    <w:rsid w:val="0070381D"/>
    <w:rsid w:val="00703820"/>
    <w:rsid w:val="00703D31"/>
    <w:rsid w:val="00703D4C"/>
    <w:rsid w:val="00704853"/>
    <w:rsid w:val="0070491F"/>
    <w:rsid w:val="0070550F"/>
    <w:rsid w:val="00705A26"/>
    <w:rsid w:val="00705CF7"/>
    <w:rsid w:val="00706018"/>
    <w:rsid w:val="00706A3A"/>
    <w:rsid w:val="00706FD1"/>
    <w:rsid w:val="00707223"/>
    <w:rsid w:val="00707535"/>
    <w:rsid w:val="00707637"/>
    <w:rsid w:val="0070771E"/>
    <w:rsid w:val="00707B42"/>
    <w:rsid w:val="00707B85"/>
    <w:rsid w:val="007100CA"/>
    <w:rsid w:val="007102B1"/>
    <w:rsid w:val="0071053C"/>
    <w:rsid w:val="00710DAA"/>
    <w:rsid w:val="00711364"/>
    <w:rsid w:val="00711473"/>
    <w:rsid w:val="007115FD"/>
    <w:rsid w:val="007117F1"/>
    <w:rsid w:val="00711E03"/>
    <w:rsid w:val="00711E19"/>
    <w:rsid w:val="00711F4B"/>
    <w:rsid w:val="00712085"/>
    <w:rsid w:val="00712271"/>
    <w:rsid w:val="00712386"/>
    <w:rsid w:val="007127B5"/>
    <w:rsid w:val="00712AC0"/>
    <w:rsid w:val="00712C1E"/>
    <w:rsid w:val="00712D81"/>
    <w:rsid w:val="0071344F"/>
    <w:rsid w:val="007136E5"/>
    <w:rsid w:val="007136E6"/>
    <w:rsid w:val="00713C26"/>
    <w:rsid w:val="00713F0D"/>
    <w:rsid w:val="00713FAB"/>
    <w:rsid w:val="00713FD3"/>
    <w:rsid w:val="00714451"/>
    <w:rsid w:val="0071492A"/>
    <w:rsid w:val="007154DE"/>
    <w:rsid w:val="00715502"/>
    <w:rsid w:val="00715645"/>
    <w:rsid w:val="00715737"/>
    <w:rsid w:val="0071573D"/>
    <w:rsid w:val="00715A79"/>
    <w:rsid w:val="00715B28"/>
    <w:rsid w:val="00715EDD"/>
    <w:rsid w:val="007160E7"/>
    <w:rsid w:val="0071663D"/>
    <w:rsid w:val="007168FB"/>
    <w:rsid w:val="007168FC"/>
    <w:rsid w:val="00716939"/>
    <w:rsid w:val="00716AAE"/>
    <w:rsid w:val="00716B54"/>
    <w:rsid w:val="00716CA5"/>
    <w:rsid w:val="007170C4"/>
    <w:rsid w:val="007175FA"/>
    <w:rsid w:val="007177A7"/>
    <w:rsid w:val="007178C6"/>
    <w:rsid w:val="00717B18"/>
    <w:rsid w:val="00717C92"/>
    <w:rsid w:val="00720287"/>
    <w:rsid w:val="007202C5"/>
    <w:rsid w:val="0072046A"/>
    <w:rsid w:val="00720482"/>
    <w:rsid w:val="00720659"/>
    <w:rsid w:val="007206A7"/>
    <w:rsid w:val="00720A0C"/>
    <w:rsid w:val="00720BCA"/>
    <w:rsid w:val="00720E35"/>
    <w:rsid w:val="007211B0"/>
    <w:rsid w:val="0072121B"/>
    <w:rsid w:val="0072175F"/>
    <w:rsid w:val="00721AFB"/>
    <w:rsid w:val="00721B1A"/>
    <w:rsid w:val="00721C4B"/>
    <w:rsid w:val="00721E57"/>
    <w:rsid w:val="00722010"/>
    <w:rsid w:val="0072221F"/>
    <w:rsid w:val="007225A2"/>
    <w:rsid w:val="007226C6"/>
    <w:rsid w:val="007227FB"/>
    <w:rsid w:val="00722D43"/>
    <w:rsid w:val="00723087"/>
    <w:rsid w:val="007230D8"/>
    <w:rsid w:val="0072349C"/>
    <w:rsid w:val="00723AF6"/>
    <w:rsid w:val="00723B3A"/>
    <w:rsid w:val="00723C3B"/>
    <w:rsid w:val="00723CD5"/>
    <w:rsid w:val="00723F4E"/>
    <w:rsid w:val="00723F8E"/>
    <w:rsid w:val="0072422A"/>
    <w:rsid w:val="00724425"/>
    <w:rsid w:val="007247A3"/>
    <w:rsid w:val="00724C4A"/>
    <w:rsid w:val="00724DC3"/>
    <w:rsid w:val="00725E10"/>
    <w:rsid w:val="00725E1F"/>
    <w:rsid w:val="0072616C"/>
    <w:rsid w:val="00726692"/>
    <w:rsid w:val="00726A2B"/>
    <w:rsid w:val="00726B85"/>
    <w:rsid w:val="00726D35"/>
    <w:rsid w:val="00726DEE"/>
    <w:rsid w:val="00726E51"/>
    <w:rsid w:val="00726F7D"/>
    <w:rsid w:val="00726FD9"/>
    <w:rsid w:val="0072712E"/>
    <w:rsid w:val="0072765F"/>
    <w:rsid w:val="0072792A"/>
    <w:rsid w:val="00727BFA"/>
    <w:rsid w:val="0073012C"/>
    <w:rsid w:val="007301CE"/>
    <w:rsid w:val="007303EA"/>
    <w:rsid w:val="00730C35"/>
    <w:rsid w:val="00730DB6"/>
    <w:rsid w:val="007310BB"/>
    <w:rsid w:val="007310E2"/>
    <w:rsid w:val="00731445"/>
    <w:rsid w:val="0073146F"/>
    <w:rsid w:val="007316A8"/>
    <w:rsid w:val="007318F4"/>
    <w:rsid w:val="007322D2"/>
    <w:rsid w:val="007323D0"/>
    <w:rsid w:val="007324B8"/>
    <w:rsid w:val="007324E7"/>
    <w:rsid w:val="007328AF"/>
    <w:rsid w:val="007328B5"/>
    <w:rsid w:val="00732B6F"/>
    <w:rsid w:val="00732D4E"/>
    <w:rsid w:val="00732EB2"/>
    <w:rsid w:val="00733043"/>
    <w:rsid w:val="00733200"/>
    <w:rsid w:val="00733311"/>
    <w:rsid w:val="00733B2D"/>
    <w:rsid w:val="00733C07"/>
    <w:rsid w:val="00733CB9"/>
    <w:rsid w:val="00733DC2"/>
    <w:rsid w:val="00733F6D"/>
    <w:rsid w:val="00734002"/>
    <w:rsid w:val="00734112"/>
    <w:rsid w:val="007345B2"/>
    <w:rsid w:val="00734787"/>
    <w:rsid w:val="00734ABA"/>
    <w:rsid w:val="0073513A"/>
    <w:rsid w:val="00735BF0"/>
    <w:rsid w:val="00735DBF"/>
    <w:rsid w:val="00735F15"/>
    <w:rsid w:val="007366D5"/>
    <w:rsid w:val="007368E3"/>
    <w:rsid w:val="00736BBD"/>
    <w:rsid w:val="00736C31"/>
    <w:rsid w:val="00736EF2"/>
    <w:rsid w:val="007371B3"/>
    <w:rsid w:val="007374F9"/>
    <w:rsid w:val="00737640"/>
    <w:rsid w:val="007377DA"/>
    <w:rsid w:val="00737884"/>
    <w:rsid w:val="007378B5"/>
    <w:rsid w:val="00737AF9"/>
    <w:rsid w:val="00737D78"/>
    <w:rsid w:val="00737DDD"/>
    <w:rsid w:val="0073E80A"/>
    <w:rsid w:val="00740726"/>
    <w:rsid w:val="007409E5"/>
    <w:rsid w:val="00740E9B"/>
    <w:rsid w:val="00740FB6"/>
    <w:rsid w:val="0074119C"/>
    <w:rsid w:val="007416FD"/>
    <w:rsid w:val="0074175F"/>
    <w:rsid w:val="0074196D"/>
    <w:rsid w:val="00741A2D"/>
    <w:rsid w:val="0074216B"/>
    <w:rsid w:val="007423D2"/>
    <w:rsid w:val="00742411"/>
    <w:rsid w:val="0074250A"/>
    <w:rsid w:val="00742D32"/>
    <w:rsid w:val="00743136"/>
    <w:rsid w:val="00744228"/>
    <w:rsid w:val="00744BA6"/>
    <w:rsid w:val="00744D21"/>
    <w:rsid w:val="00744EB4"/>
    <w:rsid w:val="00744FAB"/>
    <w:rsid w:val="00745055"/>
    <w:rsid w:val="007454B8"/>
    <w:rsid w:val="00745511"/>
    <w:rsid w:val="0074559D"/>
    <w:rsid w:val="0074566B"/>
    <w:rsid w:val="00745689"/>
    <w:rsid w:val="00745AE6"/>
    <w:rsid w:val="00745CC0"/>
    <w:rsid w:val="00745E9F"/>
    <w:rsid w:val="00745FCE"/>
    <w:rsid w:val="00745FDF"/>
    <w:rsid w:val="0074651F"/>
    <w:rsid w:val="0074679A"/>
    <w:rsid w:val="00746A2C"/>
    <w:rsid w:val="00746A43"/>
    <w:rsid w:val="00746AD3"/>
    <w:rsid w:val="007472BC"/>
    <w:rsid w:val="0074759B"/>
    <w:rsid w:val="00747803"/>
    <w:rsid w:val="00747873"/>
    <w:rsid w:val="007479BA"/>
    <w:rsid w:val="00747A85"/>
    <w:rsid w:val="00747D74"/>
    <w:rsid w:val="00747ECE"/>
    <w:rsid w:val="00750802"/>
    <w:rsid w:val="0075089A"/>
    <w:rsid w:val="00750EC8"/>
    <w:rsid w:val="00750F19"/>
    <w:rsid w:val="0075111E"/>
    <w:rsid w:val="007514A5"/>
    <w:rsid w:val="00751699"/>
    <w:rsid w:val="007518B4"/>
    <w:rsid w:val="0075221C"/>
    <w:rsid w:val="00752866"/>
    <w:rsid w:val="00752B29"/>
    <w:rsid w:val="00752CE2"/>
    <w:rsid w:val="00752F17"/>
    <w:rsid w:val="00753064"/>
    <w:rsid w:val="0075347E"/>
    <w:rsid w:val="00753B95"/>
    <w:rsid w:val="00753BB7"/>
    <w:rsid w:val="00753DC5"/>
    <w:rsid w:val="0075419C"/>
    <w:rsid w:val="00754285"/>
    <w:rsid w:val="007546ED"/>
    <w:rsid w:val="00754787"/>
    <w:rsid w:val="00754AB9"/>
    <w:rsid w:val="00754B20"/>
    <w:rsid w:val="007553EF"/>
    <w:rsid w:val="00755478"/>
    <w:rsid w:val="00755690"/>
    <w:rsid w:val="007556AB"/>
    <w:rsid w:val="0075583E"/>
    <w:rsid w:val="0075586D"/>
    <w:rsid w:val="00755A25"/>
    <w:rsid w:val="00755F11"/>
    <w:rsid w:val="00755F9D"/>
    <w:rsid w:val="00756082"/>
    <w:rsid w:val="007564A9"/>
    <w:rsid w:val="0075665D"/>
    <w:rsid w:val="0075678F"/>
    <w:rsid w:val="00756F51"/>
    <w:rsid w:val="0075707F"/>
    <w:rsid w:val="0075796A"/>
    <w:rsid w:val="00757CB0"/>
    <w:rsid w:val="00757D2C"/>
    <w:rsid w:val="00757D6A"/>
    <w:rsid w:val="00760069"/>
    <w:rsid w:val="00760255"/>
    <w:rsid w:val="007608C8"/>
    <w:rsid w:val="00760938"/>
    <w:rsid w:val="00760B81"/>
    <w:rsid w:val="00760B8A"/>
    <w:rsid w:val="00761242"/>
    <w:rsid w:val="0076138B"/>
    <w:rsid w:val="007615AD"/>
    <w:rsid w:val="00761CB0"/>
    <w:rsid w:val="00761D0F"/>
    <w:rsid w:val="0076208A"/>
    <w:rsid w:val="00762534"/>
    <w:rsid w:val="00762640"/>
    <w:rsid w:val="00762862"/>
    <w:rsid w:val="00762881"/>
    <w:rsid w:val="00762BDD"/>
    <w:rsid w:val="00762CC1"/>
    <w:rsid w:val="00762D2F"/>
    <w:rsid w:val="00762DF5"/>
    <w:rsid w:val="00762E08"/>
    <w:rsid w:val="007631EF"/>
    <w:rsid w:val="00763351"/>
    <w:rsid w:val="0076341A"/>
    <w:rsid w:val="0076385B"/>
    <w:rsid w:val="007639F2"/>
    <w:rsid w:val="00763CE9"/>
    <w:rsid w:val="00763D35"/>
    <w:rsid w:val="0076408E"/>
    <w:rsid w:val="0076412D"/>
    <w:rsid w:val="0076458C"/>
    <w:rsid w:val="007645CD"/>
    <w:rsid w:val="007648EE"/>
    <w:rsid w:val="00764D4C"/>
    <w:rsid w:val="00765120"/>
    <w:rsid w:val="00765220"/>
    <w:rsid w:val="00765E1B"/>
    <w:rsid w:val="007661AE"/>
    <w:rsid w:val="00766306"/>
    <w:rsid w:val="0076644A"/>
    <w:rsid w:val="007666E1"/>
    <w:rsid w:val="00766A2D"/>
    <w:rsid w:val="00766FF1"/>
    <w:rsid w:val="00767626"/>
    <w:rsid w:val="00767B43"/>
    <w:rsid w:val="00767C3A"/>
    <w:rsid w:val="007700B5"/>
    <w:rsid w:val="00770109"/>
    <w:rsid w:val="00770508"/>
    <w:rsid w:val="007705F0"/>
    <w:rsid w:val="00770DD6"/>
    <w:rsid w:val="00771241"/>
    <w:rsid w:val="0077210A"/>
    <w:rsid w:val="00772262"/>
    <w:rsid w:val="00772839"/>
    <w:rsid w:val="007728F1"/>
    <w:rsid w:val="00772B7F"/>
    <w:rsid w:val="0077324A"/>
    <w:rsid w:val="0077357A"/>
    <w:rsid w:val="0077396D"/>
    <w:rsid w:val="00773ECA"/>
    <w:rsid w:val="007742C5"/>
    <w:rsid w:val="0077444F"/>
    <w:rsid w:val="007746E8"/>
    <w:rsid w:val="007747E6"/>
    <w:rsid w:val="007748C6"/>
    <w:rsid w:val="00774A1A"/>
    <w:rsid w:val="00774A71"/>
    <w:rsid w:val="00774B7D"/>
    <w:rsid w:val="00774F11"/>
    <w:rsid w:val="00774F1A"/>
    <w:rsid w:val="00775045"/>
    <w:rsid w:val="0077512D"/>
    <w:rsid w:val="0077518C"/>
    <w:rsid w:val="007752BF"/>
    <w:rsid w:val="00775401"/>
    <w:rsid w:val="00775542"/>
    <w:rsid w:val="0077590A"/>
    <w:rsid w:val="00775B9C"/>
    <w:rsid w:val="00775D47"/>
    <w:rsid w:val="00775F25"/>
    <w:rsid w:val="00775FCF"/>
    <w:rsid w:val="0077609E"/>
    <w:rsid w:val="0077646A"/>
    <w:rsid w:val="00776997"/>
    <w:rsid w:val="00776B60"/>
    <w:rsid w:val="00777088"/>
    <w:rsid w:val="007775E2"/>
    <w:rsid w:val="0077768C"/>
    <w:rsid w:val="00777B42"/>
    <w:rsid w:val="00777D6A"/>
    <w:rsid w:val="00780033"/>
    <w:rsid w:val="00780305"/>
    <w:rsid w:val="00781288"/>
    <w:rsid w:val="0078154F"/>
    <w:rsid w:val="00781EFF"/>
    <w:rsid w:val="0078231E"/>
    <w:rsid w:val="00782490"/>
    <w:rsid w:val="007826E2"/>
    <w:rsid w:val="007828D2"/>
    <w:rsid w:val="00782D66"/>
    <w:rsid w:val="00782DB7"/>
    <w:rsid w:val="00783303"/>
    <w:rsid w:val="0078372D"/>
    <w:rsid w:val="0078394D"/>
    <w:rsid w:val="00783A18"/>
    <w:rsid w:val="00783E26"/>
    <w:rsid w:val="00783E2D"/>
    <w:rsid w:val="007841D7"/>
    <w:rsid w:val="00784410"/>
    <w:rsid w:val="00784448"/>
    <w:rsid w:val="0078449F"/>
    <w:rsid w:val="0078455A"/>
    <w:rsid w:val="00784935"/>
    <w:rsid w:val="00784AB5"/>
    <w:rsid w:val="00784C42"/>
    <w:rsid w:val="00784D2D"/>
    <w:rsid w:val="007850DA"/>
    <w:rsid w:val="007857B0"/>
    <w:rsid w:val="007859FF"/>
    <w:rsid w:val="00785B2B"/>
    <w:rsid w:val="00785BA3"/>
    <w:rsid w:val="00785E8C"/>
    <w:rsid w:val="00785F3A"/>
    <w:rsid w:val="007862B8"/>
    <w:rsid w:val="00786701"/>
    <w:rsid w:val="00786962"/>
    <w:rsid w:val="00786B5B"/>
    <w:rsid w:val="00786DB9"/>
    <w:rsid w:val="00787460"/>
    <w:rsid w:val="00790962"/>
    <w:rsid w:val="007909A4"/>
    <w:rsid w:val="00790F4D"/>
    <w:rsid w:val="00790FCD"/>
    <w:rsid w:val="00791163"/>
    <w:rsid w:val="00792034"/>
    <w:rsid w:val="007920E0"/>
    <w:rsid w:val="007927C9"/>
    <w:rsid w:val="00792E1D"/>
    <w:rsid w:val="00792E72"/>
    <w:rsid w:val="007932C6"/>
    <w:rsid w:val="00793755"/>
    <w:rsid w:val="00793A60"/>
    <w:rsid w:val="00793A99"/>
    <w:rsid w:val="00793CD1"/>
    <w:rsid w:val="00794040"/>
    <w:rsid w:val="007940B6"/>
    <w:rsid w:val="00794410"/>
    <w:rsid w:val="00794639"/>
    <w:rsid w:val="00794CA2"/>
    <w:rsid w:val="007954CE"/>
    <w:rsid w:val="00795D65"/>
    <w:rsid w:val="00795FA3"/>
    <w:rsid w:val="0079647B"/>
    <w:rsid w:val="00796DA2"/>
    <w:rsid w:val="00796DB2"/>
    <w:rsid w:val="00797184"/>
    <w:rsid w:val="007976D8"/>
    <w:rsid w:val="00797743"/>
    <w:rsid w:val="007979A7"/>
    <w:rsid w:val="00797C47"/>
    <w:rsid w:val="00797C64"/>
    <w:rsid w:val="00797F0D"/>
    <w:rsid w:val="007A01EA"/>
    <w:rsid w:val="007A0507"/>
    <w:rsid w:val="007A120B"/>
    <w:rsid w:val="007A1580"/>
    <w:rsid w:val="007A182B"/>
    <w:rsid w:val="007A1B79"/>
    <w:rsid w:val="007A1D55"/>
    <w:rsid w:val="007A1E38"/>
    <w:rsid w:val="007A22EF"/>
    <w:rsid w:val="007A2A4F"/>
    <w:rsid w:val="007A2C73"/>
    <w:rsid w:val="007A32E9"/>
    <w:rsid w:val="007A332C"/>
    <w:rsid w:val="007A358B"/>
    <w:rsid w:val="007A3767"/>
    <w:rsid w:val="007A378C"/>
    <w:rsid w:val="007A37CC"/>
    <w:rsid w:val="007A3F61"/>
    <w:rsid w:val="007A415F"/>
    <w:rsid w:val="007A42CB"/>
    <w:rsid w:val="007A430C"/>
    <w:rsid w:val="007A439C"/>
    <w:rsid w:val="007A43EF"/>
    <w:rsid w:val="007A4C87"/>
    <w:rsid w:val="007A4E3C"/>
    <w:rsid w:val="007A5232"/>
    <w:rsid w:val="007A553F"/>
    <w:rsid w:val="007A59DE"/>
    <w:rsid w:val="007A5B36"/>
    <w:rsid w:val="007A5CDB"/>
    <w:rsid w:val="007A5E0A"/>
    <w:rsid w:val="007A6035"/>
    <w:rsid w:val="007A6737"/>
    <w:rsid w:val="007A67EB"/>
    <w:rsid w:val="007A6DB4"/>
    <w:rsid w:val="007A72E3"/>
    <w:rsid w:val="007A7DFE"/>
    <w:rsid w:val="007A7ED7"/>
    <w:rsid w:val="007A7FE1"/>
    <w:rsid w:val="007B0244"/>
    <w:rsid w:val="007B05F8"/>
    <w:rsid w:val="007B0689"/>
    <w:rsid w:val="007B06AA"/>
    <w:rsid w:val="007B09FC"/>
    <w:rsid w:val="007B100A"/>
    <w:rsid w:val="007B145E"/>
    <w:rsid w:val="007B17D6"/>
    <w:rsid w:val="007B1A7E"/>
    <w:rsid w:val="007B1C44"/>
    <w:rsid w:val="007B1CD5"/>
    <w:rsid w:val="007B1D4F"/>
    <w:rsid w:val="007B20D0"/>
    <w:rsid w:val="007B21A5"/>
    <w:rsid w:val="007B2308"/>
    <w:rsid w:val="007B2868"/>
    <w:rsid w:val="007B290A"/>
    <w:rsid w:val="007B2952"/>
    <w:rsid w:val="007B2AD6"/>
    <w:rsid w:val="007B3B6B"/>
    <w:rsid w:val="007B43FA"/>
    <w:rsid w:val="007B4684"/>
    <w:rsid w:val="007B492D"/>
    <w:rsid w:val="007B4B11"/>
    <w:rsid w:val="007B4DED"/>
    <w:rsid w:val="007B4F61"/>
    <w:rsid w:val="007B5404"/>
    <w:rsid w:val="007B54A5"/>
    <w:rsid w:val="007B60F2"/>
    <w:rsid w:val="007B67FB"/>
    <w:rsid w:val="007B681A"/>
    <w:rsid w:val="007B6843"/>
    <w:rsid w:val="007B6B06"/>
    <w:rsid w:val="007B6B90"/>
    <w:rsid w:val="007B6D21"/>
    <w:rsid w:val="007B6F23"/>
    <w:rsid w:val="007B716E"/>
    <w:rsid w:val="007B7625"/>
    <w:rsid w:val="007B78C2"/>
    <w:rsid w:val="007B7F82"/>
    <w:rsid w:val="007C00C5"/>
    <w:rsid w:val="007C02D6"/>
    <w:rsid w:val="007C0908"/>
    <w:rsid w:val="007C0BF6"/>
    <w:rsid w:val="007C0BFD"/>
    <w:rsid w:val="007C0C15"/>
    <w:rsid w:val="007C0E5B"/>
    <w:rsid w:val="007C12D9"/>
    <w:rsid w:val="007C1904"/>
    <w:rsid w:val="007C1A8A"/>
    <w:rsid w:val="007C1D89"/>
    <w:rsid w:val="007C1DA3"/>
    <w:rsid w:val="007C20D4"/>
    <w:rsid w:val="007C23D9"/>
    <w:rsid w:val="007C2494"/>
    <w:rsid w:val="007C259B"/>
    <w:rsid w:val="007C26C0"/>
    <w:rsid w:val="007C3030"/>
    <w:rsid w:val="007C3063"/>
    <w:rsid w:val="007C3A50"/>
    <w:rsid w:val="007C3CD2"/>
    <w:rsid w:val="007C3F0C"/>
    <w:rsid w:val="007C410D"/>
    <w:rsid w:val="007C46E1"/>
    <w:rsid w:val="007C4837"/>
    <w:rsid w:val="007C48EE"/>
    <w:rsid w:val="007C4A0D"/>
    <w:rsid w:val="007C4D8B"/>
    <w:rsid w:val="007C4F3D"/>
    <w:rsid w:val="007C5FB3"/>
    <w:rsid w:val="007C603B"/>
    <w:rsid w:val="007C60CD"/>
    <w:rsid w:val="007C617C"/>
    <w:rsid w:val="007C61ED"/>
    <w:rsid w:val="007C6342"/>
    <w:rsid w:val="007C6A53"/>
    <w:rsid w:val="007C6AEC"/>
    <w:rsid w:val="007C6EB5"/>
    <w:rsid w:val="007C7310"/>
    <w:rsid w:val="007C7320"/>
    <w:rsid w:val="007C76E1"/>
    <w:rsid w:val="007C7907"/>
    <w:rsid w:val="007C7922"/>
    <w:rsid w:val="007C79D5"/>
    <w:rsid w:val="007C7AC9"/>
    <w:rsid w:val="007C7C66"/>
    <w:rsid w:val="007C7CF4"/>
    <w:rsid w:val="007C7DFC"/>
    <w:rsid w:val="007D0033"/>
    <w:rsid w:val="007D00FF"/>
    <w:rsid w:val="007D015D"/>
    <w:rsid w:val="007D0169"/>
    <w:rsid w:val="007D05FB"/>
    <w:rsid w:val="007D0C10"/>
    <w:rsid w:val="007D1026"/>
    <w:rsid w:val="007D106B"/>
    <w:rsid w:val="007D1338"/>
    <w:rsid w:val="007D1EAB"/>
    <w:rsid w:val="007D22AD"/>
    <w:rsid w:val="007D2C2E"/>
    <w:rsid w:val="007D30B7"/>
    <w:rsid w:val="007D3195"/>
    <w:rsid w:val="007D31B6"/>
    <w:rsid w:val="007D34C2"/>
    <w:rsid w:val="007D3CEE"/>
    <w:rsid w:val="007D3ED2"/>
    <w:rsid w:val="007D3FA3"/>
    <w:rsid w:val="007D402C"/>
    <w:rsid w:val="007D41DA"/>
    <w:rsid w:val="007D45CA"/>
    <w:rsid w:val="007D4C3E"/>
    <w:rsid w:val="007D4DBD"/>
    <w:rsid w:val="007D51E4"/>
    <w:rsid w:val="007D5687"/>
    <w:rsid w:val="007D5919"/>
    <w:rsid w:val="007D596D"/>
    <w:rsid w:val="007D5B2E"/>
    <w:rsid w:val="007D5C54"/>
    <w:rsid w:val="007D5EA1"/>
    <w:rsid w:val="007D7518"/>
    <w:rsid w:val="007D799D"/>
    <w:rsid w:val="007E03CA"/>
    <w:rsid w:val="007E07F6"/>
    <w:rsid w:val="007E0917"/>
    <w:rsid w:val="007E0BF2"/>
    <w:rsid w:val="007E0C24"/>
    <w:rsid w:val="007E0E5F"/>
    <w:rsid w:val="007E0FD1"/>
    <w:rsid w:val="007E1A90"/>
    <w:rsid w:val="007E1D34"/>
    <w:rsid w:val="007E1DFE"/>
    <w:rsid w:val="007E2013"/>
    <w:rsid w:val="007E20C7"/>
    <w:rsid w:val="007E2252"/>
    <w:rsid w:val="007E22B9"/>
    <w:rsid w:val="007E26A6"/>
    <w:rsid w:val="007E26C4"/>
    <w:rsid w:val="007E2755"/>
    <w:rsid w:val="007E2A7E"/>
    <w:rsid w:val="007E2C07"/>
    <w:rsid w:val="007E2C1F"/>
    <w:rsid w:val="007E30AC"/>
    <w:rsid w:val="007E30DD"/>
    <w:rsid w:val="007E352B"/>
    <w:rsid w:val="007E3B48"/>
    <w:rsid w:val="007E3C86"/>
    <w:rsid w:val="007E3D1F"/>
    <w:rsid w:val="007E3FF2"/>
    <w:rsid w:val="007E42D9"/>
    <w:rsid w:val="007E4302"/>
    <w:rsid w:val="007E482B"/>
    <w:rsid w:val="007E5577"/>
    <w:rsid w:val="007E58A7"/>
    <w:rsid w:val="007E5D57"/>
    <w:rsid w:val="007E5F1B"/>
    <w:rsid w:val="007E5FEE"/>
    <w:rsid w:val="007E6669"/>
    <w:rsid w:val="007E6C39"/>
    <w:rsid w:val="007E70CF"/>
    <w:rsid w:val="007E791B"/>
    <w:rsid w:val="007E7B88"/>
    <w:rsid w:val="007E7D1A"/>
    <w:rsid w:val="007E7D2A"/>
    <w:rsid w:val="007E7D55"/>
    <w:rsid w:val="007F04FD"/>
    <w:rsid w:val="007F06A2"/>
    <w:rsid w:val="007F0A69"/>
    <w:rsid w:val="007F0BA3"/>
    <w:rsid w:val="007F0D68"/>
    <w:rsid w:val="007F1153"/>
    <w:rsid w:val="007F132B"/>
    <w:rsid w:val="007F15CF"/>
    <w:rsid w:val="007F1964"/>
    <w:rsid w:val="007F1C0B"/>
    <w:rsid w:val="007F1C34"/>
    <w:rsid w:val="007F1E2B"/>
    <w:rsid w:val="007F1F14"/>
    <w:rsid w:val="007F2219"/>
    <w:rsid w:val="007F2359"/>
    <w:rsid w:val="007F252B"/>
    <w:rsid w:val="007F28F9"/>
    <w:rsid w:val="007F2A7E"/>
    <w:rsid w:val="007F3187"/>
    <w:rsid w:val="007F3429"/>
    <w:rsid w:val="007F3568"/>
    <w:rsid w:val="007F35D0"/>
    <w:rsid w:val="007F3756"/>
    <w:rsid w:val="007F3841"/>
    <w:rsid w:val="007F3927"/>
    <w:rsid w:val="007F3EDE"/>
    <w:rsid w:val="007F3FE2"/>
    <w:rsid w:val="007F408B"/>
    <w:rsid w:val="007F40B3"/>
    <w:rsid w:val="007F4799"/>
    <w:rsid w:val="007F4804"/>
    <w:rsid w:val="007F4ACF"/>
    <w:rsid w:val="007F548D"/>
    <w:rsid w:val="007F57FD"/>
    <w:rsid w:val="007F587E"/>
    <w:rsid w:val="007F59CA"/>
    <w:rsid w:val="007F5CB3"/>
    <w:rsid w:val="007F5D89"/>
    <w:rsid w:val="007F5DBB"/>
    <w:rsid w:val="007F6836"/>
    <w:rsid w:val="007F691E"/>
    <w:rsid w:val="007F6DB9"/>
    <w:rsid w:val="007F6E9E"/>
    <w:rsid w:val="007F741A"/>
    <w:rsid w:val="007F7B4D"/>
    <w:rsid w:val="007F7DBD"/>
    <w:rsid w:val="007F7E09"/>
    <w:rsid w:val="007F7E88"/>
    <w:rsid w:val="008001F7"/>
    <w:rsid w:val="00800352"/>
    <w:rsid w:val="008005C1"/>
    <w:rsid w:val="008007F0"/>
    <w:rsid w:val="00800A36"/>
    <w:rsid w:val="00800A9C"/>
    <w:rsid w:val="00801051"/>
    <w:rsid w:val="0080156C"/>
    <w:rsid w:val="00801864"/>
    <w:rsid w:val="008018FF"/>
    <w:rsid w:val="00801B40"/>
    <w:rsid w:val="008021AA"/>
    <w:rsid w:val="008022AF"/>
    <w:rsid w:val="008022C9"/>
    <w:rsid w:val="008023FF"/>
    <w:rsid w:val="008029A5"/>
    <w:rsid w:val="00802E28"/>
    <w:rsid w:val="00802F0D"/>
    <w:rsid w:val="00802F6B"/>
    <w:rsid w:val="00802F9B"/>
    <w:rsid w:val="0080316B"/>
    <w:rsid w:val="008033D4"/>
    <w:rsid w:val="00803603"/>
    <w:rsid w:val="008038D9"/>
    <w:rsid w:val="0080395A"/>
    <w:rsid w:val="00803A8B"/>
    <w:rsid w:val="00803B94"/>
    <w:rsid w:val="00804155"/>
    <w:rsid w:val="008044B1"/>
    <w:rsid w:val="008048E8"/>
    <w:rsid w:val="00804999"/>
    <w:rsid w:val="00804CAF"/>
    <w:rsid w:val="00804E10"/>
    <w:rsid w:val="00804EB4"/>
    <w:rsid w:val="00805474"/>
    <w:rsid w:val="008055C3"/>
    <w:rsid w:val="0080563B"/>
    <w:rsid w:val="00805BA4"/>
    <w:rsid w:val="00805E5C"/>
    <w:rsid w:val="00805E87"/>
    <w:rsid w:val="0080622A"/>
    <w:rsid w:val="0080630D"/>
    <w:rsid w:val="00806357"/>
    <w:rsid w:val="0080651E"/>
    <w:rsid w:val="008065A3"/>
    <w:rsid w:val="00806688"/>
    <w:rsid w:val="008066FE"/>
    <w:rsid w:val="008067A3"/>
    <w:rsid w:val="00807C0B"/>
    <w:rsid w:val="00807CCF"/>
    <w:rsid w:val="00807D00"/>
    <w:rsid w:val="00807F99"/>
    <w:rsid w:val="00810298"/>
    <w:rsid w:val="00810789"/>
    <w:rsid w:val="00811020"/>
    <w:rsid w:val="0081136A"/>
    <w:rsid w:val="008116DF"/>
    <w:rsid w:val="00811827"/>
    <w:rsid w:val="0081192B"/>
    <w:rsid w:val="00811939"/>
    <w:rsid w:val="00811B37"/>
    <w:rsid w:val="00811B99"/>
    <w:rsid w:val="00811D38"/>
    <w:rsid w:val="00812056"/>
    <w:rsid w:val="00812B2D"/>
    <w:rsid w:val="008136D4"/>
    <w:rsid w:val="0081387A"/>
    <w:rsid w:val="00813BA4"/>
    <w:rsid w:val="00813E8B"/>
    <w:rsid w:val="00814237"/>
    <w:rsid w:val="008143B0"/>
    <w:rsid w:val="00814CBF"/>
    <w:rsid w:val="00814D30"/>
    <w:rsid w:val="00814E22"/>
    <w:rsid w:val="00815183"/>
    <w:rsid w:val="00815712"/>
    <w:rsid w:val="00815AE0"/>
    <w:rsid w:val="00816020"/>
    <w:rsid w:val="00816148"/>
    <w:rsid w:val="008162C2"/>
    <w:rsid w:val="00816949"/>
    <w:rsid w:val="00816CDD"/>
    <w:rsid w:val="00816FB6"/>
    <w:rsid w:val="00817124"/>
    <w:rsid w:val="0081715E"/>
    <w:rsid w:val="008173EA"/>
    <w:rsid w:val="00817955"/>
    <w:rsid w:val="00817BF2"/>
    <w:rsid w:val="00817E9C"/>
    <w:rsid w:val="00817F94"/>
    <w:rsid w:val="008202F0"/>
    <w:rsid w:val="00820676"/>
    <w:rsid w:val="008206E7"/>
    <w:rsid w:val="008207D6"/>
    <w:rsid w:val="008208B9"/>
    <w:rsid w:val="00820AE4"/>
    <w:rsid w:val="00820D1B"/>
    <w:rsid w:val="008211BE"/>
    <w:rsid w:val="008218F0"/>
    <w:rsid w:val="00821956"/>
    <w:rsid w:val="00821AB4"/>
    <w:rsid w:val="00821D06"/>
    <w:rsid w:val="0082225B"/>
    <w:rsid w:val="00822638"/>
    <w:rsid w:val="008227B9"/>
    <w:rsid w:val="00822D07"/>
    <w:rsid w:val="00823B18"/>
    <w:rsid w:val="00823DA8"/>
    <w:rsid w:val="00823EB2"/>
    <w:rsid w:val="00823EDD"/>
    <w:rsid w:val="00824072"/>
    <w:rsid w:val="0082433A"/>
    <w:rsid w:val="0082462F"/>
    <w:rsid w:val="0082469B"/>
    <w:rsid w:val="00824742"/>
    <w:rsid w:val="00824972"/>
    <w:rsid w:val="00824B5A"/>
    <w:rsid w:val="00824B69"/>
    <w:rsid w:val="00824D59"/>
    <w:rsid w:val="00824F66"/>
    <w:rsid w:val="00825057"/>
    <w:rsid w:val="00825373"/>
    <w:rsid w:val="008253B5"/>
    <w:rsid w:val="008256B3"/>
    <w:rsid w:val="0082582E"/>
    <w:rsid w:val="008259E3"/>
    <w:rsid w:val="00825C31"/>
    <w:rsid w:val="00825C6C"/>
    <w:rsid w:val="008260AF"/>
    <w:rsid w:val="0082653A"/>
    <w:rsid w:val="00826748"/>
    <w:rsid w:val="008267CB"/>
    <w:rsid w:val="00826EB5"/>
    <w:rsid w:val="00826F13"/>
    <w:rsid w:val="0082731F"/>
    <w:rsid w:val="00827331"/>
    <w:rsid w:val="0082743A"/>
    <w:rsid w:val="00827815"/>
    <w:rsid w:val="00827B37"/>
    <w:rsid w:val="00827FEE"/>
    <w:rsid w:val="0083014D"/>
    <w:rsid w:val="00830176"/>
    <w:rsid w:val="0083025F"/>
    <w:rsid w:val="00830906"/>
    <w:rsid w:val="008309CC"/>
    <w:rsid w:val="00830A81"/>
    <w:rsid w:val="00830C49"/>
    <w:rsid w:val="00831265"/>
    <w:rsid w:val="008312F3"/>
    <w:rsid w:val="00831588"/>
    <w:rsid w:val="0083198B"/>
    <w:rsid w:val="0083198F"/>
    <w:rsid w:val="00831A19"/>
    <w:rsid w:val="008320BD"/>
    <w:rsid w:val="00832219"/>
    <w:rsid w:val="008323E0"/>
    <w:rsid w:val="008326A2"/>
    <w:rsid w:val="00832A6A"/>
    <w:rsid w:val="00832C2E"/>
    <w:rsid w:val="00832CA1"/>
    <w:rsid w:val="00833584"/>
    <w:rsid w:val="0083397B"/>
    <w:rsid w:val="008339B0"/>
    <w:rsid w:val="00833D80"/>
    <w:rsid w:val="008341FC"/>
    <w:rsid w:val="0083434C"/>
    <w:rsid w:val="008343D4"/>
    <w:rsid w:val="008344A6"/>
    <w:rsid w:val="008346CD"/>
    <w:rsid w:val="008346E0"/>
    <w:rsid w:val="00834958"/>
    <w:rsid w:val="0083495A"/>
    <w:rsid w:val="00834EA4"/>
    <w:rsid w:val="00835230"/>
    <w:rsid w:val="00835633"/>
    <w:rsid w:val="00835667"/>
    <w:rsid w:val="00835687"/>
    <w:rsid w:val="0083570C"/>
    <w:rsid w:val="008359EE"/>
    <w:rsid w:val="008359FA"/>
    <w:rsid w:val="00835A10"/>
    <w:rsid w:val="00835A62"/>
    <w:rsid w:val="00835BDE"/>
    <w:rsid w:val="00835DB5"/>
    <w:rsid w:val="008364B9"/>
    <w:rsid w:val="00836792"/>
    <w:rsid w:val="00836C46"/>
    <w:rsid w:val="00836CAB"/>
    <w:rsid w:val="00836E16"/>
    <w:rsid w:val="00836F90"/>
    <w:rsid w:val="00837076"/>
    <w:rsid w:val="00837A66"/>
    <w:rsid w:val="00840029"/>
    <w:rsid w:val="00840363"/>
    <w:rsid w:val="0084072A"/>
    <w:rsid w:val="00840D0B"/>
    <w:rsid w:val="00840DAA"/>
    <w:rsid w:val="00840DB7"/>
    <w:rsid w:val="00841123"/>
    <w:rsid w:val="00841AA6"/>
    <w:rsid w:val="00841D58"/>
    <w:rsid w:val="0084207F"/>
    <w:rsid w:val="0084220E"/>
    <w:rsid w:val="0084263F"/>
    <w:rsid w:val="008428FA"/>
    <w:rsid w:val="0084296C"/>
    <w:rsid w:val="00842C0B"/>
    <w:rsid w:val="00842EF2"/>
    <w:rsid w:val="00842F7A"/>
    <w:rsid w:val="00843319"/>
    <w:rsid w:val="0084331E"/>
    <w:rsid w:val="00843335"/>
    <w:rsid w:val="0084339C"/>
    <w:rsid w:val="008433E1"/>
    <w:rsid w:val="00843951"/>
    <w:rsid w:val="00843C13"/>
    <w:rsid w:val="00843FD4"/>
    <w:rsid w:val="008442A4"/>
    <w:rsid w:val="00844679"/>
    <w:rsid w:val="00844A9B"/>
    <w:rsid w:val="00844C1D"/>
    <w:rsid w:val="00844F8D"/>
    <w:rsid w:val="00845240"/>
    <w:rsid w:val="008453BA"/>
    <w:rsid w:val="008454F8"/>
    <w:rsid w:val="0084551B"/>
    <w:rsid w:val="0084580B"/>
    <w:rsid w:val="00845ED7"/>
    <w:rsid w:val="00846150"/>
    <w:rsid w:val="00846779"/>
    <w:rsid w:val="00846E20"/>
    <w:rsid w:val="00846F0F"/>
    <w:rsid w:val="0084707E"/>
    <w:rsid w:val="00847095"/>
    <w:rsid w:val="00847196"/>
    <w:rsid w:val="008473AE"/>
    <w:rsid w:val="0084775D"/>
    <w:rsid w:val="0084792F"/>
    <w:rsid w:val="00847EAF"/>
    <w:rsid w:val="00847EBD"/>
    <w:rsid w:val="00847EE9"/>
    <w:rsid w:val="0085018E"/>
    <w:rsid w:val="008504D5"/>
    <w:rsid w:val="0085073A"/>
    <w:rsid w:val="00850837"/>
    <w:rsid w:val="00850989"/>
    <w:rsid w:val="008509AE"/>
    <w:rsid w:val="0085121E"/>
    <w:rsid w:val="008515E3"/>
    <w:rsid w:val="00851AF2"/>
    <w:rsid w:val="00851D42"/>
    <w:rsid w:val="00852409"/>
    <w:rsid w:val="00852728"/>
    <w:rsid w:val="00852784"/>
    <w:rsid w:val="00852971"/>
    <w:rsid w:val="0085353D"/>
    <w:rsid w:val="00853589"/>
    <w:rsid w:val="00854194"/>
    <w:rsid w:val="008542EF"/>
    <w:rsid w:val="00854871"/>
    <w:rsid w:val="00854E7A"/>
    <w:rsid w:val="00854EE6"/>
    <w:rsid w:val="00855378"/>
    <w:rsid w:val="00855880"/>
    <w:rsid w:val="00855A49"/>
    <w:rsid w:val="00855AAA"/>
    <w:rsid w:val="00855C37"/>
    <w:rsid w:val="00855EE1"/>
    <w:rsid w:val="00855F09"/>
    <w:rsid w:val="00855F84"/>
    <w:rsid w:val="00856072"/>
    <w:rsid w:val="0085607A"/>
    <w:rsid w:val="008560C8"/>
    <w:rsid w:val="00856381"/>
    <w:rsid w:val="008563C1"/>
    <w:rsid w:val="00856586"/>
    <w:rsid w:val="008565BE"/>
    <w:rsid w:val="00856879"/>
    <w:rsid w:val="0085691E"/>
    <w:rsid w:val="00856ACA"/>
    <w:rsid w:val="00856F34"/>
    <w:rsid w:val="008574AC"/>
    <w:rsid w:val="00857502"/>
    <w:rsid w:val="0085764E"/>
    <w:rsid w:val="00857799"/>
    <w:rsid w:val="0085782B"/>
    <w:rsid w:val="00857878"/>
    <w:rsid w:val="00857DEB"/>
    <w:rsid w:val="00857E1B"/>
    <w:rsid w:val="00857E6F"/>
    <w:rsid w:val="008600F9"/>
    <w:rsid w:val="0086022B"/>
    <w:rsid w:val="008602A7"/>
    <w:rsid w:val="008602BC"/>
    <w:rsid w:val="008606C3"/>
    <w:rsid w:val="00860A08"/>
    <w:rsid w:val="008612ED"/>
    <w:rsid w:val="00861332"/>
    <w:rsid w:val="00861461"/>
    <w:rsid w:val="00861BFE"/>
    <w:rsid w:val="00861F60"/>
    <w:rsid w:val="00862225"/>
    <w:rsid w:val="0086297C"/>
    <w:rsid w:val="00862C5F"/>
    <w:rsid w:val="0086300B"/>
    <w:rsid w:val="0086315F"/>
    <w:rsid w:val="00863333"/>
    <w:rsid w:val="0086340C"/>
    <w:rsid w:val="008634C2"/>
    <w:rsid w:val="008636FA"/>
    <w:rsid w:val="00863AB5"/>
    <w:rsid w:val="00863E68"/>
    <w:rsid w:val="0086404E"/>
    <w:rsid w:val="00864362"/>
    <w:rsid w:val="008644AC"/>
    <w:rsid w:val="008644EC"/>
    <w:rsid w:val="00864619"/>
    <w:rsid w:val="00864CA9"/>
    <w:rsid w:val="00864EEA"/>
    <w:rsid w:val="00864F98"/>
    <w:rsid w:val="008654B7"/>
    <w:rsid w:val="00865856"/>
    <w:rsid w:val="0086596B"/>
    <w:rsid w:val="00865ABF"/>
    <w:rsid w:val="00865D12"/>
    <w:rsid w:val="00865E4F"/>
    <w:rsid w:val="0086610A"/>
    <w:rsid w:val="00866134"/>
    <w:rsid w:val="00866456"/>
    <w:rsid w:val="008665AD"/>
    <w:rsid w:val="00866663"/>
    <w:rsid w:val="008668CF"/>
    <w:rsid w:val="0086698C"/>
    <w:rsid w:val="00866A44"/>
    <w:rsid w:val="00866D77"/>
    <w:rsid w:val="0086722D"/>
    <w:rsid w:val="008674D6"/>
    <w:rsid w:val="0086750B"/>
    <w:rsid w:val="008675B0"/>
    <w:rsid w:val="00867871"/>
    <w:rsid w:val="008679C5"/>
    <w:rsid w:val="00867D69"/>
    <w:rsid w:val="00867DF2"/>
    <w:rsid w:val="00867E95"/>
    <w:rsid w:val="0086B9D5"/>
    <w:rsid w:val="008701D8"/>
    <w:rsid w:val="00870821"/>
    <w:rsid w:val="008708DA"/>
    <w:rsid w:val="0087098C"/>
    <w:rsid w:val="00870A33"/>
    <w:rsid w:val="00870E13"/>
    <w:rsid w:val="00870E16"/>
    <w:rsid w:val="00871011"/>
    <w:rsid w:val="008711A1"/>
    <w:rsid w:val="008715B2"/>
    <w:rsid w:val="008716A2"/>
    <w:rsid w:val="0087194C"/>
    <w:rsid w:val="008719C4"/>
    <w:rsid w:val="00871F28"/>
    <w:rsid w:val="00872110"/>
    <w:rsid w:val="00872BE1"/>
    <w:rsid w:val="00872CD1"/>
    <w:rsid w:val="00872E3A"/>
    <w:rsid w:val="00872F3A"/>
    <w:rsid w:val="00873074"/>
    <w:rsid w:val="008731F9"/>
    <w:rsid w:val="0087346E"/>
    <w:rsid w:val="0087352B"/>
    <w:rsid w:val="00873558"/>
    <w:rsid w:val="008738C9"/>
    <w:rsid w:val="0087392C"/>
    <w:rsid w:val="00873A93"/>
    <w:rsid w:val="00873BE7"/>
    <w:rsid w:val="00873F23"/>
    <w:rsid w:val="00873FF7"/>
    <w:rsid w:val="0087427B"/>
    <w:rsid w:val="008749EE"/>
    <w:rsid w:val="008750A3"/>
    <w:rsid w:val="008755C6"/>
    <w:rsid w:val="0087585D"/>
    <w:rsid w:val="008759D1"/>
    <w:rsid w:val="00875CB0"/>
    <w:rsid w:val="00875F49"/>
    <w:rsid w:val="008760E1"/>
    <w:rsid w:val="00876487"/>
    <w:rsid w:val="008765E9"/>
    <w:rsid w:val="00876B31"/>
    <w:rsid w:val="0087706C"/>
    <w:rsid w:val="00877346"/>
    <w:rsid w:val="00877416"/>
    <w:rsid w:val="00877E14"/>
    <w:rsid w:val="00877FBF"/>
    <w:rsid w:val="0088043E"/>
    <w:rsid w:val="008810D2"/>
    <w:rsid w:val="008812CD"/>
    <w:rsid w:val="00881332"/>
    <w:rsid w:val="00881457"/>
    <w:rsid w:val="00881512"/>
    <w:rsid w:val="00881F43"/>
    <w:rsid w:val="00881FF8"/>
    <w:rsid w:val="00882DE1"/>
    <w:rsid w:val="0088360B"/>
    <w:rsid w:val="00884147"/>
    <w:rsid w:val="00884305"/>
    <w:rsid w:val="008844E7"/>
    <w:rsid w:val="00884933"/>
    <w:rsid w:val="008849E8"/>
    <w:rsid w:val="00884A29"/>
    <w:rsid w:val="00884AFE"/>
    <w:rsid w:val="00884C0B"/>
    <w:rsid w:val="00885108"/>
    <w:rsid w:val="0088517A"/>
    <w:rsid w:val="00885194"/>
    <w:rsid w:val="008857DB"/>
    <w:rsid w:val="008859B6"/>
    <w:rsid w:val="00885C7F"/>
    <w:rsid w:val="00885DA6"/>
    <w:rsid w:val="008861E1"/>
    <w:rsid w:val="00886686"/>
    <w:rsid w:val="008869DF"/>
    <w:rsid w:val="00886A91"/>
    <w:rsid w:val="00886B66"/>
    <w:rsid w:val="00886BB2"/>
    <w:rsid w:val="00886FFF"/>
    <w:rsid w:val="00887023"/>
    <w:rsid w:val="008872E6"/>
    <w:rsid w:val="008873FF"/>
    <w:rsid w:val="00887939"/>
    <w:rsid w:val="00887EF8"/>
    <w:rsid w:val="008904AA"/>
    <w:rsid w:val="00890624"/>
    <w:rsid w:val="00890D9D"/>
    <w:rsid w:val="00890EE3"/>
    <w:rsid w:val="008910BB"/>
    <w:rsid w:val="008912F3"/>
    <w:rsid w:val="00891473"/>
    <w:rsid w:val="008916CB"/>
    <w:rsid w:val="00891779"/>
    <w:rsid w:val="00891A8A"/>
    <w:rsid w:val="00891ED5"/>
    <w:rsid w:val="0089225D"/>
    <w:rsid w:val="00892510"/>
    <w:rsid w:val="0089254B"/>
    <w:rsid w:val="008927F6"/>
    <w:rsid w:val="00893264"/>
    <w:rsid w:val="008933E5"/>
    <w:rsid w:val="0089343D"/>
    <w:rsid w:val="0089382F"/>
    <w:rsid w:val="00893BCE"/>
    <w:rsid w:val="00893E76"/>
    <w:rsid w:val="00894103"/>
    <w:rsid w:val="008946CE"/>
    <w:rsid w:val="00894791"/>
    <w:rsid w:val="008948A9"/>
    <w:rsid w:val="00894909"/>
    <w:rsid w:val="00894A15"/>
    <w:rsid w:val="00894C48"/>
    <w:rsid w:val="008952D8"/>
    <w:rsid w:val="008955AC"/>
    <w:rsid w:val="00895777"/>
    <w:rsid w:val="008959EC"/>
    <w:rsid w:val="00895AFA"/>
    <w:rsid w:val="00895F4B"/>
    <w:rsid w:val="00896BBB"/>
    <w:rsid w:val="00896CD8"/>
    <w:rsid w:val="00896E0A"/>
    <w:rsid w:val="00896E7B"/>
    <w:rsid w:val="00896FAD"/>
    <w:rsid w:val="00897006"/>
    <w:rsid w:val="00897153"/>
    <w:rsid w:val="008971C8"/>
    <w:rsid w:val="008973A3"/>
    <w:rsid w:val="00897827"/>
    <w:rsid w:val="008978F9"/>
    <w:rsid w:val="00897991"/>
    <w:rsid w:val="008A077F"/>
    <w:rsid w:val="008A0885"/>
    <w:rsid w:val="008A0D2E"/>
    <w:rsid w:val="008A0DB9"/>
    <w:rsid w:val="008A15A5"/>
    <w:rsid w:val="008A1768"/>
    <w:rsid w:val="008A1B18"/>
    <w:rsid w:val="008A1C02"/>
    <w:rsid w:val="008A1EB2"/>
    <w:rsid w:val="008A1F4D"/>
    <w:rsid w:val="008A213F"/>
    <w:rsid w:val="008A243D"/>
    <w:rsid w:val="008A2486"/>
    <w:rsid w:val="008A24BE"/>
    <w:rsid w:val="008A2D06"/>
    <w:rsid w:val="008A2E09"/>
    <w:rsid w:val="008A3024"/>
    <w:rsid w:val="008A3187"/>
    <w:rsid w:val="008A39E1"/>
    <w:rsid w:val="008A41DE"/>
    <w:rsid w:val="008A46A6"/>
    <w:rsid w:val="008A47CF"/>
    <w:rsid w:val="008A4958"/>
    <w:rsid w:val="008A4C65"/>
    <w:rsid w:val="008A53A0"/>
    <w:rsid w:val="008A55E2"/>
    <w:rsid w:val="008A5662"/>
    <w:rsid w:val="008A56B4"/>
    <w:rsid w:val="008A59E2"/>
    <w:rsid w:val="008A5EA4"/>
    <w:rsid w:val="008A603E"/>
    <w:rsid w:val="008A6964"/>
    <w:rsid w:val="008A6AAC"/>
    <w:rsid w:val="008A7360"/>
    <w:rsid w:val="008A73CD"/>
    <w:rsid w:val="008A7404"/>
    <w:rsid w:val="008A749A"/>
    <w:rsid w:val="008A794F"/>
    <w:rsid w:val="008A7BC2"/>
    <w:rsid w:val="008A7ED9"/>
    <w:rsid w:val="008A7F14"/>
    <w:rsid w:val="008A7F7E"/>
    <w:rsid w:val="008B04EC"/>
    <w:rsid w:val="008B061D"/>
    <w:rsid w:val="008B0698"/>
    <w:rsid w:val="008B0705"/>
    <w:rsid w:val="008B0BB5"/>
    <w:rsid w:val="008B140F"/>
    <w:rsid w:val="008B1AF6"/>
    <w:rsid w:val="008B24F8"/>
    <w:rsid w:val="008B2575"/>
    <w:rsid w:val="008B2B97"/>
    <w:rsid w:val="008B2D1B"/>
    <w:rsid w:val="008B2DF5"/>
    <w:rsid w:val="008B2FD6"/>
    <w:rsid w:val="008B3310"/>
    <w:rsid w:val="008B34FD"/>
    <w:rsid w:val="008B3553"/>
    <w:rsid w:val="008B35B3"/>
    <w:rsid w:val="008B374C"/>
    <w:rsid w:val="008B3BA7"/>
    <w:rsid w:val="008B3ED0"/>
    <w:rsid w:val="008B400A"/>
    <w:rsid w:val="008B41F4"/>
    <w:rsid w:val="008B4215"/>
    <w:rsid w:val="008B4664"/>
    <w:rsid w:val="008B475F"/>
    <w:rsid w:val="008B5B42"/>
    <w:rsid w:val="008B60E2"/>
    <w:rsid w:val="008B65C5"/>
    <w:rsid w:val="008B67E7"/>
    <w:rsid w:val="008B6A73"/>
    <w:rsid w:val="008B720A"/>
    <w:rsid w:val="008B7644"/>
    <w:rsid w:val="008B7AB4"/>
    <w:rsid w:val="008C0071"/>
    <w:rsid w:val="008C0590"/>
    <w:rsid w:val="008C0627"/>
    <w:rsid w:val="008C06CA"/>
    <w:rsid w:val="008C0CAE"/>
    <w:rsid w:val="008C176A"/>
    <w:rsid w:val="008C17B0"/>
    <w:rsid w:val="008C1B69"/>
    <w:rsid w:val="008C1BA7"/>
    <w:rsid w:val="008C1DE2"/>
    <w:rsid w:val="008C205B"/>
    <w:rsid w:val="008C2072"/>
    <w:rsid w:val="008C20C0"/>
    <w:rsid w:val="008C21E1"/>
    <w:rsid w:val="008C22BF"/>
    <w:rsid w:val="008C233B"/>
    <w:rsid w:val="008C24FD"/>
    <w:rsid w:val="008C2D1F"/>
    <w:rsid w:val="008C2DB8"/>
    <w:rsid w:val="008C3192"/>
    <w:rsid w:val="008C31D7"/>
    <w:rsid w:val="008C3570"/>
    <w:rsid w:val="008C36C6"/>
    <w:rsid w:val="008C375B"/>
    <w:rsid w:val="008C3BCD"/>
    <w:rsid w:val="008C3DD5"/>
    <w:rsid w:val="008C3F5D"/>
    <w:rsid w:val="008C40E8"/>
    <w:rsid w:val="008C438A"/>
    <w:rsid w:val="008C497E"/>
    <w:rsid w:val="008C4A73"/>
    <w:rsid w:val="008C4ABA"/>
    <w:rsid w:val="008C4AE2"/>
    <w:rsid w:val="008C4CE5"/>
    <w:rsid w:val="008C59FA"/>
    <w:rsid w:val="008C639D"/>
    <w:rsid w:val="008C6599"/>
    <w:rsid w:val="008C6764"/>
    <w:rsid w:val="008C6A11"/>
    <w:rsid w:val="008C703B"/>
    <w:rsid w:val="008C7161"/>
    <w:rsid w:val="008C72F9"/>
    <w:rsid w:val="008C73F8"/>
    <w:rsid w:val="008C74CC"/>
    <w:rsid w:val="008C7A1E"/>
    <w:rsid w:val="008C7BF8"/>
    <w:rsid w:val="008C7CE9"/>
    <w:rsid w:val="008C7E70"/>
    <w:rsid w:val="008D07A0"/>
    <w:rsid w:val="008D0B30"/>
    <w:rsid w:val="008D0EE2"/>
    <w:rsid w:val="008D18AF"/>
    <w:rsid w:val="008D1A99"/>
    <w:rsid w:val="008D1FCD"/>
    <w:rsid w:val="008D2889"/>
    <w:rsid w:val="008D2C31"/>
    <w:rsid w:val="008D2DEB"/>
    <w:rsid w:val="008D30D7"/>
    <w:rsid w:val="008D34E8"/>
    <w:rsid w:val="008D3811"/>
    <w:rsid w:val="008D389B"/>
    <w:rsid w:val="008D39DF"/>
    <w:rsid w:val="008D3D5D"/>
    <w:rsid w:val="008D3DC3"/>
    <w:rsid w:val="008D3FB9"/>
    <w:rsid w:val="008D4393"/>
    <w:rsid w:val="008D44DB"/>
    <w:rsid w:val="008D46A5"/>
    <w:rsid w:val="008D4C39"/>
    <w:rsid w:val="008D4DB9"/>
    <w:rsid w:val="008D4F0F"/>
    <w:rsid w:val="008D4F7C"/>
    <w:rsid w:val="008D5037"/>
    <w:rsid w:val="008D5188"/>
    <w:rsid w:val="008D519D"/>
    <w:rsid w:val="008D52B0"/>
    <w:rsid w:val="008D5E00"/>
    <w:rsid w:val="008D5FDD"/>
    <w:rsid w:val="008D6441"/>
    <w:rsid w:val="008D6473"/>
    <w:rsid w:val="008D666E"/>
    <w:rsid w:val="008D6CDF"/>
    <w:rsid w:val="008D74E6"/>
    <w:rsid w:val="008D76F6"/>
    <w:rsid w:val="008D7DFF"/>
    <w:rsid w:val="008E0B80"/>
    <w:rsid w:val="008E0C1E"/>
    <w:rsid w:val="008E0C26"/>
    <w:rsid w:val="008E0DF7"/>
    <w:rsid w:val="008E0F71"/>
    <w:rsid w:val="008E0FC3"/>
    <w:rsid w:val="008E1636"/>
    <w:rsid w:val="008E1CDF"/>
    <w:rsid w:val="008E1F9F"/>
    <w:rsid w:val="008E1FF9"/>
    <w:rsid w:val="008E230E"/>
    <w:rsid w:val="008E2E86"/>
    <w:rsid w:val="008E30C0"/>
    <w:rsid w:val="008E3984"/>
    <w:rsid w:val="008E3A45"/>
    <w:rsid w:val="008E3A68"/>
    <w:rsid w:val="008E40DA"/>
    <w:rsid w:val="008E45BE"/>
    <w:rsid w:val="008E45F9"/>
    <w:rsid w:val="008E4C56"/>
    <w:rsid w:val="008E5849"/>
    <w:rsid w:val="008E5AE8"/>
    <w:rsid w:val="008E6B31"/>
    <w:rsid w:val="008E6CE4"/>
    <w:rsid w:val="008E6D9A"/>
    <w:rsid w:val="008E6DBB"/>
    <w:rsid w:val="008E6EEF"/>
    <w:rsid w:val="008E6F17"/>
    <w:rsid w:val="008E74FD"/>
    <w:rsid w:val="008E7871"/>
    <w:rsid w:val="008E790A"/>
    <w:rsid w:val="008E7EB5"/>
    <w:rsid w:val="008F031E"/>
    <w:rsid w:val="008F0375"/>
    <w:rsid w:val="008F08FF"/>
    <w:rsid w:val="008F09D9"/>
    <w:rsid w:val="008F0B6F"/>
    <w:rsid w:val="008F0C15"/>
    <w:rsid w:val="008F0CDF"/>
    <w:rsid w:val="008F0F14"/>
    <w:rsid w:val="008F0F7C"/>
    <w:rsid w:val="008F111D"/>
    <w:rsid w:val="008F1384"/>
    <w:rsid w:val="008F13E8"/>
    <w:rsid w:val="008F1449"/>
    <w:rsid w:val="008F14E4"/>
    <w:rsid w:val="008F182D"/>
    <w:rsid w:val="008F1A66"/>
    <w:rsid w:val="008F1EA9"/>
    <w:rsid w:val="008F1F80"/>
    <w:rsid w:val="008F257A"/>
    <w:rsid w:val="008F2665"/>
    <w:rsid w:val="008F2EB4"/>
    <w:rsid w:val="008F305E"/>
    <w:rsid w:val="008F398D"/>
    <w:rsid w:val="008F3B56"/>
    <w:rsid w:val="008F3D81"/>
    <w:rsid w:val="008F3DFF"/>
    <w:rsid w:val="008F4270"/>
    <w:rsid w:val="008F5797"/>
    <w:rsid w:val="008F5C36"/>
    <w:rsid w:val="008F5ED8"/>
    <w:rsid w:val="008F5F10"/>
    <w:rsid w:val="008F5FF3"/>
    <w:rsid w:val="008F61AA"/>
    <w:rsid w:val="008F61BA"/>
    <w:rsid w:val="008F6224"/>
    <w:rsid w:val="008F62DA"/>
    <w:rsid w:val="008F64C4"/>
    <w:rsid w:val="008F6CBF"/>
    <w:rsid w:val="008F705E"/>
    <w:rsid w:val="008F72C7"/>
    <w:rsid w:val="008F79A9"/>
    <w:rsid w:val="008F79DE"/>
    <w:rsid w:val="008F7D56"/>
    <w:rsid w:val="008F7DA8"/>
    <w:rsid w:val="0090040D"/>
    <w:rsid w:val="0090054E"/>
    <w:rsid w:val="009007E8"/>
    <w:rsid w:val="009008AB"/>
    <w:rsid w:val="0090090C"/>
    <w:rsid w:val="0090154B"/>
    <w:rsid w:val="00901627"/>
    <w:rsid w:val="00901632"/>
    <w:rsid w:val="00901699"/>
    <w:rsid w:val="009017B0"/>
    <w:rsid w:val="00901805"/>
    <w:rsid w:val="00902872"/>
    <w:rsid w:val="00902B1D"/>
    <w:rsid w:val="00902B62"/>
    <w:rsid w:val="00902BB6"/>
    <w:rsid w:val="009030F1"/>
    <w:rsid w:val="00903376"/>
    <w:rsid w:val="0090338A"/>
    <w:rsid w:val="00903744"/>
    <w:rsid w:val="00903797"/>
    <w:rsid w:val="00903D84"/>
    <w:rsid w:val="00903DBA"/>
    <w:rsid w:val="00904076"/>
    <w:rsid w:val="009046CF"/>
    <w:rsid w:val="00904F7A"/>
    <w:rsid w:val="009051AA"/>
    <w:rsid w:val="009052D7"/>
    <w:rsid w:val="00905519"/>
    <w:rsid w:val="009058FD"/>
    <w:rsid w:val="00905AA5"/>
    <w:rsid w:val="00905E10"/>
    <w:rsid w:val="009062AE"/>
    <w:rsid w:val="0090654B"/>
    <w:rsid w:val="0090683A"/>
    <w:rsid w:val="00906C51"/>
    <w:rsid w:val="00906CAD"/>
    <w:rsid w:val="00906FEF"/>
    <w:rsid w:val="0090707D"/>
    <w:rsid w:val="009075C8"/>
    <w:rsid w:val="009076E6"/>
    <w:rsid w:val="009100CF"/>
    <w:rsid w:val="00910163"/>
    <w:rsid w:val="00910273"/>
    <w:rsid w:val="0091027A"/>
    <w:rsid w:val="009103C4"/>
    <w:rsid w:val="009103EF"/>
    <w:rsid w:val="00910811"/>
    <w:rsid w:val="00910835"/>
    <w:rsid w:val="0091093F"/>
    <w:rsid w:val="00910C51"/>
    <w:rsid w:val="00910CFE"/>
    <w:rsid w:val="009111E2"/>
    <w:rsid w:val="00911B37"/>
    <w:rsid w:val="0091206A"/>
    <w:rsid w:val="0091213C"/>
    <w:rsid w:val="0091221A"/>
    <w:rsid w:val="00912228"/>
    <w:rsid w:val="00912888"/>
    <w:rsid w:val="00913117"/>
    <w:rsid w:val="0091334F"/>
    <w:rsid w:val="00913489"/>
    <w:rsid w:val="0091351F"/>
    <w:rsid w:val="009135C0"/>
    <w:rsid w:val="0091362C"/>
    <w:rsid w:val="00913AAB"/>
    <w:rsid w:val="00913E3B"/>
    <w:rsid w:val="009146DE"/>
    <w:rsid w:val="009147C0"/>
    <w:rsid w:val="009147CF"/>
    <w:rsid w:val="009150C1"/>
    <w:rsid w:val="00915ABE"/>
    <w:rsid w:val="00915B81"/>
    <w:rsid w:val="00915DD4"/>
    <w:rsid w:val="00916048"/>
    <w:rsid w:val="009161F6"/>
    <w:rsid w:val="00916367"/>
    <w:rsid w:val="009166C6"/>
    <w:rsid w:val="009166ED"/>
    <w:rsid w:val="00916E69"/>
    <w:rsid w:val="00916E79"/>
    <w:rsid w:val="00916EC7"/>
    <w:rsid w:val="00917132"/>
    <w:rsid w:val="00917B47"/>
    <w:rsid w:val="00917E0E"/>
    <w:rsid w:val="009202C3"/>
    <w:rsid w:val="0092058E"/>
    <w:rsid w:val="009206E3"/>
    <w:rsid w:val="009208BE"/>
    <w:rsid w:val="00920DF2"/>
    <w:rsid w:val="009211E5"/>
    <w:rsid w:val="009212F3"/>
    <w:rsid w:val="00921683"/>
    <w:rsid w:val="00921A51"/>
    <w:rsid w:val="00921ADF"/>
    <w:rsid w:val="00922052"/>
    <w:rsid w:val="0092215D"/>
    <w:rsid w:val="00922187"/>
    <w:rsid w:val="00922374"/>
    <w:rsid w:val="00923260"/>
    <w:rsid w:val="009236D0"/>
    <w:rsid w:val="00923AC7"/>
    <w:rsid w:val="00923E15"/>
    <w:rsid w:val="00923E31"/>
    <w:rsid w:val="00924205"/>
    <w:rsid w:val="00924551"/>
    <w:rsid w:val="00925466"/>
    <w:rsid w:val="009255CC"/>
    <w:rsid w:val="009256D2"/>
    <w:rsid w:val="00925DBF"/>
    <w:rsid w:val="009260FC"/>
    <w:rsid w:val="00926662"/>
    <w:rsid w:val="009266D2"/>
    <w:rsid w:val="00926871"/>
    <w:rsid w:val="00926906"/>
    <w:rsid w:val="0092699E"/>
    <w:rsid w:val="00926A31"/>
    <w:rsid w:val="00926AD6"/>
    <w:rsid w:val="00926AF5"/>
    <w:rsid w:val="00926BC2"/>
    <w:rsid w:val="00926CB7"/>
    <w:rsid w:val="00926E33"/>
    <w:rsid w:val="00927101"/>
    <w:rsid w:val="0092755F"/>
    <w:rsid w:val="0092763B"/>
    <w:rsid w:val="00927BA2"/>
    <w:rsid w:val="00927E14"/>
    <w:rsid w:val="00927ED5"/>
    <w:rsid w:val="009304A7"/>
    <w:rsid w:val="00930609"/>
    <w:rsid w:val="009309CC"/>
    <w:rsid w:val="00930D13"/>
    <w:rsid w:val="00930D15"/>
    <w:rsid w:val="0093107E"/>
    <w:rsid w:val="00931268"/>
    <w:rsid w:val="00931B47"/>
    <w:rsid w:val="00931E90"/>
    <w:rsid w:val="0093252C"/>
    <w:rsid w:val="0093260F"/>
    <w:rsid w:val="009326DB"/>
    <w:rsid w:val="009327C3"/>
    <w:rsid w:val="00933677"/>
    <w:rsid w:val="009336A7"/>
    <w:rsid w:val="009337B1"/>
    <w:rsid w:val="00933867"/>
    <w:rsid w:val="00933A73"/>
    <w:rsid w:val="00933C20"/>
    <w:rsid w:val="00933C57"/>
    <w:rsid w:val="00933D1B"/>
    <w:rsid w:val="00933E03"/>
    <w:rsid w:val="00934195"/>
    <w:rsid w:val="0093436A"/>
    <w:rsid w:val="00934A23"/>
    <w:rsid w:val="00934A53"/>
    <w:rsid w:val="00934DB2"/>
    <w:rsid w:val="009350B3"/>
    <w:rsid w:val="00935E4B"/>
    <w:rsid w:val="00936363"/>
    <w:rsid w:val="00936430"/>
    <w:rsid w:val="009364E5"/>
    <w:rsid w:val="009366C1"/>
    <w:rsid w:val="00936753"/>
    <w:rsid w:val="00936A7F"/>
    <w:rsid w:val="00936E84"/>
    <w:rsid w:val="0093728D"/>
    <w:rsid w:val="00937340"/>
    <w:rsid w:val="009373E8"/>
    <w:rsid w:val="009377C9"/>
    <w:rsid w:val="00937896"/>
    <w:rsid w:val="0093793E"/>
    <w:rsid w:val="00937A92"/>
    <w:rsid w:val="00937C54"/>
    <w:rsid w:val="00937C5E"/>
    <w:rsid w:val="00937D02"/>
    <w:rsid w:val="00937F38"/>
    <w:rsid w:val="00937FC5"/>
    <w:rsid w:val="009402F0"/>
    <w:rsid w:val="009404F8"/>
    <w:rsid w:val="009407F2"/>
    <w:rsid w:val="009409A3"/>
    <w:rsid w:val="00940E7E"/>
    <w:rsid w:val="009411DF"/>
    <w:rsid w:val="0094154F"/>
    <w:rsid w:val="0094185C"/>
    <w:rsid w:val="00941BC7"/>
    <w:rsid w:val="00941D43"/>
    <w:rsid w:val="00942082"/>
    <w:rsid w:val="009421EF"/>
    <w:rsid w:val="0094221C"/>
    <w:rsid w:val="00942259"/>
    <w:rsid w:val="00942423"/>
    <w:rsid w:val="009424CC"/>
    <w:rsid w:val="00942552"/>
    <w:rsid w:val="009426F3"/>
    <w:rsid w:val="00942BBF"/>
    <w:rsid w:val="00943091"/>
    <w:rsid w:val="0094365F"/>
    <w:rsid w:val="00943B33"/>
    <w:rsid w:val="0094445C"/>
    <w:rsid w:val="00944630"/>
    <w:rsid w:val="009449B6"/>
    <w:rsid w:val="009451E9"/>
    <w:rsid w:val="0094523E"/>
    <w:rsid w:val="00945372"/>
    <w:rsid w:val="00945736"/>
    <w:rsid w:val="009458F7"/>
    <w:rsid w:val="00945A35"/>
    <w:rsid w:val="00945AF0"/>
    <w:rsid w:val="009464D6"/>
    <w:rsid w:val="0094678A"/>
    <w:rsid w:val="009500FE"/>
    <w:rsid w:val="00950660"/>
    <w:rsid w:val="009506FA"/>
    <w:rsid w:val="0095084B"/>
    <w:rsid w:val="00950A5E"/>
    <w:rsid w:val="00950EA8"/>
    <w:rsid w:val="009512E0"/>
    <w:rsid w:val="00951355"/>
    <w:rsid w:val="0095143C"/>
    <w:rsid w:val="00951A63"/>
    <w:rsid w:val="00951B2E"/>
    <w:rsid w:val="00952077"/>
    <w:rsid w:val="009520D4"/>
    <w:rsid w:val="00952772"/>
    <w:rsid w:val="009527A5"/>
    <w:rsid w:val="00954259"/>
    <w:rsid w:val="009542A7"/>
    <w:rsid w:val="00954D99"/>
    <w:rsid w:val="00955090"/>
    <w:rsid w:val="00955270"/>
    <w:rsid w:val="0095566B"/>
    <w:rsid w:val="00955798"/>
    <w:rsid w:val="00955F92"/>
    <w:rsid w:val="009563B3"/>
    <w:rsid w:val="00956600"/>
    <w:rsid w:val="0095694C"/>
    <w:rsid w:val="00956FCA"/>
    <w:rsid w:val="0095724E"/>
    <w:rsid w:val="00957602"/>
    <w:rsid w:val="009576A7"/>
    <w:rsid w:val="00957917"/>
    <w:rsid w:val="00957C08"/>
    <w:rsid w:val="00957C9B"/>
    <w:rsid w:val="00957CCA"/>
    <w:rsid w:val="00957CEB"/>
    <w:rsid w:val="00957D57"/>
    <w:rsid w:val="00957F12"/>
    <w:rsid w:val="0096049C"/>
    <w:rsid w:val="00960AC4"/>
    <w:rsid w:val="00961252"/>
    <w:rsid w:val="009612A0"/>
    <w:rsid w:val="00961EDF"/>
    <w:rsid w:val="00961EF2"/>
    <w:rsid w:val="00961FA4"/>
    <w:rsid w:val="0096248B"/>
    <w:rsid w:val="009625C0"/>
    <w:rsid w:val="0096267D"/>
    <w:rsid w:val="009626B4"/>
    <w:rsid w:val="009627FF"/>
    <w:rsid w:val="009628DF"/>
    <w:rsid w:val="00962C8B"/>
    <w:rsid w:val="00962E98"/>
    <w:rsid w:val="00962F11"/>
    <w:rsid w:val="00962FBD"/>
    <w:rsid w:val="00963565"/>
    <w:rsid w:val="009636A0"/>
    <w:rsid w:val="009636BA"/>
    <w:rsid w:val="00963778"/>
    <w:rsid w:val="009637C6"/>
    <w:rsid w:val="009639ED"/>
    <w:rsid w:val="00963B47"/>
    <w:rsid w:val="00963F49"/>
    <w:rsid w:val="009640C1"/>
    <w:rsid w:val="00964719"/>
    <w:rsid w:val="00964792"/>
    <w:rsid w:val="009648DA"/>
    <w:rsid w:val="00964BE3"/>
    <w:rsid w:val="00964C78"/>
    <w:rsid w:val="00964D2E"/>
    <w:rsid w:val="00964D45"/>
    <w:rsid w:val="0096506F"/>
    <w:rsid w:val="0096509C"/>
    <w:rsid w:val="00965874"/>
    <w:rsid w:val="009659AD"/>
    <w:rsid w:val="009663A9"/>
    <w:rsid w:val="009665B6"/>
    <w:rsid w:val="0096679B"/>
    <w:rsid w:val="00966AC1"/>
    <w:rsid w:val="00966B73"/>
    <w:rsid w:val="00966BA8"/>
    <w:rsid w:val="00966C00"/>
    <w:rsid w:val="0096728C"/>
    <w:rsid w:val="009674EA"/>
    <w:rsid w:val="009675C6"/>
    <w:rsid w:val="009675FA"/>
    <w:rsid w:val="009678E7"/>
    <w:rsid w:val="00967985"/>
    <w:rsid w:val="00967AD4"/>
    <w:rsid w:val="00967C37"/>
    <w:rsid w:val="00967D1A"/>
    <w:rsid w:val="0097023A"/>
    <w:rsid w:val="009703FA"/>
    <w:rsid w:val="00970479"/>
    <w:rsid w:val="00970D88"/>
    <w:rsid w:val="00970F2F"/>
    <w:rsid w:val="00971111"/>
    <w:rsid w:val="0097175E"/>
    <w:rsid w:val="00971B9C"/>
    <w:rsid w:val="00971D10"/>
    <w:rsid w:val="00971DBD"/>
    <w:rsid w:val="00971DE5"/>
    <w:rsid w:val="00972144"/>
    <w:rsid w:val="00972736"/>
    <w:rsid w:val="0097291D"/>
    <w:rsid w:val="00972A8E"/>
    <w:rsid w:val="00972D4D"/>
    <w:rsid w:val="00973AD2"/>
    <w:rsid w:val="00973E7A"/>
    <w:rsid w:val="009742A8"/>
    <w:rsid w:val="009743AA"/>
    <w:rsid w:val="0097464E"/>
    <w:rsid w:val="00974707"/>
    <w:rsid w:val="00974B0F"/>
    <w:rsid w:val="00974EB2"/>
    <w:rsid w:val="00974F1B"/>
    <w:rsid w:val="00975019"/>
    <w:rsid w:val="00975A9D"/>
    <w:rsid w:val="0097626F"/>
    <w:rsid w:val="0097647E"/>
    <w:rsid w:val="0097664A"/>
    <w:rsid w:val="00976780"/>
    <w:rsid w:val="0097697E"/>
    <w:rsid w:val="00976AAA"/>
    <w:rsid w:val="00976C24"/>
    <w:rsid w:val="009772F3"/>
    <w:rsid w:val="00977759"/>
    <w:rsid w:val="00977C43"/>
    <w:rsid w:val="00977CC2"/>
    <w:rsid w:val="00980002"/>
    <w:rsid w:val="00980321"/>
    <w:rsid w:val="0098046A"/>
    <w:rsid w:val="009808D8"/>
    <w:rsid w:val="00980CC7"/>
    <w:rsid w:val="00980FFD"/>
    <w:rsid w:val="00981014"/>
    <w:rsid w:val="009813EB"/>
    <w:rsid w:val="009815CE"/>
    <w:rsid w:val="009818AF"/>
    <w:rsid w:val="00981C78"/>
    <w:rsid w:val="00981D0D"/>
    <w:rsid w:val="00981F66"/>
    <w:rsid w:val="009821DF"/>
    <w:rsid w:val="009824C3"/>
    <w:rsid w:val="00982B85"/>
    <w:rsid w:val="00983211"/>
    <w:rsid w:val="00983327"/>
    <w:rsid w:val="0098353D"/>
    <w:rsid w:val="00983B78"/>
    <w:rsid w:val="00983BF6"/>
    <w:rsid w:val="00985159"/>
    <w:rsid w:val="00985318"/>
    <w:rsid w:val="00985CE0"/>
    <w:rsid w:val="00986331"/>
    <w:rsid w:val="009865C0"/>
    <w:rsid w:val="009866BC"/>
    <w:rsid w:val="00986715"/>
    <w:rsid w:val="00986A14"/>
    <w:rsid w:val="00986B6F"/>
    <w:rsid w:val="00987188"/>
    <w:rsid w:val="00987BF5"/>
    <w:rsid w:val="0099022B"/>
    <w:rsid w:val="00990595"/>
    <w:rsid w:val="009905B5"/>
    <w:rsid w:val="009906F5"/>
    <w:rsid w:val="00990856"/>
    <w:rsid w:val="00990979"/>
    <w:rsid w:val="009909F6"/>
    <w:rsid w:val="0099118B"/>
    <w:rsid w:val="009917E9"/>
    <w:rsid w:val="00991B71"/>
    <w:rsid w:val="00991DED"/>
    <w:rsid w:val="0099257A"/>
    <w:rsid w:val="009928B4"/>
    <w:rsid w:val="00992C03"/>
    <w:rsid w:val="0099307E"/>
    <w:rsid w:val="009932EB"/>
    <w:rsid w:val="00993604"/>
    <w:rsid w:val="00993701"/>
    <w:rsid w:val="00993741"/>
    <w:rsid w:val="0099374C"/>
    <w:rsid w:val="00993790"/>
    <w:rsid w:val="009939E5"/>
    <w:rsid w:val="00993A46"/>
    <w:rsid w:val="00993C00"/>
    <w:rsid w:val="00993D21"/>
    <w:rsid w:val="00994144"/>
    <w:rsid w:val="009942D7"/>
    <w:rsid w:val="009943B7"/>
    <w:rsid w:val="00994593"/>
    <w:rsid w:val="00994949"/>
    <w:rsid w:val="00994BD5"/>
    <w:rsid w:val="00995B73"/>
    <w:rsid w:val="00995C8D"/>
    <w:rsid w:val="0099606B"/>
    <w:rsid w:val="0099662E"/>
    <w:rsid w:val="009967BA"/>
    <w:rsid w:val="00996851"/>
    <w:rsid w:val="00996915"/>
    <w:rsid w:val="00996D7E"/>
    <w:rsid w:val="009971D1"/>
    <w:rsid w:val="00997741"/>
    <w:rsid w:val="009977D0"/>
    <w:rsid w:val="00997C38"/>
    <w:rsid w:val="009A0102"/>
    <w:rsid w:val="009A029A"/>
    <w:rsid w:val="009A0839"/>
    <w:rsid w:val="009A0C1D"/>
    <w:rsid w:val="009A0E76"/>
    <w:rsid w:val="009A0F0A"/>
    <w:rsid w:val="009A141D"/>
    <w:rsid w:val="009A1702"/>
    <w:rsid w:val="009A173A"/>
    <w:rsid w:val="009A17BF"/>
    <w:rsid w:val="009A182A"/>
    <w:rsid w:val="009A1878"/>
    <w:rsid w:val="009A18FA"/>
    <w:rsid w:val="009A1A50"/>
    <w:rsid w:val="009A2C11"/>
    <w:rsid w:val="009A2F3E"/>
    <w:rsid w:val="009A2FF0"/>
    <w:rsid w:val="009A3AA9"/>
    <w:rsid w:val="009A3B28"/>
    <w:rsid w:val="009A5022"/>
    <w:rsid w:val="009A5407"/>
    <w:rsid w:val="009A5B12"/>
    <w:rsid w:val="009A5BC4"/>
    <w:rsid w:val="009A5C0D"/>
    <w:rsid w:val="009A5EDE"/>
    <w:rsid w:val="009A62DB"/>
    <w:rsid w:val="009A692B"/>
    <w:rsid w:val="009A6A07"/>
    <w:rsid w:val="009A6E43"/>
    <w:rsid w:val="009A70E7"/>
    <w:rsid w:val="009A711C"/>
    <w:rsid w:val="009A7655"/>
    <w:rsid w:val="009A76E3"/>
    <w:rsid w:val="009A7C90"/>
    <w:rsid w:val="009A7FAF"/>
    <w:rsid w:val="009B04AD"/>
    <w:rsid w:val="009B0510"/>
    <w:rsid w:val="009B0590"/>
    <w:rsid w:val="009B07B8"/>
    <w:rsid w:val="009B0B67"/>
    <w:rsid w:val="009B0C5F"/>
    <w:rsid w:val="009B10F3"/>
    <w:rsid w:val="009B1223"/>
    <w:rsid w:val="009B13E6"/>
    <w:rsid w:val="009B1420"/>
    <w:rsid w:val="009B14E8"/>
    <w:rsid w:val="009B19ED"/>
    <w:rsid w:val="009B1A9C"/>
    <w:rsid w:val="009B1C97"/>
    <w:rsid w:val="009B245F"/>
    <w:rsid w:val="009B2B23"/>
    <w:rsid w:val="009B314E"/>
    <w:rsid w:val="009B3334"/>
    <w:rsid w:val="009B33D2"/>
    <w:rsid w:val="009B34AC"/>
    <w:rsid w:val="009B3771"/>
    <w:rsid w:val="009B3C78"/>
    <w:rsid w:val="009B41E9"/>
    <w:rsid w:val="009B4292"/>
    <w:rsid w:val="009B4331"/>
    <w:rsid w:val="009B43EA"/>
    <w:rsid w:val="009B48EE"/>
    <w:rsid w:val="009B4E16"/>
    <w:rsid w:val="009B522F"/>
    <w:rsid w:val="009B5465"/>
    <w:rsid w:val="009B55DA"/>
    <w:rsid w:val="009B5B47"/>
    <w:rsid w:val="009B5CAE"/>
    <w:rsid w:val="009B5ECA"/>
    <w:rsid w:val="009B5EE7"/>
    <w:rsid w:val="009B643B"/>
    <w:rsid w:val="009B64F4"/>
    <w:rsid w:val="009B67EA"/>
    <w:rsid w:val="009B6CF6"/>
    <w:rsid w:val="009B6FD1"/>
    <w:rsid w:val="009B710F"/>
    <w:rsid w:val="009B734E"/>
    <w:rsid w:val="009B7728"/>
    <w:rsid w:val="009B780F"/>
    <w:rsid w:val="009B7E2B"/>
    <w:rsid w:val="009C0127"/>
    <w:rsid w:val="009C08A9"/>
    <w:rsid w:val="009C0A43"/>
    <w:rsid w:val="009C12D4"/>
    <w:rsid w:val="009C157E"/>
    <w:rsid w:val="009C1A03"/>
    <w:rsid w:val="009C1BF4"/>
    <w:rsid w:val="009C1F78"/>
    <w:rsid w:val="009C2639"/>
    <w:rsid w:val="009C31AA"/>
    <w:rsid w:val="009C34AB"/>
    <w:rsid w:val="009C3659"/>
    <w:rsid w:val="009C36E2"/>
    <w:rsid w:val="009C3CB0"/>
    <w:rsid w:val="009C3E54"/>
    <w:rsid w:val="009C4060"/>
    <w:rsid w:val="009C4CD3"/>
    <w:rsid w:val="009C4D8C"/>
    <w:rsid w:val="009C52FF"/>
    <w:rsid w:val="009C5861"/>
    <w:rsid w:val="009C58CB"/>
    <w:rsid w:val="009C5B69"/>
    <w:rsid w:val="009C5EC8"/>
    <w:rsid w:val="009C5FD9"/>
    <w:rsid w:val="009C63BE"/>
    <w:rsid w:val="009C711F"/>
    <w:rsid w:val="009C71A4"/>
    <w:rsid w:val="009C742F"/>
    <w:rsid w:val="009C7828"/>
    <w:rsid w:val="009D0332"/>
    <w:rsid w:val="009D03F5"/>
    <w:rsid w:val="009D04AA"/>
    <w:rsid w:val="009D0E82"/>
    <w:rsid w:val="009D10F7"/>
    <w:rsid w:val="009D166D"/>
    <w:rsid w:val="009D1782"/>
    <w:rsid w:val="009D1A85"/>
    <w:rsid w:val="009D1AE6"/>
    <w:rsid w:val="009D1CCA"/>
    <w:rsid w:val="009D1E67"/>
    <w:rsid w:val="009D2448"/>
    <w:rsid w:val="009D249D"/>
    <w:rsid w:val="009D24CE"/>
    <w:rsid w:val="009D26F2"/>
    <w:rsid w:val="009D2A79"/>
    <w:rsid w:val="009D2BEA"/>
    <w:rsid w:val="009D2C4B"/>
    <w:rsid w:val="009D2CE0"/>
    <w:rsid w:val="009D3026"/>
    <w:rsid w:val="009D33AB"/>
    <w:rsid w:val="009D38A7"/>
    <w:rsid w:val="009D4170"/>
    <w:rsid w:val="009D432D"/>
    <w:rsid w:val="009D4AFA"/>
    <w:rsid w:val="009D5291"/>
    <w:rsid w:val="009D58AC"/>
    <w:rsid w:val="009D5929"/>
    <w:rsid w:val="009D5A36"/>
    <w:rsid w:val="009D5D13"/>
    <w:rsid w:val="009D63CE"/>
    <w:rsid w:val="009D6539"/>
    <w:rsid w:val="009D699B"/>
    <w:rsid w:val="009D7379"/>
    <w:rsid w:val="009D73F1"/>
    <w:rsid w:val="009D76C1"/>
    <w:rsid w:val="009E08B6"/>
    <w:rsid w:val="009E09C1"/>
    <w:rsid w:val="009E0A73"/>
    <w:rsid w:val="009E0E02"/>
    <w:rsid w:val="009E1029"/>
    <w:rsid w:val="009E1309"/>
    <w:rsid w:val="009E152A"/>
    <w:rsid w:val="009E1549"/>
    <w:rsid w:val="009E1563"/>
    <w:rsid w:val="009E1663"/>
    <w:rsid w:val="009E18EC"/>
    <w:rsid w:val="009E1B60"/>
    <w:rsid w:val="009E1CCA"/>
    <w:rsid w:val="009E1DAA"/>
    <w:rsid w:val="009E2838"/>
    <w:rsid w:val="009E2EA5"/>
    <w:rsid w:val="009E2EB5"/>
    <w:rsid w:val="009E2EBB"/>
    <w:rsid w:val="009E32B4"/>
    <w:rsid w:val="009E34E5"/>
    <w:rsid w:val="009E373F"/>
    <w:rsid w:val="009E3B3F"/>
    <w:rsid w:val="009E3DC8"/>
    <w:rsid w:val="009E3E51"/>
    <w:rsid w:val="009E4014"/>
    <w:rsid w:val="009E4054"/>
    <w:rsid w:val="009E423C"/>
    <w:rsid w:val="009E4C8A"/>
    <w:rsid w:val="009E4D07"/>
    <w:rsid w:val="009E4D50"/>
    <w:rsid w:val="009E4EF8"/>
    <w:rsid w:val="009E50D7"/>
    <w:rsid w:val="009E51AC"/>
    <w:rsid w:val="009E52CE"/>
    <w:rsid w:val="009E57F5"/>
    <w:rsid w:val="009E5A2E"/>
    <w:rsid w:val="009E5B8D"/>
    <w:rsid w:val="009E5D61"/>
    <w:rsid w:val="009E6155"/>
    <w:rsid w:val="009E6211"/>
    <w:rsid w:val="009E6402"/>
    <w:rsid w:val="009E641F"/>
    <w:rsid w:val="009E6F85"/>
    <w:rsid w:val="009E712F"/>
    <w:rsid w:val="009E716B"/>
    <w:rsid w:val="009E71D7"/>
    <w:rsid w:val="009E7DF0"/>
    <w:rsid w:val="009F0000"/>
    <w:rsid w:val="009F01BA"/>
    <w:rsid w:val="009F059A"/>
    <w:rsid w:val="009F0857"/>
    <w:rsid w:val="009F0A06"/>
    <w:rsid w:val="009F0AA7"/>
    <w:rsid w:val="009F1361"/>
    <w:rsid w:val="009F16F8"/>
    <w:rsid w:val="009F1B81"/>
    <w:rsid w:val="009F1BFA"/>
    <w:rsid w:val="009F1D19"/>
    <w:rsid w:val="009F1D91"/>
    <w:rsid w:val="009F1F99"/>
    <w:rsid w:val="009F21D2"/>
    <w:rsid w:val="009F262F"/>
    <w:rsid w:val="009F2648"/>
    <w:rsid w:val="009F2A27"/>
    <w:rsid w:val="009F2B19"/>
    <w:rsid w:val="009F2D51"/>
    <w:rsid w:val="009F2EF0"/>
    <w:rsid w:val="009F3101"/>
    <w:rsid w:val="009F335C"/>
    <w:rsid w:val="009F36EF"/>
    <w:rsid w:val="009F3ADC"/>
    <w:rsid w:val="009F443E"/>
    <w:rsid w:val="009F448B"/>
    <w:rsid w:val="009F453C"/>
    <w:rsid w:val="009F4558"/>
    <w:rsid w:val="009F467A"/>
    <w:rsid w:val="009F4905"/>
    <w:rsid w:val="009F4A08"/>
    <w:rsid w:val="009F5027"/>
    <w:rsid w:val="009F5208"/>
    <w:rsid w:val="009F526F"/>
    <w:rsid w:val="009F5838"/>
    <w:rsid w:val="009F5B75"/>
    <w:rsid w:val="009F5E91"/>
    <w:rsid w:val="009F609E"/>
    <w:rsid w:val="009F61E5"/>
    <w:rsid w:val="009F624C"/>
    <w:rsid w:val="009F666C"/>
    <w:rsid w:val="009F669E"/>
    <w:rsid w:val="009F685D"/>
    <w:rsid w:val="009F6AF5"/>
    <w:rsid w:val="009F6D5A"/>
    <w:rsid w:val="009F7A5A"/>
    <w:rsid w:val="00A0077D"/>
    <w:rsid w:val="00A00A78"/>
    <w:rsid w:val="00A00D64"/>
    <w:rsid w:val="00A01187"/>
    <w:rsid w:val="00A01894"/>
    <w:rsid w:val="00A01D1E"/>
    <w:rsid w:val="00A01EB6"/>
    <w:rsid w:val="00A02A0D"/>
    <w:rsid w:val="00A02BBA"/>
    <w:rsid w:val="00A02E27"/>
    <w:rsid w:val="00A03041"/>
    <w:rsid w:val="00A030DE"/>
    <w:rsid w:val="00A03262"/>
    <w:rsid w:val="00A0332D"/>
    <w:rsid w:val="00A03398"/>
    <w:rsid w:val="00A0362E"/>
    <w:rsid w:val="00A039F7"/>
    <w:rsid w:val="00A0424B"/>
    <w:rsid w:val="00A050E2"/>
    <w:rsid w:val="00A05256"/>
    <w:rsid w:val="00A052DA"/>
    <w:rsid w:val="00A0541B"/>
    <w:rsid w:val="00A054DA"/>
    <w:rsid w:val="00A055D2"/>
    <w:rsid w:val="00A05878"/>
    <w:rsid w:val="00A05BDF"/>
    <w:rsid w:val="00A05F26"/>
    <w:rsid w:val="00A06097"/>
    <w:rsid w:val="00A064EE"/>
    <w:rsid w:val="00A065BA"/>
    <w:rsid w:val="00A06832"/>
    <w:rsid w:val="00A06EBF"/>
    <w:rsid w:val="00A070AE"/>
    <w:rsid w:val="00A071D9"/>
    <w:rsid w:val="00A0749B"/>
    <w:rsid w:val="00A075E2"/>
    <w:rsid w:val="00A079FB"/>
    <w:rsid w:val="00A07F23"/>
    <w:rsid w:val="00A102E5"/>
    <w:rsid w:val="00A10695"/>
    <w:rsid w:val="00A10902"/>
    <w:rsid w:val="00A10BBF"/>
    <w:rsid w:val="00A10DA3"/>
    <w:rsid w:val="00A11A28"/>
    <w:rsid w:val="00A11D19"/>
    <w:rsid w:val="00A11ECE"/>
    <w:rsid w:val="00A11F4D"/>
    <w:rsid w:val="00A122F7"/>
    <w:rsid w:val="00A12622"/>
    <w:rsid w:val="00A126A1"/>
    <w:rsid w:val="00A1270E"/>
    <w:rsid w:val="00A12882"/>
    <w:rsid w:val="00A1291C"/>
    <w:rsid w:val="00A12B84"/>
    <w:rsid w:val="00A1305F"/>
    <w:rsid w:val="00A13691"/>
    <w:rsid w:val="00A13B5E"/>
    <w:rsid w:val="00A13D14"/>
    <w:rsid w:val="00A14813"/>
    <w:rsid w:val="00A14AEF"/>
    <w:rsid w:val="00A14B07"/>
    <w:rsid w:val="00A14C36"/>
    <w:rsid w:val="00A14CE1"/>
    <w:rsid w:val="00A151EE"/>
    <w:rsid w:val="00A152E2"/>
    <w:rsid w:val="00A15A55"/>
    <w:rsid w:val="00A15C94"/>
    <w:rsid w:val="00A15D2A"/>
    <w:rsid w:val="00A15FAF"/>
    <w:rsid w:val="00A1644C"/>
    <w:rsid w:val="00A1671A"/>
    <w:rsid w:val="00A16957"/>
    <w:rsid w:val="00A16E70"/>
    <w:rsid w:val="00A16FEE"/>
    <w:rsid w:val="00A175C6"/>
    <w:rsid w:val="00A2001E"/>
    <w:rsid w:val="00A203FD"/>
    <w:rsid w:val="00A204B2"/>
    <w:rsid w:val="00A20B47"/>
    <w:rsid w:val="00A20D74"/>
    <w:rsid w:val="00A21079"/>
    <w:rsid w:val="00A2139B"/>
    <w:rsid w:val="00A2185F"/>
    <w:rsid w:val="00A218F1"/>
    <w:rsid w:val="00A21B92"/>
    <w:rsid w:val="00A21EEE"/>
    <w:rsid w:val="00A220B4"/>
    <w:rsid w:val="00A2226F"/>
    <w:rsid w:val="00A22467"/>
    <w:rsid w:val="00A22942"/>
    <w:rsid w:val="00A22CB7"/>
    <w:rsid w:val="00A22D51"/>
    <w:rsid w:val="00A22FED"/>
    <w:rsid w:val="00A2302D"/>
    <w:rsid w:val="00A23057"/>
    <w:rsid w:val="00A23306"/>
    <w:rsid w:val="00A2373D"/>
    <w:rsid w:val="00A2407B"/>
    <w:rsid w:val="00A240CA"/>
    <w:rsid w:val="00A2452C"/>
    <w:rsid w:val="00A2469C"/>
    <w:rsid w:val="00A24DA9"/>
    <w:rsid w:val="00A24E00"/>
    <w:rsid w:val="00A24F4C"/>
    <w:rsid w:val="00A25061"/>
    <w:rsid w:val="00A25278"/>
    <w:rsid w:val="00A25294"/>
    <w:rsid w:val="00A2552E"/>
    <w:rsid w:val="00A25548"/>
    <w:rsid w:val="00A259FE"/>
    <w:rsid w:val="00A25C88"/>
    <w:rsid w:val="00A25E10"/>
    <w:rsid w:val="00A2617A"/>
    <w:rsid w:val="00A26A21"/>
    <w:rsid w:val="00A26BC9"/>
    <w:rsid w:val="00A26DED"/>
    <w:rsid w:val="00A26DF7"/>
    <w:rsid w:val="00A27434"/>
    <w:rsid w:val="00A27878"/>
    <w:rsid w:val="00A27FBF"/>
    <w:rsid w:val="00A30228"/>
    <w:rsid w:val="00A30243"/>
    <w:rsid w:val="00A303DC"/>
    <w:rsid w:val="00A3043E"/>
    <w:rsid w:val="00A30533"/>
    <w:rsid w:val="00A30779"/>
    <w:rsid w:val="00A308D8"/>
    <w:rsid w:val="00A30AA7"/>
    <w:rsid w:val="00A30B39"/>
    <w:rsid w:val="00A30B3D"/>
    <w:rsid w:val="00A30D37"/>
    <w:rsid w:val="00A31294"/>
    <w:rsid w:val="00A31569"/>
    <w:rsid w:val="00A31ACD"/>
    <w:rsid w:val="00A31B08"/>
    <w:rsid w:val="00A32447"/>
    <w:rsid w:val="00A334B1"/>
    <w:rsid w:val="00A3369D"/>
    <w:rsid w:val="00A33768"/>
    <w:rsid w:val="00A33776"/>
    <w:rsid w:val="00A338F2"/>
    <w:rsid w:val="00A33D30"/>
    <w:rsid w:val="00A33E50"/>
    <w:rsid w:val="00A33FF0"/>
    <w:rsid w:val="00A340F0"/>
    <w:rsid w:val="00A349E9"/>
    <w:rsid w:val="00A34CE5"/>
    <w:rsid w:val="00A34F75"/>
    <w:rsid w:val="00A350BE"/>
    <w:rsid w:val="00A3542A"/>
    <w:rsid w:val="00A35AA6"/>
    <w:rsid w:val="00A36712"/>
    <w:rsid w:val="00A36732"/>
    <w:rsid w:val="00A36840"/>
    <w:rsid w:val="00A36969"/>
    <w:rsid w:val="00A36A47"/>
    <w:rsid w:val="00A36C2F"/>
    <w:rsid w:val="00A36FC8"/>
    <w:rsid w:val="00A3720E"/>
    <w:rsid w:val="00A375A5"/>
    <w:rsid w:val="00A378DD"/>
    <w:rsid w:val="00A379D8"/>
    <w:rsid w:val="00A37CF4"/>
    <w:rsid w:val="00A400D2"/>
    <w:rsid w:val="00A404D2"/>
    <w:rsid w:val="00A40854"/>
    <w:rsid w:val="00A40BD6"/>
    <w:rsid w:val="00A414DF"/>
    <w:rsid w:val="00A41801"/>
    <w:rsid w:val="00A4197C"/>
    <w:rsid w:val="00A41A12"/>
    <w:rsid w:val="00A41B95"/>
    <w:rsid w:val="00A41BF5"/>
    <w:rsid w:val="00A41D1E"/>
    <w:rsid w:val="00A41D77"/>
    <w:rsid w:val="00A41DE8"/>
    <w:rsid w:val="00A426B7"/>
    <w:rsid w:val="00A426FC"/>
    <w:rsid w:val="00A427CD"/>
    <w:rsid w:val="00A42814"/>
    <w:rsid w:val="00A4286B"/>
    <w:rsid w:val="00A42B2E"/>
    <w:rsid w:val="00A43021"/>
    <w:rsid w:val="00A434FC"/>
    <w:rsid w:val="00A43735"/>
    <w:rsid w:val="00A43881"/>
    <w:rsid w:val="00A43A0A"/>
    <w:rsid w:val="00A43B1E"/>
    <w:rsid w:val="00A43CE4"/>
    <w:rsid w:val="00A43D81"/>
    <w:rsid w:val="00A44077"/>
    <w:rsid w:val="00A441DF"/>
    <w:rsid w:val="00A4461A"/>
    <w:rsid w:val="00A4461F"/>
    <w:rsid w:val="00A4489D"/>
    <w:rsid w:val="00A44BDC"/>
    <w:rsid w:val="00A45459"/>
    <w:rsid w:val="00A4573B"/>
    <w:rsid w:val="00A45752"/>
    <w:rsid w:val="00A4585B"/>
    <w:rsid w:val="00A459DE"/>
    <w:rsid w:val="00A45B98"/>
    <w:rsid w:val="00A45DD8"/>
    <w:rsid w:val="00A46319"/>
    <w:rsid w:val="00A463A3"/>
    <w:rsid w:val="00A46573"/>
    <w:rsid w:val="00A46989"/>
    <w:rsid w:val="00A46F91"/>
    <w:rsid w:val="00A47224"/>
    <w:rsid w:val="00A472FA"/>
    <w:rsid w:val="00A476E1"/>
    <w:rsid w:val="00A47876"/>
    <w:rsid w:val="00A47CC1"/>
    <w:rsid w:val="00A47FAE"/>
    <w:rsid w:val="00A501D6"/>
    <w:rsid w:val="00A50653"/>
    <w:rsid w:val="00A5067C"/>
    <w:rsid w:val="00A5084E"/>
    <w:rsid w:val="00A50D68"/>
    <w:rsid w:val="00A51028"/>
    <w:rsid w:val="00A51350"/>
    <w:rsid w:val="00A5153D"/>
    <w:rsid w:val="00A517A7"/>
    <w:rsid w:val="00A517DE"/>
    <w:rsid w:val="00A51C3A"/>
    <w:rsid w:val="00A51CB0"/>
    <w:rsid w:val="00A51CDD"/>
    <w:rsid w:val="00A52009"/>
    <w:rsid w:val="00A5214D"/>
    <w:rsid w:val="00A525BD"/>
    <w:rsid w:val="00A52A5B"/>
    <w:rsid w:val="00A52DF8"/>
    <w:rsid w:val="00A532EE"/>
    <w:rsid w:val="00A5351F"/>
    <w:rsid w:val="00A53AC9"/>
    <w:rsid w:val="00A53C1B"/>
    <w:rsid w:val="00A54218"/>
    <w:rsid w:val="00A54542"/>
    <w:rsid w:val="00A5508E"/>
    <w:rsid w:val="00A5541F"/>
    <w:rsid w:val="00A555D3"/>
    <w:rsid w:val="00A55755"/>
    <w:rsid w:val="00A55792"/>
    <w:rsid w:val="00A56236"/>
    <w:rsid w:val="00A562A7"/>
    <w:rsid w:val="00A562E4"/>
    <w:rsid w:val="00A56FB8"/>
    <w:rsid w:val="00A5704B"/>
    <w:rsid w:val="00A57A05"/>
    <w:rsid w:val="00A57B0C"/>
    <w:rsid w:val="00A60377"/>
    <w:rsid w:val="00A60464"/>
    <w:rsid w:val="00A606DA"/>
    <w:rsid w:val="00A6079A"/>
    <w:rsid w:val="00A607CF"/>
    <w:rsid w:val="00A608C1"/>
    <w:rsid w:val="00A6120E"/>
    <w:rsid w:val="00A61210"/>
    <w:rsid w:val="00A6121C"/>
    <w:rsid w:val="00A617AD"/>
    <w:rsid w:val="00A61B2C"/>
    <w:rsid w:val="00A61EDF"/>
    <w:rsid w:val="00A61EE5"/>
    <w:rsid w:val="00A620F3"/>
    <w:rsid w:val="00A62207"/>
    <w:rsid w:val="00A62216"/>
    <w:rsid w:val="00A6228F"/>
    <w:rsid w:val="00A624AA"/>
    <w:rsid w:val="00A6265F"/>
    <w:rsid w:val="00A6284A"/>
    <w:rsid w:val="00A628EC"/>
    <w:rsid w:val="00A62B8A"/>
    <w:rsid w:val="00A62BBB"/>
    <w:rsid w:val="00A63088"/>
    <w:rsid w:val="00A63899"/>
    <w:rsid w:val="00A63F89"/>
    <w:rsid w:val="00A64313"/>
    <w:rsid w:val="00A64543"/>
    <w:rsid w:val="00A64CB3"/>
    <w:rsid w:val="00A64CF4"/>
    <w:rsid w:val="00A64E04"/>
    <w:rsid w:val="00A65087"/>
    <w:rsid w:val="00A65619"/>
    <w:rsid w:val="00A656FB"/>
    <w:rsid w:val="00A65D0E"/>
    <w:rsid w:val="00A65F56"/>
    <w:rsid w:val="00A66174"/>
    <w:rsid w:val="00A6664E"/>
    <w:rsid w:val="00A66A06"/>
    <w:rsid w:val="00A66CD1"/>
    <w:rsid w:val="00A66E98"/>
    <w:rsid w:val="00A66EBF"/>
    <w:rsid w:val="00A66FB5"/>
    <w:rsid w:val="00A66FF0"/>
    <w:rsid w:val="00A67011"/>
    <w:rsid w:val="00A70015"/>
    <w:rsid w:val="00A70276"/>
    <w:rsid w:val="00A70341"/>
    <w:rsid w:val="00A7071F"/>
    <w:rsid w:val="00A707E3"/>
    <w:rsid w:val="00A7081B"/>
    <w:rsid w:val="00A70A4D"/>
    <w:rsid w:val="00A70AB7"/>
    <w:rsid w:val="00A70D7C"/>
    <w:rsid w:val="00A70FA5"/>
    <w:rsid w:val="00A71809"/>
    <w:rsid w:val="00A71A9A"/>
    <w:rsid w:val="00A72007"/>
    <w:rsid w:val="00A72151"/>
    <w:rsid w:val="00A725F0"/>
    <w:rsid w:val="00A726E1"/>
    <w:rsid w:val="00A7287A"/>
    <w:rsid w:val="00A72FFD"/>
    <w:rsid w:val="00A730DD"/>
    <w:rsid w:val="00A73198"/>
    <w:rsid w:val="00A732E6"/>
    <w:rsid w:val="00A7358D"/>
    <w:rsid w:val="00A73A6D"/>
    <w:rsid w:val="00A73DE7"/>
    <w:rsid w:val="00A73E60"/>
    <w:rsid w:val="00A744DB"/>
    <w:rsid w:val="00A74523"/>
    <w:rsid w:val="00A7487C"/>
    <w:rsid w:val="00A74997"/>
    <w:rsid w:val="00A74AEF"/>
    <w:rsid w:val="00A74BF2"/>
    <w:rsid w:val="00A74CD3"/>
    <w:rsid w:val="00A74DAF"/>
    <w:rsid w:val="00A74FAB"/>
    <w:rsid w:val="00A752D3"/>
    <w:rsid w:val="00A7532A"/>
    <w:rsid w:val="00A755D9"/>
    <w:rsid w:val="00A75715"/>
    <w:rsid w:val="00A75EE5"/>
    <w:rsid w:val="00A76051"/>
    <w:rsid w:val="00A760E3"/>
    <w:rsid w:val="00A76312"/>
    <w:rsid w:val="00A7639A"/>
    <w:rsid w:val="00A76983"/>
    <w:rsid w:val="00A77125"/>
    <w:rsid w:val="00A77316"/>
    <w:rsid w:val="00A774AE"/>
    <w:rsid w:val="00A77917"/>
    <w:rsid w:val="00A77A13"/>
    <w:rsid w:val="00A77E20"/>
    <w:rsid w:val="00A80253"/>
    <w:rsid w:val="00A8060B"/>
    <w:rsid w:val="00A808BD"/>
    <w:rsid w:val="00A80917"/>
    <w:rsid w:val="00A80E09"/>
    <w:rsid w:val="00A80EE4"/>
    <w:rsid w:val="00A81085"/>
    <w:rsid w:val="00A810A6"/>
    <w:rsid w:val="00A81209"/>
    <w:rsid w:val="00A813DF"/>
    <w:rsid w:val="00A817E3"/>
    <w:rsid w:val="00A81927"/>
    <w:rsid w:val="00A81AC6"/>
    <w:rsid w:val="00A81C00"/>
    <w:rsid w:val="00A8202F"/>
    <w:rsid w:val="00A8208A"/>
    <w:rsid w:val="00A8276B"/>
    <w:rsid w:val="00A82AC9"/>
    <w:rsid w:val="00A82DB4"/>
    <w:rsid w:val="00A836A7"/>
    <w:rsid w:val="00A836FA"/>
    <w:rsid w:val="00A8385E"/>
    <w:rsid w:val="00A83B69"/>
    <w:rsid w:val="00A83DB7"/>
    <w:rsid w:val="00A843E6"/>
    <w:rsid w:val="00A84BFD"/>
    <w:rsid w:val="00A84C3C"/>
    <w:rsid w:val="00A84CF7"/>
    <w:rsid w:val="00A84EBB"/>
    <w:rsid w:val="00A84EFD"/>
    <w:rsid w:val="00A85134"/>
    <w:rsid w:val="00A852D7"/>
    <w:rsid w:val="00A856B7"/>
    <w:rsid w:val="00A85A6A"/>
    <w:rsid w:val="00A85DD1"/>
    <w:rsid w:val="00A85FA3"/>
    <w:rsid w:val="00A86139"/>
    <w:rsid w:val="00A8613E"/>
    <w:rsid w:val="00A8652A"/>
    <w:rsid w:val="00A867C0"/>
    <w:rsid w:val="00A86D0F"/>
    <w:rsid w:val="00A8723E"/>
    <w:rsid w:val="00A87298"/>
    <w:rsid w:val="00A87C4E"/>
    <w:rsid w:val="00A87DB4"/>
    <w:rsid w:val="00A87F9F"/>
    <w:rsid w:val="00A87FE8"/>
    <w:rsid w:val="00A90055"/>
    <w:rsid w:val="00A900E8"/>
    <w:rsid w:val="00A9012A"/>
    <w:rsid w:val="00A901E5"/>
    <w:rsid w:val="00A90451"/>
    <w:rsid w:val="00A904FE"/>
    <w:rsid w:val="00A90B8F"/>
    <w:rsid w:val="00A90BCA"/>
    <w:rsid w:val="00A90D31"/>
    <w:rsid w:val="00A90D7D"/>
    <w:rsid w:val="00A90DC9"/>
    <w:rsid w:val="00A9114A"/>
    <w:rsid w:val="00A91211"/>
    <w:rsid w:val="00A9127C"/>
    <w:rsid w:val="00A9194C"/>
    <w:rsid w:val="00A91AF9"/>
    <w:rsid w:val="00A91D01"/>
    <w:rsid w:val="00A91D71"/>
    <w:rsid w:val="00A923A6"/>
    <w:rsid w:val="00A92616"/>
    <w:rsid w:val="00A92C78"/>
    <w:rsid w:val="00A93096"/>
    <w:rsid w:val="00A932DA"/>
    <w:rsid w:val="00A93AB8"/>
    <w:rsid w:val="00A93DF6"/>
    <w:rsid w:val="00A93EE7"/>
    <w:rsid w:val="00A93EF6"/>
    <w:rsid w:val="00A9415C"/>
    <w:rsid w:val="00A9447F"/>
    <w:rsid w:val="00A94552"/>
    <w:rsid w:val="00A949C1"/>
    <w:rsid w:val="00A94AA5"/>
    <w:rsid w:val="00A94ACD"/>
    <w:rsid w:val="00A94CD3"/>
    <w:rsid w:val="00A94D0B"/>
    <w:rsid w:val="00A94E02"/>
    <w:rsid w:val="00A94E9C"/>
    <w:rsid w:val="00A953D5"/>
    <w:rsid w:val="00A9577F"/>
    <w:rsid w:val="00A959AA"/>
    <w:rsid w:val="00A959E4"/>
    <w:rsid w:val="00A95EED"/>
    <w:rsid w:val="00A96354"/>
    <w:rsid w:val="00A96B17"/>
    <w:rsid w:val="00A971B8"/>
    <w:rsid w:val="00A971CC"/>
    <w:rsid w:val="00A972A4"/>
    <w:rsid w:val="00A97449"/>
    <w:rsid w:val="00A97B96"/>
    <w:rsid w:val="00A97BA9"/>
    <w:rsid w:val="00A97C82"/>
    <w:rsid w:val="00A97DEA"/>
    <w:rsid w:val="00A97EA1"/>
    <w:rsid w:val="00A97FE0"/>
    <w:rsid w:val="00AA0168"/>
    <w:rsid w:val="00AA021F"/>
    <w:rsid w:val="00AA0380"/>
    <w:rsid w:val="00AA053F"/>
    <w:rsid w:val="00AA09CD"/>
    <w:rsid w:val="00AA0B9B"/>
    <w:rsid w:val="00AA0C82"/>
    <w:rsid w:val="00AA0D6A"/>
    <w:rsid w:val="00AA0E53"/>
    <w:rsid w:val="00AA0E73"/>
    <w:rsid w:val="00AA11E5"/>
    <w:rsid w:val="00AA1D3F"/>
    <w:rsid w:val="00AA20C7"/>
    <w:rsid w:val="00AA23E7"/>
    <w:rsid w:val="00AA2A80"/>
    <w:rsid w:val="00AA2C31"/>
    <w:rsid w:val="00AA301F"/>
    <w:rsid w:val="00AA32A2"/>
    <w:rsid w:val="00AA360A"/>
    <w:rsid w:val="00AA3697"/>
    <w:rsid w:val="00AA3AB2"/>
    <w:rsid w:val="00AA3ED3"/>
    <w:rsid w:val="00AA4A92"/>
    <w:rsid w:val="00AA4AA5"/>
    <w:rsid w:val="00AA4AB3"/>
    <w:rsid w:val="00AA4AC9"/>
    <w:rsid w:val="00AA4E00"/>
    <w:rsid w:val="00AA4F88"/>
    <w:rsid w:val="00AA503E"/>
    <w:rsid w:val="00AA5062"/>
    <w:rsid w:val="00AA507D"/>
    <w:rsid w:val="00AA5321"/>
    <w:rsid w:val="00AA53A9"/>
    <w:rsid w:val="00AA5539"/>
    <w:rsid w:val="00AA575B"/>
    <w:rsid w:val="00AA6101"/>
    <w:rsid w:val="00AA63F3"/>
    <w:rsid w:val="00AA687A"/>
    <w:rsid w:val="00AA6884"/>
    <w:rsid w:val="00AA695C"/>
    <w:rsid w:val="00AA69E4"/>
    <w:rsid w:val="00AA6AE6"/>
    <w:rsid w:val="00AA6DFC"/>
    <w:rsid w:val="00AA6F4E"/>
    <w:rsid w:val="00AA7395"/>
    <w:rsid w:val="00AA7796"/>
    <w:rsid w:val="00AA7881"/>
    <w:rsid w:val="00AA7BDD"/>
    <w:rsid w:val="00AA7E72"/>
    <w:rsid w:val="00AA7EE5"/>
    <w:rsid w:val="00AA7FB5"/>
    <w:rsid w:val="00AB0033"/>
    <w:rsid w:val="00AB0323"/>
    <w:rsid w:val="00AB082F"/>
    <w:rsid w:val="00AB0B76"/>
    <w:rsid w:val="00AB0C03"/>
    <w:rsid w:val="00AB0D5B"/>
    <w:rsid w:val="00AB0DBF"/>
    <w:rsid w:val="00AB11D6"/>
    <w:rsid w:val="00AB1244"/>
    <w:rsid w:val="00AB13F6"/>
    <w:rsid w:val="00AB15C7"/>
    <w:rsid w:val="00AB1A4C"/>
    <w:rsid w:val="00AB2108"/>
    <w:rsid w:val="00AB232F"/>
    <w:rsid w:val="00AB25A0"/>
    <w:rsid w:val="00AB2792"/>
    <w:rsid w:val="00AB2A42"/>
    <w:rsid w:val="00AB2A75"/>
    <w:rsid w:val="00AB3948"/>
    <w:rsid w:val="00AB3AD8"/>
    <w:rsid w:val="00AB3C30"/>
    <w:rsid w:val="00AB3CA3"/>
    <w:rsid w:val="00AB44A4"/>
    <w:rsid w:val="00AB46AB"/>
    <w:rsid w:val="00AB484C"/>
    <w:rsid w:val="00AB4B7D"/>
    <w:rsid w:val="00AB4C7A"/>
    <w:rsid w:val="00AB4C8F"/>
    <w:rsid w:val="00AB4DD6"/>
    <w:rsid w:val="00AB4F49"/>
    <w:rsid w:val="00AB4FE9"/>
    <w:rsid w:val="00AB5307"/>
    <w:rsid w:val="00AB53FE"/>
    <w:rsid w:val="00AB56C8"/>
    <w:rsid w:val="00AB5F92"/>
    <w:rsid w:val="00AB6174"/>
    <w:rsid w:val="00AB6895"/>
    <w:rsid w:val="00AB69BA"/>
    <w:rsid w:val="00AB6BF6"/>
    <w:rsid w:val="00AB71DF"/>
    <w:rsid w:val="00AB73EC"/>
    <w:rsid w:val="00AB74C5"/>
    <w:rsid w:val="00AB7657"/>
    <w:rsid w:val="00AB7909"/>
    <w:rsid w:val="00AC000A"/>
    <w:rsid w:val="00AC020E"/>
    <w:rsid w:val="00AC0227"/>
    <w:rsid w:val="00AC0519"/>
    <w:rsid w:val="00AC05A7"/>
    <w:rsid w:val="00AC08D2"/>
    <w:rsid w:val="00AC12BC"/>
    <w:rsid w:val="00AC1508"/>
    <w:rsid w:val="00AC162B"/>
    <w:rsid w:val="00AC1807"/>
    <w:rsid w:val="00AC1808"/>
    <w:rsid w:val="00AC1BEE"/>
    <w:rsid w:val="00AC1D8B"/>
    <w:rsid w:val="00AC28C6"/>
    <w:rsid w:val="00AC2B3F"/>
    <w:rsid w:val="00AC2CCD"/>
    <w:rsid w:val="00AC2F25"/>
    <w:rsid w:val="00AC30A9"/>
    <w:rsid w:val="00AC30FE"/>
    <w:rsid w:val="00AC370B"/>
    <w:rsid w:val="00AC3CBB"/>
    <w:rsid w:val="00AC3D4C"/>
    <w:rsid w:val="00AC4067"/>
    <w:rsid w:val="00AC41E4"/>
    <w:rsid w:val="00AC46BB"/>
    <w:rsid w:val="00AC478B"/>
    <w:rsid w:val="00AC4B4D"/>
    <w:rsid w:val="00AC4BDA"/>
    <w:rsid w:val="00AC4C25"/>
    <w:rsid w:val="00AC5417"/>
    <w:rsid w:val="00AC5460"/>
    <w:rsid w:val="00AC5648"/>
    <w:rsid w:val="00AC56C2"/>
    <w:rsid w:val="00AC56F6"/>
    <w:rsid w:val="00AC5969"/>
    <w:rsid w:val="00AC5B07"/>
    <w:rsid w:val="00AC5D0E"/>
    <w:rsid w:val="00AC5E63"/>
    <w:rsid w:val="00AC60DC"/>
    <w:rsid w:val="00AC6566"/>
    <w:rsid w:val="00AC66EC"/>
    <w:rsid w:val="00AC6987"/>
    <w:rsid w:val="00AC6B32"/>
    <w:rsid w:val="00AC6F0E"/>
    <w:rsid w:val="00AC70B8"/>
    <w:rsid w:val="00AC7696"/>
    <w:rsid w:val="00AC78F2"/>
    <w:rsid w:val="00AD00FD"/>
    <w:rsid w:val="00AD0262"/>
    <w:rsid w:val="00AD02A5"/>
    <w:rsid w:val="00AD0388"/>
    <w:rsid w:val="00AD0395"/>
    <w:rsid w:val="00AD0759"/>
    <w:rsid w:val="00AD08CA"/>
    <w:rsid w:val="00AD0A41"/>
    <w:rsid w:val="00AD0B6C"/>
    <w:rsid w:val="00AD0C81"/>
    <w:rsid w:val="00AD1711"/>
    <w:rsid w:val="00AD177E"/>
    <w:rsid w:val="00AD1B00"/>
    <w:rsid w:val="00AD1C5D"/>
    <w:rsid w:val="00AD1C9C"/>
    <w:rsid w:val="00AD1CC1"/>
    <w:rsid w:val="00AD1EB1"/>
    <w:rsid w:val="00AD2145"/>
    <w:rsid w:val="00AD23E6"/>
    <w:rsid w:val="00AD2571"/>
    <w:rsid w:val="00AD2603"/>
    <w:rsid w:val="00AD2656"/>
    <w:rsid w:val="00AD2BC6"/>
    <w:rsid w:val="00AD2E7A"/>
    <w:rsid w:val="00AD327C"/>
    <w:rsid w:val="00AD3456"/>
    <w:rsid w:val="00AD388E"/>
    <w:rsid w:val="00AD38DA"/>
    <w:rsid w:val="00AD3B18"/>
    <w:rsid w:val="00AD3B9B"/>
    <w:rsid w:val="00AD3BB8"/>
    <w:rsid w:val="00AD4500"/>
    <w:rsid w:val="00AD49FC"/>
    <w:rsid w:val="00AD4AD9"/>
    <w:rsid w:val="00AD4B9E"/>
    <w:rsid w:val="00AD50E3"/>
    <w:rsid w:val="00AD541B"/>
    <w:rsid w:val="00AD5877"/>
    <w:rsid w:val="00AD5B5E"/>
    <w:rsid w:val="00AD5D78"/>
    <w:rsid w:val="00AD5E68"/>
    <w:rsid w:val="00AD63BF"/>
    <w:rsid w:val="00AD6577"/>
    <w:rsid w:val="00AD6DC9"/>
    <w:rsid w:val="00AD7321"/>
    <w:rsid w:val="00AD7A7A"/>
    <w:rsid w:val="00AD7AF7"/>
    <w:rsid w:val="00AD7D6D"/>
    <w:rsid w:val="00AD7D8B"/>
    <w:rsid w:val="00AE096C"/>
    <w:rsid w:val="00AE0D8E"/>
    <w:rsid w:val="00AE1707"/>
    <w:rsid w:val="00AE1AA6"/>
    <w:rsid w:val="00AE1CB4"/>
    <w:rsid w:val="00AE1EED"/>
    <w:rsid w:val="00AE2001"/>
    <w:rsid w:val="00AE27B2"/>
    <w:rsid w:val="00AE29C8"/>
    <w:rsid w:val="00AE2A78"/>
    <w:rsid w:val="00AE310C"/>
    <w:rsid w:val="00AE31AF"/>
    <w:rsid w:val="00AE3348"/>
    <w:rsid w:val="00AE39B4"/>
    <w:rsid w:val="00AE3A02"/>
    <w:rsid w:val="00AE3C55"/>
    <w:rsid w:val="00AE3DF2"/>
    <w:rsid w:val="00AE41B9"/>
    <w:rsid w:val="00AE47AA"/>
    <w:rsid w:val="00AE495D"/>
    <w:rsid w:val="00AE4AA1"/>
    <w:rsid w:val="00AE5196"/>
    <w:rsid w:val="00AE559F"/>
    <w:rsid w:val="00AE5E3E"/>
    <w:rsid w:val="00AE5F5D"/>
    <w:rsid w:val="00AE6025"/>
    <w:rsid w:val="00AE622E"/>
    <w:rsid w:val="00AE632C"/>
    <w:rsid w:val="00AE6536"/>
    <w:rsid w:val="00AE67C9"/>
    <w:rsid w:val="00AE68CA"/>
    <w:rsid w:val="00AE69A2"/>
    <w:rsid w:val="00AE69E9"/>
    <w:rsid w:val="00AE6FDA"/>
    <w:rsid w:val="00AE7113"/>
    <w:rsid w:val="00AE712E"/>
    <w:rsid w:val="00AE7639"/>
    <w:rsid w:val="00AE78B1"/>
    <w:rsid w:val="00AE7A1A"/>
    <w:rsid w:val="00AE9B09"/>
    <w:rsid w:val="00AF0030"/>
    <w:rsid w:val="00AF0263"/>
    <w:rsid w:val="00AF0610"/>
    <w:rsid w:val="00AF10AC"/>
    <w:rsid w:val="00AF10F1"/>
    <w:rsid w:val="00AF147F"/>
    <w:rsid w:val="00AF1993"/>
    <w:rsid w:val="00AF1A22"/>
    <w:rsid w:val="00AF1B8A"/>
    <w:rsid w:val="00AF1D85"/>
    <w:rsid w:val="00AF1D8F"/>
    <w:rsid w:val="00AF2447"/>
    <w:rsid w:val="00AF2579"/>
    <w:rsid w:val="00AF2893"/>
    <w:rsid w:val="00AF290F"/>
    <w:rsid w:val="00AF2F6F"/>
    <w:rsid w:val="00AF3407"/>
    <w:rsid w:val="00AF3906"/>
    <w:rsid w:val="00AF4300"/>
    <w:rsid w:val="00AF44BD"/>
    <w:rsid w:val="00AF4855"/>
    <w:rsid w:val="00AF4BE7"/>
    <w:rsid w:val="00AF4CB6"/>
    <w:rsid w:val="00AF4FD6"/>
    <w:rsid w:val="00AF5303"/>
    <w:rsid w:val="00AF57B3"/>
    <w:rsid w:val="00AF58D5"/>
    <w:rsid w:val="00AF6026"/>
    <w:rsid w:val="00AF696E"/>
    <w:rsid w:val="00AF6AB0"/>
    <w:rsid w:val="00AF6D14"/>
    <w:rsid w:val="00AF6F88"/>
    <w:rsid w:val="00AF7827"/>
    <w:rsid w:val="00B002C6"/>
    <w:rsid w:val="00B003A1"/>
    <w:rsid w:val="00B006FE"/>
    <w:rsid w:val="00B00959"/>
    <w:rsid w:val="00B00B1E"/>
    <w:rsid w:val="00B01054"/>
    <w:rsid w:val="00B010BD"/>
    <w:rsid w:val="00B012AB"/>
    <w:rsid w:val="00B01302"/>
    <w:rsid w:val="00B0169A"/>
    <w:rsid w:val="00B01ADF"/>
    <w:rsid w:val="00B023AA"/>
    <w:rsid w:val="00B025CC"/>
    <w:rsid w:val="00B0282B"/>
    <w:rsid w:val="00B02CA8"/>
    <w:rsid w:val="00B030E8"/>
    <w:rsid w:val="00B033A1"/>
    <w:rsid w:val="00B0358D"/>
    <w:rsid w:val="00B035D7"/>
    <w:rsid w:val="00B0371D"/>
    <w:rsid w:val="00B037A0"/>
    <w:rsid w:val="00B038F5"/>
    <w:rsid w:val="00B03FB8"/>
    <w:rsid w:val="00B04874"/>
    <w:rsid w:val="00B048A4"/>
    <w:rsid w:val="00B04E3B"/>
    <w:rsid w:val="00B053D8"/>
    <w:rsid w:val="00B0599B"/>
    <w:rsid w:val="00B05C16"/>
    <w:rsid w:val="00B06520"/>
    <w:rsid w:val="00B06617"/>
    <w:rsid w:val="00B06921"/>
    <w:rsid w:val="00B06AA9"/>
    <w:rsid w:val="00B06D52"/>
    <w:rsid w:val="00B06FB7"/>
    <w:rsid w:val="00B0732E"/>
    <w:rsid w:val="00B0762C"/>
    <w:rsid w:val="00B07FB7"/>
    <w:rsid w:val="00B10316"/>
    <w:rsid w:val="00B10707"/>
    <w:rsid w:val="00B10781"/>
    <w:rsid w:val="00B1083B"/>
    <w:rsid w:val="00B108F5"/>
    <w:rsid w:val="00B1099A"/>
    <w:rsid w:val="00B10F0A"/>
    <w:rsid w:val="00B11A08"/>
    <w:rsid w:val="00B11E54"/>
    <w:rsid w:val="00B120C3"/>
    <w:rsid w:val="00B1214B"/>
    <w:rsid w:val="00B1220B"/>
    <w:rsid w:val="00B1220D"/>
    <w:rsid w:val="00B122A6"/>
    <w:rsid w:val="00B123F4"/>
    <w:rsid w:val="00B12498"/>
    <w:rsid w:val="00B12A0A"/>
    <w:rsid w:val="00B12C5F"/>
    <w:rsid w:val="00B12C7F"/>
    <w:rsid w:val="00B12E7A"/>
    <w:rsid w:val="00B13218"/>
    <w:rsid w:val="00B132AC"/>
    <w:rsid w:val="00B13681"/>
    <w:rsid w:val="00B137F9"/>
    <w:rsid w:val="00B13BFC"/>
    <w:rsid w:val="00B13F4E"/>
    <w:rsid w:val="00B13FB0"/>
    <w:rsid w:val="00B13FDD"/>
    <w:rsid w:val="00B142D0"/>
    <w:rsid w:val="00B143C8"/>
    <w:rsid w:val="00B14573"/>
    <w:rsid w:val="00B14C44"/>
    <w:rsid w:val="00B14D91"/>
    <w:rsid w:val="00B14F48"/>
    <w:rsid w:val="00B150BE"/>
    <w:rsid w:val="00B153B3"/>
    <w:rsid w:val="00B15742"/>
    <w:rsid w:val="00B1578C"/>
    <w:rsid w:val="00B15EDE"/>
    <w:rsid w:val="00B16985"/>
    <w:rsid w:val="00B16C6A"/>
    <w:rsid w:val="00B1707B"/>
    <w:rsid w:val="00B17661"/>
    <w:rsid w:val="00B1775A"/>
    <w:rsid w:val="00B17949"/>
    <w:rsid w:val="00B17A48"/>
    <w:rsid w:val="00B17D7E"/>
    <w:rsid w:val="00B200C1"/>
    <w:rsid w:val="00B20694"/>
    <w:rsid w:val="00B20743"/>
    <w:rsid w:val="00B20762"/>
    <w:rsid w:val="00B20784"/>
    <w:rsid w:val="00B20B85"/>
    <w:rsid w:val="00B211E6"/>
    <w:rsid w:val="00B2141C"/>
    <w:rsid w:val="00B217D2"/>
    <w:rsid w:val="00B21916"/>
    <w:rsid w:val="00B21A9F"/>
    <w:rsid w:val="00B21BDD"/>
    <w:rsid w:val="00B21C91"/>
    <w:rsid w:val="00B22170"/>
    <w:rsid w:val="00B22885"/>
    <w:rsid w:val="00B22E77"/>
    <w:rsid w:val="00B22FD3"/>
    <w:rsid w:val="00B231F1"/>
    <w:rsid w:val="00B2356E"/>
    <w:rsid w:val="00B239ED"/>
    <w:rsid w:val="00B23A73"/>
    <w:rsid w:val="00B23EEF"/>
    <w:rsid w:val="00B24308"/>
    <w:rsid w:val="00B24495"/>
    <w:rsid w:val="00B244FF"/>
    <w:rsid w:val="00B245A8"/>
    <w:rsid w:val="00B25046"/>
    <w:rsid w:val="00B25D2B"/>
    <w:rsid w:val="00B260B6"/>
    <w:rsid w:val="00B26253"/>
    <w:rsid w:val="00B26361"/>
    <w:rsid w:val="00B264B6"/>
    <w:rsid w:val="00B26605"/>
    <w:rsid w:val="00B2711E"/>
    <w:rsid w:val="00B27539"/>
    <w:rsid w:val="00B275AC"/>
    <w:rsid w:val="00B27734"/>
    <w:rsid w:val="00B27881"/>
    <w:rsid w:val="00B27AEA"/>
    <w:rsid w:val="00B301C9"/>
    <w:rsid w:val="00B30542"/>
    <w:rsid w:val="00B3073F"/>
    <w:rsid w:val="00B309AF"/>
    <w:rsid w:val="00B30B53"/>
    <w:rsid w:val="00B30EA9"/>
    <w:rsid w:val="00B3130B"/>
    <w:rsid w:val="00B316E2"/>
    <w:rsid w:val="00B31A38"/>
    <w:rsid w:val="00B31D11"/>
    <w:rsid w:val="00B31D90"/>
    <w:rsid w:val="00B327BB"/>
    <w:rsid w:val="00B32B66"/>
    <w:rsid w:val="00B333D4"/>
    <w:rsid w:val="00B33942"/>
    <w:rsid w:val="00B33B8D"/>
    <w:rsid w:val="00B33C0A"/>
    <w:rsid w:val="00B33DF6"/>
    <w:rsid w:val="00B33E95"/>
    <w:rsid w:val="00B3403A"/>
    <w:rsid w:val="00B341F2"/>
    <w:rsid w:val="00B3436B"/>
    <w:rsid w:val="00B346CA"/>
    <w:rsid w:val="00B34985"/>
    <w:rsid w:val="00B3517D"/>
    <w:rsid w:val="00B3544A"/>
    <w:rsid w:val="00B35634"/>
    <w:rsid w:val="00B356AA"/>
    <w:rsid w:val="00B3608D"/>
    <w:rsid w:val="00B365A6"/>
    <w:rsid w:val="00B3665F"/>
    <w:rsid w:val="00B3697E"/>
    <w:rsid w:val="00B36BF3"/>
    <w:rsid w:val="00B36C11"/>
    <w:rsid w:val="00B37189"/>
    <w:rsid w:val="00B37565"/>
    <w:rsid w:val="00B37667"/>
    <w:rsid w:val="00B37682"/>
    <w:rsid w:val="00B37FB7"/>
    <w:rsid w:val="00B40555"/>
    <w:rsid w:val="00B406F3"/>
    <w:rsid w:val="00B40957"/>
    <w:rsid w:val="00B40BF2"/>
    <w:rsid w:val="00B40F29"/>
    <w:rsid w:val="00B41982"/>
    <w:rsid w:val="00B41C88"/>
    <w:rsid w:val="00B41DF5"/>
    <w:rsid w:val="00B41EA4"/>
    <w:rsid w:val="00B42241"/>
    <w:rsid w:val="00B42667"/>
    <w:rsid w:val="00B432FF"/>
    <w:rsid w:val="00B43941"/>
    <w:rsid w:val="00B439CF"/>
    <w:rsid w:val="00B43CAD"/>
    <w:rsid w:val="00B43D52"/>
    <w:rsid w:val="00B440F9"/>
    <w:rsid w:val="00B442F6"/>
    <w:rsid w:val="00B446A7"/>
    <w:rsid w:val="00B44773"/>
    <w:rsid w:val="00B4486A"/>
    <w:rsid w:val="00B44A7B"/>
    <w:rsid w:val="00B44B61"/>
    <w:rsid w:val="00B44BFF"/>
    <w:rsid w:val="00B44E87"/>
    <w:rsid w:val="00B44F6B"/>
    <w:rsid w:val="00B45089"/>
    <w:rsid w:val="00B45A1F"/>
    <w:rsid w:val="00B45A85"/>
    <w:rsid w:val="00B45DED"/>
    <w:rsid w:val="00B45E6F"/>
    <w:rsid w:val="00B4609F"/>
    <w:rsid w:val="00B460BB"/>
    <w:rsid w:val="00B46172"/>
    <w:rsid w:val="00B46357"/>
    <w:rsid w:val="00B46376"/>
    <w:rsid w:val="00B46902"/>
    <w:rsid w:val="00B46C7C"/>
    <w:rsid w:val="00B46DC2"/>
    <w:rsid w:val="00B470A5"/>
    <w:rsid w:val="00B47413"/>
    <w:rsid w:val="00B5000B"/>
    <w:rsid w:val="00B5013D"/>
    <w:rsid w:val="00B50B50"/>
    <w:rsid w:val="00B50E67"/>
    <w:rsid w:val="00B50EF0"/>
    <w:rsid w:val="00B514C5"/>
    <w:rsid w:val="00B515F2"/>
    <w:rsid w:val="00B5167A"/>
    <w:rsid w:val="00B5202C"/>
    <w:rsid w:val="00B521A0"/>
    <w:rsid w:val="00B5232C"/>
    <w:rsid w:val="00B526F4"/>
    <w:rsid w:val="00B52752"/>
    <w:rsid w:val="00B52A21"/>
    <w:rsid w:val="00B52A2E"/>
    <w:rsid w:val="00B531CA"/>
    <w:rsid w:val="00B532DB"/>
    <w:rsid w:val="00B53AA3"/>
    <w:rsid w:val="00B53AC2"/>
    <w:rsid w:val="00B53AF0"/>
    <w:rsid w:val="00B53BA1"/>
    <w:rsid w:val="00B53EA7"/>
    <w:rsid w:val="00B540D3"/>
    <w:rsid w:val="00B54253"/>
    <w:rsid w:val="00B545CC"/>
    <w:rsid w:val="00B545DC"/>
    <w:rsid w:val="00B54794"/>
    <w:rsid w:val="00B547A7"/>
    <w:rsid w:val="00B54E47"/>
    <w:rsid w:val="00B54E51"/>
    <w:rsid w:val="00B5508C"/>
    <w:rsid w:val="00B55480"/>
    <w:rsid w:val="00B55646"/>
    <w:rsid w:val="00B5599B"/>
    <w:rsid w:val="00B55AE4"/>
    <w:rsid w:val="00B55BE3"/>
    <w:rsid w:val="00B55C43"/>
    <w:rsid w:val="00B55DFA"/>
    <w:rsid w:val="00B56B78"/>
    <w:rsid w:val="00B56CBA"/>
    <w:rsid w:val="00B56F73"/>
    <w:rsid w:val="00B5734F"/>
    <w:rsid w:val="00B57AAF"/>
    <w:rsid w:val="00B57ADA"/>
    <w:rsid w:val="00B57BC1"/>
    <w:rsid w:val="00B57CD2"/>
    <w:rsid w:val="00B60030"/>
    <w:rsid w:val="00B603AD"/>
    <w:rsid w:val="00B6079B"/>
    <w:rsid w:val="00B609B6"/>
    <w:rsid w:val="00B61430"/>
    <w:rsid w:val="00B61664"/>
    <w:rsid w:val="00B61C2E"/>
    <w:rsid w:val="00B61C32"/>
    <w:rsid w:val="00B63069"/>
    <w:rsid w:val="00B631F8"/>
    <w:rsid w:val="00B63417"/>
    <w:rsid w:val="00B634E8"/>
    <w:rsid w:val="00B6391C"/>
    <w:rsid w:val="00B63BBD"/>
    <w:rsid w:val="00B63D2E"/>
    <w:rsid w:val="00B63DCC"/>
    <w:rsid w:val="00B63ED6"/>
    <w:rsid w:val="00B63FFB"/>
    <w:rsid w:val="00B645B3"/>
    <w:rsid w:val="00B648FF"/>
    <w:rsid w:val="00B64AB8"/>
    <w:rsid w:val="00B64E2F"/>
    <w:rsid w:val="00B64FA0"/>
    <w:rsid w:val="00B6508A"/>
    <w:rsid w:val="00B65667"/>
    <w:rsid w:val="00B657FD"/>
    <w:rsid w:val="00B65CD1"/>
    <w:rsid w:val="00B65CF5"/>
    <w:rsid w:val="00B663EF"/>
    <w:rsid w:val="00B6641E"/>
    <w:rsid w:val="00B66A8F"/>
    <w:rsid w:val="00B66CCE"/>
    <w:rsid w:val="00B66FCD"/>
    <w:rsid w:val="00B671FB"/>
    <w:rsid w:val="00B678B2"/>
    <w:rsid w:val="00B67B6B"/>
    <w:rsid w:val="00B67C70"/>
    <w:rsid w:val="00B67F6B"/>
    <w:rsid w:val="00B70035"/>
    <w:rsid w:val="00B70079"/>
    <w:rsid w:val="00B704BA"/>
    <w:rsid w:val="00B7058E"/>
    <w:rsid w:val="00B70BC5"/>
    <w:rsid w:val="00B71051"/>
    <w:rsid w:val="00B71171"/>
    <w:rsid w:val="00B7173C"/>
    <w:rsid w:val="00B71A11"/>
    <w:rsid w:val="00B71A8D"/>
    <w:rsid w:val="00B71ADB"/>
    <w:rsid w:val="00B71CC9"/>
    <w:rsid w:val="00B71ED3"/>
    <w:rsid w:val="00B722FB"/>
    <w:rsid w:val="00B723BC"/>
    <w:rsid w:val="00B72580"/>
    <w:rsid w:val="00B7278E"/>
    <w:rsid w:val="00B72A04"/>
    <w:rsid w:val="00B72A3B"/>
    <w:rsid w:val="00B72A6C"/>
    <w:rsid w:val="00B72B74"/>
    <w:rsid w:val="00B72BDF"/>
    <w:rsid w:val="00B72F0F"/>
    <w:rsid w:val="00B73650"/>
    <w:rsid w:val="00B737BE"/>
    <w:rsid w:val="00B739C0"/>
    <w:rsid w:val="00B740B0"/>
    <w:rsid w:val="00B747D3"/>
    <w:rsid w:val="00B74A14"/>
    <w:rsid w:val="00B74FEB"/>
    <w:rsid w:val="00B751CD"/>
    <w:rsid w:val="00B757C7"/>
    <w:rsid w:val="00B75BBB"/>
    <w:rsid w:val="00B76534"/>
    <w:rsid w:val="00B767D7"/>
    <w:rsid w:val="00B767EF"/>
    <w:rsid w:val="00B769CF"/>
    <w:rsid w:val="00B76BA7"/>
    <w:rsid w:val="00B770D9"/>
    <w:rsid w:val="00B7729C"/>
    <w:rsid w:val="00B7743F"/>
    <w:rsid w:val="00B774C8"/>
    <w:rsid w:val="00B779E9"/>
    <w:rsid w:val="00B77B38"/>
    <w:rsid w:val="00B77D9F"/>
    <w:rsid w:val="00B77E7B"/>
    <w:rsid w:val="00B80A8C"/>
    <w:rsid w:val="00B811F9"/>
    <w:rsid w:val="00B8143F"/>
    <w:rsid w:val="00B81557"/>
    <w:rsid w:val="00B81BB6"/>
    <w:rsid w:val="00B81C8F"/>
    <w:rsid w:val="00B82196"/>
    <w:rsid w:val="00B82349"/>
    <w:rsid w:val="00B82918"/>
    <w:rsid w:val="00B82FF8"/>
    <w:rsid w:val="00B83078"/>
    <w:rsid w:val="00B83961"/>
    <w:rsid w:val="00B83980"/>
    <w:rsid w:val="00B83E22"/>
    <w:rsid w:val="00B83E28"/>
    <w:rsid w:val="00B83E77"/>
    <w:rsid w:val="00B84774"/>
    <w:rsid w:val="00B84B31"/>
    <w:rsid w:val="00B84DFB"/>
    <w:rsid w:val="00B85098"/>
    <w:rsid w:val="00B8527A"/>
    <w:rsid w:val="00B857CE"/>
    <w:rsid w:val="00B857F9"/>
    <w:rsid w:val="00B85B23"/>
    <w:rsid w:val="00B85FDA"/>
    <w:rsid w:val="00B85FF2"/>
    <w:rsid w:val="00B86486"/>
    <w:rsid w:val="00B86892"/>
    <w:rsid w:val="00B86ABA"/>
    <w:rsid w:val="00B86BAD"/>
    <w:rsid w:val="00B86ED2"/>
    <w:rsid w:val="00B872FF"/>
    <w:rsid w:val="00B8747B"/>
    <w:rsid w:val="00B87838"/>
    <w:rsid w:val="00B87A22"/>
    <w:rsid w:val="00B87DBB"/>
    <w:rsid w:val="00B87E86"/>
    <w:rsid w:val="00B87EB5"/>
    <w:rsid w:val="00B87F72"/>
    <w:rsid w:val="00B8D164"/>
    <w:rsid w:val="00B90153"/>
    <w:rsid w:val="00B9016F"/>
    <w:rsid w:val="00B904F3"/>
    <w:rsid w:val="00B90A08"/>
    <w:rsid w:val="00B90DB8"/>
    <w:rsid w:val="00B91457"/>
    <w:rsid w:val="00B91567"/>
    <w:rsid w:val="00B9185F"/>
    <w:rsid w:val="00B9192A"/>
    <w:rsid w:val="00B91A0D"/>
    <w:rsid w:val="00B91BBE"/>
    <w:rsid w:val="00B92246"/>
    <w:rsid w:val="00B925DA"/>
    <w:rsid w:val="00B92703"/>
    <w:rsid w:val="00B929FC"/>
    <w:rsid w:val="00B92ACE"/>
    <w:rsid w:val="00B92B6A"/>
    <w:rsid w:val="00B933A7"/>
    <w:rsid w:val="00B93D79"/>
    <w:rsid w:val="00B93F51"/>
    <w:rsid w:val="00B94111"/>
    <w:rsid w:val="00B94297"/>
    <w:rsid w:val="00B9488F"/>
    <w:rsid w:val="00B94915"/>
    <w:rsid w:val="00B94BF6"/>
    <w:rsid w:val="00B94EB6"/>
    <w:rsid w:val="00B95043"/>
    <w:rsid w:val="00B95170"/>
    <w:rsid w:val="00B951AA"/>
    <w:rsid w:val="00B952CB"/>
    <w:rsid w:val="00B95536"/>
    <w:rsid w:val="00B956D2"/>
    <w:rsid w:val="00B9575B"/>
    <w:rsid w:val="00B95D74"/>
    <w:rsid w:val="00B95EB0"/>
    <w:rsid w:val="00B95FED"/>
    <w:rsid w:val="00B96730"/>
    <w:rsid w:val="00B96D70"/>
    <w:rsid w:val="00B96DE8"/>
    <w:rsid w:val="00B97075"/>
    <w:rsid w:val="00B972C2"/>
    <w:rsid w:val="00B97784"/>
    <w:rsid w:val="00B97C63"/>
    <w:rsid w:val="00B97FDD"/>
    <w:rsid w:val="00BA0074"/>
    <w:rsid w:val="00BA096C"/>
    <w:rsid w:val="00BA0974"/>
    <w:rsid w:val="00BA0DDB"/>
    <w:rsid w:val="00BA0E53"/>
    <w:rsid w:val="00BA11DB"/>
    <w:rsid w:val="00BA18F6"/>
    <w:rsid w:val="00BA1908"/>
    <w:rsid w:val="00BA19CE"/>
    <w:rsid w:val="00BA1DDE"/>
    <w:rsid w:val="00BA21F4"/>
    <w:rsid w:val="00BA2316"/>
    <w:rsid w:val="00BA24B3"/>
    <w:rsid w:val="00BA2700"/>
    <w:rsid w:val="00BA339D"/>
    <w:rsid w:val="00BA3797"/>
    <w:rsid w:val="00BA390E"/>
    <w:rsid w:val="00BA3D7E"/>
    <w:rsid w:val="00BA4131"/>
    <w:rsid w:val="00BA43F3"/>
    <w:rsid w:val="00BA44F1"/>
    <w:rsid w:val="00BA4640"/>
    <w:rsid w:val="00BA47BA"/>
    <w:rsid w:val="00BA4997"/>
    <w:rsid w:val="00BA4AB8"/>
    <w:rsid w:val="00BA54D0"/>
    <w:rsid w:val="00BA5627"/>
    <w:rsid w:val="00BA5902"/>
    <w:rsid w:val="00BA5F50"/>
    <w:rsid w:val="00BA620D"/>
    <w:rsid w:val="00BA6310"/>
    <w:rsid w:val="00BA6975"/>
    <w:rsid w:val="00BA6B75"/>
    <w:rsid w:val="00BA755E"/>
    <w:rsid w:val="00BA7A05"/>
    <w:rsid w:val="00BB0109"/>
    <w:rsid w:val="00BB04F4"/>
    <w:rsid w:val="00BB0CF7"/>
    <w:rsid w:val="00BB0F82"/>
    <w:rsid w:val="00BB108D"/>
    <w:rsid w:val="00BB11E1"/>
    <w:rsid w:val="00BB11F0"/>
    <w:rsid w:val="00BB12CA"/>
    <w:rsid w:val="00BB15D4"/>
    <w:rsid w:val="00BB1606"/>
    <w:rsid w:val="00BB16CF"/>
    <w:rsid w:val="00BB17DD"/>
    <w:rsid w:val="00BB1B59"/>
    <w:rsid w:val="00BB2098"/>
    <w:rsid w:val="00BB2183"/>
    <w:rsid w:val="00BB21C6"/>
    <w:rsid w:val="00BB231E"/>
    <w:rsid w:val="00BB28FA"/>
    <w:rsid w:val="00BB2E09"/>
    <w:rsid w:val="00BB3117"/>
    <w:rsid w:val="00BB3AB7"/>
    <w:rsid w:val="00BB3B81"/>
    <w:rsid w:val="00BB3D5F"/>
    <w:rsid w:val="00BB4002"/>
    <w:rsid w:val="00BB430D"/>
    <w:rsid w:val="00BB44EE"/>
    <w:rsid w:val="00BB4516"/>
    <w:rsid w:val="00BB4557"/>
    <w:rsid w:val="00BB4808"/>
    <w:rsid w:val="00BB4D36"/>
    <w:rsid w:val="00BB4DD4"/>
    <w:rsid w:val="00BB53B4"/>
    <w:rsid w:val="00BB56EA"/>
    <w:rsid w:val="00BB6006"/>
    <w:rsid w:val="00BB61F8"/>
    <w:rsid w:val="00BB62D5"/>
    <w:rsid w:val="00BB64EA"/>
    <w:rsid w:val="00BB683D"/>
    <w:rsid w:val="00BB6A37"/>
    <w:rsid w:val="00BB6AB6"/>
    <w:rsid w:val="00BB6E47"/>
    <w:rsid w:val="00BB7315"/>
    <w:rsid w:val="00BB7632"/>
    <w:rsid w:val="00BB7743"/>
    <w:rsid w:val="00BB778B"/>
    <w:rsid w:val="00BB78B4"/>
    <w:rsid w:val="00BB7902"/>
    <w:rsid w:val="00BB79B3"/>
    <w:rsid w:val="00BB7B1A"/>
    <w:rsid w:val="00BC047D"/>
    <w:rsid w:val="00BC09A4"/>
    <w:rsid w:val="00BC0CD7"/>
    <w:rsid w:val="00BC102A"/>
    <w:rsid w:val="00BC12B3"/>
    <w:rsid w:val="00BC157A"/>
    <w:rsid w:val="00BC16B0"/>
    <w:rsid w:val="00BC1894"/>
    <w:rsid w:val="00BC1997"/>
    <w:rsid w:val="00BC1DA8"/>
    <w:rsid w:val="00BC251D"/>
    <w:rsid w:val="00BC29CB"/>
    <w:rsid w:val="00BC2E7B"/>
    <w:rsid w:val="00BC30C8"/>
    <w:rsid w:val="00BC338C"/>
    <w:rsid w:val="00BC344F"/>
    <w:rsid w:val="00BC3910"/>
    <w:rsid w:val="00BC392D"/>
    <w:rsid w:val="00BC3972"/>
    <w:rsid w:val="00BC3CC4"/>
    <w:rsid w:val="00BC3DE0"/>
    <w:rsid w:val="00BC3E72"/>
    <w:rsid w:val="00BC3FB8"/>
    <w:rsid w:val="00BC4388"/>
    <w:rsid w:val="00BC44A5"/>
    <w:rsid w:val="00BC467A"/>
    <w:rsid w:val="00BC46A4"/>
    <w:rsid w:val="00BC4A1B"/>
    <w:rsid w:val="00BC4C47"/>
    <w:rsid w:val="00BC4DEB"/>
    <w:rsid w:val="00BC4DF6"/>
    <w:rsid w:val="00BC4E1F"/>
    <w:rsid w:val="00BC5568"/>
    <w:rsid w:val="00BC5672"/>
    <w:rsid w:val="00BC57F0"/>
    <w:rsid w:val="00BC5B02"/>
    <w:rsid w:val="00BC6129"/>
    <w:rsid w:val="00BC62F3"/>
    <w:rsid w:val="00BC6B02"/>
    <w:rsid w:val="00BC6E04"/>
    <w:rsid w:val="00BC6F1E"/>
    <w:rsid w:val="00BC6F82"/>
    <w:rsid w:val="00BC7255"/>
    <w:rsid w:val="00BC7285"/>
    <w:rsid w:val="00BC7286"/>
    <w:rsid w:val="00BC75A3"/>
    <w:rsid w:val="00BC765F"/>
    <w:rsid w:val="00BC78C4"/>
    <w:rsid w:val="00BC7B92"/>
    <w:rsid w:val="00BC7F04"/>
    <w:rsid w:val="00BD0262"/>
    <w:rsid w:val="00BD067E"/>
    <w:rsid w:val="00BD094B"/>
    <w:rsid w:val="00BD0DCA"/>
    <w:rsid w:val="00BD0F73"/>
    <w:rsid w:val="00BD1105"/>
    <w:rsid w:val="00BD1207"/>
    <w:rsid w:val="00BD15FC"/>
    <w:rsid w:val="00BD193C"/>
    <w:rsid w:val="00BD1A55"/>
    <w:rsid w:val="00BD1CEF"/>
    <w:rsid w:val="00BD238B"/>
    <w:rsid w:val="00BD2A5E"/>
    <w:rsid w:val="00BD2D8A"/>
    <w:rsid w:val="00BD2F22"/>
    <w:rsid w:val="00BD3084"/>
    <w:rsid w:val="00BD3085"/>
    <w:rsid w:val="00BD32AC"/>
    <w:rsid w:val="00BD3799"/>
    <w:rsid w:val="00BD4243"/>
    <w:rsid w:val="00BD44A1"/>
    <w:rsid w:val="00BD4609"/>
    <w:rsid w:val="00BD4737"/>
    <w:rsid w:val="00BD4984"/>
    <w:rsid w:val="00BD4F5E"/>
    <w:rsid w:val="00BD53D7"/>
    <w:rsid w:val="00BD5491"/>
    <w:rsid w:val="00BD5C0B"/>
    <w:rsid w:val="00BD5D2F"/>
    <w:rsid w:val="00BD6255"/>
    <w:rsid w:val="00BD6A6C"/>
    <w:rsid w:val="00BD7421"/>
    <w:rsid w:val="00BD7D45"/>
    <w:rsid w:val="00BD7D91"/>
    <w:rsid w:val="00BE0340"/>
    <w:rsid w:val="00BE039B"/>
    <w:rsid w:val="00BE0458"/>
    <w:rsid w:val="00BE04C6"/>
    <w:rsid w:val="00BE0627"/>
    <w:rsid w:val="00BE06B5"/>
    <w:rsid w:val="00BE07F3"/>
    <w:rsid w:val="00BE0902"/>
    <w:rsid w:val="00BE0EBB"/>
    <w:rsid w:val="00BE0FFD"/>
    <w:rsid w:val="00BE1186"/>
    <w:rsid w:val="00BE15B7"/>
    <w:rsid w:val="00BE19E3"/>
    <w:rsid w:val="00BE1A36"/>
    <w:rsid w:val="00BE1C37"/>
    <w:rsid w:val="00BE1CEC"/>
    <w:rsid w:val="00BE1E60"/>
    <w:rsid w:val="00BE2332"/>
    <w:rsid w:val="00BE23EF"/>
    <w:rsid w:val="00BE24DF"/>
    <w:rsid w:val="00BE2637"/>
    <w:rsid w:val="00BE29B1"/>
    <w:rsid w:val="00BE2A93"/>
    <w:rsid w:val="00BE33D7"/>
    <w:rsid w:val="00BE3600"/>
    <w:rsid w:val="00BE3812"/>
    <w:rsid w:val="00BE3D75"/>
    <w:rsid w:val="00BE3EA7"/>
    <w:rsid w:val="00BE3EB6"/>
    <w:rsid w:val="00BE4168"/>
    <w:rsid w:val="00BE4587"/>
    <w:rsid w:val="00BE49FB"/>
    <w:rsid w:val="00BE4EB0"/>
    <w:rsid w:val="00BE5206"/>
    <w:rsid w:val="00BE5400"/>
    <w:rsid w:val="00BE5581"/>
    <w:rsid w:val="00BE5B1B"/>
    <w:rsid w:val="00BE619A"/>
    <w:rsid w:val="00BE68F3"/>
    <w:rsid w:val="00BE696C"/>
    <w:rsid w:val="00BE6B78"/>
    <w:rsid w:val="00BE6E72"/>
    <w:rsid w:val="00BE6FE5"/>
    <w:rsid w:val="00BE714A"/>
    <w:rsid w:val="00BE72E8"/>
    <w:rsid w:val="00BE7DFA"/>
    <w:rsid w:val="00BF00BF"/>
    <w:rsid w:val="00BF032D"/>
    <w:rsid w:val="00BF06E9"/>
    <w:rsid w:val="00BF0BE1"/>
    <w:rsid w:val="00BF0C0E"/>
    <w:rsid w:val="00BF13B2"/>
    <w:rsid w:val="00BF13BD"/>
    <w:rsid w:val="00BF13CC"/>
    <w:rsid w:val="00BF1517"/>
    <w:rsid w:val="00BF1C92"/>
    <w:rsid w:val="00BF1D1D"/>
    <w:rsid w:val="00BF1F3D"/>
    <w:rsid w:val="00BF22B6"/>
    <w:rsid w:val="00BF22F6"/>
    <w:rsid w:val="00BF2539"/>
    <w:rsid w:val="00BF302E"/>
    <w:rsid w:val="00BF3722"/>
    <w:rsid w:val="00BF38E6"/>
    <w:rsid w:val="00BF3C52"/>
    <w:rsid w:val="00BF4089"/>
    <w:rsid w:val="00BF4139"/>
    <w:rsid w:val="00BF465F"/>
    <w:rsid w:val="00BF4675"/>
    <w:rsid w:val="00BF4D48"/>
    <w:rsid w:val="00BF4D64"/>
    <w:rsid w:val="00BF4F16"/>
    <w:rsid w:val="00BF5A7A"/>
    <w:rsid w:val="00BF5DAE"/>
    <w:rsid w:val="00BF68D0"/>
    <w:rsid w:val="00BF6C01"/>
    <w:rsid w:val="00BF6C9A"/>
    <w:rsid w:val="00BF6CD2"/>
    <w:rsid w:val="00BF6DBA"/>
    <w:rsid w:val="00BF6DC7"/>
    <w:rsid w:val="00BF760C"/>
    <w:rsid w:val="00BF797B"/>
    <w:rsid w:val="00BF7E72"/>
    <w:rsid w:val="00C00074"/>
    <w:rsid w:val="00C001C0"/>
    <w:rsid w:val="00C002B1"/>
    <w:rsid w:val="00C00361"/>
    <w:rsid w:val="00C00643"/>
    <w:rsid w:val="00C00BF8"/>
    <w:rsid w:val="00C01150"/>
    <w:rsid w:val="00C0128F"/>
    <w:rsid w:val="00C01AA8"/>
    <w:rsid w:val="00C01C37"/>
    <w:rsid w:val="00C01F76"/>
    <w:rsid w:val="00C02226"/>
    <w:rsid w:val="00C0267E"/>
    <w:rsid w:val="00C02936"/>
    <w:rsid w:val="00C02C81"/>
    <w:rsid w:val="00C02EBC"/>
    <w:rsid w:val="00C02ED8"/>
    <w:rsid w:val="00C03263"/>
    <w:rsid w:val="00C037FE"/>
    <w:rsid w:val="00C03EAB"/>
    <w:rsid w:val="00C03F16"/>
    <w:rsid w:val="00C04485"/>
    <w:rsid w:val="00C045C3"/>
    <w:rsid w:val="00C05B8D"/>
    <w:rsid w:val="00C060EB"/>
    <w:rsid w:val="00C06258"/>
    <w:rsid w:val="00C062B3"/>
    <w:rsid w:val="00C06307"/>
    <w:rsid w:val="00C06313"/>
    <w:rsid w:val="00C06348"/>
    <w:rsid w:val="00C063F2"/>
    <w:rsid w:val="00C065B2"/>
    <w:rsid w:val="00C06743"/>
    <w:rsid w:val="00C067F4"/>
    <w:rsid w:val="00C068C9"/>
    <w:rsid w:val="00C06A41"/>
    <w:rsid w:val="00C06AE0"/>
    <w:rsid w:val="00C070CD"/>
    <w:rsid w:val="00C07A69"/>
    <w:rsid w:val="00C07A8D"/>
    <w:rsid w:val="00C101B7"/>
    <w:rsid w:val="00C10309"/>
    <w:rsid w:val="00C10452"/>
    <w:rsid w:val="00C10C4B"/>
    <w:rsid w:val="00C1105F"/>
    <w:rsid w:val="00C11128"/>
    <w:rsid w:val="00C1134F"/>
    <w:rsid w:val="00C119B2"/>
    <w:rsid w:val="00C11B3C"/>
    <w:rsid w:val="00C11BD1"/>
    <w:rsid w:val="00C11C23"/>
    <w:rsid w:val="00C1205B"/>
    <w:rsid w:val="00C1219B"/>
    <w:rsid w:val="00C12469"/>
    <w:rsid w:val="00C12DF6"/>
    <w:rsid w:val="00C1341A"/>
    <w:rsid w:val="00C137C1"/>
    <w:rsid w:val="00C13ACA"/>
    <w:rsid w:val="00C13BEF"/>
    <w:rsid w:val="00C13DA2"/>
    <w:rsid w:val="00C14052"/>
    <w:rsid w:val="00C1425F"/>
    <w:rsid w:val="00C1505E"/>
    <w:rsid w:val="00C154B0"/>
    <w:rsid w:val="00C15B05"/>
    <w:rsid w:val="00C15D51"/>
    <w:rsid w:val="00C15D56"/>
    <w:rsid w:val="00C15E68"/>
    <w:rsid w:val="00C1655F"/>
    <w:rsid w:val="00C165C6"/>
    <w:rsid w:val="00C16912"/>
    <w:rsid w:val="00C169FE"/>
    <w:rsid w:val="00C16C97"/>
    <w:rsid w:val="00C17300"/>
    <w:rsid w:val="00C1746F"/>
    <w:rsid w:val="00C175CC"/>
    <w:rsid w:val="00C176C5"/>
    <w:rsid w:val="00C17980"/>
    <w:rsid w:val="00C17EFE"/>
    <w:rsid w:val="00C20061"/>
    <w:rsid w:val="00C2013C"/>
    <w:rsid w:val="00C20577"/>
    <w:rsid w:val="00C205A2"/>
    <w:rsid w:val="00C205B0"/>
    <w:rsid w:val="00C20B56"/>
    <w:rsid w:val="00C20F89"/>
    <w:rsid w:val="00C20FD6"/>
    <w:rsid w:val="00C212C8"/>
    <w:rsid w:val="00C21837"/>
    <w:rsid w:val="00C21E18"/>
    <w:rsid w:val="00C21E65"/>
    <w:rsid w:val="00C21FEC"/>
    <w:rsid w:val="00C22D35"/>
    <w:rsid w:val="00C23029"/>
    <w:rsid w:val="00C23497"/>
    <w:rsid w:val="00C236DB"/>
    <w:rsid w:val="00C23D2E"/>
    <w:rsid w:val="00C23D30"/>
    <w:rsid w:val="00C23E07"/>
    <w:rsid w:val="00C246FF"/>
    <w:rsid w:val="00C248DA"/>
    <w:rsid w:val="00C24BD6"/>
    <w:rsid w:val="00C24CBD"/>
    <w:rsid w:val="00C24E08"/>
    <w:rsid w:val="00C24FBA"/>
    <w:rsid w:val="00C251D0"/>
    <w:rsid w:val="00C25758"/>
    <w:rsid w:val="00C25A22"/>
    <w:rsid w:val="00C25ACB"/>
    <w:rsid w:val="00C25B00"/>
    <w:rsid w:val="00C25B0B"/>
    <w:rsid w:val="00C25E07"/>
    <w:rsid w:val="00C25E2B"/>
    <w:rsid w:val="00C260DB"/>
    <w:rsid w:val="00C26365"/>
    <w:rsid w:val="00C264FD"/>
    <w:rsid w:val="00C265E6"/>
    <w:rsid w:val="00C268C9"/>
    <w:rsid w:val="00C27083"/>
    <w:rsid w:val="00C27887"/>
    <w:rsid w:val="00C27AFC"/>
    <w:rsid w:val="00C27DCA"/>
    <w:rsid w:val="00C27E82"/>
    <w:rsid w:val="00C27FB3"/>
    <w:rsid w:val="00C27FFB"/>
    <w:rsid w:val="00C3026F"/>
    <w:rsid w:val="00C3066D"/>
    <w:rsid w:val="00C3082E"/>
    <w:rsid w:val="00C308E1"/>
    <w:rsid w:val="00C30920"/>
    <w:rsid w:val="00C30AF2"/>
    <w:rsid w:val="00C30BB2"/>
    <w:rsid w:val="00C30D6C"/>
    <w:rsid w:val="00C31663"/>
    <w:rsid w:val="00C31752"/>
    <w:rsid w:val="00C31A47"/>
    <w:rsid w:val="00C31B31"/>
    <w:rsid w:val="00C31D44"/>
    <w:rsid w:val="00C3235C"/>
    <w:rsid w:val="00C3252A"/>
    <w:rsid w:val="00C32E4D"/>
    <w:rsid w:val="00C32F3B"/>
    <w:rsid w:val="00C333EF"/>
    <w:rsid w:val="00C3341B"/>
    <w:rsid w:val="00C336E8"/>
    <w:rsid w:val="00C33980"/>
    <w:rsid w:val="00C33B71"/>
    <w:rsid w:val="00C33D6D"/>
    <w:rsid w:val="00C33E60"/>
    <w:rsid w:val="00C34305"/>
    <w:rsid w:val="00C344D5"/>
    <w:rsid w:val="00C34523"/>
    <w:rsid w:val="00C345EC"/>
    <w:rsid w:val="00C346BB"/>
    <w:rsid w:val="00C34D06"/>
    <w:rsid w:val="00C3517F"/>
    <w:rsid w:val="00C3562B"/>
    <w:rsid w:val="00C35BD6"/>
    <w:rsid w:val="00C35D91"/>
    <w:rsid w:val="00C36013"/>
    <w:rsid w:val="00C361DD"/>
    <w:rsid w:val="00C364B9"/>
    <w:rsid w:val="00C369A0"/>
    <w:rsid w:val="00C36CBD"/>
    <w:rsid w:val="00C37212"/>
    <w:rsid w:val="00C37281"/>
    <w:rsid w:val="00C37438"/>
    <w:rsid w:val="00C37489"/>
    <w:rsid w:val="00C375ED"/>
    <w:rsid w:val="00C37745"/>
    <w:rsid w:val="00C37C8D"/>
    <w:rsid w:val="00C37F3B"/>
    <w:rsid w:val="00C37F75"/>
    <w:rsid w:val="00C402E5"/>
    <w:rsid w:val="00C40704"/>
    <w:rsid w:val="00C4082C"/>
    <w:rsid w:val="00C409C2"/>
    <w:rsid w:val="00C40AD7"/>
    <w:rsid w:val="00C40E20"/>
    <w:rsid w:val="00C411E0"/>
    <w:rsid w:val="00C418C3"/>
    <w:rsid w:val="00C423A4"/>
    <w:rsid w:val="00C42980"/>
    <w:rsid w:val="00C42ABA"/>
    <w:rsid w:val="00C42DE1"/>
    <w:rsid w:val="00C42F96"/>
    <w:rsid w:val="00C43018"/>
    <w:rsid w:val="00C436A2"/>
    <w:rsid w:val="00C43722"/>
    <w:rsid w:val="00C43755"/>
    <w:rsid w:val="00C43E1B"/>
    <w:rsid w:val="00C442C2"/>
    <w:rsid w:val="00C44517"/>
    <w:rsid w:val="00C4464E"/>
    <w:rsid w:val="00C44A2E"/>
    <w:rsid w:val="00C45168"/>
    <w:rsid w:val="00C45502"/>
    <w:rsid w:val="00C45644"/>
    <w:rsid w:val="00C45A65"/>
    <w:rsid w:val="00C45E77"/>
    <w:rsid w:val="00C45EFD"/>
    <w:rsid w:val="00C462B1"/>
    <w:rsid w:val="00C46A82"/>
    <w:rsid w:val="00C46ACA"/>
    <w:rsid w:val="00C46D28"/>
    <w:rsid w:val="00C47BC3"/>
    <w:rsid w:val="00C47F2F"/>
    <w:rsid w:val="00C502BA"/>
    <w:rsid w:val="00C50663"/>
    <w:rsid w:val="00C507D5"/>
    <w:rsid w:val="00C5082D"/>
    <w:rsid w:val="00C50DDB"/>
    <w:rsid w:val="00C50E1C"/>
    <w:rsid w:val="00C50E21"/>
    <w:rsid w:val="00C50E34"/>
    <w:rsid w:val="00C5115E"/>
    <w:rsid w:val="00C51208"/>
    <w:rsid w:val="00C51466"/>
    <w:rsid w:val="00C516BF"/>
    <w:rsid w:val="00C518FA"/>
    <w:rsid w:val="00C5198E"/>
    <w:rsid w:val="00C51C9F"/>
    <w:rsid w:val="00C51D62"/>
    <w:rsid w:val="00C51F22"/>
    <w:rsid w:val="00C523E3"/>
    <w:rsid w:val="00C526C8"/>
    <w:rsid w:val="00C52B41"/>
    <w:rsid w:val="00C52E38"/>
    <w:rsid w:val="00C52FB2"/>
    <w:rsid w:val="00C530C5"/>
    <w:rsid w:val="00C53599"/>
    <w:rsid w:val="00C53703"/>
    <w:rsid w:val="00C53CBC"/>
    <w:rsid w:val="00C541A3"/>
    <w:rsid w:val="00C5422B"/>
    <w:rsid w:val="00C547F3"/>
    <w:rsid w:val="00C549CA"/>
    <w:rsid w:val="00C551A4"/>
    <w:rsid w:val="00C551EE"/>
    <w:rsid w:val="00C5576B"/>
    <w:rsid w:val="00C559B2"/>
    <w:rsid w:val="00C55A15"/>
    <w:rsid w:val="00C55ECC"/>
    <w:rsid w:val="00C55F4B"/>
    <w:rsid w:val="00C5686B"/>
    <w:rsid w:val="00C56B28"/>
    <w:rsid w:val="00C56C78"/>
    <w:rsid w:val="00C56D38"/>
    <w:rsid w:val="00C570BD"/>
    <w:rsid w:val="00C570CF"/>
    <w:rsid w:val="00C57322"/>
    <w:rsid w:val="00C57413"/>
    <w:rsid w:val="00C57CD8"/>
    <w:rsid w:val="00C57F85"/>
    <w:rsid w:val="00C60502"/>
    <w:rsid w:val="00C60E27"/>
    <w:rsid w:val="00C60EF3"/>
    <w:rsid w:val="00C61011"/>
    <w:rsid w:val="00C613C2"/>
    <w:rsid w:val="00C614A8"/>
    <w:rsid w:val="00C6185A"/>
    <w:rsid w:val="00C619ED"/>
    <w:rsid w:val="00C61AF5"/>
    <w:rsid w:val="00C61F9F"/>
    <w:rsid w:val="00C622C0"/>
    <w:rsid w:val="00C623CE"/>
    <w:rsid w:val="00C62401"/>
    <w:rsid w:val="00C62716"/>
    <w:rsid w:val="00C628A0"/>
    <w:rsid w:val="00C62C51"/>
    <w:rsid w:val="00C62F70"/>
    <w:rsid w:val="00C62FC4"/>
    <w:rsid w:val="00C6318C"/>
    <w:rsid w:val="00C632AA"/>
    <w:rsid w:val="00C63E1E"/>
    <w:rsid w:val="00C63F88"/>
    <w:rsid w:val="00C643ED"/>
    <w:rsid w:val="00C64520"/>
    <w:rsid w:val="00C64AF7"/>
    <w:rsid w:val="00C64D75"/>
    <w:rsid w:val="00C6538C"/>
    <w:rsid w:val="00C65704"/>
    <w:rsid w:val="00C65869"/>
    <w:rsid w:val="00C658A5"/>
    <w:rsid w:val="00C65BC8"/>
    <w:rsid w:val="00C65F7A"/>
    <w:rsid w:val="00C6656C"/>
    <w:rsid w:val="00C6665B"/>
    <w:rsid w:val="00C668EE"/>
    <w:rsid w:val="00C66CE1"/>
    <w:rsid w:val="00C66FA4"/>
    <w:rsid w:val="00C676F0"/>
    <w:rsid w:val="00C67AA1"/>
    <w:rsid w:val="00C67B06"/>
    <w:rsid w:val="00C67BA7"/>
    <w:rsid w:val="00C67C2E"/>
    <w:rsid w:val="00C67D4B"/>
    <w:rsid w:val="00C70041"/>
    <w:rsid w:val="00C702C2"/>
    <w:rsid w:val="00C703C6"/>
    <w:rsid w:val="00C70699"/>
    <w:rsid w:val="00C70AA0"/>
    <w:rsid w:val="00C70CB3"/>
    <w:rsid w:val="00C70E87"/>
    <w:rsid w:val="00C70F33"/>
    <w:rsid w:val="00C70F3E"/>
    <w:rsid w:val="00C70F45"/>
    <w:rsid w:val="00C7124E"/>
    <w:rsid w:val="00C713E4"/>
    <w:rsid w:val="00C71754"/>
    <w:rsid w:val="00C71D2C"/>
    <w:rsid w:val="00C71E24"/>
    <w:rsid w:val="00C723FB"/>
    <w:rsid w:val="00C724E5"/>
    <w:rsid w:val="00C72879"/>
    <w:rsid w:val="00C72EF6"/>
    <w:rsid w:val="00C733CD"/>
    <w:rsid w:val="00C73505"/>
    <w:rsid w:val="00C735B5"/>
    <w:rsid w:val="00C736DF"/>
    <w:rsid w:val="00C73770"/>
    <w:rsid w:val="00C73CB9"/>
    <w:rsid w:val="00C73E6C"/>
    <w:rsid w:val="00C73ED2"/>
    <w:rsid w:val="00C741A3"/>
    <w:rsid w:val="00C742F1"/>
    <w:rsid w:val="00C748E8"/>
    <w:rsid w:val="00C748F6"/>
    <w:rsid w:val="00C749C4"/>
    <w:rsid w:val="00C74CD6"/>
    <w:rsid w:val="00C74D2E"/>
    <w:rsid w:val="00C75154"/>
    <w:rsid w:val="00C752EC"/>
    <w:rsid w:val="00C7555C"/>
    <w:rsid w:val="00C755BB"/>
    <w:rsid w:val="00C759B7"/>
    <w:rsid w:val="00C759F3"/>
    <w:rsid w:val="00C75D76"/>
    <w:rsid w:val="00C75DC0"/>
    <w:rsid w:val="00C7630F"/>
    <w:rsid w:val="00C7653E"/>
    <w:rsid w:val="00C76D3E"/>
    <w:rsid w:val="00C771E7"/>
    <w:rsid w:val="00C773AA"/>
    <w:rsid w:val="00C77605"/>
    <w:rsid w:val="00C7775D"/>
    <w:rsid w:val="00C7784A"/>
    <w:rsid w:val="00C77F2A"/>
    <w:rsid w:val="00C77F6E"/>
    <w:rsid w:val="00C80238"/>
    <w:rsid w:val="00C8039D"/>
    <w:rsid w:val="00C80429"/>
    <w:rsid w:val="00C80482"/>
    <w:rsid w:val="00C806CB"/>
    <w:rsid w:val="00C80A9F"/>
    <w:rsid w:val="00C80C50"/>
    <w:rsid w:val="00C80FC7"/>
    <w:rsid w:val="00C81163"/>
    <w:rsid w:val="00C81268"/>
    <w:rsid w:val="00C812E9"/>
    <w:rsid w:val="00C81325"/>
    <w:rsid w:val="00C815A0"/>
    <w:rsid w:val="00C815A4"/>
    <w:rsid w:val="00C818D1"/>
    <w:rsid w:val="00C81AA3"/>
    <w:rsid w:val="00C81D4F"/>
    <w:rsid w:val="00C81F99"/>
    <w:rsid w:val="00C82058"/>
    <w:rsid w:val="00C8232F"/>
    <w:rsid w:val="00C82420"/>
    <w:rsid w:val="00C82430"/>
    <w:rsid w:val="00C826AD"/>
    <w:rsid w:val="00C826F3"/>
    <w:rsid w:val="00C829C8"/>
    <w:rsid w:val="00C82F40"/>
    <w:rsid w:val="00C830AA"/>
    <w:rsid w:val="00C8326F"/>
    <w:rsid w:val="00C83494"/>
    <w:rsid w:val="00C83737"/>
    <w:rsid w:val="00C83B19"/>
    <w:rsid w:val="00C83B3F"/>
    <w:rsid w:val="00C83C0C"/>
    <w:rsid w:val="00C83D10"/>
    <w:rsid w:val="00C83DEF"/>
    <w:rsid w:val="00C84010"/>
    <w:rsid w:val="00C845EA"/>
    <w:rsid w:val="00C84673"/>
    <w:rsid w:val="00C84B60"/>
    <w:rsid w:val="00C84BCA"/>
    <w:rsid w:val="00C84E6B"/>
    <w:rsid w:val="00C84E83"/>
    <w:rsid w:val="00C84F3F"/>
    <w:rsid w:val="00C84FB0"/>
    <w:rsid w:val="00C85501"/>
    <w:rsid w:val="00C855F3"/>
    <w:rsid w:val="00C8591A"/>
    <w:rsid w:val="00C85B21"/>
    <w:rsid w:val="00C85C68"/>
    <w:rsid w:val="00C85FE8"/>
    <w:rsid w:val="00C860C8"/>
    <w:rsid w:val="00C8618F"/>
    <w:rsid w:val="00C8650A"/>
    <w:rsid w:val="00C8684C"/>
    <w:rsid w:val="00C868EA"/>
    <w:rsid w:val="00C8696E"/>
    <w:rsid w:val="00C86A33"/>
    <w:rsid w:val="00C86D42"/>
    <w:rsid w:val="00C872D1"/>
    <w:rsid w:val="00C87327"/>
    <w:rsid w:val="00C87410"/>
    <w:rsid w:val="00C878EF"/>
    <w:rsid w:val="00C87B85"/>
    <w:rsid w:val="00C90C66"/>
    <w:rsid w:val="00C90E0C"/>
    <w:rsid w:val="00C910B3"/>
    <w:rsid w:val="00C91170"/>
    <w:rsid w:val="00C91228"/>
    <w:rsid w:val="00C9139D"/>
    <w:rsid w:val="00C915F1"/>
    <w:rsid w:val="00C9168F"/>
    <w:rsid w:val="00C91707"/>
    <w:rsid w:val="00C91B0D"/>
    <w:rsid w:val="00C91F4E"/>
    <w:rsid w:val="00C92566"/>
    <w:rsid w:val="00C926FF"/>
    <w:rsid w:val="00C92AB5"/>
    <w:rsid w:val="00C92C0A"/>
    <w:rsid w:val="00C92E4C"/>
    <w:rsid w:val="00C92F19"/>
    <w:rsid w:val="00C92F22"/>
    <w:rsid w:val="00C941BB"/>
    <w:rsid w:val="00C94251"/>
    <w:rsid w:val="00C942A2"/>
    <w:rsid w:val="00C9460E"/>
    <w:rsid w:val="00C94B0C"/>
    <w:rsid w:val="00C94E6A"/>
    <w:rsid w:val="00C94F5F"/>
    <w:rsid w:val="00C95734"/>
    <w:rsid w:val="00C95CE7"/>
    <w:rsid w:val="00C95DD0"/>
    <w:rsid w:val="00C95DD6"/>
    <w:rsid w:val="00C95ECE"/>
    <w:rsid w:val="00C9680F"/>
    <w:rsid w:val="00C96818"/>
    <w:rsid w:val="00C96A56"/>
    <w:rsid w:val="00C96D93"/>
    <w:rsid w:val="00C96DE8"/>
    <w:rsid w:val="00C96E3C"/>
    <w:rsid w:val="00C96F1E"/>
    <w:rsid w:val="00CA03F0"/>
    <w:rsid w:val="00CA056D"/>
    <w:rsid w:val="00CA0607"/>
    <w:rsid w:val="00CA0A85"/>
    <w:rsid w:val="00CA0D61"/>
    <w:rsid w:val="00CA11EF"/>
    <w:rsid w:val="00CA14E1"/>
    <w:rsid w:val="00CA1E06"/>
    <w:rsid w:val="00CA1F01"/>
    <w:rsid w:val="00CA1F1E"/>
    <w:rsid w:val="00CA2170"/>
    <w:rsid w:val="00CA23C7"/>
    <w:rsid w:val="00CA25EC"/>
    <w:rsid w:val="00CA2B1E"/>
    <w:rsid w:val="00CA2FA6"/>
    <w:rsid w:val="00CA341E"/>
    <w:rsid w:val="00CA39DA"/>
    <w:rsid w:val="00CA3CC8"/>
    <w:rsid w:val="00CA4005"/>
    <w:rsid w:val="00CA4130"/>
    <w:rsid w:val="00CA4269"/>
    <w:rsid w:val="00CA4F37"/>
    <w:rsid w:val="00CA5105"/>
    <w:rsid w:val="00CA512E"/>
    <w:rsid w:val="00CA5792"/>
    <w:rsid w:val="00CA5983"/>
    <w:rsid w:val="00CA5A19"/>
    <w:rsid w:val="00CA5B3B"/>
    <w:rsid w:val="00CA5B6B"/>
    <w:rsid w:val="00CA6152"/>
    <w:rsid w:val="00CA61CC"/>
    <w:rsid w:val="00CA6237"/>
    <w:rsid w:val="00CA6246"/>
    <w:rsid w:val="00CA643F"/>
    <w:rsid w:val="00CA64AC"/>
    <w:rsid w:val="00CA64B9"/>
    <w:rsid w:val="00CA65BB"/>
    <w:rsid w:val="00CA66E0"/>
    <w:rsid w:val="00CA6820"/>
    <w:rsid w:val="00CA6D3B"/>
    <w:rsid w:val="00CA7010"/>
    <w:rsid w:val="00CA73C1"/>
    <w:rsid w:val="00CA78E3"/>
    <w:rsid w:val="00CA79B9"/>
    <w:rsid w:val="00CA7C57"/>
    <w:rsid w:val="00CB04CB"/>
    <w:rsid w:val="00CB08A0"/>
    <w:rsid w:val="00CB08A6"/>
    <w:rsid w:val="00CB08D4"/>
    <w:rsid w:val="00CB0ECC"/>
    <w:rsid w:val="00CB0EE8"/>
    <w:rsid w:val="00CB1305"/>
    <w:rsid w:val="00CB16A1"/>
    <w:rsid w:val="00CB193A"/>
    <w:rsid w:val="00CB19AF"/>
    <w:rsid w:val="00CB1B1F"/>
    <w:rsid w:val="00CB2593"/>
    <w:rsid w:val="00CB2686"/>
    <w:rsid w:val="00CB2923"/>
    <w:rsid w:val="00CB29EC"/>
    <w:rsid w:val="00CB2A1A"/>
    <w:rsid w:val="00CB2A56"/>
    <w:rsid w:val="00CB2B53"/>
    <w:rsid w:val="00CB2DA5"/>
    <w:rsid w:val="00CB2EB0"/>
    <w:rsid w:val="00CB3169"/>
    <w:rsid w:val="00CB3202"/>
    <w:rsid w:val="00CB33F7"/>
    <w:rsid w:val="00CB3AAF"/>
    <w:rsid w:val="00CB3C1D"/>
    <w:rsid w:val="00CB4903"/>
    <w:rsid w:val="00CB4B43"/>
    <w:rsid w:val="00CB4BA1"/>
    <w:rsid w:val="00CB4C9A"/>
    <w:rsid w:val="00CB50C1"/>
    <w:rsid w:val="00CB53A5"/>
    <w:rsid w:val="00CB5730"/>
    <w:rsid w:val="00CB5864"/>
    <w:rsid w:val="00CB59EE"/>
    <w:rsid w:val="00CB5DCB"/>
    <w:rsid w:val="00CB5DFF"/>
    <w:rsid w:val="00CB617E"/>
    <w:rsid w:val="00CB6487"/>
    <w:rsid w:val="00CB654C"/>
    <w:rsid w:val="00CB66FD"/>
    <w:rsid w:val="00CB674D"/>
    <w:rsid w:val="00CB6C66"/>
    <w:rsid w:val="00CB73FC"/>
    <w:rsid w:val="00CB7E0C"/>
    <w:rsid w:val="00CC009C"/>
    <w:rsid w:val="00CC031A"/>
    <w:rsid w:val="00CC04F7"/>
    <w:rsid w:val="00CC05C5"/>
    <w:rsid w:val="00CC06E6"/>
    <w:rsid w:val="00CC088C"/>
    <w:rsid w:val="00CC0D27"/>
    <w:rsid w:val="00CC0D34"/>
    <w:rsid w:val="00CC0DDB"/>
    <w:rsid w:val="00CC1359"/>
    <w:rsid w:val="00CC1495"/>
    <w:rsid w:val="00CC1559"/>
    <w:rsid w:val="00CC1813"/>
    <w:rsid w:val="00CC1CA8"/>
    <w:rsid w:val="00CC1E0F"/>
    <w:rsid w:val="00CC1E2D"/>
    <w:rsid w:val="00CC1E57"/>
    <w:rsid w:val="00CC1F76"/>
    <w:rsid w:val="00CC234A"/>
    <w:rsid w:val="00CC245C"/>
    <w:rsid w:val="00CC27F0"/>
    <w:rsid w:val="00CC2DE9"/>
    <w:rsid w:val="00CC2EC1"/>
    <w:rsid w:val="00CC3046"/>
    <w:rsid w:val="00CC31D3"/>
    <w:rsid w:val="00CC34FD"/>
    <w:rsid w:val="00CC3D37"/>
    <w:rsid w:val="00CC466C"/>
    <w:rsid w:val="00CC4F23"/>
    <w:rsid w:val="00CC4FA1"/>
    <w:rsid w:val="00CC4FE0"/>
    <w:rsid w:val="00CC57CD"/>
    <w:rsid w:val="00CC5996"/>
    <w:rsid w:val="00CC5B8E"/>
    <w:rsid w:val="00CC5ECF"/>
    <w:rsid w:val="00CC6210"/>
    <w:rsid w:val="00CC69D0"/>
    <w:rsid w:val="00CC7611"/>
    <w:rsid w:val="00CC78C7"/>
    <w:rsid w:val="00CC7A2E"/>
    <w:rsid w:val="00CC7AD3"/>
    <w:rsid w:val="00CC7BC4"/>
    <w:rsid w:val="00CC7FA4"/>
    <w:rsid w:val="00CC7FBB"/>
    <w:rsid w:val="00CD033F"/>
    <w:rsid w:val="00CD038C"/>
    <w:rsid w:val="00CD03B1"/>
    <w:rsid w:val="00CD0493"/>
    <w:rsid w:val="00CD065A"/>
    <w:rsid w:val="00CD06DF"/>
    <w:rsid w:val="00CD0AF4"/>
    <w:rsid w:val="00CD10D9"/>
    <w:rsid w:val="00CD113C"/>
    <w:rsid w:val="00CD15DC"/>
    <w:rsid w:val="00CD16EF"/>
    <w:rsid w:val="00CD19E7"/>
    <w:rsid w:val="00CD1C6D"/>
    <w:rsid w:val="00CD1F19"/>
    <w:rsid w:val="00CD2512"/>
    <w:rsid w:val="00CD25DA"/>
    <w:rsid w:val="00CD292C"/>
    <w:rsid w:val="00CD2B22"/>
    <w:rsid w:val="00CD2E87"/>
    <w:rsid w:val="00CD3048"/>
    <w:rsid w:val="00CD3B2A"/>
    <w:rsid w:val="00CD3E40"/>
    <w:rsid w:val="00CD4223"/>
    <w:rsid w:val="00CD4389"/>
    <w:rsid w:val="00CD4B1A"/>
    <w:rsid w:val="00CD4D87"/>
    <w:rsid w:val="00CD4E62"/>
    <w:rsid w:val="00CD50E2"/>
    <w:rsid w:val="00CD5186"/>
    <w:rsid w:val="00CD59BA"/>
    <w:rsid w:val="00CD5E15"/>
    <w:rsid w:val="00CD5F62"/>
    <w:rsid w:val="00CD61BD"/>
    <w:rsid w:val="00CD61DE"/>
    <w:rsid w:val="00CD6C8C"/>
    <w:rsid w:val="00CD6F4A"/>
    <w:rsid w:val="00CD7092"/>
    <w:rsid w:val="00CD7145"/>
    <w:rsid w:val="00CD72D6"/>
    <w:rsid w:val="00CE004D"/>
    <w:rsid w:val="00CE03A4"/>
    <w:rsid w:val="00CE0708"/>
    <w:rsid w:val="00CE0A23"/>
    <w:rsid w:val="00CE0E2D"/>
    <w:rsid w:val="00CE1048"/>
    <w:rsid w:val="00CE13D7"/>
    <w:rsid w:val="00CE13DB"/>
    <w:rsid w:val="00CE1473"/>
    <w:rsid w:val="00CE1816"/>
    <w:rsid w:val="00CE1A65"/>
    <w:rsid w:val="00CE1C8F"/>
    <w:rsid w:val="00CE1F76"/>
    <w:rsid w:val="00CE2330"/>
    <w:rsid w:val="00CE2647"/>
    <w:rsid w:val="00CE287C"/>
    <w:rsid w:val="00CE2B39"/>
    <w:rsid w:val="00CE2E80"/>
    <w:rsid w:val="00CE31CD"/>
    <w:rsid w:val="00CE31E2"/>
    <w:rsid w:val="00CE3240"/>
    <w:rsid w:val="00CE372E"/>
    <w:rsid w:val="00CE39B9"/>
    <w:rsid w:val="00CE3B6E"/>
    <w:rsid w:val="00CE3C8E"/>
    <w:rsid w:val="00CE3CE4"/>
    <w:rsid w:val="00CE3D0E"/>
    <w:rsid w:val="00CE3D85"/>
    <w:rsid w:val="00CE3F90"/>
    <w:rsid w:val="00CE4183"/>
    <w:rsid w:val="00CE445E"/>
    <w:rsid w:val="00CE470D"/>
    <w:rsid w:val="00CE4950"/>
    <w:rsid w:val="00CE4AB8"/>
    <w:rsid w:val="00CE4B00"/>
    <w:rsid w:val="00CE4F2F"/>
    <w:rsid w:val="00CE5195"/>
    <w:rsid w:val="00CE5531"/>
    <w:rsid w:val="00CE58C1"/>
    <w:rsid w:val="00CE5C54"/>
    <w:rsid w:val="00CE5D19"/>
    <w:rsid w:val="00CE6149"/>
    <w:rsid w:val="00CE66FC"/>
    <w:rsid w:val="00CE6712"/>
    <w:rsid w:val="00CE6D1F"/>
    <w:rsid w:val="00CE6EEC"/>
    <w:rsid w:val="00CE70EF"/>
    <w:rsid w:val="00CE71A4"/>
    <w:rsid w:val="00CE739A"/>
    <w:rsid w:val="00CE7718"/>
    <w:rsid w:val="00CE7A12"/>
    <w:rsid w:val="00CE7F0A"/>
    <w:rsid w:val="00CE7F13"/>
    <w:rsid w:val="00CF009A"/>
    <w:rsid w:val="00CF12D8"/>
    <w:rsid w:val="00CF158D"/>
    <w:rsid w:val="00CF198C"/>
    <w:rsid w:val="00CF1992"/>
    <w:rsid w:val="00CF1BBF"/>
    <w:rsid w:val="00CF1E9C"/>
    <w:rsid w:val="00CF1F9C"/>
    <w:rsid w:val="00CF2CCB"/>
    <w:rsid w:val="00CF2D1F"/>
    <w:rsid w:val="00CF2E32"/>
    <w:rsid w:val="00CF2E80"/>
    <w:rsid w:val="00CF358A"/>
    <w:rsid w:val="00CF36F3"/>
    <w:rsid w:val="00CF3A2F"/>
    <w:rsid w:val="00CF3F10"/>
    <w:rsid w:val="00CF4175"/>
    <w:rsid w:val="00CF43BA"/>
    <w:rsid w:val="00CF458D"/>
    <w:rsid w:val="00CF4A94"/>
    <w:rsid w:val="00CF4AFC"/>
    <w:rsid w:val="00CF4E30"/>
    <w:rsid w:val="00CF4FEF"/>
    <w:rsid w:val="00CF572E"/>
    <w:rsid w:val="00CF5807"/>
    <w:rsid w:val="00CF5E5B"/>
    <w:rsid w:val="00CF5F50"/>
    <w:rsid w:val="00CF6098"/>
    <w:rsid w:val="00CF6250"/>
    <w:rsid w:val="00CF6258"/>
    <w:rsid w:val="00CF646A"/>
    <w:rsid w:val="00CF649E"/>
    <w:rsid w:val="00CF6B14"/>
    <w:rsid w:val="00CF6D31"/>
    <w:rsid w:val="00CF72CF"/>
    <w:rsid w:val="00CF761E"/>
    <w:rsid w:val="00CF77BA"/>
    <w:rsid w:val="00CF7A97"/>
    <w:rsid w:val="00CF7B9E"/>
    <w:rsid w:val="00CF7D73"/>
    <w:rsid w:val="00CF7E5F"/>
    <w:rsid w:val="00D004D7"/>
    <w:rsid w:val="00D0062B"/>
    <w:rsid w:val="00D00BDA"/>
    <w:rsid w:val="00D00CA9"/>
    <w:rsid w:val="00D00D79"/>
    <w:rsid w:val="00D010E3"/>
    <w:rsid w:val="00D011E4"/>
    <w:rsid w:val="00D012EA"/>
    <w:rsid w:val="00D01305"/>
    <w:rsid w:val="00D0134A"/>
    <w:rsid w:val="00D01965"/>
    <w:rsid w:val="00D01BE0"/>
    <w:rsid w:val="00D01C35"/>
    <w:rsid w:val="00D02369"/>
    <w:rsid w:val="00D02401"/>
    <w:rsid w:val="00D024FD"/>
    <w:rsid w:val="00D02516"/>
    <w:rsid w:val="00D028F0"/>
    <w:rsid w:val="00D02C39"/>
    <w:rsid w:val="00D02E03"/>
    <w:rsid w:val="00D03733"/>
    <w:rsid w:val="00D03812"/>
    <w:rsid w:val="00D03CC3"/>
    <w:rsid w:val="00D03DC3"/>
    <w:rsid w:val="00D047E6"/>
    <w:rsid w:val="00D048ED"/>
    <w:rsid w:val="00D048F7"/>
    <w:rsid w:val="00D05054"/>
    <w:rsid w:val="00D05353"/>
    <w:rsid w:val="00D05592"/>
    <w:rsid w:val="00D05890"/>
    <w:rsid w:val="00D05A0C"/>
    <w:rsid w:val="00D05A51"/>
    <w:rsid w:val="00D05BA9"/>
    <w:rsid w:val="00D05C5B"/>
    <w:rsid w:val="00D05D46"/>
    <w:rsid w:val="00D06033"/>
    <w:rsid w:val="00D060DE"/>
    <w:rsid w:val="00D0715A"/>
    <w:rsid w:val="00D071CB"/>
    <w:rsid w:val="00D077A2"/>
    <w:rsid w:val="00D07A79"/>
    <w:rsid w:val="00D07AA0"/>
    <w:rsid w:val="00D07DB7"/>
    <w:rsid w:val="00D10560"/>
    <w:rsid w:val="00D10626"/>
    <w:rsid w:val="00D10647"/>
    <w:rsid w:val="00D10B27"/>
    <w:rsid w:val="00D10FE8"/>
    <w:rsid w:val="00D1132F"/>
    <w:rsid w:val="00D11A56"/>
    <w:rsid w:val="00D11BAE"/>
    <w:rsid w:val="00D11CA9"/>
    <w:rsid w:val="00D1218E"/>
    <w:rsid w:val="00D12416"/>
    <w:rsid w:val="00D125F6"/>
    <w:rsid w:val="00D12746"/>
    <w:rsid w:val="00D12947"/>
    <w:rsid w:val="00D12EE0"/>
    <w:rsid w:val="00D12FF9"/>
    <w:rsid w:val="00D13004"/>
    <w:rsid w:val="00D14103"/>
    <w:rsid w:val="00D14182"/>
    <w:rsid w:val="00D14426"/>
    <w:rsid w:val="00D14612"/>
    <w:rsid w:val="00D14768"/>
    <w:rsid w:val="00D15155"/>
    <w:rsid w:val="00D15236"/>
    <w:rsid w:val="00D15455"/>
    <w:rsid w:val="00D15488"/>
    <w:rsid w:val="00D155D4"/>
    <w:rsid w:val="00D15652"/>
    <w:rsid w:val="00D157BF"/>
    <w:rsid w:val="00D16327"/>
    <w:rsid w:val="00D1674B"/>
    <w:rsid w:val="00D16C83"/>
    <w:rsid w:val="00D17004"/>
    <w:rsid w:val="00D170E7"/>
    <w:rsid w:val="00D17147"/>
    <w:rsid w:val="00D17250"/>
    <w:rsid w:val="00D173C3"/>
    <w:rsid w:val="00D176F1"/>
    <w:rsid w:val="00D178A4"/>
    <w:rsid w:val="00D17B68"/>
    <w:rsid w:val="00D20672"/>
    <w:rsid w:val="00D20BB8"/>
    <w:rsid w:val="00D21306"/>
    <w:rsid w:val="00D21366"/>
    <w:rsid w:val="00D214D2"/>
    <w:rsid w:val="00D217C2"/>
    <w:rsid w:val="00D21ED3"/>
    <w:rsid w:val="00D22248"/>
    <w:rsid w:val="00D2226E"/>
    <w:rsid w:val="00D22398"/>
    <w:rsid w:val="00D2258E"/>
    <w:rsid w:val="00D2270D"/>
    <w:rsid w:val="00D2297A"/>
    <w:rsid w:val="00D22F6A"/>
    <w:rsid w:val="00D23079"/>
    <w:rsid w:val="00D230F2"/>
    <w:rsid w:val="00D233AC"/>
    <w:rsid w:val="00D236D9"/>
    <w:rsid w:val="00D23A0A"/>
    <w:rsid w:val="00D242B7"/>
    <w:rsid w:val="00D24565"/>
    <w:rsid w:val="00D247FD"/>
    <w:rsid w:val="00D24DD1"/>
    <w:rsid w:val="00D24FE3"/>
    <w:rsid w:val="00D2546E"/>
    <w:rsid w:val="00D2575D"/>
    <w:rsid w:val="00D25D37"/>
    <w:rsid w:val="00D26033"/>
    <w:rsid w:val="00D26A23"/>
    <w:rsid w:val="00D27286"/>
    <w:rsid w:val="00D27B76"/>
    <w:rsid w:val="00D27D8C"/>
    <w:rsid w:val="00D3074F"/>
    <w:rsid w:val="00D309B2"/>
    <w:rsid w:val="00D30CDD"/>
    <w:rsid w:val="00D30CFF"/>
    <w:rsid w:val="00D31218"/>
    <w:rsid w:val="00D31419"/>
    <w:rsid w:val="00D31670"/>
    <w:rsid w:val="00D316BD"/>
    <w:rsid w:val="00D31C15"/>
    <w:rsid w:val="00D31C3D"/>
    <w:rsid w:val="00D31E92"/>
    <w:rsid w:val="00D3247E"/>
    <w:rsid w:val="00D327C1"/>
    <w:rsid w:val="00D32AAC"/>
    <w:rsid w:val="00D32AC9"/>
    <w:rsid w:val="00D32BC0"/>
    <w:rsid w:val="00D3350A"/>
    <w:rsid w:val="00D33B21"/>
    <w:rsid w:val="00D33C68"/>
    <w:rsid w:val="00D33D06"/>
    <w:rsid w:val="00D33F58"/>
    <w:rsid w:val="00D34145"/>
    <w:rsid w:val="00D341E5"/>
    <w:rsid w:val="00D343EC"/>
    <w:rsid w:val="00D34428"/>
    <w:rsid w:val="00D345D6"/>
    <w:rsid w:val="00D3474E"/>
    <w:rsid w:val="00D34889"/>
    <w:rsid w:val="00D35821"/>
    <w:rsid w:val="00D3599E"/>
    <w:rsid w:val="00D35E02"/>
    <w:rsid w:val="00D3612C"/>
    <w:rsid w:val="00D3624A"/>
    <w:rsid w:val="00D36434"/>
    <w:rsid w:val="00D364CC"/>
    <w:rsid w:val="00D36573"/>
    <w:rsid w:val="00D36672"/>
    <w:rsid w:val="00D36A87"/>
    <w:rsid w:val="00D36FC0"/>
    <w:rsid w:val="00D378AB"/>
    <w:rsid w:val="00D4002F"/>
    <w:rsid w:val="00D404DC"/>
    <w:rsid w:val="00D406FC"/>
    <w:rsid w:val="00D40D23"/>
    <w:rsid w:val="00D40EFD"/>
    <w:rsid w:val="00D40FA5"/>
    <w:rsid w:val="00D41018"/>
    <w:rsid w:val="00D41379"/>
    <w:rsid w:val="00D4137A"/>
    <w:rsid w:val="00D41B7C"/>
    <w:rsid w:val="00D41D6E"/>
    <w:rsid w:val="00D41FBF"/>
    <w:rsid w:val="00D42177"/>
    <w:rsid w:val="00D42205"/>
    <w:rsid w:val="00D42E8A"/>
    <w:rsid w:val="00D42FE0"/>
    <w:rsid w:val="00D4302A"/>
    <w:rsid w:val="00D43246"/>
    <w:rsid w:val="00D43D82"/>
    <w:rsid w:val="00D43EF5"/>
    <w:rsid w:val="00D44143"/>
    <w:rsid w:val="00D4483A"/>
    <w:rsid w:val="00D44A4B"/>
    <w:rsid w:val="00D44BC0"/>
    <w:rsid w:val="00D44CD7"/>
    <w:rsid w:val="00D44CE6"/>
    <w:rsid w:val="00D45A5E"/>
    <w:rsid w:val="00D45D8E"/>
    <w:rsid w:val="00D46149"/>
    <w:rsid w:val="00D461A6"/>
    <w:rsid w:val="00D461C3"/>
    <w:rsid w:val="00D463E2"/>
    <w:rsid w:val="00D4654C"/>
    <w:rsid w:val="00D46B52"/>
    <w:rsid w:val="00D46EBA"/>
    <w:rsid w:val="00D47729"/>
    <w:rsid w:val="00D478B7"/>
    <w:rsid w:val="00D47A40"/>
    <w:rsid w:val="00D47B53"/>
    <w:rsid w:val="00D47D4E"/>
    <w:rsid w:val="00D47F42"/>
    <w:rsid w:val="00D50024"/>
    <w:rsid w:val="00D5038F"/>
    <w:rsid w:val="00D50545"/>
    <w:rsid w:val="00D50748"/>
    <w:rsid w:val="00D50888"/>
    <w:rsid w:val="00D50939"/>
    <w:rsid w:val="00D50A16"/>
    <w:rsid w:val="00D50BC6"/>
    <w:rsid w:val="00D50D20"/>
    <w:rsid w:val="00D50E4B"/>
    <w:rsid w:val="00D50E90"/>
    <w:rsid w:val="00D51409"/>
    <w:rsid w:val="00D514ED"/>
    <w:rsid w:val="00D515DE"/>
    <w:rsid w:val="00D5189D"/>
    <w:rsid w:val="00D520D0"/>
    <w:rsid w:val="00D52109"/>
    <w:rsid w:val="00D5241C"/>
    <w:rsid w:val="00D52463"/>
    <w:rsid w:val="00D52D78"/>
    <w:rsid w:val="00D530BA"/>
    <w:rsid w:val="00D53631"/>
    <w:rsid w:val="00D53F79"/>
    <w:rsid w:val="00D5418D"/>
    <w:rsid w:val="00D542F3"/>
    <w:rsid w:val="00D543DF"/>
    <w:rsid w:val="00D54436"/>
    <w:rsid w:val="00D5464B"/>
    <w:rsid w:val="00D549B8"/>
    <w:rsid w:val="00D54A2A"/>
    <w:rsid w:val="00D54F34"/>
    <w:rsid w:val="00D54FB7"/>
    <w:rsid w:val="00D550F7"/>
    <w:rsid w:val="00D5531F"/>
    <w:rsid w:val="00D55523"/>
    <w:rsid w:val="00D55592"/>
    <w:rsid w:val="00D55B2B"/>
    <w:rsid w:val="00D55E56"/>
    <w:rsid w:val="00D56072"/>
    <w:rsid w:val="00D5634A"/>
    <w:rsid w:val="00D56934"/>
    <w:rsid w:val="00D56EF7"/>
    <w:rsid w:val="00D57138"/>
    <w:rsid w:val="00D57210"/>
    <w:rsid w:val="00D5782A"/>
    <w:rsid w:val="00D579C6"/>
    <w:rsid w:val="00D57D79"/>
    <w:rsid w:val="00D60148"/>
    <w:rsid w:val="00D6090E"/>
    <w:rsid w:val="00D61298"/>
    <w:rsid w:val="00D61904"/>
    <w:rsid w:val="00D61A0C"/>
    <w:rsid w:val="00D61EBD"/>
    <w:rsid w:val="00D62207"/>
    <w:rsid w:val="00D62297"/>
    <w:rsid w:val="00D62347"/>
    <w:rsid w:val="00D628A2"/>
    <w:rsid w:val="00D62BD0"/>
    <w:rsid w:val="00D632D5"/>
    <w:rsid w:val="00D633D6"/>
    <w:rsid w:val="00D638FE"/>
    <w:rsid w:val="00D6392C"/>
    <w:rsid w:val="00D63BC3"/>
    <w:rsid w:val="00D63DDD"/>
    <w:rsid w:val="00D64378"/>
    <w:rsid w:val="00D643E3"/>
    <w:rsid w:val="00D643E8"/>
    <w:rsid w:val="00D64637"/>
    <w:rsid w:val="00D64746"/>
    <w:rsid w:val="00D6491A"/>
    <w:rsid w:val="00D64A71"/>
    <w:rsid w:val="00D64CC3"/>
    <w:rsid w:val="00D64F46"/>
    <w:rsid w:val="00D6509C"/>
    <w:rsid w:val="00D658A2"/>
    <w:rsid w:val="00D658D0"/>
    <w:rsid w:val="00D65C4E"/>
    <w:rsid w:val="00D65F29"/>
    <w:rsid w:val="00D66504"/>
    <w:rsid w:val="00D6652C"/>
    <w:rsid w:val="00D66701"/>
    <w:rsid w:val="00D66A16"/>
    <w:rsid w:val="00D66A40"/>
    <w:rsid w:val="00D66A87"/>
    <w:rsid w:val="00D66C94"/>
    <w:rsid w:val="00D67012"/>
    <w:rsid w:val="00D6729B"/>
    <w:rsid w:val="00D70130"/>
    <w:rsid w:val="00D7037A"/>
    <w:rsid w:val="00D703D4"/>
    <w:rsid w:val="00D70604"/>
    <w:rsid w:val="00D70D07"/>
    <w:rsid w:val="00D712CD"/>
    <w:rsid w:val="00D713DD"/>
    <w:rsid w:val="00D714A2"/>
    <w:rsid w:val="00D71C32"/>
    <w:rsid w:val="00D71D93"/>
    <w:rsid w:val="00D720ED"/>
    <w:rsid w:val="00D7279B"/>
    <w:rsid w:val="00D72814"/>
    <w:rsid w:val="00D728B4"/>
    <w:rsid w:val="00D72A48"/>
    <w:rsid w:val="00D73076"/>
    <w:rsid w:val="00D73116"/>
    <w:rsid w:val="00D73776"/>
    <w:rsid w:val="00D73EB3"/>
    <w:rsid w:val="00D74229"/>
    <w:rsid w:val="00D746DD"/>
    <w:rsid w:val="00D7481B"/>
    <w:rsid w:val="00D74B15"/>
    <w:rsid w:val="00D74B43"/>
    <w:rsid w:val="00D75076"/>
    <w:rsid w:val="00D75120"/>
    <w:rsid w:val="00D75127"/>
    <w:rsid w:val="00D75483"/>
    <w:rsid w:val="00D754AF"/>
    <w:rsid w:val="00D75777"/>
    <w:rsid w:val="00D759C9"/>
    <w:rsid w:val="00D759F0"/>
    <w:rsid w:val="00D75A3B"/>
    <w:rsid w:val="00D76114"/>
    <w:rsid w:val="00D7637E"/>
    <w:rsid w:val="00D765C1"/>
    <w:rsid w:val="00D76664"/>
    <w:rsid w:val="00D76781"/>
    <w:rsid w:val="00D76A47"/>
    <w:rsid w:val="00D76B03"/>
    <w:rsid w:val="00D76C05"/>
    <w:rsid w:val="00D76C34"/>
    <w:rsid w:val="00D76D35"/>
    <w:rsid w:val="00D76E7F"/>
    <w:rsid w:val="00D76F11"/>
    <w:rsid w:val="00D771FC"/>
    <w:rsid w:val="00D772C0"/>
    <w:rsid w:val="00D77ABE"/>
    <w:rsid w:val="00D77E74"/>
    <w:rsid w:val="00D77EA3"/>
    <w:rsid w:val="00D8071B"/>
    <w:rsid w:val="00D810FF"/>
    <w:rsid w:val="00D8147C"/>
    <w:rsid w:val="00D8179D"/>
    <w:rsid w:val="00D81E25"/>
    <w:rsid w:val="00D81F7F"/>
    <w:rsid w:val="00D81FA7"/>
    <w:rsid w:val="00D822C3"/>
    <w:rsid w:val="00D8284C"/>
    <w:rsid w:val="00D82891"/>
    <w:rsid w:val="00D82E25"/>
    <w:rsid w:val="00D82EA2"/>
    <w:rsid w:val="00D831B8"/>
    <w:rsid w:val="00D8323E"/>
    <w:rsid w:val="00D83574"/>
    <w:rsid w:val="00D835C6"/>
    <w:rsid w:val="00D83C0A"/>
    <w:rsid w:val="00D83C99"/>
    <w:rsid w:val="00D83CC7"/>
    <w:rsid w:val="00D83E07"/>
    <w:rsid w:val="00D8426E"/>
    <w:rsid w:val="00D84BCC"/>
    <w:rsid w:val="00D84DC6"/>
    <w:rsid w:val="00D84EAC"/>
    <w:rsid w:val="00D85082"/>
    <w:rsid w:val="00D85370"/>
    <w:rsid w:val="00D855F0"/>
    <w:rsid w:val="00D856D0"/>
    <w:rsid w:val="00D857D9"/>
    <w:rsid w:val="00D85B2F"/>
    <w:rsid w:val="00D85F09"/>
    <w:rsid w:val="00D86030"/>
    <w:rsid w:val="00D861FE"/>
    <w:rsid w:val="00D8647C"/>
    <w:rsid w:val="00D86523"/>
    <w:rsid w:val="00D865AB"/>
    <w:rsid w:val="00D865C3"/>
    <w:rsid w:val="00D8689F"/>
    <w:rsid w:val="00D868D1"/>
    <w:rsid w:val="00D86E78"/>
    <w:rsid w:val="00D87153"/>
    <w:rsid w:val="00D87439"/>
    <w:rsid w:val="00D874A6"/>
    <w:rsid w:val="00D87738"/>
    <w:rsid w:val="00D87CDC"/>
    <w:rsid w:val="00D87F5E"/>
    <w:rsid w:val="00D90642"/>
    <w:rsid w:val="00D907A0"/>
    <w:rsid w:val="00D9091B"/>
    <w:rsid w:val="00D909C9"/>
    <w:rsid w:val="00D90A74"/>
    <w:rsid w:val="00D90FCC"/>
    <w:rsid w:val="00D910DB"/>
    <w:rsid w:val="00D9131A"/>
    <w:rsid w:val="00D913B5"/>
    <w:rsid w:val="00D91836"/>
    <w:rsid w:val="00D9187A"/>
    <w:rsid w:val="00D918A4"/>
    <w:rsid w:val="00D91B7D"/>
    <w:rsid w:val="00D91C01"/>
    <w:rsid w:val="00D91F98"/>
    <w:rsid w:val="00D92051"/>
    <w:rsid w:val="00D92118"/>
    <w:rsid w:val="00D92175"/>
    <w:rsid w:val="00D92959"/>
    <w:rsid w:val="00D92B58"/>
    <w:rsid w:val="00D92CE1"/>
    <w:rsid w:val="00D92D92"/>
    <w:rsid w:val="00D92FA7"/>
    <w:rsid w:val="00D93000"/>
    <w:rsid w:val="00D939AB"/>
    <w:rsid w:val="00D93B7C"/>
    <w:rsid w:val="00D93CD3"/>
    <w:rsid w:val="00D93E60"/>
    <w:rsid w:val="00D940AC"/>
    <w:rsid w:val="00D943F2"/>
    <w:rsid w:val="00D944CD"/>
    <w:rsid w:val="00D9457B"/>
    <w:rsid w:val="00D94FC0"/>
    <w:rsid w:val="00D94FE6"/>
    <w:rsid w:val="00D95279"/>
    <w:rsid w:val="00D9535A"/>
    <w:rsid w:val="00D95389"/>
    <w:rsid w:val="00D95B02"/>
    <w:rsid w:val="00D95EAE"/>
    <w:rsid w:val="00D9631D"/>
    <w:rsid w:val="00D96798"/>
    <w:rsid w:val="00D96A1E"/>
    <w:rsid w:val="00D96CF4"/>
    <w:rsid w:val="00D96D83"/>
    <w:rsid w:val="00D9702D"/>
    <w:rsid w:val="00D970D6"/>
    <w:rsid w:val="00D9720B"/>
    <w:rsid w:val="00D9768C"/>
    <w:rsid w:val="00D97696"/>
    <w:rsid w:val="00D9797F"/>
    <w:rsid w:val="00D97BBC"/>
    <w:rsid w:val="00D97EC2"/>
    <w:rsid w:val="00DA013A"/>
    <w:rsid w:val="00DA075D"/>
    <w:rsid w:val="00DA0E66"/>
    <w:rsid w:val="00DA0EEF"/>
    <w:rsid w:val="00DA104B"/>
    <w:rsid w:val="00DA12E2"/>
    <w:rsid w:val="00DA15F5"/>
    <w:rsid w:val="00DA19AC"/>
    <w:rsid w:val="00DA1AF1"/>
    <w:rsid w:val="00DA1B6D"/>
    <w:rsid w:val="00DA1EC9"/>
    <w:rsid w:val="00DA23DD"/>
    <w:rsid w:val="00DA24D7"/>
    <w:rsid w:val="00DA2712"/>
    <w:rsid w:val="00DA2883"/>
    <w:rsid w:val="00DA2BD3"/>
    <w:rsid w:val="00DA2CAE"/>
    <w:rsid w:val="00DA3028"/>
    <w:rsid w:val="00DA3C3B"/>
    <w:rsid w:val="00DA3E3E"/>
    <w:rsid w:val="00DA3E52"/>
    <w:rsid w:val="00DA4007"/>
    <w:rsid w:val="00DA41F6"/>
    <w:rsid w:val="00DA4883"/>
    <w:rsid w:val="00DA4A8E"/>
    <w:rsid w:val="00DA4C18"/>
    <w:rsid w:val="00DA4DA8"/>
    <w:rsid w:val="00DA4E4C"/>
    <w:rsid w:val="00DA4E4F"/>
    <w:rsid w:val="00DA4F46"/>
    <w:rsid w:val="00DA5160"/>
    <w:rsid w:val="00DA5328"/>
    <w:rsid w:val="00DA5877"/>
    <w:rsid w:val="00DA5971"/>
    <w:rsid w:val="00DA5BD5"/>
    <w:rsid w:val="00DA5C67"/>
    <w:rsid w:val="00DA5F55"/>
    <w:rsid w:val="00DA60E7"/>
    <w:rsid w:val="00DA6203"/>
    <w:rsid w:val="00DA63FD"/>
    <w:rsid w:val="00DA6482"/>
    <w:rsid w:val="00DA6D2E"/>
    <w:rsid w:val="00DA7323"/>
    <w:rsid w:val="00DA775A"/>
    <w:rsid w:val="00DA7D8B"/>
    <w:rsid w:val="00DAE184"/>
    <w:rsid w:val="00DB046B"/>
    <w:rsid w:val="00DB046F"/>
    <w:rsid w:val="00DB0D84"/>
    <w:rsid w:val="00DB0E0D"/>
    <w:rsid w:val="00DB1830"/>
    <w:rsid w:val="00DB1BDF"/>
    <w:rsid w:val="00DB1C5D"/>
    <w:rsid w:val="00DB1C65"/>
    <w:rsid w:val="00DB2116"/>
    <w:rsid w:val="00DB247A"/>
    <w:rsid w:val="00DB250C"/>
    <w:rsid w:val="00DB2A21"/>
    <w:rsid w:val="00DB2E8B"/>
    <w:rsid w:val="00DB316D"/>
    <w:rsid w:val="00DB35F9"/>
    <w:rsid w:val="00DB3840"/>
    <w:rsid w:val="00DB3867"/>
    <w:rsid w:val="00DB3931"/>
    <w:rsid w:val="00DB3AAD"/>
    <w:rsid w:val="00DB3B7E"/>
    <w:rsid w:val="00DB3EAB"/>
    <w:rsid w:val="00DB410A"/>
    <w:rsid w:val="00DB4165"/>
    <w:rsid w:val="00DB41C4"/>
    <w:rsid w:val="00DB439F"/>
    <w:rsid w:val="00DB482F"/>
    <w:rsid w:val="00DB4AE4"/>
    <w:rsid w:val="00DB4BC1"/>
    <w:rsid w:val="00DB521D"/>
    <w:rsid w:val="00DB5253"/>
    <w:rsid w:val="00DB5B6F"/>
    <w:rsid w:val="00DB5F27"/>
    <w:rsid w:val="00DB6705"/>
    <w:rsid w:val="00DB69AC"/>
    <w:rsid w:val="00DB6B75"/>
    <w:rsid w:val="00DB70C5"/>
    <w:rsid w:val="00DB7325"/>
    <w:rsid w:val="00DB7398"/>
    <w:rsid w:val="00DB743E"/>
    <w:rsid w:val="00DB7AF7"/>
    <w:rsid w:val="00DB7D82"/>
    <w:rsid w:val="00DB7F1E"/>
    <w:rsid w:val="00DC004D"/>
    <w:rsid w:val="00DC040F"/>
    <w:rsid w:val="00DC05FA"/>
    <w:rsid w:val="00DC0F92"/>
    <w:rsid w:val="00DC0FDC"/>
    <w:rsid w:val="00DC0FEB"/>
    <w:rsid w:val="00DC1340"/>
    <w:rsid w:val="00DC169B"/>
    <w:rsid w:val="00DC18D2"/>
    <w:rsid w:val="00DC1944"/>
    <w:rsid w:val="00DC1CFA"/>
    <w:rsid w:val="00DC1F12"/>
    <w:rsid w:val="00DC2032"/>
    <w:rsid w:val="00DC21D2"/>
    <w:rsid w:val="00DC24AA"/>
    <w:rsid w:val="00DC251E"/>
    <w:rsid w:val="00DC26DB"/>
    <w:rsid w:val="00DC2711"/>
    <w:rsid w:val="00DC2A2B"/>
    <w:rsid w:val="00DC31C2"/>
    <w:rsid w:val="00DC3449"/>
    <w:rsid w:val="00DC38E6"/>
    <w:rsid w:val="00DC3FA1"/>
    <w:rsid w:val="00DC40F0"/>
    <w:rsid w:val="00DC4200"/>
    <w:rsid w:val="00DC4618"/>
    <w:rsid w:val="00DC465C"/>
    <w:rsid w:val="00DC4675"/>
    <w:rsid w:val="00DC4C3A"/>
    <w:rsid w:val="00DC4E49"/>
    <w:rsid w:val="00DC4F43"/>
    <w:rsid w:val="00DC4F99"/>
    <w:rsid w:val="00DC50F6"/>
    <w:rsid w:val="00DC518E"/>
    <w:rsid w:val="00DC570A"/>
    <w:rsid w:val="00DC5C90"/>
    <w:rsid w:val="00DC5D50"/>
    <w:rsid w:val="00DC5E17"/>
    <w:rsid w:val="00DC609D"/>
    <w:rsid w:val="00DC60D8"/>
    <w:rsid w:val="00DC611A"/>
    <w:rsid w:val="00DC6251"/>
    <w:rsid w:val="00DC63AD"/>
    <w:rsid w:val="00DC6778"/>
    <w:rsid w:val="00DC68D6"/>
    <w:rsid w:val="00DC69D9"/>
    <w:rsid w:val="00DC6A9C"/>
    <w:rsid w:val="00DC6B9C"/>
    <w:rsid w:val="00DC6E07"/>
    <w:rsid w:val="00DC70A3"/>
    <w:rsid w:val="00DC73CA"/>
    <w:rsid w:val="00DC7453"/>
    <w:rsid w:val="00DC7683"/>
    <w:rsid w:val="00DC79EF"/>
    <w:rsid w:val="00DC7A8D"/>
    <w:rsid w:val="00DC7ABD"/>
    <w:rsid w:val="00DC7D7C"/>
    <w:rsid w:val="00DD0069"/>
    <w:rsid w:val="00DD061E"/>
    <w:rsid w:val="00DD085B"/>
    <w:rsid w:val="00DD0DC2"/>
    <w:rsid w:val="00DD0EC1"/>
    <w:rsid w:val="00DD1508"/>
    <w:rsid w:val="00DD190B"/>
    <w:rsid w:val="00DD1A33"/>
    <w:rsid w:val="00DD2173"/>
    <w:rsid w:val="00DD23B0"/>
    <w:rsid w:val="00DD2550"/>
    <w:rsid w:val="00DD257C"/>
    <w:rsid w:val="00DD3139"/>
    <w:rsid w:val="00DD316B"/>
    <w:rsid w:val="00DD32AB"/>
    <w:rsid w:val="00DD32CF"/>
    <w:rsid w:val="00DD32D9"/>
    <w:rsid w:val="00DD33F5"/>
    <w:rsid w:val="00DD371E"/>
    <w:rsid w:val="00DD38D6"/>
    <w:rsid w:val="00DD3C90"/>
    <w:rsid w:val="00DD3C98"/>
    <w:rsid w:val="00DD3FFB"/>
    <w:rsid w:val="00DD41C8"/>
    <w:rsid w:val="00DD46C6"/>
    <w:rsid w:val="00DD47FB"/>
    <w:rsid w:val="00DD4A34"/>
    <w:rsid w:val="00DD4B89"/>
    <w:rsid w:val="00DD5077"/>
    <w:rsid w:val="00DD512F"/>
    <w:rsid w:val="00DD5636"/>
    <w:rsid w:val="00DD6400"/>
    <w:rsid w:val="00DD655F"/>
    <w:rsid w:val="00DD6868"/>
    <w:rsid w:val="00DD6899"/>
    <w:rsid w:val="00DD6F71"/>
    <w:rsid w:val="00DD6FA9"/>
    <w:rsid w:val="00DD73C3"/>
    <w:rsid w:val="00DD7DD6"/>
    <w:rsid w:val="00DD7FA5"/>
    <w:rsid w:val="00DE0812"/>
    <w:rsid w:val="00DE0828"/>
    <w:rsid w:val="00DE0989"/>
    <w:rsid w:val="00DE0CC4"/>
    <w:rsid w:val="00DE11B0"/>
    <w:rsid w:val="00DE1210"/>
    <w:rsid w:val="00DE131C"/>
    <w:rsid w:val="00DE1A7F"/>
    <w:rsid w:val="00DE1D17"/>
    <w:rsid w:val="00DE1E05"/>
    <w:rsid w:val="00DE1E61"/>
    <w:rsid w:val="00DE2443"/>
    <w:rsid w:val="00DE251A"/>
    <w:rsid w:val="00DE2D92"/>
    <w:rsid w:val="00DE34B1"/>
    <w:rsid w:val="00DE3806"/>
    <w:rsid w:val="00DE3946"/>
    <w:rsid w:val="00DE3AD0"/>
    <w:rsid w:val="00DE3B13"/>
    <w:rsid w:val="00DE3C7F"/>
    <w:rsid w:val="00DE3E37"/>
    <w:rsid w:val="00DE4331"/>
    <w:rsid w:val="00DE44B6"/>
    <w:rsid w:val="00DE4605"/>
    <w:rsid w:val="00DE4945"/>
    <w:rsid w:val="00DE4C7D"/>
    <w:rsid w:val="00DE52AC"/>
    <w:rsid w:val="00DE540F"/>
    <w:rsid w:val="00DE5549"/>
    <w:rsid w:val="00DE5811"/>
    <w:rsid w:val="00DE592F"/>
    <w:rsid w:val="00DE6007"/>
    <w:rsid w:val="00DE6265"/>
    <w:rsid w:val="00DE6354"/>
    <w:rsid w:val="00DE6539"/>
    <w:rsid w:val="00DE6BBA"/>
    <w:rsid w:val="00DE6CDD"/>
    <w:rsid w:val="00DE72AE"/>
    <w:rsid w:val="00DE7432"/>
    <w:rsid w:val="00DE750C"/>
    <w:rsid w:val="00DE75EA"/>
    <w:rsid w:val="00DE7A1B"/>
    <w:rsid w:val="00DE7F1B"/>
    <w:rsid w:val="00DE7FF0"/>
    <w:rsid w:val="00DF010C"/>
    <w:rsid w:val="00DF02A0"/>
    <w:rsid w:val="00DF034F"/>
    <w:rsid w:val="00DF0352"/>
    <w:rsid w:val="00DF0695"/>
    <w:rsid w:val="00DF06DD"/>
    <w:rsid w:val="00DF0A2D"/>
    <w:rsid w:val="00DF1091"/>
    <w:rsid w:val="00DF1629"/>
    <w:rsid w:val="00DF1B22"/>
    <w:rsid w:val="00DF1EF8"/>
    <w:rsid w:val="00DF1F6D"/>
    <w:rsid w:val="00DF21C7"/>
    <w:rsid w:val="00DF23FD"/>
    <w:rsid w:val="00DF253B"/>
    <w:rsid w:val="00DF2BAA"/>
    <w:rsid w:val="00DF2CFF"/>
    <w:rsid w:val="00DF2F0C"/>
    <w:rsid w:val="00DF364F"/>
    <w:rsid w:val="00DF380C"/>
    <w:rsid w:val="00DF3B79"/>
    <w:rsid w:val="00DF3BB8"/>
    <w:rsid w:val="00DF3D1C"/>
    <w:rsid w:val="00DF3F8D"/>
    <w:rsid w:val="00DF473B"/>
    <w:rsid w:val="00DF4E0C"/>
    <w:rsid w:val="00DF5CE5"/>
    <w:rsid w:val="00DF5E54"/>
    <w:rsid w:val="00DF62B9"/>
    <w:rsid w:val="00DF62D7"/>
    <w:rsid w:val="00DF685D"/>
    <w:rsid w:val="00DF6A25"/>
    <w:rsid w:val="00DF6AA8"/>
    <w:rsid w:val="00DF6B3C"/>
    <w:rsid w:val="00DF74DB"/>
    <w:rsid w:val="00DF7862"/>
    <w:rsid w:val="00DF7BB8"/>
    <w:rsid w:val="00DF7D9F"/>
    <w:rsid w:val="00DF7F1D"/>
    <w:rsid w:val="00E002A9"/>
    <w:rsid w:val="00E00523"/>
    <w:rsid w:val="00E006EB"/>
    <w:rsid w:val="00E007EE"/>
    <w:rsid w:val="00E00B93"/>
    <w:rsid w:val="00E00BA2"/>
    <w:rsid w:val="00E00BBD"/>
    <w:rsid w:val="00E00BFF"/>
    <w:rsid w:val="00E01016"/>
    <w:rsid w:val="00E01058"/>
    <w:rsid w:val="00E01116"/>
    <w:rsid w:val="00E0155D"/>
    <w:rsid w:val="00E015DD"/>
    <w:rsid w:val="00E01BDC"/>
    <w:rsid w:val="00E01D27"/>
    <w:rsid w:val="00E023E1"/>
    <w:rsid w:val="00E02638"/>
    <w:rsid w:val="00E02899"/>
    <w:rsid w:val="00E028A7"/>
    <w:rsid w:val="00E02B6B"/>
    <w:rsid w:val="00E02D61"/>
    <w:rsid w:val="00E03019"/>
    <w:rsid w:val="00E0329E"/>
    <w:rsid w:val="00E03423"/>
    <w:rsid w:val="00E03583"/>
    <w:rsid w:val="00E03D99"/>
    <w:rsid w:val="00E03E7E"/>
    <w:rsid w:val="00E0419A"/>
    <w:rsid w:val="00E042E7"/>
    <w:rsid w:val="00E04617"/>
    <w:rsid w:val="00E0486A"/>
    <w:rsid w:val="00E04878"/>
    <w:rsid w:val="00E04DD8"/>
    <w:rsid w:val="00E04F3F"/>
    <w:rsid w:val="00E05209"/>
    <w:rsid w:val="00E05789"/>
    <w:rsid w:val="00E0616E"/>
    <w:rsid w:val="00E0628A"/>
    <w:rsid w:val="00E0628C"/>
    <w:rsid w:val="00E066CA"/>
    <w:rsid w:val="00E068C1"/>
    <w:rsid w:val="00E0703A"/>
    <w:rsid w:val="00E070E1"/>
    <w:rsid w:val="00E072B9"/>
    <w:rsid w:val="00E079FA"/>
    <w:rsid w:val="00E1052F"/>
    <w:rsid w:val="00E10C96"/>
    <w:rsid w:val="00E1106A"/>
    <w:rsid w:val="00E11CE9"/>
    <w:rsid w:val="00E121B4"/>
    <w:rsid w:val="00E1242D"/>
    <w:rsid w:val="00E12CE6"/>
    <w:rsid w:val="00E12E6C"/>
    <w:rsid w:val="00E13089"/>
    <w:rsid w:val="00E13239"/>
    <w:rsid w:val="00E1333E"/>
    <w:rsid w:val="00E13475"/>
    <w:rsid w:val="00E134F6"/>
    <w:rsid w:val="00E136DF"/>
    <w:rsid w:val="00E13902"/>
    <w:rsid w:val="00E13CA4"/>
    <w:rsid w:val="00E13D67"/>
    <w:rsid w:val="00E1479F"/>
    <w:rsid w:val="00E148F7"/>
    <w:rsid w:val="00E15056"/>
    <w:rsid w:val="00E15339"/>
    <w:rsid w:val="00E158CA"/>
    <w:rsid w:val="00E1628F"/>
    <w:rsid w:val="00E16DCE"/>
    <w:rsid w:val="00E16FC8"/>
    <w:rsid w:val="00E17153"/>
    <w:rsid w:val="00E175F9"/>
    <w:rsid w:val="00E176D7"/>
    <w:rsid w:val="00E17A29"/>
    <w:rsid w:val="00E17DC2"/>
    <w:rsid w:val="00E17EC6"/>
    <w:rsid w:val="00E20044"/>
    <w:rsid w:val="00E20214"/>
    <w:rsid w:val="00E20D8F"/>
    <w:rsid w:val="00E20E2A"/>
    <w:rsid w:val="00E21A5F"/>
    <w:rsid w:val="00E21DFC"/>
    <w:rsid w:val="00E21F7E"/>
    <w:rsid w:val="00E2205B"/>
    <w:rsid w:val="00E2227A"/>
    <w:rsid w:val="00E2294A"/>
    <w:rsid w:val="00E2308B"/>
    <w:rsid w:val="00E2309C"/>
    <w:rsid w:val="00E2321B"/>
    <w:rsid w:val="00E23599"/>
    <w:rsid w:val="00E2375A"/>
    <w:rsid w:val="00E2395C"/>
    <w:rsid w:val="00E23A4A"/>
    <w:rsid w:val="00E23CFB"/>
    <w:rsid w:val="00E23F77"/>
    <w:rsid w:val="00E24A2D"/>
    <w:rsid w:val="00E24BB9"/>
    <w:rsid w:val="00E250DC"/>
    <w:rsid w:val="00E25563"/>
    <w:rsid w:val="00E2556E"/>
    <w:rsid w:val="00E255B8"/>
    <w:rsid w:val="00E25B27"/>
    <w:rsid w:val="00E25D87"/>
    <w:rsid w:val="00E26155"/>
    <w:rsid w:val="00E26588"/>
    <w:rsid w:val="00E26620"/>
    <w:rsid w:val="00E267AC"/>
    <w:rsid w:val="00E267C0"/>
    <w:rsid w:val="00E26874"/>
    <w:rsid w:val="00E269BF"/>
    <w:rsid w:val="00E26AD5"/>
    <w:rsid w:val="00E26C20"/>
    <w:rsid w:val="00E26EE4"/>
    <w:rsid w:val="00E27334"/>
    <w:rsid w:val="00E27563"/>
    <w:rsid w:val="00E276AA"/>
    <w:rsid w:val="00E27981"/>
    <w:rsid w:val="00E27C71"/>
    <w:rsid w:val="00E27DBE"/>
    <w:rsid w:val="00E27DE1"/>
    <w:rsid w:val="00E301A0"/>
    <w:rsid w:val="00E30378"/>
    <w:rsid w:val="00E30916"/>
    <w:rsid w:val="00E309C0"/>
    <w:rsid w:val="00E30BE0"/>
    <w:rsid w:val="00E30EBC"/>
    <w:rsid w:val="00E31164"/>
    <w:rsid w:val="00E31544"/>
    <w:rsid w:val="00E3169E"/>
    <w:rsid w:val="00E32512"/>
    <w:rsid w:val="00E32610"/>
    <w:rsid w:val="00E32831"/>
    <w:rsid w:val="00E32985"/>
    <w:rsid w:val="00E329FB"/>
    <w:rsid w:val="00E32CC4"/>
    <w:rsid w:val="00E32D06"/>
    <w:rsid w:val="00E32D0F"/>
    <w:rsid w:val="00E32DBE"/>
    <w:rsid w:val="00E32F7D"/>
    <w:rsid w:val="00E332ED"/>
    <w:rsid w:val="00E338AD"/>
    <w:rsid w:val="00E33A7C"/>
    <w:rsid w:val="00E340AA"/>
    <w:rsid w:val="00E340CE"/>
    <w:rsid w:val="00E34308"/>
    <w:rsid w:val="00E34383"/>
    <w:rsid w:val="00E345C8"/>
    <w:rsid w:val="00E34B56"/>
    <w:rsid w:val="00E35100"/>
    <w:rsid w:val="00E35102"/>
    <w:rsid w:val="00E35683"/>
    <w:rsid w:val="00E35D19"/>
    <w:rsid w:val="00E35D34"/>
    <w:rsid w:val="00E35E76"/>
    <w:rsid w:val="00E3606C"/>
    <w:rsid w:val="00E36721"/>
    <w:rsid w:val="00E367A7"/>
    <w:rsid w:val="00E3697C"/>
    <w:rsid w:val="00E36B30"/>
    <w:rsid w:val="00E36BB7"/>
    <w:rsid w:val="00E373F2"/>
    <w:rsid w:val="00E3749F"/>
    <w:rsid w:val="00E376D3"/>
    <w:rsid w:val="00E37E1E"/>
    <w:rsid w:val="00E4018C"/>
    <w:rsid w:val="00E403FC"/>
    <w:rsid w:val="00E409EC"/>
    <w:rsid w:val="00E40EDC"/>
    <w:rsid w:val="00E4104B"/>
    <w:rsid w:val="00E412CF"/>
    <w:rsid w:val="00E413FE"/>
    <w:rsid w:val="00E417C2"/>
    <w:rsid w:val="00E41A8B"/>
    <w:rsid w:val="00E41AF6"/>
    <w:rsid w:val="00E42139"/>
    <w:rsid w:val="00E426F1"/>
    <w:rsid w:val="00E42B80"/>
    <w:rsid w:val="00E42B99"/>
    <w:rsid w:val="00E42C47"/>
    <w:rsid w:val="00E431B0"/>
    <w:rsid w:val="00E43552"/>
    <w:rsid w:val="00E4355E"/>
    <w:rsid w:val="00E4377B"/>
    <w:rsid w:val="00E43A90"/>
    <w:rsid w:val="00E43EEA"/>
    <w:rsid w:val="00E4445C"/>
    <w:rsid w:val="00E4473C"/>
    <w:rsid w:val="00E449F1"/>
    <w:rsid w:val="00E44B85"/>
    <w:rsid w:val="00E44D73"/>
    <w:rsid w:val="00E44E05"/>
    <w:rsid w:val="00E455F1"/>
    <w:rsid w:val="00E45813"/>
    <w:rsid w:val="00E45B51"/>
    <w:rsid w:val="00E45E2F"/>
    <w:rsid w:val="00E4606C"/>
    <w:rsid w:val="00E46150"/>
    <w:rsid w:val="00E46164"/>
    <w:rsid w:val="00E46C48"/>
    <w:rsid w:val="00E46DEA"/>
    <w:rsid w:val="00E47111"/>
    <w:rsid w:val="00E478F5"/>
    <w:rsid w:val="00E4791D"/>
    <w:rsid w:val="00E489F7"/>
    <w:rsid w:val="00E5066C"/>
    <w:rsid w:val="00E5087D"/>
    <w:rsid w:val="00E50977"/>
    <w:rsid w:val="00E50F36"/>
    <w:rsid w:val="00E51293"/>
    <w:rsid w:val="00E512D2"/>
    <w:rsid w:val="00E51556"/>
    <w:rsid w:val="00E51855"/>
    <w:rsid w:val="00E51A58"/>
    <w:rsid w:val="00E51A99"/>
    <w:rsid w:val="00E51AC0"/>
    <w:rsid w:val="00E51B05"/>
    <w:rsid w:val="00E51D07"/>
    <w:rsid w:val="00E51FBA"/>
    <w:rsid w:val="00E522AA"/>
    <w:rsid w:val="00E52675"/>
    <w:rsid w:val="00E52701"/>
    <w:rsid w:val="00E52738"/>
    <w:rsid w:val="00E528D6"/>
    <w:rsid w:val="00E52A3C"/>
    <w:rsid w:val="00E52EDD"/>
    <w:rsid w:val="00E5314E"/>
    <w:rsid w:val="00E531DE"/>
    <w:rsid w:val="00E544E4"/>
    <w:rsid w:val="00E546EC"/>
    <w:rsid w:val="00E54F29"/>
    <w:rsid w:val="00E5509D"/>
    <w:rsid w:val="00E55442"/>
    <w:rsid w:val="00E5579B"/>
    <w:rsid w:val="00E55B13"/>
    <w:rsid w:val="00E55D52"/>
    <w:rsid w:val="00E563A8"/>
    <w:rsid w:val="00E56AE8"/>
    <w:rsid w:val="00E56B90"/>
    <w:rsid w:val="00E56F32"/>
    <w:rsid w:val="00E56FB8"/>
    <w:rsid w:val="00E5706F"/>
    <w:rsid w:val="00E570C0"/>
    <w:rsid w:val="00E57126"/>
    <w:rsid w:val="00E57709"/>
    <w:rsid w:val="00E577BE"/>
    <w:rsid w:val="00E57BC2"/>
    <w:rsid w:val="00E57BF9"/>
    <w:rsid w:val="00E57CBE"/>
    <w:rsid w:val="00E605DE"/>
    <w:rsid w:val="00E6073A"/>
    <w:rsid w:val="00E60E54"/>
    <w:rsid w:val="00E61551"/>
    <w:rsid w:val="00E617D2"/>
    <w:rsid w:val="00E61856"/>
    <w:rsid w:val="00E61B2E"/>
    <w:rsid w:val="00E6256B"/>
    <w:rsid w:val="00E62917"/>
    <w:rsid w:val="00E62A1F"/>
    <w:rsid w:val="00E62A9E"/>
    <w:rsid w:val="00E62D09"/>
    <w:rsid w:val="00E62D28"/>
    <w:rsid w:val="00E62D56"/>
    <w:rsid w:val="00E6334E"/>
    <w:rsid w:val="00E634F0"/>
    <w:rsid w:val="00E63B4B"/>
    <w:rsid w:val="00E64107"/>
    <w:rsid w:val="00E64404"/>
    <w:rsid w:val="00E64437"/>
    <w:rsid w:val="00E64597"/>
    <w:rsid w:val="00E6486E"/>
    <w:rsid w:val="00E64B6E"/>
    <w:rsid w:val="00E64E3A"/>
    <w:rsid w:val="00E65160"/>
    <w:rsid w:val="00E6553F"/>
    <w:rsid w:val="00E65868"/>
    <w:rsid w:val="00E65B50"/>
    <w:rsid w:val="00E65EC1"/>
    <w:rsid w:val="00E66216"/>
    <w:rsid w:val="00E6648B"/>
    <w:rsid w:val="00E66F2A"/>
    <w:rsid w:val="00E66F33"/>
    <w:rsid w:val="00E66FFB"/>
    <w:rsid w:val="00E670A4"/>
    <w:rsid w:val="00E67350"/>
    <w:rsid w:val="00E67701"/>
    <w:rsid w:val="00E6792A"/>
    <w:rsid w:val="00E67C25"/>
    <w:rsid w:val="00E67CA2"/>
    <w:rsid w:val="00E67CBA"/>
    <w:rsid w:val="00E67D73"/>
    <w:rsid w:val="00E7061A"/>
    <w:rsid w:val="00E70AD4"/>
    <w:rsid w:val="00E70C0C"/>
    <w:rsid w:val="00E70EC6"/>
    <w:rsid w:val="00E70F5C"/>
    <w:rsid w:val="00E71215"/>
    <w:rsid w:val="00E71285"/>
    <w:rsid w:val="00E71512"/>
    <w:rsid w:val="00E715E5"/>
    <w:rsid w:val="00E71603"/>
    <w:rsid w:val="00E719E9"/>
    <w:rsid w:val="00E71F3C"/>
    <w:rsid w:val="00E72107"/>
    <w:rsid w:val="00E727A5"/>
    <w:rsid w:val="00E7282B"/>
    <w:rsid w:val="00E729AB"/>
    <w:rsid w:val="00E72B5A"/>
    <w:rsid w:val="00E72DA9"/>
    <w:rsid w:val="00E733FF"/>
    <w:rsid w:val="00E741AA"/>
    <w:rsid w:val="00E743CD"/>
    <w:rsid w:val="00E74409"/>
    <w:rsid w:val="00E74A88"/>
    <w:rsid w:val="00E74F22"/>
    <w:rsid w:val="00E74FCB"/>
    <w:rsid w:val="00E75549"/>
    <w:rsid w:val="00E758E5"/>
    <w:rsid w:val="00E75D89"/>
    <w:rsid w:val="00E763D2"/>
    <w:rsid w:val="00E76591"/>
    <w:rsid w:val="00E765F7"/>
    <w:rsid w:val="00E7663B"/>
    <w:rsid w:val="00E767A4"/>
    <w:rsid w:val="00E76A13"/>
    <w:rsid w:val="00E76AB2"/>
    <w:rsid w:val="00E76B41"/>
    <w:rsid w:val="00E76D9C"/>
    <w:rsid w:val="00E76EA7"/>
    <w:rsid w:val="00E76EB3"/>
    <w:rsid w:val="00E7757F"/>
    <w:rsid w:val="00E77631"/>
    <w:rsid w:val="00E778FC"/>
    <w:rsid w:val="00E77A38"/>
    <w:rsid w:val="00E77FC6"/>
    <w:rsid w:val="00E80448"/>
    <w:rsid w:val="00E80451"/>
    <w:rsid w:val="00E8062E"/>
    <w:rsid w:val="00E806CD"/>
    <w:rsid w:val="00E80774"/>
    <w:rsid w:val="00E80980"/>
    <w:rsid w:val="00E80E37"/>
    <w:rsid w:val="00E80E53"/>
    <w:rsid w:val="00E8110E"/>
    <w:rsid w:val="00E8124D"/>
    <w:rsid w:val="00E814DF"/>
    <w:rsid w:val="00E8174B"/>
    <w:rsid w:val="00E81919"/>
    <w:rsid w:val="00E81D14"/>
    <w:rsid w:val="00E827BA"/>
    <w:rsid w:val="00E82B85"/>
    <w:rsid w:val="00E82EEB"/>
    <w:rsid w:val="00E832C5"/>
    <w:rsid w:val="00E8334E"/>
    <w:rsid w:val="00E83376"/>
    <w:rsid w:val="00E833AD"/>
    <w:rsid w:val="00E836E7"/>
    <w:rsid w:val="00E837BC"/>
    <w:rsid w:val="00E8392F"/>
    <w:rsid w:val="00E83A2B"/>
    <w:rsid w:val="00E83B93"/>
    <w:rsid w:val="00E84228"/>
    <w:rsid w:val="00E845BD"/>
    <w:rsid w:val="00E84634"/>
    <w:rsid w:val="00E84663"/>
    <w:rsid w:val="00E84B0A"/>
    <w:rsid w:val="00E84BC7"/>
    <w:rsid w:val="00E84E06"/>
    <w:rsid w:val="00E85084"/>
    <w:rsid w:val="00E85117"/>
    <w:rsid w:val="00E851E4"/>
    <w:rsid w:val="00E8544B"/>
    <w:rsid w:val="00E8554A"/>
    <w:rsid w:val="00E85606"/>
    <w:rsid w:val="00E85751"/>
    <w:rsid w:val="00E857D2"/>
    <w:rsid w:val="00E85A0B"/>
    <w:rsid w:val="00E85B41"/>
    <w:rsid w:val="00E85F1B"/>
    <w:rsid w:val="00E86453"/>
    <w:rsid w:val="00E865A2"/>
    <w:rsid w:val="00E86739"/>
    <w:rsid w:val="00E87774"/>
    <w:rsid w:val="00E9001A"/>
    <w:rsid w:val="00E900EF"/>
    <w:rsid w:val="00E9031A"/>
    <w:rsid w:val="00E90593"/>
    <w:rsid w:val="00E907C5"/>
    <w:rsid w:val="00E90965"/>
    <w:rsid w:val="00E90993"/>
    <w:rsid w:val="00E90D58"/>
    <w:rsid w:val="00E912D9"/>
    <w:rsid w:val="00E913DF"/>
    <w:rsid w:val="00E9165F"/>
    <w:rsid w:val="00E917E1"/>
    <w:rsid w:val="00E917FA"/>
    <w:rsid w:val="00E91C9D"/>
    <w:rsid w:val="00E91FE8"/>
    <w:rsid w:val="00E920FE"/>
    <w:rsid w:val="00E92B63"/>
    <w:rsid w:val="00E92F6F"/>
    <w:rsid w:val="00E9395D"/>
    <w:rsid w:val="00E93C56"/>
    <w:rsid w:val="00E9417D"/>
    <w:rsid w:val="00E942D3"/>
    <w:rsid w:val="00E94301"/>
    <w:rsid w:val="00E94383"/>
    <w:rsid w:val="00E944D9"/>
    <w:rsid w:val="00E9467F"/>
    <w:rsid w:val="00E946D8"/>
    <w:rsid w:val="00E9477F"/>
    <w:rsid w:val="00E948E5"/>
    <w:rsid w:val="00E94934"/>
    <w:rsid w:val="00E94C90"/>
    <w:rsid w:val="00E95253"/>
    <w:rsid w:val="00E954F3"/>
    <w:rsid w:val="00E9551A"/>
    <w:rsid w:val="00E9594B"/>
    <w:rsid w:val="00E9601B"/>
    <w:rsid w:val="00E9614C"/>
    <w:rsid w:val="00E96315"/>
    <w:rsid w:val="00E96321"/>
    <w:rsid w:val="00E973C1"/>
    <w:rsid w:val="00E974BD"/>
    <w:rsid w:val="00E9763B"/>
    <w:rsid w:val="00E9773A"/>
    <w:rsid w:val="00EA0117"/>
    <w:rsid w:val="00EA0520"/>
    <w:rsid w:val="00EA056E"/>
    <w:rsid w:val="00EA0608"/>
    <w:rsid w:val="00EA0A78"/>
    <w:rsid w:val="00EA0BA6"/>
    <w:rsid w:val="00EA146C"/>
    <w:rsid w:val="00EA178A"/>
    <w:rsid w:val="00EA2178"/>
    <w:rsid w:val="00EA23D8"/>
    <w:rsid w:val="00EA23E1"/>
    <w:rsid w:val="00EA242E"/>
    <w:rsid w:val="00EA2893"/>
    <w:rsid w:val="00EA2E55"/>
    <w:rsid w:val="00EA2F23"/>
    <w:rsid w:val="00EA3316"/>
    <w:rsid w:val="00EA3343"/>
    <w:rsid w:val="00EA386F"/>
    <w:rsid w:val="00EA39F0"/>
    <w:rsid w:val="00EA3C21"/>
    <w:rsid w:val="00EA3D02"/>
    <w:rsid w:val="00EA40CE"/>
    <w:rsid w:val="00EA459B"/>
    <w:rsid w:val="00EA45D1"/>
    <w:rsid w:val="00EA468E"/>
    <w:rsid w:val="00EA48C8"/>
    <w:rsid w:val="00EA4B27"/>
    <w:rsid w:val="00EA4D0C"/>
    <w:rsid w:val="00EA5873"/>
    <w:rsid w:val="00EA596F"/>
    <w:rsid w:val="00EA5A0D"/>
    <w:rsid w:val="00EA65B9"/>
    <w:rsid w:val="00EA6A79"/>
    <w:rsid w:val="00EA6C89"/>
    <w:rsid w:val="00EA7289"/>
    <w:rsid w:val="00EA730B"/>
    <w:rsid w:val="00EA7526"/>
    <w:rsid w:val="00EA7541"/>
    <w:rsid w:val="00EA7A65"/>
    <w:rsid w:val="00EA7A69"/>
    <w:rsid w:val="00EB00AE"/>
    <w:rsid w:val="00EB064C"/>
    <w:rsid w:val="00EB08A7"/>
    <w:rsid w:val="00EB0C99"/>
    <w:rsid w:val="00EB0CF4"/>
    <w:rsid w:val="00EB0F5A"/>
    <w:rsid w:val="00EB1576"/>
    <w:rsid w:val="00EB15B2"/>
    <w:rsid w:val="00EB1B5C"/>
    <w:rsid w:val="00EB1F71"/>
    <w:rsid w:val="00EB1F99"/>
    <w:rsid w:val="00EB1FC6"/>
    <w:rsid w:val="00EB21ED"/>
    <w:rsid w:val="00EB2A5B"/>
    <w:rsid w:val="00EB2ACF"/>
    <w:rsid w:val="00EB2DC7"/>
    <w:rsid w:val="00EB322D"/>
    <w:rsid w:val="00EB34A7"/>
    <w:rsid w:val="00EB3585"/>
    <w:rsid w:val="00EB3725"/>
    <w:rsid w:val="00EB3A99"/>
    <w:rsid w:val="00EB403C"/>
    <w:rsid w:val="00EB4161"/>
    <w:rsid w:val="00EB4524"/>
    <w:rsid w:val="00EB45BB"/>
    <w:rsid w:val="00EB46A1"/>
    <w:rsid w:val="00EB481C"/>
    <w:rsid w:val="00EB489A"/>
    <w:rsid w:val="00EB4A2D"/>
    <w:rsid w:val="00EB4E43"/>
    <w:rsid w:val="00EB5DAF"/>
    <w:rsid w:val="00EB5F22"/>
    <w:rsid w:val="00EB5F8D"/>
    <w:rsid w:val="00EB5FF6"/>
    <w:rsid w:val="00EB62A2"/>
    <w:rsid w:val="00EB68AC"/>
    <w:rsid w:val="00EB6D73"/>
    <w:rsid w:val="00EB6DB5"/>
    <w:rsid w:val="00EB6DC4"/>
    <w:rsid w:val="00EB70B6"/>
    <w:rsid w:val="00EB73C9"/>
    <w:rsid w:val="00EB7BC2"/>
    <w:rsid w:val="00EB7FDA"/>
    <w:rsid w:val="00EC0287"/>
    <w:rsid w:val="00EC0296"/>
    <w:rsid w:val="00EC09B9"/>
    <w:rsid w:val="00EC0D56"/>
    <w:rsid w:val="00EC0E73"/>
    <w:rsid w:val="00EC0ED5"/>
    <w:rsid w:val="00EC102C"/>
    <w:rsid w:val="00EC11B9"/>
    <w:rsid w:val="00EC12C3"/>
    <w:rsid w:val="00EC141E"/>
    <w:rsid w:val="00EC1470"/>
    <w:rsid w:val="00EC14A3"/>
    <w:rsid w:val="00EC151E"/>
    <w:rsid w:val="00EC16DE"/>
    <w:rsid w:val="00EC181A"/>
    <w:rsid w:val="00EC1893"/>
    <w:rsid w:val="00EC1E36"/>
    <w:rsid w:val="00EC2D19"/>
    <w:rsid w:val="00EC2DF3"/>
    <w:rsid w:val="00EC314F"/>
    <w:rsid w:val="00EC3621"/>
    <w:rsid w:val="00EC3724"/>
    <w:rsid w:val="00EC378A"/>
    <w:rsid w:val="00EC39D4"/>
    <w:rsid w:val="00EC3AC7"/>
    <w:rsid w:val="00EC3CC1"/>
    <w:rsid w:val="00EC3E5D"/>
    <w:rsid w:val="00EC4098"/>
    <w:rsid w:val="00EC4352"/>
    <w:rsid w:val="00EC446C"/>
    <w:rsid w:val="00EC4643"/>
    <w:rsid w:val="00EC4948"/>
    <w:rsid w:val="00EC4DD2"/>
    <w:rsid w:val="00EC4E7F"/>
    <w:rsid w:val="00EC51F5"/>
    <w:rsid w:val="00EC537B"/>
    <w:rsid w:val="00EC5444"/>
    <w:rsid w:val="00EC5519"/>
    <w:rsid w:val="00EC5AF4"/>
    <w:rsid w:val="00EC5E7A"/>
    <w:rsid w:val="00EC622B"/>
    <w:rsid w:val="00EC6340"/>
    <w:rsid w:val="00EC692B"/>
    <w:rsid w:val="00EC6A14"/>
    <w:rsid w:val="00EC6F9C"/>
    <w:rsid w:val="00EC701E"/>
    <w:rsid w:val="00ED00D6"/>
    <w:rsid w:val="00ED031F"/>
    <w:rsid w:val="00ED03AF"/>
    <w:rsid w:val="00ED04C7"/>
    <w:rsid w:val="00ED062F"/>
    <w:rsid w:val="00ED07EC"/>
    <w:rsid w:val="00ED08FA"/>
    <w:rsid w:val="00ED121A"/>
    <w:rsid w:val="00ED12B4"/>
    <w:rsid w:val="00ED168C"/>
    <w:rsid w:val="00ED1943"/>
    <w:rsid w:val="00ED1FBD"/>
    <w:rsid w:val="00ED2051"/>
    <w:rsid w:val="00ED228E"/>
    <w:rsid w:val="00ED22A4"/>
    <w:rsid w:val="00ED248B"/>
    <w:rsid w:val="00ED251D"/>
    <w:rsid w:val="00ED2C5D"/>
    <w:rsid w:val="00ED2D80"/>
    <w:rsid w:val="00ED2F11"/>
    <w:rsid w:val="00ED311F"/>
    <w:rsid w:val="00ED317A"/>
    <w:rsid w:val="00ED33A9"/>
    <w:rsid w:val="00ED36B6"/>
    <w:rsid w:val="00ED3AB4"/>
    <w:rsid w:val="00ED414F"/>
    <w:rsid w:val="00ED4338"/>
    <w:rsid w:val="00ED461C"/>
    <w:rsid w:val="00ED48AF"/>
    <w:rsid w:val="00ED48E0"/>
    <w:rsid w:val="00ED4902"/>
    <w:rsid w:val="00ED4B4E"/>
    <w:rsid w:val="00ED4D83"/>
    <w:rsid w:val="00ED538C"/>
    <w:rsid w:val="00ED5DD5"/>
    <w:rsid w:val="00ED6100"/>
    <w:rsid w:val="00ED64A2"/>
    <w:rsid w:val="00ED6C0C"/>
    <w:rsid w:val="00ED6F54"/>
    <w:rsid w:val="00ED7240"/>
    <w:rsid w:val="00ED79A0"/>
    <w:rsid w:val="00ED7DF9"/>
    <w:rsid w:val="00EE0041"/>
    <w:rsid w:val="00EE01F1"/>
    <w:rsid w:val="00EE03B1"/>
    <w:rsid w:val="00EE094D"/>
    <w:rsid w:val="00EE0BAC"/>
    <w:rsid w:val="00EE0CA2"/>
    <w:rsid w:val="00EE0DC0"/>
    <w:rsid w:val="00EE0E63"/>
    <w:rsid w:val="00EE0F24"/>
    <w:rsid w:val="00EE1653"/>
    <w:rsid w:val="00EE1C3B"/>
    <w:rsid w:val="00EE1D53"/>
    <w:rsid w:val="00EE2140"/>
    <w:rsid w:val="00EE2553"/>
    <w:rsid w:val="00EE258D"/>
    <w:rsid w:val="00EE25E7"/>
    <w:rsid w:val="00EE2781"/>
    <w:rsid w:val="00EE2AD1"/>
    <w:rsid w:val="00EE2B65"/>
    <w:rsid w:val="00EE2C9A"/>
    <w:rsid w:val="00EE2E57"/>
    <w:rsid w:val="00EE3133"/>
    <w:rsid w:val="00EE316C"/>
    <w:rsid w:val="00EE3499"/>
    <w:rsid w:val="00EE36E6"/>
    <w:rsid w:val="00EE37C8"/>
    <w:rsid w:val="00EE3CCA"/>
    <w:rsid w:val="00EE3E37"/>
    <w:rsid w:val="00EE44ED"/>
    <w:rsid w:val="00EE4554"/>
    <w:rsid w:val="00EE4E27"/>
    <w:rsid w:val="00EE4EE7"/>
    <w:rsid w:val="00EE565E"/>
    <w:rsid w:val="00EE5982"/>
    <w:rsid w:val="00EE5B11"/>
    <w:rsid w:val="00EE5BB1"/>
    <w:rsid w:val="00EE5E52"/>
    <w:rsid w:val="00EE5E7B"/>
    <w:rsid w:val="00EE68FD"/>
    <w:rsid w:val="00EE715C"/>
    <w:rsid w:val="00EE71B1"/>
    <w:rsid w:val="00EE765F"/>
    <w:rsid w:val="00EE7795"/>
    <w:rsid w:val="00EE7834"/>
    <w:rsid w:val="00EE7C58"/>
    <w:rsid w:val="00EE7CF9"/>
    <w:rsid w:val="00EE7D2F"/>
    <w:rsid w:val="00EE7D3A"/>
    <w:rsid w:val="00EF0184"/>
    <w:rsid w:val="00EF0320"/>
    <w:rsid w:val="00EF03D4"/>
    <w:rsid w:val="00EF03DA"/>
    <w:rsid w:val="00EF0A1A"/>
    <w:rsid w:val="00EF0C7B"/>
    <w:rsid w:val="00EF0D77"/>
    <w:rsid w:val="00EF14AB"/>
    <w:rsid w:val="00EF15B9"/>
    <w:rsid w:val="00EF15D0"/>
    <w:rsid w:val="00EF16C0"/>
    <w:rsid w:val="00EF1819"/>
    <w:rsid w:val="00EF1844"/>
    <w:rsid w:val="00EF1974"/>
    <w:rsid w:val="00EF1C56"/>
    <w:rsid w:val="00EF1CAB"/>
    <w:rsid w:val="00EF209A"/>
    <w:rsid w:val="00EF238B"/>
    <w:rsid w:val="00EF242D"/>
    <w:rsid w:val="00EF25D5"/>
    <w:rsid w:val="00EF2FBE"/>
    <w:rsid w:val="00EF3555"/>
    <w:rsid w:val="00EF3556"/>
    <w:rsid w:val="00EF3B43"/>
    <w:rsid w:val="00EF3E63"/>
    <w:rsid w:val="00EF3F42"/>
    <w:rsid w:val="00EF450C"/>
    <w:rsid w:val="00EF45E6"/>
    <w:rsid w:val="00EF4768"/>
    <w:rsid w:val="00EF47D2"/>
    <w:rsid w:val="00EF4801"/>
    <w:rsid w:val="00EF4990"/>
    <w:rsid w:val="00EF4A8C"/>
    <w:rsid w:val="00EF4BF5"/>
    <w:rsid w:val="00EF5021"/>
    <w:rsid w:val="00EF538D"/>
    <w:rsid w:val="00EF55C0"/>
    <w:rsid w:val="00EF5665"/>
    <w:rsid w:val="00EF5869"/>
    <w:rsid w:val="00EF5E5B"/>
    <w:rsid w:val="00EF60E3"/>
    <w:rsid w:val="00EF6118"/>
    <w:rsid w:val="00EF63A8"/>
    <w:rsid w:val="00EF66B8"/>
    <w:rsid w:val="00EF68B3"/>
    <w:rsid w:val="00EF6AB7"/>
    <w:rsid w:val="00EF6D06"/>
    <w:rsid w:val="00EF74EA"/>
    <w:rsid w:val="00EF75A3"/>
    <w:rsid w:val="00EF77FC"/>
    <w:rsid w:val="00EF783D"/>
    <w:rsid w:val="00EF7ECC"/>
    <w:rsid w:val="00EF7EF9"/>
    <w:rsid w:val="00F00403"/>
    <w:rsid w:val="00F00838"/>
    <w:rsid w:val="00F00ADE"/>
    <w:rsid w:val="00F01047"/>
    <w:rsid w:val="00F0119A"/>
    <w:rsid w:val="00F02204"/>
    <w:rsid w:val="00F0256E"/>
    <w:rsid w:val="00F02BE0"/>
    <w:rsid w:val="00F02CCA"/>
    <w:rsid w:val="00F02D27"/>
    <w:rsid w:val="00F02F33"/>
    <w:rsid w:val="00F02FF4"/>
    <w:rsid w:val="00F0353D"/>
    <w:rsid w:val="00F0388F"/>
    <w:rsid w:val="00F03E60"/>
    <w:rsid w:val="00F03F06"/>
    <w:rsid w:val="00F040B7"/>
    <w:rsid w:val="00F0418B"/>
    <w:rsid w:val="00F044B0"/>
    <w:rsid w:val="00F048DF"/>
    <w:rsid w:val="00F04A0E"/>
    <w:rsid w:val="00F04A62"/>
    <w:rsid w:val="00F04C2F"/>
    <w:rsid w:val="00F0512C"/>
    <w:rsid w:val="00F051DE"/>
    <w:rsid w:val="00F056EF"/>
    <w:rsid w:val="00F0591D"/>
    <w:rsid w:val="00F05ACE"/>
    <w:rsid w:val="00F05CAD"/>
    <w:rsid w:val="00F05D26"/>
    <w:rsid w:val="00F06010"/>
    <w:rsid w:val="00F06335"/>
    <w:rsid w:val="00F064FF"/>
    <w:rsid w:val="00F06949"/>
    <w:rsid w:val="00F06BC4"/>
    <w:rsid w:val="00F06C3E"/>
    <w:rsid w:val="00F07233"/>
    <w:rsid w:val="00F074CD"/>
    <w:rsid w:val="00F07728"/>
    <w:rsid w:val="00F07EE5"/>
    <w:rsid w:val="00F07F0F"/>
    <w:rsid w:val="00F10006"/>
    <w:rsid w:val="00F10A19"/>
    <w:rsid w:val="00F10B6F"/>
    <w:rsid w:val="00F10EB9"/>
    <w:rsid w:val="00F10F43"/>
    <w:rsid w:val="00F114D1"/>
    <w:rsid w:val="00F1186C"/>
    <w:rsid w:val="00F11C5D"/>
    <w:rsid w:val="00F11D47"/>
    <w:rsid w:val="00F11DE4"/>
    <w:rsid w:val="00F12003"/>
    <w:rsid w:val="00F123C5"/>
    <w:rsid w:val="00F124B6"/>
    <w:rsid w:val="00F125A2"/>
    <w:rsid w:val="00F126C8"/>
    <w:rsid w:val="00F1299B"/>
    <w:rsid w:val="00F12BE3"/>
    <w:rsid w:val="00F1310C"/>
    <w:rsid w:val="00F13376"/>
    <w:rsid w:val="00F137CE"/>
    <w:rsid w:val="00F13DE0"/>
    <w:rsid w:val="00F13FB8"/>
    <w:rsid w:val="00F14210"/>
    <w:rsid w:val="00F14541"/>
    <w:rsid w:val="00F145BC"/>
    <w:rsid w:val="00F1496F"/>
    <w:rsid w:val="00F14B00"/>
    <w:rsid w:val="00F14C04"/>
    <w:rsid w:val="00F14E3E"/>
    <w:rsid w:val="00F14E56"/>
    <w:rsid w:val="00F14ECD"/>
    <w:rsid w:val="00F154E4"/>
    <w:rsid w:val="00F158E1"/>
    <w:rsid w:val="00F15AFF"/>
    <w:rsid w:val="00F15D27"/>
    <w:rsid w:val="00F162CF"/>
    <w:rsid w:val="00F1632C"/>
    <w:rsid w:val="00F1642B"/>
    <w:rsid w:val="00F16485"/>
    <w:rsid w:val="00F16E88"/>
    <w:rsid w:val="00F16F24"/>
    <w:rsid w:val="00F1707D"/>
    <w:rsid w:val="00F17227"/>
    <w:rsid w:val="00F17622"/>
    <w:rsid w:val="00F176A6"/>
    <w:rsid w:val="00F17CB1"/>
    <w:rsid w:val="00F17CD1"/>
    <w:rsid w:val="00F20413"/>
    <w:rsid w:val="00F20500"/>
    <w:rsid w:val="00F20787"/>
    <w:rsid w:val="00F20A94"/>
    <w:rsid w:val="00F20F8C"/>
    <w:rsid w:val="00F21152"/>
    <w:rsid w:val="00F2153F"/>
    <w:rsid w:val="00F216C6"/>
    <w:rsid w:val="00F21E43"/>
    <w:rsid w:val="00F2251A"/>
    <w:rsid w:val="00F2288B"/>
    <w:rsid w:val="00F229EE"/>
    <w:rsid w:val="00F22F4E"/>
    <w:rsid w:val="00F23088"/>
    <w:rsid w:val="00F230F2"/>
    <w:rsid w:val="00F2332D"/>
    <w:rsid w:val="00F23496"/>
    <w:rsid w:val="00F235AA"/>
    <w:rsid w:val="00F23917"/>
    <w:rsid w:val="00F23B59"/>
    <w:rsid w:val="00F24115"/>
    <w:rsid w:val="00F244FA"/>
    <w:rsid w:val="00F2483B"/>
    <w:rsid w:val="00F2490C"/>
    <w:rsid w:val="00F249BF"/>
    <w:rsid w:val="00F25094"/>
    <w:rsid w:val="00F2514E"/>
    <w:rsid w:val="00F251AA"/>
    <w:rsid w:val="00F2520E"/>
    <w:rsid w:val="00F25595"/>
    <w:rsid w:val="00F255DD"/>
    <w:rsid w:val="00F2586E"/>
    <w:rsid w:val="00F258A5"/>
    <w:rsid w:val="00F259BE"/>
    <w:rsid w:val="00F25A8E"/>
    <w:rsid w:val="00F25DFA"/>
    <w:rsid w:val="00F263BB"/>
    <w:rsid w:val="00F26634"/>
    <w:rsid w:val="00F26680"/>
    <w:rsid w:val="00F26685"/>
    <w:rsid w:val="00F266C1"/>
    <w:rsid w:val="00F267B6"/>
    <w:rsid w:val="00F269B4"/>
    <w:rsid w:val="00F26AD5"/>
    <w:rsid w:val="00F26F49"/>
    <w:rsid w:val="00F27436"/>
    <w:rsid w:val="00F2764A"/>
    <w:rsid w:val="00F276EC"/>
    <w:rsid w:val="00F279AA"/>
    <w:rsid w:val="00F27FAE"/>
    <w:rsid w:val="00F3004F"/>
    <w:rsid w:val="00F300F3"/>
    <w:rsid w:val="00F302FD"/>
    <w:rsid w:val="00F30576"/>
    <w:rsid w:val="00F30730"/>
    <w:rsid w:val="00F3075F"/>
    <w:rsid w:val="00F308EB"/>
    <w:rsid w:val="00F30917"/>
    <w:rsid w:val="00F30E13"/>
    <w:rsid w:val="00F30E86"/>
    <w:rsid w:val="00F30E95"/>
    <w:rsid w:val="00F3179F"/>
    <w:rsid w:val="00F319A2"/>
    <w:rsid w:val="00F32573"/>
    <w:rsid w:val="00F32D7A"/>
    <w:rsid w:val="00F32F33"/>
    <w:rsid w:val="00F330F9"/>
    <w:rsid w:val="00F333F7"/>
    <w:rsid w:val="00F33747"/>
    <w:rsid w:val="00F33822"/>
    <w:rsid w:val="00F344B6"/>
    <w:rsid w:val="00F345CA"/>
    <w:rsid w:val="00F34AB0"/>
    <w:rsid w:val="00F351CD"/>
    <w:rsid w:val="00F3551C"/>
    <w:rsid w:val="00F35ACD"/>
    <w:rsid w:val="00F35C26"/>
    <w:rsid w:val="00F35C75"/>
    <w:rsid w:val="00F361EA"/>
    <w:rsid w:val="00F3645B"/>
    <w:rsid w:val="00F3648E"/>
    <w:rsid w:val="00F3670C"/>
    <w:rsid w:val="00F3723D"/>
    <w:rsid w:val="00F373BB"/>
    <w:rsid w:val="00F37D05"/>
    <w:rsid w:val="00F37E47"/>
    <w:rsid w:val="00F40074"/>
    <w:rsid w:val="00F400BB"/>
    <w:rsid w:val="00F401D5"/>
    <w:rsid w:val="00F402AC"/>
    <w:rsid w:val="00F40497"/>
    <w:rsid w:val="00F40558"/>
    <w:rsid w:val="00F405D3"/>
    <w:rsid w:val="00F40951"/>
    <w:rsid w:val="00F40DA7"/>
    <w:rsid w:val="00F40EF0"/>
    <w:rsid w:val="00F412D9"/>
    <w:rsid w:val="00F41315"/>
    <w:rsid w:val="00F415CF"/>
    <w:rsid w:val="00F4170D"/>
    <w:rsid w:val="00F419CF"/>
    <w:rsid w:val="00F41B4C"/>
    <w:rsid w:val="00F41E9D"/>
    <w:rsid w:val="00F42819"/>
    <w:rsid w:val="00F42A78"/>
    <w:rsid w:val="00F42B09"/>
    <w:rsid w:val="00F42C15"/>
    <w:rsid w:val="00F431E7"/>
    <w:rsid w:val="00F4324B"/>
    <w:rsid w:val="00F43349"/>
    <w:rsid w:val="00F43668"/>
    <w:rsid w:val="00F4374D"/>
    <w:rsid w:val="00F44085"/>
    <w:rsid w:val="00F4440D"/>
    <w:rsid w:val="00F4468B"/>
    <w:rsid w:val="00F448B5"/>
    <w:rsid w:val="00F44BF9"/>
    <w:rsid w:val="00F44CB7"/>
    <w:rsid w:val="00F45005"/>
    <w:rsid w:val="00F451BE"/>
    <w:rsid w:val="00F4596D"/>
    <w:rsid w:val="00F45ED7"/>
    <w:rsid w:val="00F463C1"/>
    <w:rsid w:val="00F46D7B"/>
    <w:rsid w:val="00F471EF"/>
    <w:rsid w:val="00F474A7"/>
    <w:rsid w:val="00F47850"/>
    <w:rsid w:val="00F478E5"/>
    <w:rsid w:val="00F47A28"/>
    <w:rsid w:val="00F47B82"/>
    <w:rsid w:val="00F47D21"/>
    <w:rsid w:val="00F47F4D"/>
    <w:rsid w:val="00F50188"/>
    <w:rsid w:val="00F5022C"/>
    <w:rsid w:val="00F502C8"/>
    <w:rsid w:val="00F5045B"/>
    <w:rsid w:val="00F50A70"/>
    <w:rsid w:val="00F50C6D"/>
    <w:rsid w:val="00F50D38"/>
    <w:rsid w:val="00F50FB3"/>
    <w:rsid w:val="00F5106A"/>
    <w:rsid w:val="00F51379"/>
    <w:rsid w:val="00F515FA"/>
    <w:rsid w:val="00F51630"/>
    <w:rsid w:val="00F517EA"/>
    <w:rsid w:val="00F51904"/>
    <w:rsid w:val="00F51D37"/>
    <w:rsid w:val="00F51DC2"/>
    <w:rsid w:val="00F5234F"/>
    <w:rsid w:val="00F52845"/>
    <w:rsid w:val="00F52C58"/>
    <w:rsid w:val="00F52E62"/>
    <w:rsid w:val="00F52FC4"/>
    <w:rsid w:val="00F5321E"/>
    <w:rsid w:val="00F53338"/>
    <w:rsid w:val="00F53634"/>
    <w:rsid w:val="00F536D6"/>
    <w:rsid w:val="00F53AD2"/>
    <w:rsid w:val="00F53B22"/>
    <w:rsid w:val="00F54284"/>
    <w:rsid w:val="00F542DE"/>
    <w:rsid w:val="00F5468A"/>
    <w:rsid w:val="00F54935"/>
    <w:rsid w:val="00F54CDD"/>
    <w:rsid w:val="00F54D4C"/>
    <w:rsid w:val="00F55123"/>
    <w:rsid w:val="00F555C8"/>
    <w:rsid w:val="00F558EF"/>
    <w:rsid w:val="00F5593B"/>
    <w:rsid w:val="00F55AF2"/>
    <w:rsid w:val="00F55FFE"/>
    <w:rsid w:val="00F56001"/>
    <w:rsid w:val="00F562D7"/>
    <w:rsid w:val="00F564C6"/>
    <w:rsid w:val="00F5656D"/>
    <w:rsid w:val="00F56E08"/>
    <w:rsid w:val="00F5718C"/>
    <w:rsid w:val="00F571CA"/>
    <w:rsid w:val="00F57211"/>
    <w:rsid w:val="00F5721D"/>
    <w:rsid w:val="00F57385"/>
    <w:rsid w:val="00F576CB"/>
    <w:rsid w:val="00F577AD"/>
    <w:rsid w:val="00F6017B"/>
    <w:rsid w:val="00F60363"/>
    <w:rsid w:val="00F60535"/>
    <w:rsid w:val="00F605D3"/>
    <w:rsid w:val="00F60936"/>
    <w:rsid w:val="00F60DA7"/>
    <w:rsid w:val="00F611D8"/>
    <w:rsid w:val="00F616C6"/>
    <w:rsid w:val="00F6196F"/>
    <w:rsid w:val="00F61CBC"/>
    <w:rsid w:val="00F61DFD"/>
    <w:rsid w:val="00F62008"/>
    <w:rsid w:val="00F62127"/>
    <w:rsid w:val="00F624A2"/>
    <w:rsid w:val="00F6257F"/>
    <w:rsid w:val="00F627B9"/>
    <w:rsid w:val="00F627D7"/>
    <w:rsid w:val="00F62A44"/>
    <w:rsid w:val="00F62E0D"/>
    <w:rsid w:val="00F633F4"/>
    <w:rsid w:val="00F6343C"/>
    <w:rsid w:val="00F63A24"/>
    <w:rsid w:val="00F63CE7"/>
    <w:rsid w:val="00F63DA3"/>
    <w:rsid w:val="00F63DF4"/>
    <w:rsid w:val="00F640CC"/>
    <w:rsid w:val="00F6441B"/>
    <w:rsid w:val="00F64492"/>
    <w:rsid w:val="00F64702"/>
    <w:rsid w:val="00F649B1"/>
    <w:rsid w:val="00F64B1C"/>
    <w:rsid w:val="00F64B96"/>
    <w:rsid w:val="00F64C80"/>
    <w:rsid w:val="00F64D1B"/>
    <w:rsid w:val="00F64F0A"/>
    <w:rsid w:val="00F654AC"/>
    <w:rsid w:val="00F65612"/>
    <w:rsid w:val="00F656E2"/>
    <w:rsid w:val="00F657D1"/>
    <w:rsid w:val="00F6585F"/>
    <w:rsid w:val="00F65A10"/>
    <w:rsid w:val="00F65BBF"/>
    <w:rsid w:val="00F65C22"/>
    <w:rsid w:val="00F65DA6"/>
    <w:rsid w:val="00F6602C"/>
    <w:rsid w:val="00F66287"/>
    <w:rsid w:val="00F662A9"/>
    <w:rsid w:val="00F66374"/>
    <w:rsid w:val="00F66AA7"/>
    <w:rsid w:val="00F66B10"/>
    <w:rsid w:val="00F671BB"/>
    <w:rsid w:val="00F674BC"/>
    <w:rsid w:val="00F6772B"/>
    <w:rsid w:val="00F6775A"/>
    <w:rsid w:val="00F67C8F"/>
    <w:rsid w:val="00F67E48"/>
    <w:rsid w:val="00F700C6"/>
    <w:rsid w:val="00F70133"/>
    <w:rsid w:val="00F704E0"/>
    <w:rsid w:val="00F706A3"/>
    <w:rsid w:val="00F70807"/>
    <w:rsid w:val="00F70858"/>
    <w:rsid w:val="00F70AE1"/>
    <w:rsid w:val="00F711CF"/>
    <w:rsid w:val="00F7148F"/>
    <w:rsid w:val="00F71773"/>
    <w:rsid w:val="00F71CD9"/>
    <w:rsid w:val="00F721E5"/>
    <w:rsid w:val="00F7234D"/>
    <w:rsid w:val="00F723DD"/>
    <w:rsid w:val="00F724B8"/>
    <w:rsid w:val="00F72746"/>
    <w:rsid w:val="00F72B59"/>
    <w:rsid w:val="00F72B6D"/>
    <w:rsid w:val="00F72FA8"/>
    <w:rsid w:val="00F73016"/>
    <w:rsid w:val="00F7330A"/>
    <w:rsid w:val="00F733CE"/>
    <w:rsid w:val="00F73CCB"/>
    <w:rsid w:val="00F73DF4"/>
    <w:rsid w:val="00F741FC"/>
    <w:rsid w:val="00F74427"/>
    <w:rsid w:val="00F74B10"/>
    <w:rsid w:val="00F74E38"/>
    <w:rsid w:val="00F74F31"/>
    <w:rsid w:val="00F756F9"/>
    <w:rsid w:val="00F7571A"/>
    <w:rsid w:val="00F75B6A"/>
    <w:rsid w:val="00F75CE6"/>
    <w:rsid w:val="00F76028"/>
    <w:rsid w:val="00F764AB"/>
    <w:rsid w:val="00F7696F"/>
    <w:rsid w:val="00F76B1B"/>
    <w:rsid w:val="00F76B91"/>
    <w:rsid w:val="00F76CF5"/>
    <w:rsid w:val="00F770A8"/>
    <w:rsid w:val="00F774F0"/>
    <w:rsid w:val="00F7762F"/>
    <w:rsid w:val="00F777D4"/>
    <w:rsid w:val="00F777F6"/>
    <w:rsid w:val="00F77F43"/>
    <w:rsid w:val="00F8066C"/>
    <w:rsid w:val="00F808DE"/>
    <w:rsid w:val="00F80ABA"/>
    <w:rsid w:val="00F810D2"/>
    <w:rsid w:val="00F819AE"/>
    <w:rsid w:val="00F81A44"/>
    <w:rsid w:val="00F81ACF"/>
    <w:rsid w:val="00F81C7B"/>
    <w:rsid w:val="00F8245C"/>
    <w:rsid w:val="00F827D9"/>
    <w:rsid w:val="00F828D4"/>
    <w:rsid w:val="00F8296F"/>
    <w:rsid w:val="00F82D7F"/>
    <w:rsid w:val="00F8300D"/>
    <w:rsid w:val="00F83B67"/>
    <w:rsid w:val="00F83E91"/>
    <w:rsid w:val="00F840DB"/>
    <w:rsid w:val="00F8410A"/>
    <w:rsid w:val="00F8413E"/>
    <w:rsid w:val="00F84629"/>
    <w:rsid w:val="00F847E9"/>
    <w:rsid w:val="00F848DE"/>
    <w:rsid w:val="00F84A7C"/>
    <w:rsid w:val="00F84D35"/>
    <w:rsid w:val="00F8543E"/>
    <w:rsid w:val="00F85A7F"/>
    <w:rsid w:val="00F85CDE"/>
    <w:rsid w:val="00F85ED5"/>
    <w:rsid w:val="00F85F4F"/>
    <w:rsid w:val="00F8623F"/>
    <w:rsid w:val="00F866F6"/>
    <w:rsid w:val="00F86BCB"/>
    <w:rsid w:val="00F86C09"/>
    <w:rsid w:val="00F86C56"/>
    <w:rsid w:val="00F86CF6"/>
    <w:rsid w:val="00F86CFE"/>
    <w:rsid w:val="00F8704C"/>
    <w:rsid w:val="00F870F8"/>
    <w:rsid w:val="00F87782"/>
    <w:rsid w:val="00F87BA5"/>
    <w:rsid w:val="00F90053"/>
    <w:rsid w:val="00F9055C"/>
    <w:rsid w:val="00F906F2"/>
    <w:rsid w:val="00F914B6"/>
    <w:rsid w:val="00F91518"/>
    <w:rsid w:val="00F91890"/>
    <w:rsid w:val="00F91B53"/>
    <w:rsid w:val="00F92128"/>
    <w:rsid w:val="00F92289"/>
    <w:rsid w:val="00F92409"/>
    <w:rsid w:val="00F925C0"/>
    <w:rsid w:val="00F92697"/>
    <w:rsid w:val="00F92D1C"/>
    <w:rsid w:val="00F92D46"/>
    <w:rsid w:val="00F92D68"/>
    <w:rsid w:val="00F92EAC"/>
    <w:rsid w:val="00F92EB1"/>
    <w:rsid w:val="00F93104"/>
    <w:rsid w:val="00F9314B"/>
    <w:rsid w:val="00F93626"/>
    <w:rsid w:val="00F938E1"/>
    <w:rsid w:val="00F93B0A"/>
    <w:rsid w:val="00F93B76"/>
    <w:rsid w:val="00F93F8A"/>
    <w:rsid w:val="00F93FAD"/>
    <w:rsid w:val="00F9426E"/>
    <w:rsid w:val="00F942BC"/>
    <w:rsid w:val="00F942DE"/>
    <w:rsid w:val="00F94509"/>
    <w:rsid w:val="00F94653"/>
    <w:rsid w:val="00F94D0F"/>
    <w:rsid w:val="00F94D53"/>
    <w:rsid w:val="00F95794"/>
    <w:rsid w:val="00F958C7"/>
    <w:rsid w:val="00F969DB"/>
    <w:rsid w:val="00F96C85"/>
    <w:rsid w:val="00F96EB8"/>
    <w:rsid w:val="00F97126"/>
    <w:rsid w:val="00F972A9"/>
    <w:rsid w:val="00F973AF"/>
    <w:rsid w:val="00F97626"/>
    <w:rsid w:val="00F976BF"/>
    <w:rsid w:val="00F977BD"/>
    <w:rsid w:val="00F97A6F"/>
    <w:rsid w:val="00F97C93"/>
    <w:rsid w:val="00FA02D9"/>
    <w:rsid w:val="00FA03A5"/>
    <w:rsid w:val="00FA03AD"/>
    <w:rsid w:val="00FA0997"/>
    <w:rsid w:val="00FA0FCD"/>
    <w:rsid w:val="00FA110E"/>
    <w:rsid w:val="00FA1B5D"/>
    <w:rsid w:val="00FA1EA8"/>
    <w:rsid w:val="00FA2201"/>
    <w:rsid w:val="00FA23CF"/>
    <w:rsid w:val="00FA2439"/>
    <w:rsid w:val="00FA24AE"/>
    <w:rsid w:val="00FA2505"/>
    <w:rsid w:val="00FA28C7"/>
    <w:rsid w:val="00FA29B2"/>
    <w:rsid w:val="00FA2AF2"/>
    <w:rsid w:val="00FA2E66"/>
    <w:rsid w:val="00FA2F46"/>
    <w:rsid w:val="00FA3062"/>
    <w:rsid w:val="00FA31EB"/>
    <w:rsid w:val="00FA33CC"/>
    <w:rsid w:val="00FA34A8"/>
    <w:rsid w:val="00FA34D3"/>
    <w:rsid w:val="00FA3625"/>
    <w:rsid w:val="00FA3B16"/>
    <w:rsid w:val="00FA3E07"/>
    <w:rsid w:val="00FA3FB5"/>
    <w:rsid w:val="00FA416F"/>
    <w:rsid w:val="00FA4426"/>
    <w:rsid w:val="00FA4770"/>
    <w:rsid w:val="00FA4F13"/>
    <w:rsid w:val="00FA52E9"/>
    <w:rsid w:val="00FA5716"/>
    <w:rsid w:val="00FA5CB5"/>
    <w:rsid w:val="00FA5DDF"/>
    <w:rsid w:val="00FA6135"/>
    <w:rsid w:val="00FA683D"/>
    <w:rsid w:val="00FA700B"/>
    <w:rsid w:val="00FA721F"/>
    <w:rsid w:val="00FA7468"/>
    <w:rsid w:val="00FA7917"/>
    <w:rsid w:val="00FA7D9F"/>
    <w:rsid w:val="00FB0436"/>
    <w:rsid w:val="00FB0640"/>
    <w:rsid w:val="00FB0C71"/>
    <w:rsid w:val="00FB0E22"/>
    <w:rsid w:val="00FB14E5"/>
    <w:rsid w:val="00FB1589"/>
    <w:rsid w:val="00FB1854"/>
    <w:rsid w:val="00FB1C3C"/>
    <w:rsid w:val="00FB1D8B"/>
    <w:rsid w:val="00FB2304"/>
    <w:rsid w:val="00FB23B0"/>
    <w:rsid w:val="00FB28B0"/>
    <w:rsid w:val="00FB2A7D"/>
    <w:rsid w:val="00FB2ABF"/>
    <w:rsid w:val="00FB2BC2"/>
    <w:rsid w:val="00FB2D0F"/>
    <w:rsid w:val="00FB2E3D"/>
    <w:rsid w:val="00FB3024"/>
    <w:rsid w:val="00FB32AD"/>
    <w:rsid w:val="00FB32E9"/>
    <w:rsid w:val="00FB32EE"/>
    <w:rsid w:val="00FB3773"/>
    <w:rsid w:val="00FB37CB"/>
    <w:rsid w:val="00FB382D"/>
    <w:rsid w:val="00FB41F0"/>
    <w:rsid w:val="00FB427E"/>
    <w:rsid w:val="00FB4347"/>
    <w:rsid w:val="00FB46C1"/>
    <w:rsid w:val="00FB48D5"/>
    <w:rsid w:val="00FB4A8A"/>
    <w:rsid w:val="00FB4D33"/>
    <w:rsid w:val="00FB544E"/>
    <w:rsid w:val="00FB560B"/>
    <w:rsid w:val="00FB5A1B"/>
    <w:rsid w:val="00FB5E3A"/>
    <w:rsid w:val="00FB5F33"/>
    <w:rsid w:val="00FB5F5E"/>
    <w:rsid w:val="00FB6A15"/>
    <w:rsid w:val="00FB6D0C"/>
    <w:rsid w:val="00FB6D3A"/>
    <w:rsid w:val="00FB6F3D"/>
    <w:rsid w:val="00FB703E"/>
    <w:rsid w:val="00FB7066"/>
    <w:rsid w:val="00FB71BF"/>
    <w:rsid w:val="00FB7919"/>
    <w:rsid w:val="00FB79BD"/>
    <w:rsid w:val="00FB7B4E"/>
    <w:rsid w:val="00FB7FA8"/>
    <w:rsid w:val="00FB7FB1"/>
    <w:rsid w:val="00FC07D3"/>
    <w:rsid w:val="00FC08D4"/>
    <w:rsid w:val="00FC0D7F"/>
    <w:rsid w:val="00FC1006"/>
    <w:rsid w:val="00FC127D"/>
    <w:rsid w:val="00FC1A8F"/>
    <w:rsid w:val="00FC23ED"/>
    <w:rsid w:val="00FC2438"/>
    <w:rsid w:val="00FC2989"/>
    <w:rsid w:val="00FC2A79"/>
    <w:rsid w:val="00FC2D77"/>
    <w:rsid w:val="00FC2F2E"/>
    <w:rsid w:val="00FC3726"/>
    <w:rsid w:val="00FC3A13"/>
    <w:rsid w:val="00FC3BDA"/>
    <w:rsid w:val="00FC43A7"/>
    <w:rsid w:val="00FC4846"/>
    <w:rsid w:val="00FC4C2B"/>
    <w:rsid w:val="00FC52F8"/>
    <w:rsid w:val="00FC53B7"/>
    <w:rsid w:val="00FC5664"/>
    <w:rsid w:val="00FC596D"/>
    <w:rsid w:val="00FC5BF2"/>
    <w:rsid w:val="00FC5D0B"/>
    <w:rsid w:val="00FC5F4F"/>
    <w:rsid w:val="00FC6245"/>
    <w:rsid w:val="00FC6457"/>
    <w:rsid w:val="00FC645B"/>
    <w:rsid w:val="00FC6840"/>
    <w:rsid w:val="00FC693A"/>
    <w:rsid w:val="00FC6B6E"/>
    <w:rsid w:val="00FC6CFD"/>
    <w:rsid w:val="00FC702A"/>
    <w:rsid w:val="00FC7C5F"/>
    <w:rsid w:val="00FC7CB8"/>
    <w:rsid w:val="00FC7FC0"/>
    <w:rsid w:val="00FCA134"/>
    <w:rsid w:val="00FD0465"/>
    <w:rsid w:val="00FD0622"/>
    <w:rsid w:val="00FD077F"/>
    <w:rsid w:val="00FD09CE"/>
    <w:rsid w:val="00FD0B73"/>
    <w:rsid w:val="00FD0E79"/>
    <w:rsid w:val="00FD0EAF"/>
    <w:rsid w:val="00FD1098"/>
    <w:rsid w:val="00FD14EF"/>
    <w:rsid w:val="00FD1513"/>
    <w:rsid w:val="00FD1516"/>
    <w:rsid w:val="00FD1C50"/>
    <w:rsid w:val="00FD1FBC"/>
    <w:rsid w:val="00FD218B"/>
    <w:rsid w:val="00FD2544"/>
    <w:rsid w:val="00FD2A19"/>
    <w:rsid w:val="00FD2D1C"/>
    <w:rsid w:val="00FD2D82"/>
    <w:rsid w:val="00FD2FB3"/>
    <w:rsid w:val="00FD301A"/>
    <w:rsid w:val="00FD311D"/>
    <w:rsid w:val="00FD3285"/>
    <w:rsid w:val="00FD3656"/>
    <w:rsid w:val="00FD3796"/>
    <w:rsid w:val="00FD384C"/>
    <w:rsid w:val="00FD38BE"/>
    <w:rsid w:val="00FD3B48"/>
    <w:rsid w:val="00FD3EE5"/>
    <w:rsid w:val="00FD3FA3"/>
    <w:rsid w:val="00FD4A0D"/>
    <w:rsid w:val="00FD4BA5"/>
    <w:rsid w:val="00FD5017"/>
    <w:rsid w:val="00FD5416"/>
    <w:rsid w:val="00FD5B02"/>
    <w:rsid w:val="00FD5FCC"/>
    <w:rsid w:val="00FD626F"/>
    <w:rsid w:val="00FD64A0"/>
    <w:rsid w:val="00FD6683"/>
    <w:rsid w:val="00FD6858"/>
    <w:rsid w:val="00FD6DC3"/>
    <w:rsid w:val="00FD6EB0"/>
    <w:rsid w:val="00FD72AB"/>
    <w:rsid w:val="00FD7834"/>
    <w:rsid w:val="00FE0103"/>
    <w:rsid w:val="00FE0474"/>
    <w:rsid w:val="00FE052A"/>
    <w:rsid w:val="00FE0546"/>
    <w:rsid w:val="00FE08A5"/>
    <w:rsid w:val="00FE08D7"/>
    <w:rsid w:val="00FE0D64"/>
    <w:rsid w:val="00FE13AD"/>
    <w:rsid w:val="00FE14BB"/>
    <w:rsid w:val="00FE1555"/>
    <w:rsid w:val="00FE15A9"/>
    <w:rsid w:val="00FE1DBE"/>
    <w:rsid w:val="00FE1DD5"/>
    <w:rsid w:val="00FE1EB8"/>
    <w:rsid w:val="00FE204B"/>
    <w:rsid w:val="00FE205D"/>
    <w:rsid w:val="00FE249F"/>
    <w:rsid w:val="00FE263E"/>
    <w:rsid w:val="00FE2723"/>
    <w:rsid w:val="00FE28F1"/>
    <w:rsid w:val="00FE2A71"/>
    <w:rsid w:val="00FE2E80"/>
    <w:rsid w:val="00FE307C"/>
    <w:rsid w:val="00FE325B"/>
    <w:rsid w:val="00FE38C0"/>
    <w:rsid w:val="00FE3E33"/>
    <w:rsid w:val="00FE3E40"/>
    <w:rsid w:val="00FE3E95"/>
    <w:rsid w:val="00FE46A0"/>
    <w:rsid w:val="00FE48BB"/>
    <w:rsid w:val="00FE49C3"/>
    <w:rsid w:val="00FE4C5A"/>
    <w:rsid w:val="00FE4F6F"/>
    <w:rsid w:val="00FE4FC8"/>
    <w:rsid w:val="00FE5644"/>
    <w:rsid w:val="00FE58F0"/>
    <w:rsid w:val="00FE5C2F"/>
    <w:rsid w:val="00FE6319"/>
    <w:rsid w:val="00FE6717"/>
    <w:rsid w:val="00FE671A"/>
    <w:rsid w:val="00FE6B76"/>
    <w:rsid w:val="00FE6BB7"/>
    <w:rsid w:val="00FE6CF8"/>
    <w:rsid w:val="00FE7121"/>
    <w:rsid w:val="00FE7553"/>
    <w:rsid w:val="00FE77C9"/>
    <w:rsid w:val="00FE78B2"/>
    <w:rsid w:val="00FE7A3D"/>
    <w:rsid w:val="00FE7A4E"/>
    <w:rsid w:val="00FE7A5F"/>
    <w:rsid w:val="00FE7BA7"/>
    <w:rsid w:val="00FF00BE"/>
    <w:rsid w:val="00FF00EC"/>
    <w:rsid w:val="00FF05C4"/>
    <w:rsid w:val="00FF0AB2"/>
    <w:rsid w:val="00FF0C85"/>
    <w:rsid w:val="00FF0E5A"/>
    <w:rsid w:val="00FF0FE8"/>
    <w:rsid w:val="00FF10C5"/>
    <w:rsid w:val="00FF120D"/>
    <w:rsid w:val="00FF1452"/>
    <w:rsid w:val="00FF1604"/>
    <w:rsid w:val="00FF19E2"/>
    <w:rsid w:val="00FF23F7"/>
    <w:rsid w:val="00FF2729"/>
    <w:rsid w:val="00FF2A92"/>
    <w:rsid w:val="00FF2E5F"/>
    <w:rsid w:val="00FF2EB1"/>
    <w:rsid w:val="00FF2F94"/>
    <w:rsid w:val="00FF30D0"/>
    <w:rsid w:val="00FF3420"/>
    <w:rsid w:val="00FF354E"/>
    <w:rsid w:val="00FF3572"/>
    <w:rsid w:val="00FF3647"/>
    <w:rsid w:val="00FF38D1"/>
    <w:rsid w:val="00FF3986"/>
    <w:rsid w:val="00FF3EC6"/>
    <w:rsid w:val="00FF424E"/>
    <w:rsid w:val="00FF4B1E"/>
    <w:rsid w:val="00FF4DDB"/>
    <w:rsid w:val="00FF520A"/>
    <w:rsid w:val="00FF54F7"/>
    <w:rsid w:val="00FF58B8"/>
    <w:rsid w:val="00FF5A36"/>
    <w:rsid w:val="00FF5F79"/>
    <w:rsid w:val="00FF60BF"/>
    <w:rsid w:val="00FF633D"/>
    <w:rsid w:val="00FF63BC"/>
    <w:rsid w:val="00FF66AB"/>
    <w:rsid w:val="00FF6EDE"/>
    <w:rsid w:val="00FF6EE3"/>
    <w:rsid w:val="00FF7791"/>
    <w:rsid w:val="00FF7A27"/>
    <w:rsid w:val="00FF7A4D"/>
    <w:rsid w:val="010A2478"/>
    <w:rsid w:val="010B5400"/>
    <w:rsid w:val="01137767"/>
    <w:rsid w:val="0123526E"/>
    <w:rsid w:val="0123754C"/>
    <w:rsid w:val="013C87A1"/>
    <w:rsid w:val="015A3FDF"/>
    <w:rsid w:val="01663DA6"/>
    <w:rsid w:val="016F31E6"/>
    <w:rsid w:val="017B3500"/>
    <w:rsid w:val="0184ACB0"/>
    <w:rsid w:val="01851848"/>
    <w:rsid w:val="01999C69"/>
    <w:rsid w:val="01A55084"/>
    <w:rsid w:val="01AC20AC"/>
    <w:rsid w:val="01AD8B84"/>
    <w:rsid w:val="01B9A141"/>
    <w:rsid w:val="01C6BB6A"/>
    <w:rsid w:val="01C99318"/>
    <w:rsid w:val="01DD4439"/>
    <w:rsid w:val="01E03125"/>
    <w:rsid w:val="01FE6131"/>
    <w:rsid w:val="0203F472"/>
    <w:rsid w:val="02052668"/>
    <w:rsid w:val="02052DF6"/>
    <w:rsid w:val="020C56C6"/>
    <w:rsid w:val="020E0AA3"/>
    <w:rsid w:val="021D5E5C"/>
    <w:rsid w:val="022CECEF"/>
    <w:rsid w:val="023A2B6F"/>
    <w:rsid w:val="024205F6"/>
    <w:rsid w:val="024359DF"/>
    <w:rsid w:val="02439F86"/>
    <w:rsid w:val="024E0866"/>
    <w:rsid w:val="024F8892"/>
    <w:rsid w:val="025E6F4C"/>
    <w:rsid w:val="026554B0"/>
    <w:rsid w:val="02707C47"/>
    <w:rsid w:val="0274EE66"/>
    <w:rsid w:val="027F6081"/>
    <w:rsid w:val="0280E178"/>
    <w:rsid w:val="0281209B"/>
    <w:rsid w:val="028F86B4"/>
    <w:rsid w:val="02A76177"/>
    <w:rsid w:val="02B46A25"/>
    <w:rsid w:val="02BD7551"/>
    <w:rsid w:val="02CAD7A2"/>
    <w:rsid w:val="02D96B8C"/>
    <w:rsid w:val="030117BA"/>
    <w:rsid w:val="0302B790"/>
    <w:rsid w:val="03040D1F"/>
    <w:rsid w:val="030E3F4A"/>
    <w:rsid w:val="03233313"/>
    <w:rsid w:val="034914C2"/>
    <w:rsid w:val="03548225"/>
    <w:rsid w:val="035CAF2E"/>
    <w:rsid w:val="035E14B2"/>
    <w:rsid w:val="035E9C47"/>
    <w:rsid w:val="0371A0DA"/>
    <w:rsid w:val="0394CA60"/>
    <w:rsid w:val="039677A6"/>
    <w:rsid w:val="03BD7636"/>
    <w:rsid w:val="03C55459"/>
    <w:rsid w:val="03D1716F"/>
    <w:rsid w:val="03D9C538"/>
    <w:rsid w:val="03DFE2B4"/>
    <w:rsid w:val="03E5471A"/>
    <w:rsid w:val="03EB7594"/>
    <w:rsid w:val="0413230F"/>
    <w:rsid w:val="0415DF64"/>
    <w:rsid w:val="0420A3C0"/>
    <w:rsid w:val="0443FDD7"/>
    <w:rsid w:val="044A0F1D"/>
    <w:rsid w:val="044E50C6"/>
    <w:rsid w:val="04522C69"/>
    <w:rsid w:val="0452C113"/>
    <w:rsid w:val="0457B2C7"/>
    <w:rsid w:val="0469CBB9"/>
    <w:rsid w:val="046B95FE"/>
    <w:rsid w:val="0482F2BC"/>
    <w:rsid w:val="049D1C7A"/>
    <w:rsid w:val="04AE35C2"/>
    <w:rsid w:val="04B7D1F4"/>
    <w:rsid w:val="04B883AB"/>
    <w:rsid w:val="04B9F870"/>
    <w:rsid w:val="04D6A938"/>
    <w:rsid w:val="04D6DA44"/>
    <w:rsid w:val="04EF20F5"/>
    <w:rsid w:val="04FF1183"/>
    <w:rsid w:val="050AC418"/>
    <w:rsid w:val="052291AE"/>
    <w:rsid w:val="0522C83C"/>
    <w:rsid w:val="05520C42"/>
    <w:rsid w:val="05530C2F"/>
    <w:rsid w:val="0555A4E4"/>
    <w:rsid w:val="0559F8A1"/>
    <w:rsid w:val="057010AE"/>
    <w:rsid w:val="05830152"/>
    <w:rsid w:val="058A6CC2"/>
    <w:rsid w:val="058D5CC5"/>
    <w:rsid w:val="05973D42"/>
    <w:rsid w:val="059A0B2F"/>
    <w:rsid w:val="05BEC2E7"/>
    <w:rsid w:val="05C014C7"/>
    <w:rsid w:val="05C08016"/>
    <w:rsid w:val="05C29824"/>
    <w:rsid w:val="05C30091"/>
    <w:rsid w:val="05CB1444"/>
    <w:rsid w:val="05D9AA3B"/>
    <w:rsid w:val="05F82BDE"/>
    <w:rsid w:val="05F90685"/>
    <w:rsid w:val="061E02F1"/>
    <w:rsid w:val="0628EAF5"/>
    <w:rsid w:val="06372A09"/>
    <w:rsid w:val="063DCDAA"/>
    <w:rsid w:val="063FE17D"/>
    <w:rsid w:val="06435B87"/>
    <w:rsid w:val="066D6723"/>
    <w:rsid w:val="067931DE"/>
    <w:rsid w:val="0690F7AE"/>
    <w:rsid w:val="06A9C3F5"/>
    <w:rsid w:val="06EDFB65"/>
    <w:rsid w:val="06F6702D"/>
    <w:rsid w:val="06FA6403"/>
    <w:rsid w:val="06FBD862"/>
    <w:rsid w:val="0706234E"/>
    <w:rsid w:val="071CD0C3"/>
    <w:rsid w:val="0722162E"/>
    <w:rsid w:val="0726A0C8"/>
    <w:rsid w:val="07411BBC"/>
    <w:rsid w:val="0742DF4D"/>
    <w:rsid w:val="07446A0B"/>
    <w:rsid w:val="07640117"/>
    <w:rsid w:val="07675D07"/>
    <w:rsid w:val="076AA259"/>
    <w:rsid w:val="077A0BFF"/>
    <w:rsid w:val="0794087F"/>
    <w:rsid w:val="07A298F1"/>
    <w:rsid w:val="07ADDA25"/>
    <w:rsid w:val="07B247B0"/>
    <w:rsid w:val="07B5ACAA"/>
    <w:rsid w:val="07B83287"/>
    <w:rsid w:val="07C05C57"/>
    <w:rsid w:val="07C975A5"/>
    <w:rsid w:val="07F648C0"/>
    <w:rsid w:val="07F8F4CB"/>
    <w:rsid w:val="07FD43D1"/>
    <w:rsid w:val="0804265D"/>
    <w:rsid w:val="0804BC98"/>
    <w:rsid w:val="080F41A0"/>
    <w:rsid w:val="081A7696"/>
    <w:rsid w:val="08275714"/>
    <w:rsid w:val="08308DB9"/>
    <w:rsid w:val="08438D07"/>
    <w:rsid w:val="084F3325"/>
    <w:rsid w:val="086B64F3"/>
    <w:rsid w:val="0885EE32"/>
    <w:rsid w:val="08897FD2"/>
    <w:rsid w:val="08926940"/>
    <w:rsid w:val="089B7110"/>
    <w:rsid w:val="089D985D"/>
    <w:rsid w:val="08A19045"/>
    <w:rsid w:val="08A1B292"/>
    <w:rsid w:val="08B2B780"/>
    <w:rsid w:val="08BDCCBC"/>
    <w:rsid w:val="08C1F6D8"/>
    <w:rsid w:val="08CB3CC9"/>
    <w:rsid w:val="08D2F91D"/>
    <w:rsid w:val="08E20A71"/>
    <w:rsid w:val="08E335B7"/>
    <w:rsid w:val="08EEF98A"/>
    <w:rsid w:val="08F4A7A3"/>
    <w:rsid w:val="08F8FADF"/>
    <w:rsid w:val="08FB1684"/>
    <w:rsid w:val="090949DE"/>
    <w:rsid w:val="0915C92E"/>
    <w:rsid w:val="09200C56"/>
    <w:rsid w:val="092381AA"/>
    <w:rsid w:val="092F31FE"/>
    <w:rsid w:val="093641E6"/>
    <w:rsid w:val="094DFBE7"/>
    <w:rsid w:val="09592ED3"/>
    <w:rsid w:val="0963C0CC"/>
    <w:rsid w:val="09734096"/>
    <w:rsid w:val="09755DBB"/>
    <w:rsid w:val="097C5277"/>
    <w:rsid w:val="0988AFC0"/>
    <w:rsid w:val="099738F3"/>
    <w:rsid w:val="099D1742"/>
    <w:rsid w:val="09ACEC1C"/>
    <w:rsid w:val="09B42850"/>
    <w:rsid w:val="09BA452D"/>
    <w:rsid w:val="09BA84C7"/>
    <w:rsid w:val="09D2A572"/>
    <w:rsid w:val="09D7C2C1"/>
    <w:rsid w:val="09D80558"/>
    <w:rsid w:val="09E2D6AB"/>
    <w:rsid w:val="09EFC43D"/>
    <w:rsid w:val="0A0FB47A"/>
    <w:rsid w:val="0A176B33"/>
    <w:rsid w:val="0A1E568A"/>
    <w:rsid w:val="0A1E6452"/>
    <w:rsid w:val="0A205FE8"/>
    <w:rsid w:val="0A22F6CA"/>
    <w:rsid w:val="0A38F56B"/>
    <w:rsid w:val="0A4D048C"/>
    <w:rsid w:val="0A65C7B2"/>
    <w:rsid w:val="0A65F8D1"/>
    <w:rsid w:val="0A66DE11"/>
    <w:rsid w:val="0A730A23"/>
    <w:rsid w:val="0A741935"/>
    <w:rsid w:val="0A84D18D"/>
    <w:rsid w:val="0A86F698"/>
    <w:rsid w:val="0A880C67"/>
    <w:rsid w:val="0A9C2559"/>
    <w:rsid w:val="0ABE546D"/>
    <w:rsid w:val="0AC215CC"/>
    <w:rsid w:val="0ACC4104"/>
    <w:rsid w:val="0AD9A490"/>
    <w:rsid w:val="0AE4CB10"/>
    <w:rsid w:val="0AE8DF22"/>
    <w:rsid w:val="0AE917F0"/>
    <w:rsid w:val="0AEC6B74"/>
    <w:rsid w:val="0AEC6DD9"/>
    <w:rsid w:val="0AED4888"/>
    <w:rsid w:val="0AF10E15"/>
    <w:rsid w:val="0B0FB059"/>
    <w:rsid w:val="0B1E2073"/>
    <w:rsid w:val="0B2C17B4"/>
    <w:rsid w:val="0B2CBF79"/>
    <w:rsid w:val="0B370B3B"/>
    <w:rsid w:val="0B377B53"/>
    <w:rsid w:val="0B454FFB"/>
    <w:rsid w:val="0B59E20C"/>
    <w:rsid w:val="0B5DDFB0"/>
    <w:rsid w:val="0B6AC73B"/>
    <w:rsid w:val="0B7D2904"/>
    <w:rsid w:val="0B82463A"/>
    <w:rsid w:val="0B8D6938"/>
    <w:rsid w:val="0B984EED"/>
    <w:rsid w:val="0BA740A0"/>
    <w:rsid w:val="0BC16A37"/>
    <w:rsid w:val="0BC28300"/>
    <w:rsid w:val="0BCC452B"/>
    <w:rsid w:val="0BCD8A69"/>
    <w:rsid w:val="0BDCCB55"/>
    <w:rsid w:val="0BE3446C"/>
    <w:rsid w:val="0BE4BE3D"/>
    <w:rsid w:val="0BECAFFE"/>
    <w:rsid w:val="0BF28560"/>
    <w:rsid w:val="0BF5B174"/>
    <w:rsid w:val="0BF734C4"/>
    <w:rsid w:val="0C0B61E2"/>
    <w:rsid w:val="0C0CB83A"/>
    <w:rsid w:val="0C16C814"/>
    <w:rsid w:val="0C18086D"/>
    <w:rsid w:val="0C2D300C"/>
    <w:rsid w:val="0C339A9D"/>
    <w:rsid w:val="0C340CE1"/>
    <w:rsid w:val="0C3DBD13"/>
    <w:rsid w:val="0C462D09"/>
    <w:rsid w:val="0C722A4F"/>
    <w:rsid w:val="0C7EFC60"/>
    <w:rsid w:val="0C9CE4F9"/>
    <w:rsid w:val="0CA96FF7"/>
    <w:rsid w:val="0CBC0A2E"/>
    <w:rsid w:val="0CDD1511"/>
    <w:rsid w:val="0CE06533"/>
    <w:rsid w:val="0CE1C105"/>
    <w:rsid w:val="0CE8C194"/>
    <w:rsid w:val="0CFA266A"/>
    <w:rsid w:val="0D091BEA"/>
    <w:rsid w:val="0D0BD9CB"/>
    <w:rsid w:val="0D0C6639"/>
    <w:rsid w:val="0D0EA8FA"/>
    <w:rsid w:val="0D219287"/>
    <w:rsid w:val="0D3B6D11"/>
    <w:rsid w:val="0D3DD926"/>
    <w:rsid w:val="0D3E53C3"/>
    <w:rsid w:val="0D3F6DF6"/>
    <w:rsid w:val="0D4F8CE1"/>
    <w:rsid w:val="0D5CB689"/>
    <w:rsid w:val="0D5D30A3"/>
    <w:rsid w:val="0D6D0046"/>
    <w:rsid w:val="0D878852"/>
    <w:rsid w:val="0DAB41AA"/>
    <w:rsid w:val="0DAC7306"/>
    <w:rsid w:val="0DBBD063"/>
    <w:rsid w:val="0DF49444"/>
    <w:rsid w:val="0DFDEBD9"/>
    <w:rsid w:val="0E1094C8"/>
    <w:rsid w:val="0E218AFF"/>
    <w:rsid w:val="0E36B335"/>
    <w:rsid w:val="0E3F9550"/>
    <w:rsid w:val="0E46B399"/>
    <w:rsid w:val="0E492872"/>
    <w:rsid w:val="0E4E5C9C"/>
    <w:rsid w:val="0E50F28A"/>
    <w:rsid w:val="0E5232E6"/>
    <w:rsid w:val="0E54024A"/>
    <w:rsid w:val="0E746688"/>
    <w:rsid w:val="0E7CF500"/>
    <w:rsid w:val="0E8B60E4"/>
    <w:rsid w:val="0E8C5DFF"/>
    <w:rsid w:val="0E8D38F4"/>
    <w:rsid w:val="0E967E61"/>
    <w:rsid w:val="0E99A059"/>
    <w:rsid w:val="0E9BB7FF"/>
    <w:rsid w:val="0EA3F077"/>
    <w:rsid w:val="0EB1EB4C"/>
    <w:rsid w:val="0EB9F750"/>
    <w:rsid w:val="0EBEF719"/>
    <w:rsid w:val="0EC46F72"/>
    <w:rsid w:val="0ECCCA57"/>
    <w:rsid w:val="0ECD8B32"/>
    <w:rsid w:val="0ECE289C"/>
    <w:rsid w:val="0ED1974A"/>
    <w:rsid w:val="0EE1B42E"/>
    <w:rsid w:val="0EE6BFA0"/>
    <w:rsid w:val="0EE6E086"/>
    <w:rsid w:val="0EED3A18"/>
    <w:rsid w:val="0EEE97DA"/>
    <w:rsid w:val="0F0FC615"/>
    <w:rsid w:val="0F10FCE8"/>
    <w:rsid w:val="0F12AA94"/>
    <w:rsid w:val="0F189658"/>
    <w:rsid w:val="0F32031E"/>
    <w:rsid w:val="0F383D2C"/>
    <w:rsid w:val="0F3E0972"/>
    <w:rsid w:val="0F455C0D"/>
    <w:rsid w:val="0F5F24C7"/>
    <w:rsid w:val="0F7A2C27"/>
    <w:rsid w:val="0F8798E6"/>
    <w:rsid w:val="0F942DB9"/>
    <w:rsid w:val="0F956949"/>
    <w:rsid w:val="0FB0E5F9"/>
    <w:rsid w:val="0FB27B30"/>
    <w:rsid w:val="0FB8C33A"/>
    <w:rsid w:val="0FB8CB9B"/>
    <w:rsid w:val="0FBE69A9"/>
    <w:rsid w:val="0FC12EF1"/>
    <w:rsid w:val="0FC7B577"/>
    <w:rsid w:val="0FC84E55"/>
    <w:rsid w:val="0FD43524"/>
    <w:rsid w:val="0FD7063E"/>
    <w:rsid w:val="0FEB8C44"/>
    <w:rsid w:val="0FF6B97E"/>
    <w:rsid w:val="0FF778F6"/>
    <w:rsid w:val="0FF954F0"/>
    <w:rsid w:val="100A26F1"/>
    <w:rsid w:val="100BAB1F"/>
    <w:rsid w:val="102942FB"/>
    <w:rsid w:val="1034B068"/>
    <w:rsid w:val="10451C45"/>
    <w:rsid w:val="104908E4"/>
    <w:rsid w:val="10546891"/>
    <w:rsid w:val="1058F0F7"/>
    <w:rsid w:val="1076CFCD"/>
    <w:rsid w:val="107AFB11"/>
    <w:rsid w:val="10821B5F"/>
    <w:rsid w:val="1083C2E0"/>
    <w:rsid w:val="1086EE2F"/>
    <w:rsid w:val="1095A463"/>
    <w:rsid w:val="109ED4C2"/>
    <w:rsid w:val="10A0DEF9"/>
    <w:rsid w:val="10A9CF5D"/>
    <w:rsid w:val="10B0B4BF"/>
    <w:rsid w:val="10C5FF43"/>
    <w:rsid w:val="10F6E885"/>
    <w:rsid w:val="110295FB"/>
    <w:rsid w:val="1107AF4D"/>
    <w:rsid w:val="110F488B"/>
    <w:rsid w:val="11113FE7"/>
    <w:rsid w:val="1113F729"/>
    <w:rsid w:val="1116D3F1"/>
    <w:rsid w:val="112A8A80"/>
    <w:rsid w:val="112FCAB4"/>
    <w:rsid w:val="113A5310"/>
    <w:rsid w:val="114E914D"/>
    <w:rsid w:val="115BCE4A"/>
    <w:rsid w:val="1165A660"/>
    <w:rsid w:val="1178E508"/>
    <w:rsid w:val="117C3982"/>
    <w:rsid w:val="1191FC84"/>
    <w:rsid w:val="11A7741D"/>
    <w:rsid w:val="11AF2B51"/>
    <w:rsid w:val="11B64A54"/>
    <w:rsid w:val="11B7C9F8"/>
    <w:rsid w:val="11C1F10F"/>
    <w:rsid w:val="11C6B176"/>
    <w:rsid w:val="11CE138A"/>
    <w:rsid w:val="11D6027A"/>
    <w:rsid w:val="11E2DE7D"/>
    <w:rsid w:val="120FB1D7"/>
    <w:rsid w:val="121F5E7E"/>
    <w:rsid w:val="12245928"/>
    <w:rsid w:val="122FB1D3"/>
    <w:rsid w:val="12315C8F"/>
    <w:rsid w:val="12433F7B"/>
    <w:rsid w:val="124DC788"/>
    <w:rsid w:val="12615DF9"/>
    <w:rsid w:val="12639C21"/>
    <w:rsid w:val="126A0F09"/>
    <w:rsid w:val="1271E35E"/>
    <w:rsid w:val="127D549A"/>
    <w:rsid w:val="1287CD3B"/>
    <w:rsid w:val="1290D145"/>
    <w:rsid w:val="12A10194"/>
    <w:rsid w:val="12B94B33"/>
    <w:rsid w:val="12BDCCA3"/>
    <w:rsid w:val="12BE628F"/>
    <w:rsid w:val="12CB25D6"/>
    <w:rsid w:val="12CCE1F1"/>
    <w:rsid w:val="12D08ADA"/>
    <w:rsid w:val="1305B582"/>
    <w:rsid w:val="13072E92"/>
    <w:rsid w:val="1316AB49"/>
    <w:rsid w:val="1316D10E"/>
    <w:rsid w:val="13389373"/>
    <w:rsid w:val="1358E06D"/>
    <w:rsid w:val="1376AECF"/>
    <w:rsid w:val="137E749A"/>
    <w:rsid w:val="13800D9C"/>
    <w:rsid w:val="138496CB"/>
    <w:rsid w:val="13867851"/>
    <w:rsid w:val="138BE9CC"/>
    <w:rsid w:val="138E4A58"/>
    <w:rsid w:val="139CBD23"/>
    <w:rsid w:val="13A7DBF1"/>
    <w:rsid w:val="13B7A83D"/>
    <w:rsid w:val="13D221E5"/>
    <w:rsid w:val="13D87C90"/>
    <w:rsid w:val="13E222D3"/>
    <w:rsid w:val="13ED595A"/>
    <w:rsid w:val="13F9E27A"/>
    <w:rsid w:val="13FDF8C2"/>
    <w:rsid w:val="13FE530F"/>
    <w:rsid w:val="1422357A"/>
    <w:rsid w:val="14258FE6"/>
    <w:rsid w:val="142F4848"/>
    <w:rsid w:val="14320C1E"/>
    <w:rsid w:val="1433C200"/>
    <w:rsid w:val="14359B61"/>
    <w:rsid w:val="143D966E"/>
    <w:rsid w:val="14502268"/>
    <w:rsid w:val="1461C4DB"/>
    <w:rsid w:val="1489BE42"/>
    <w:rsid w:val="14A1DD4D"/>
    <w:rsid w:val="14B6F3DD"/>
    <w:rsid w:val="14BA334A"/>
    <w:rsid w:val="14CBB100"/>
    <w:rsid w:val="14D15C46"/>
    <w:rsid w:val="14E763E6"/>
    <w:rsid w:val="14F021D0"/>
    <w:rsid w:val="14F54C14"/>
    <w:rsid w:val="14FBFF68"/>
    <w:rsid w:val="150A34B0"/>
    <w:rsid w:val="15107051"/>
    <w:rsid w:val="15171A7D"/>
    <w:rsid w:val="151C03A0"/>
    <w:rsid w:val="154750DA"/>
    <w:rsid w:val="154CDF8A"/>
    <w:rsid w:val="15758A87"/>
    <w:rsid w:val="15793FE8"/>
    <w:rsid w:val="15A89AD9"/>
    <w:rsid w:val="15BB7690"/>
    <w:rsid w:val="15C5AAE0"/>
    <w:rsid w:val="15D77EF9"/>
    <w:rsid w:val="15D85FB5"/>
    <w:rsid w:val="15DA1E01"/>
    <w:rsid w:val="15DD501C"/>
    <w:rsid w:val="15F1DE76"/>
    <w:rsid w:val="15F5C25E"/>
    <w:rsid w:val="15F79716"/>
    <w:rsid w:val="1603B638"/>
    <w:rsid w:val="1605B910"/>
    <w:rsid w:val="1607155F"/>
    <w:rsid w:val="1608DF5E"/>
    <w:rsid w:val="161BE0F8"/>
    <w:rsid w:val="162A70DC"/>
    <w:rsid w:val="162F0D9A"/>
    <w:rsid w:val="16316B7C"/>
    <w:rsid w:val="1656AE99"/>
    <w:rsid w:val="166D6539"/>
    <w:rsid w:val="169C5AFF"/>
    <w:rsid w:val="16A5E8C9"/>
    <w:rsid w:val="16AF3751"/>
    <w:rsid w:val="16D85B62"/>
    <w:rsid w:val="16EAB806"/>
    <w:rsid w:val="16FB0AEC"/>
    <w:rsid w:val="1714D4A8"/>
    <w:rsid w:val="171BD012"/>
    <w:rsid w:val="171D3E9A"/>
    <w:rsid w:val="17237DBB"/>
    <w:rsid w:val="173BEAD0"/>
    <w:rsid w:val="173DE42F"/>
    <w:rsid w:val="17476C05"/>
    <w:rsid w:val="17481F29"/>
    <w:rsid w:val="174A7959"/>
    <w:rsid w:val="174B44D8"/>
    <w:rsid w:val="176C96F6"/>
    <w:rsid w:val="176ED175"/>
    <w:rsid w:val="1778CD0B"/>
    <w:rsid w:val="17873E19"/>
    <w:rsid w:val="179FB39E"/>
    <w:rsid w:val="17A314D2"/>
    <w:rsid w:val="17A41CE8"/>
    <w:rsid w:val="17DC92E9"/>
    <w:rsid w:val="17DD2942"/>
    <w:rsid w:val="17E8D7DC"/>
    <w:rsid w:val="17F9843A"/>
    <w:rsid w:val="17FF8CAD"/>
    <w:rsid w:val="1811C192"/>
    <w:rsid w:val="18325C9E"/>
    <w:rsid w:val="18339CFD"/>
    <w:rsid w:val="1847B351"/>
    <w:rsid w:val="185FEC7E"/>
    <w:rsid w:val="186E4562"/>
    <w:rsid w:val="186EB238"/>
    <w:rsid w:val="1875D142"/>
    <w:rsid w:val="18A32D15"/>
    <w:rsid w:val="18A46C63"/>
    <w:rsid w:val="18C7803F"/>
    <w:rsid w:val="18D210D3"/>
    <w:rsid w:val="18D38619"/>
    <w:rsid w:val="18DAC629"/>
    <w:rsid w:val="18E72408"/>
    <w:rsid w:val="18FBFA7A"/>
    <w:rsid w:val="1904AD7B"/>
    <w:rsid w:val="19152597"/>
    <w:rsid w:val="192348B7"/>
    <w:rsid w:val="192643A8"/>
    <w:rsid w:val="1938D94D"/>
    <w:rsid w:val="193B64BF"/>
    <w:rsid w:val="1943AC44"/>
    <w:rsid w:val="1948C248"/>
    <w:rsid w:val="194E56ED"/>
    <w:rsid w:val="19521DCB"/>
    <w:rsid w:val="1964102B"/>
    <w:rsid w:val="197D4A2C"/>
    <w:rsid w:val="197F9852"/>
    <w:rsid w:val="19B547BA"/>
    <w:rsid w:val="19C455A8"/>
    <w:rsid w:val="19CF0123"/>
    <w:rsid w:val="19D2681B"/>
    <w:rsid w:val="19DA2ECB"/>
    <w:rsid w:val="19DA36E2"/>
    <w:rsid w:val="19E3D63A"/>
    <w:rsid w:val="19E8A7B0"/>
    <w:rsid w:val="19E8F675"/>
    <w:rsid w:val="19E98F16"/>
    <w:rsid w:val="19F04E99"/>
    <w:rsid w:val="1A16FFB9"/>
    <w:rsid w:val="1A1E46EA"/>
    <w:rsid w:val="1A257E2B"/>
    <w:rsid w:val="1A3731F7"/>
    <w:rsid w:val="1A39E49C"/>
    <w:rsid w:val="1A499320"/>
    <w:rsid w:val="1A5F3489"/>
    <w:rsid w:val="1A681852"/>
    <w:rsid w:val="1A69E613"/>
    <w:rsid w:val="1A70AF34"/>
    <w:rsid w:val="1A76458D"/>
    <w:rsid w:val="1A7C326A"/>
    <w:rsid w:val="1A8223A3"/>
    <w:rsid w:val="1A828C13"/>
    <w:rsid w:val="1A8A8A1F"/>
    <w:rsid w:val="1A9D1939"/>
    <w:rsid w:val="1A9DBB63"/>
    <w:rsid w:val="1AB9B828"/>
    <w:rsid w:val="1AC82EDB"/>
    <w:rsid w:val="1ACE9A36"/>
    <w:rsid w:val="1ACF6B55"/>
    <w:rsid w:val="1AD623DF"/>
    <w:rsid w:val="1ADABABD"/>
    <w:rsid w:val="1ADB08E2"/>
    <w:rsid w:val="1AEA8226"/>
    <w:rsid w:val="1AEC4070"/>
    <w:rsid w:val="1AEF684C"/>
    <w:rsid w:val="1AF054DB"/>
    <w:rsid w:val="1B0E7C44"/>
    <w:rsid w:val="1B1708D1"/>
    <w:rsid w:val="1B1C0AC3"/>
    <w:rsid w:val="1B349F0E"/>
    <w:rsid w:val="1B35AF12"/>
    <w:rsid w:val="1B390882"/>
    <w:rsid w:val="1B3E73BE"/>
    <w:rsid w:val="1B429905"/>
    <w:rsid w:val="1B44F35C"/>
    <w:rsid w:val="1B7905D7"/>
    <w:rsid w:val="1B796737"/>
    <w:rsid w:val="1B8C6C26"/>
    <w:rsid w:val="1B9A121B"/>
    <w:rsid w:val="1BA523C0"/>
    <w:rsid w:val="1BC1B042"/>
    <w:rsid w:val="1BC5A523"/>
    <w:rsid w:val="1BC6C0F0"/>
    <w:rsid w:val="1BCAB290"/>
    <w:rsid w:val="1BCD0F9E"/>
    <w:rsid w:val="1BD2BAD9"/>
    <w:rsid w:val="1BD4297E"/>
    <w:rsid w:val="1BD5AC1F"/>
    <w:rsid w:val="1BE0EE82"/>
    <w:rsid w:val="1BE11566"/>
    <w:rsid w:val="1BEFCCA8"/>
    <w:rsid w:val="1BFE241A"/>
    <w:rsid w:val="1C05413F"/>
    <w:rsid w:val="1C05AE94"/>
    <w:rsid w:val="1C07F52E"/>
    <w:rsid w:val="1C356B5E"/>
    <w:rsid w:val="1C374117"/>
    <w:rsid w:val="1C38048C"/>
    <w:rsid w:val="1C428A88"/>
    <w:rsid w:val="1C48744E"/>
    <w:rsid w:val="1C5DA4BC"/>
    <w:rsid w:val="1C5DE46A"/>
    <w:rsid w:val="1C66B778"/>
    <w:rsid w:val="1C6D897B"/>
    <w:rsid w:val="1C6DF40E"/>
    <w:rsid w:val="1C7D9628"/>
    <w:rsid w:val="1C83F836"/>
    <w:rsid w:val="1C86CDE8"/>
    <w:rsid w:val="1C89235E"/>
    <w:rsid w:val="1C8A02CB"/>
    <w:rsid w:val="1C8FD17A"/>
    <w:rsid w:val="1C9EF6FB"/>
    <w:rsid w:val="1CA27CC4"/>
    <w:rsid w:val="1CA38C3A"/>
    <w:rsid w:val="1CADEB51"/>
    <w:rsid w:val="1CBB6021"/>
    <w:rsid w:val="1CC225F2"/>
    <w:rsid w:val="1CCDD9DF"/>
    <w:rsid w:val="1CD2C86D"/>
    <w:rsid w:val="1CD76CC0"/>
    <w:rsid w:val="1CDDFD40"/>
    <w:rsid w:val="1CDE67D2"/>
    <w:rsid w:val="1D01CA41"/>
    <w:rsid w:val="1D03A0BF"/>
    <w:rsid w:val="1D1741EC"/>
    <w:rsid w:val="1D197E31"/>
    <w:rsid w:val="1D1B3D4A"/>
    <w:rsid w:val="1D1BA17A"/>
    <w:rsid w:val="1D257650"/>
    <w:rsid w:val="1D2A2739"/>
    <w:rsid w:val="1D2FDFF6"/>
    <w:rsid w:val="1D4807CC"/>
    <w:rsid w:val="1D57F538"/>
    <w:rsid w:val="1D7970F3"/>
    <w:rsid w:val="1D9F2B13"/>
    <w:rsid w:val="1D9F3F37"/>
    <w:rsid w:val="1DA13140"/>
    <w:rsid w:val="1DB6A50C"/>
    <w:rsid w:val="1DB6EAB1"/>
    <w:rsid w:val="1DB86908"/>
    <w:rsid w:val="1DC1FB37"/>
    <w:rsid w:val="1DEB6C27"/>
    <w:rsid w:val="1E0CDDA4"/>
    <w:rsid w:val="1E192C34"/>
    <w:rsid w:val="1E19F6A7"/>
    <w:rsid w:val="1E234D8C"/>
    <w:rsid w:val="1E23521B"/>
    <w:rsid w:val="1E2441EC"/>
    <w:rsid w:val="1E252BE6"/>
    <w:rsid w:val="1E373375"/>
    <w:rsid w:val="1E539C51"/>
    <w:rsid w:val="1E5CB8FE"/>
    <w:rsid w:val="1E72D824"/>
    <w:rsid w:val="1E8E0185"/>
    <w:rsid w:val="1EA9F8E5"/>
    <w:rsid w:val="1EB867D6"/>
    <w:rsid w:val="1EC204B7"/>
    <w:rsid w:val="1ECAEC3A"/>
    <w:rsid w:val="1EE0CA8F"/>
    <w:rsid w:val="1EEF7EE9"/>
    <w:rsid w:val="1F0849CF"/>
    <w:rsid w:val="1F0F60C3"/>
    <w:rsid w:val="1F202D74"/>
    <w:rsid w:val="1F204856"/>
    <w:rsid w:val="1F2200D9"/>
    <w:rsid w:val="1F2354FD"/>
    <w:rsid w:val="1F26046A"/>
    <w:rsid w:val="1F2C548F"/>
    <w:rsid w:val="1F312FD6"/>
    <w:rsid w:val="1F35B1E1"/>
    <w:rsid w:val="1F3D32A6"/>
    <w:rsid w:val="1F3DDECD"/>
    <w:rsid w:val="1F40E098"/>
    <w:rsid w:val="1F79591E"/>
    <w:rsid w:val="1F79CBF3"/>
    <w:rsid w:val="1F7BE1A6"/>
    <w:rsid w:val="1F80ABD8"/>
    <w:rsid w:val="1F82C62B"/>
    <w:rsid w:val="1FBDB167"/>
    <w:rsid w:val="1FD3C66F"/>
    <w:rsid w:val="1FE1DE1E"/>
    <w:rsid w:val="1FFFB925"/>
    <w:rsid w:val="2012AF2A"/>
    <w:rsid w:val="202001BF"/>
    <w:rsid w:val="2024FE36"/>
    <w:rsid w:val="2029B9FF"/>
    <w:rsid w:val="202E90C4"/>
    <w:rsid w:val="2030F221"/>
    <w:rsid w:val="203139F0"/>
    <w:rsid w:val="2035B9B7"/>
    <w:rsid w:val="203C21F7"/>
    <w:rsid w:val="2060D351"/>
    <w:rsid w:val="20689647"/>
    <w:rsid w:val="208AF35F"/>
    <w:rsid w:val="20993714"/>
    <w:rsid w:val="20A5B0DE"/>
    <w:rsid w:val="20AD2368"/>
    <w:rsid w:val="20B1DFAA"/>
    <w:rsid w:val="20B575BF"/>
    <w:rsid w:val="20C02C8D"/>
    <w:rsid w:val="20CA9BBC"/>
    <w:rsid w:val="20CBE6EE"/>
    <w:rsid w:val="20D8E105"/>
    <w:rsid w:val="20E51291"/>
    <w:rsid w:val="20F4DEA0"/>
    <w:rsid w:val="20F91CB8"/>
    <w:rsid w:val="20FCFAFD"/>
    <w:rsid w:val="2100CF93"/>
    <w:rsid w:val="21065705"/>
    <w:rsid w:val="210D5FF6"/>
    <w:rsid w:val="2118C465"/>
    <w:rsid w:val="211ABD9B"/>
    <w:rsid w:val="2128670B"/>
    <w:rsid w:val="2134814B"/>
    <w:rsid w:val="21595EDF"/>
    <w:rsid w:val="2160774F"/>
    <w:rsid w:val="216E832E"/>
    <w:rsid w:val="2174D489"/>
    <w:rsid w:val="21815C74"/>
    <w:rsid w:val="219745E3"/>
    <w:rsid w:val="21A208A1"/>
    <w:rsid w:val="21B1A45E"/>
    <w:rsid w:val="21BC4896"/>
    <w:rsid w:val="21BE664F"/>
    <w:rsid w:val="21C79A52"/>
    <w:rsid w:val="21CA24FD"/>
    <w:rsid w:val="21E7733E"/>
    <w:rsid w:val="21EA0749"/>
    <w:rsid w:val="21EC42FC"/>
    <w:rsid w:val="21EE7CCA"/>
    <w:rsid w:val="21F72A16"/>
    <w:rsid w:val="21FC62F9"/>
    <w:rsid w:val="22023B4F"/>
    <w:rsid w:val="2206405D"/>
    <w:rsid w:val="221BFD05"/>
    <w:rsid w:val="222C5357"/>
    <w:rsid w:val="222EFDF0"/>
    <w:rsid w:val="22315768"/>
    <w:rsid w:val="2231A663"/>
    <w:rsid w:val="223DCEF8"/>
    <w:rsid w:val="2245835C"/>
    <w:rsid w:val="2249171C"/>
    <w:rsid w:val="2264113A"/>
    <w:rsid w:val="22657C87"/>
    <w:rsid w:val="2269773F"/>
    <w:rsid w:val="2287E8E2"/>
    <w:rsid w:val="2299454A"/>
    <w:rsid w:val="229EC0BC"/>
    <w:rsid w:val="22A6AA49"/>
    <w:rsid w:val="22C8C38E"/>
    <w:rsid w:val="22DFE956"/>
    <w:rsid w:val="231E2F85"/>
    <w:rsid w:val="23285F73"/>
    <w:rsid w:val="232A54DC"/>
    <w:rsid w:val="2337FF53"/>
    <w:rsid w:val="23487A28"/>
    <w:rsid w:val="23612F98"/>
    <w:rsid w:val="236FED51"/>
    <w:rsid w:val="237B3DC2"/>
    <w:rsid w:val="23B1B6C3"/>
    <w:rsid w:val="23C035E8"/>
    <w:rsid w:val="23C3C2A0"/>
    <w:rsid w:val="23CD0001"/>
    <w:rsid w:val="23D09EDB"/>
    <w:rsid w:val="23FA531A"/>
    <w:rsid w:val="23FC648C"/>
    <w:rsid w:val="23FC6BB1"/>
    <w:rsid w:val="24017CD7"/>
    <w:rsid w:val="240BD023"/>
    <w:rsid w:val="241065B7"/>
    <w:rsid w:val="24304E3B"/>
    <w:rsid w:val="24359F26"/>
    <w:rsid w:val="24372E2B"/>
    <w:rsid w:val="243FEE7A"/>
    <w:rsid w:val="245916D9"/>
    <w:rsid w:val="245B94EC"/>
    <w:rsid w:val="2466CE67"/>
    <w:rsid w:val="24799D97"/>
    <w:rsid w:val="247B0172"/>
    <w:rsid w:val="2480C0F2"/>
    <w:rsid w:val="2490867C"/>
    <w:rsid w:val="249542A9"/>
    <w:rsid w:val="24B937FE"/>
    <w:rsid w:val="24C73E84"/>
    <w:rsid w:val="24DA40AA"/>
    <w:rsid w:val="24EBA880"/>
    <w:rsid w:val="24ECFE88"/>
    <w:rsid w:val="24F73998"/>
    <w:rsid w:val="2508B664"/>
    <w:rsid w:val="250C5156"/>
    <w:rsid w:val="25147EC7"/>
    <w:rsid w:val="251A260F"/>
    <w:rsid w:val="251AD17C"/>
    <w:rsid w:val="25303817"/>
    <w:rsid w:val="25432442"/>
    <w:rsid w:val="2550B2C7"/>
    <w:rsid w:val="256A90F1"/>
    <w:rsid w:val="256FB9A7"/>
    <w:rsid w:val="2576C7EF"/>
    <w:rsid w:val="25788724"/>
    <w:rsid w:val="258AEE3A"/>
    <w:rsid w:val="25974782"/>
    <w:rsid w:val="2597F0BE"/>
    <w:rsid w:val="259CC6D1"/>
    <w:rsid w:val="25A75515"/>
    <w:rsid w:val="25B88174"/>
    <w:rsid w:val="25CC678E"/>
    <w:rsid w:val="25D09659"/>
    <w:rsid w:val="25D96E36"/>
    <w:rsid w:val="25DE0C53"/>
    <w:rsid w:val="25E34D31"/>
    <w:rsid w:val="25E3B854"/>
    <w:rsid w:val="261744FE"/>
    <w:rsid w:val="2617EFD4"/>
    <w:rsid w:val="261F102E"/>
    <w:rsid w:val="262CF612"/>
    <w:rsid w:val="264B6B75"/>
    <w:rsid w:val="264DFA0B"/>
    <w:rsid w:val="265F21CB"/>
    <w:rsid w:val="2676FFAC"/>
    <w:rsid w:val="267C4FD3"/>
    <w:rsid w:val="26827FB7"/>
    <w:rsid w:val="26A08F17"/>
    <w:rsid w:val="26A5468F"/>
    <w:rsid w:val="26AC1117"/>
    <w:rsid w:val="26C7D105"/>
    <w:rsid w:val="26FB5C06"/>
    <w:rsid w:val="27033438"/>
    <w:rsid w:val="27114C60"/>
    <w:rsid w:val="271B7E82"/>
    <w:rsid w:val="272AD738"/>
    <w:rsid w:val="276569DF"/>
    <w:rsid w:val="2777B233"/>
    <w:rsid w:val="278EB202"/>
    <w:rsid w:val="279B49C0"/>
    <w:rsid w:val="279B71DA"/>
    <w:rsid w:val="279CC1E9"/>
    <w:rsid w:val="27BBEB12"/>
    <w:rsid w:val="27E53A48"/>
    <w:rsid w:val="27E835DF"/>
    <w:rsid w:val="27ED1E86"/>
    <w:rsid w:val="27EE6A8E"/>
    <w:rsid w:val="27F05D3B"/>
    <w:rsid w:val="27F081C3"/>
    <w:rsid w:val="280E59EA"/>
    <w:rsid w:val="2828A306"/>
    <w:rsid w:val="28293B74"/>
    <w:rsid w:val="282B3705"/>
    <w:rsid w:val="284599DA"/>
    <w:rsid w:val="28564FA3"/>
    <w:rsid w:val="285F990A"/>
    <w:rsid w:val="286169C7"/>
    <w:rsid w:val="286E99DB"/>
    <w:rsid w:val="286EFEC7"/>
    <w:rsid w:val="28764D9A"/>
    <w:rsid w:val="287A6FED"/>
    <w:rsid w:val="2890B19F"/>
    <w:rsid w:val="289336B4"/>
    <w:rsid w:val="28943FB9"/>
    <w:rsid w:val="289D8384"/>
    <w:rsid w:val="28A1A740"/>
    <w:rsid w:val="28BC18F9"/>
    <w:rsid w:val="28D40EEC"/>
    <w:rsid w:val="28DC1956"/>
    <w:rsid w:val="28DE0764"/>
    <w:rsid w:val="28DF8A6E"/>
    <w:rsid w:val="28E5921A"/>
    <w:rsid w:val="28F3113D"/>
    <w:rsid w:val="29005165"/>
    <w:rsid w:val="290B5462"/>
    <w:rsid w:val="2913C15A"/>
    <w:rsid w:val="291BAD4F"/>
    <w:rsid w:val="2921A794"/>
    <w:rsid w:val="2921B381"/>
    <w:rsid w:val="29223372"/>
    <w:rsid w:val="292CE517"/>
    <w:rsid w:val="29301575"/>
    <w:rsid w:val="2930CE72"/>
    <w:rsid w:val="29314E74"/>
    <w:rsid w:val="29342177"/>
    <w:rsid w:val="293E294A"/>
    <w:rsid w:val="294547FB"/>
    <w:rsid w:val="29552CD1"/>
    <w:rsid w:val="296F3DC6"/>
    <w:rsid w:val="29762DF9"/>
    <w:rsid w:val="297AEB73"/>
    <w:rsid w:val="297CA167"/>
    <w:rsid w:val="297D79C1"/>
    <w:rsid w:val="2980AB68"/>
    <w:rsid w:val="299769FF"/>
    <w:rsid w:val="299F47D1"/>
    <w:rsid w:val="29A8B691"/>
    <w:rsid w:val="29AAA5F6"/>
    <w:rsid w:val="29BEABFB"/>
    <w:rsid w:val="29C2ED5C"/>
    <w:rsid w:val="29C67287"/>
    <w:rsid w:val="29C74B8A"/>
    <w:rsid w:val="29E2334E"/>
    <w:rsid w:val="29F8830C"/>
    <w:rsid w:val="29FFB36A"/>
    <w:rsid w:val="2A07F713"/>
    <w:rsid w:val="2A12DF5A"/>
    <w:rsid w:val="2A14B711"/>
    <w:rsid w:val="2A3B8227"/>
    <w:rsid w:val="2A428842"/>
    <w:rsid w:val="2A61980A"/>
    <w:rsid w:val="2A6697C7"/>
    <w:rsid w:val="2A78284A"/>
    <w:rsid w:val="2A838A8D"/>
    <w:rsid w:val="2A9F49BC"/>
    <w:rsid w:val="2AA359C6"/>
    <w:rsid w:val="2AB553F9"/>
    <w:rsid w:val="2ABA7CEA"/>
    <w:rsid w:val="2AC0EB30"/>
    <w:rsid w:val="2AC19BDE"/>
    <w:rsid w:val="2ADD85C6"/>
    <w:rsid w:val="2AE8DF68"/>
    <w:rsid w:val="2AEB8CF5"/>
    <w:rsid w:val="2AFEA0E8"/>
    <w:rsid w:val="2B00C2E5"/>
    <w:rsid w:val="2B1B8D2F"/>
    <w:rsid w:val="2B1C4C2A"/>
    <w:rsid w:val="2B27EB0A"/>
    <w:rsid w:val="2B45C4D5"/>
    <w:rsid w:val="2B4D23A8"/>
    <w:rsid w:val="2B4F01B3"/>
    <w:rsid w:val="2B50D8D3"/>
    <w:rsid w:val="2B53138F"/>
    <w:rsid w:val="2B539889"/>
    <w:rsid w:val="2B6F87E6"/>
    <w:rsid w:val="2B945E35"/>
    <w:rsid w:val="2BA38B86"/>
    <w:rsid w:val="2BA5126D"/>
    <w:rsid w:val="2BAEE44B"/>
    <w:rsid w:val="2BC3EB8A"/>
    <w:rsid w:val="2BCA2EB7"/>
    <w:rsid w:val="2BD245E6"/>
    <w:rsid w:val="2BDCFA09"/>
    <w:rsid w:val="2BE95BE9"/>
    <w:rsid w:val="2BEF8EFB"/>
    <w:rsid w:val="2BF16B10"/>
    <w:rsid w:val="2BF7075F"/>
    <w:rsid w:val="2BFB80A5"/>
    <w:rsid w:val="2C08C061"/>
    <w:rsid w:val="2C0E84F3"/>
    <w:rsid w:val="2C14A8FB"/>
    <w:rsid w:val="2C1D045D"/>
    <w:rsid w:val="2C208489"/>
    <w:rsid w:val="2C2254B0"/>
    <w:rsid w:val="2C2A4237"/>
    <w:rsid w:val="2C3A327C"/>
    <w:rsid w:val="2C424CEC"/>
    <w:rsid w:val="2C48925F"/>
    <w:rsid w:val="2C49BED8"/>
    <w:rsid w:val="2C4A9B5C"/>
    <w:rsid w:val="2C512DA9"/>
    <w:rsid w:val="2C55705A"/>
    <w:rsid w:val="2C59D0B8"/>
    <w:rsid w:val="2C656D04"/>
    <w:rsid w:val="2C69AF85"/>
    <w:rsid w:val="2C6ED8D6"/>
    <w:rsid w:val="2C8A9DE5"/>
    <w:rsid w:val="2C8B89BF"/>
    <w:rsid w:val="2C8D7505"/>
    <w:rsid w:val="2C9652E3"/>
    <w:rsid w:val="2CA4D3AB"/>
    <w:rsid w:val="2CA6619B"/>
    <w:rsid w:val="2CAE73D1"/>
    <w:rsid w:val="2CD3A16E"/>
    <w:rsid w:val="2CD4DED0"/>
    <w:rsid w:val="2CD50F1E"/>
    <w:rsid w:val="2CD8961C"/>
    <w:rsid w:val="2D130700"/>
    <w:rsid w:val="2D19770A"/>
    <w:rsid w:val="2D1F6AAE"/>
    <w:rsid w:val="2D20005A"/>
    <w:rsid w:val="2D4151F7"/>
    <w:rsid w:val="2D4C8F0A"/>
    <w:rsid w:val="2D5B11C7"/>
    <w:rsid w:val="2D68B177"/>
    <w:rsid w:val="2D6B8287"/>
    <w:rsid w:val="2D7064F9"/>
    <w:rsid w:val="2D8771F7"/>
    <w:rsid w:val="2D8A6F67"/>
    <w:rsid w:val="2D8F1844"/>
    <w:rsid w:val="2DA9A824"/>
    <w:rsid w:val="2DB29009"/>
    <w:rsid w:val="2DB75B24"/>
    <w:rsid w:val="2DBC477F"/>
    <w:rsid w:val="2DBD8B2C"/>
    <w:rsid w:val="2DCFABA7"/>
    <w:rsid w:val="2DD01B15"/>
    <w:rsid w:val="2DDF3BF7"/>
    <w:rsid w:val="2E00C8CD"/>
    <w:rsid w:val="2E3981F5"/>
    <w:rsid w:val="2E445A3A"/>
    <w:rsid w:val="2E49890B"/>
    <w:rsid w:val="2E5F6C48"/>
    <w:rsid w:val="2E649FAD"/>
    <w:rsid w:val="2E6533F3"/>
    <w:rsid w:val="2E7B2C9C"/>
    <w:rsid w:val="2E900DE7"/>
    <w:rsid w:val="2EA7B019"/>
    <w:rsid w:val="2EB125D2"/>
    <w:rsid w:val="2EB7BF7E"/>
    <w:rsid w:val="2EC62481"/>
    <w:rsid w:val="2EC7C203"/>
    <w:rsid w:val="2EC81381"/>
    <w:rsid w:val="2ECFCF34"/>
    <w:rsid w:val="2ED6C4BC"/>
    <w:rsid w:val="2EE5C071"/>
    <w:rsid w:val="2EF24FC1"/>
    <w:rsid w:val="2EF62C4D"/>
    <w:rsid w:val="2EF7AD76"/>
    <w:rsid w:val="2EF8BA31"/>
    <w:rsid w:val="2F0173A0"/>
    <w:rsid w:val="2F0878C0"/>
    <w:rsid w:val="2F1400E4"/>
    <w:rsid w:val="2F2284AE"/>
    <w:rsid w:val="2F2C2E42"/>
    <w:rsid w:val="2F2FDC42"/>
    <w:rsid w:val="2F64AB96"/>
    <w:rsid w:val="2F7EDE18"/>
    <w:rsid w:val="2F90FC8B"/>
    <w:rsid w:val="2F97E14D"/>
    <w:rsid w:val="2FC5669D"/>
    <w:rsid w:val="2FC6905B"/>
    <w:rsid w:val="2FEA40D2"/>
    <w:rsid w:val="2FED0530"/>
    <w:rsid w:val="2FFD3505"/>
    <w:rsid w:val="30018BE4"/>
    <w:rsid w:val="300CABB6"/>
    <w:rsid w:val="30310BEE"/>
    <w:rsid w:val="303B196B"/>
    <w:rsid w:val="303BC706"/>
    <w:rsid w:val="304031B7"/>
    <w:rsid w:val="30453930"/>
    <w:rsid w:val="304A5B3B"/>
    <w:rsid w:val="304A97C3"/>
    <w:rsid w:val="305AD33C"/>
    <w:rsid w:val="308189FD"/>
    <w:rsid w:val="30869C21"/>
    <w:rsid w:val="30B3DF3B"/>
    <w:rsid w:val="30BCF0EF"/>
    <w:rsid w:val="30D91A87"/>
    <w:rsid w:val="30E426EB"/>
    <w:rsid w:val="30F4A616"/>
    <w:rsid w:val="310E585C"/>
    <w:rsid w:val="3115D4D5"/>
    <w:rsid w:val="311B6425"/>
    <w:rsid w:val="3126477A"/>
    <w:rsid w:val="312CFA92"/>
    <w:rsid w:val="31376239"/>
    <w:rsid w:val="31420FA9"/>
    <w:rsid w:val="3148B28C"/>
    <w:rsid w:val="314FDC7C"/>
    <w:rsid w:val="315021BB"/>
    <w:rsid w:val="3150F70D"/>
    <w:rsid w:val="315B774A"/>
    <w:rsid w:val="31794EA0"/>
    <w:rsid w:val="317D7C85"/>
    <w:rsid w:val="317E0E4B"/>
    <w:rsid w:val="317EEF59"/>
    <w:rsid w:val="31822191"/>
    <w:rsid w:val="3189B45C"/>
    <w:rsid w:val="318C57CB"/>
    <w:rsid w:val="3190B46F"/>
    <w:rsid w:val="31A858BF"/>
    <w:rsid w:val="31D06107"/>
    <w:rsid w:val="31DA46C5"/>
    <w:rsid w:val="31EAA3AA"/>
    <w:rsid w:val="31F5E277"/>
    <w:rsid w:val="31F87B90"/>
    <w:rsid w:val="3209B5B2"/>
    <w:rsid w:val="320E030A"/>
    <w:rsid w:val="321AB9F4"/>
    <w:rsid w:val="3231AEFF"/>
    <w:rsid w:val="3232D0ED"/>
    <w:rsid w:val="32388BEB"/>
    <w:rsid w:val="324B95D0"/>
    <w:rsid w:val="325A0DB3"/>
    <w:rsid w:val="325B431B"/>
    <w:rsid w:val="325D78ED"/>
    <w:rsid w:val="32737526"/>
    <w:rsid w:val="327CF3A4"/>
    <w:rsid w:val="32807B24"/>
    <w:rsid w:val="32844BDF"/>
    <w:rsid w:val="328A634D"/>
    <w:rsid w:val="328FC881"/>
    <w:rsid w:val="3295C512"/>
    <w:rsid w:val="32B51CC2"/>
    <w:rsid w:val="32C433E5"/>
    <w:rsid w:val="32C56EA0"/>
    <w:rsid w:val="32CA7B0F"/>
    <w:rsid w:val="32D7D5B1"/>
    <w:rsid w:val="32DA257A"/>
    <w:rsid w:val="32DC1997"/>
    <w:rsid w:val="32E12486"/>
    <w:rsid w:val="330BD438"/>
    <w:rsid w:val="330D1366"/>
    <w:rsid w:val="33409C35"/>
    <w:rsid w:val="334F595F"/>
    <w:rsid w:val="3352A8DE"/>
    <w:rsid w:val="3367AC48"/>
    <w:rsid w:val="3375C111"/>
    <w:rsid w:val="337AB81F"/>
    <w:rsid w:val="338E08B0"/>
    <w:rsid w:val="33A3B951"/>
    <w:rsid w:val="33A42BB1"/>
    <w:rsid w:val="33B8EB2D"/>
    <w:rsid w:val="33C94E04"/>
    <w:rsid w:val="33CEE433"/>
    <w:rsid w:val="33D572B2"/>
    <w:rsid w:val="33D97C34"/>
    <w:rsid w:val="33E0B8E0"/>
    <w:rsid w:val="33FE3061"/>
    <w:rsid w:val="34167F61"/>
    <w:rsid w:val="341744DA"/>
    <w:rsid w:val="342D4198"/>
    <w:rsid w:val="342F2CB6"/>
    <w:rsid w:val="3432D00F"/>
    <w:rsid w:val="3438589D"/>
    <w:rsid w:val="343B5976"/>
    <w:rsid w:val="3459AEC5"/>
    <w:rsid w:val="34635999"/>
    <w:rsid w:val="3463C6AF"/>
    <w:rsid w:val="3470695F"/>
    <w:rsid w:val="3473AF96"/>
    <w:rsid w:val="3493B2C9"/>
    <w:rsid w:val="3497CC4D"/>
    <w:rsid w:val="34BBD93C"/>
    <w:rsid w:val="34C6C858"/>
    <w:rsid w:val="34C77AED"/>
    <w:rsid w:val="34D1E91D"/>
    <w:rsid w:val="34D889DE"/>
    <w:rsid w:val="34D8A948"/>
    <w:rsid w:val="34D92B50"/>
    <w:rsid w:val="34DFEBF9"/>
    <w:rsid w:val="34E7FA1B"/>
    <w:rsid w:val="34F274CA"/>
    <w:rsid w:val="34F49D2F"/>
    <w:rsid w:val="34F9AF8F"/>
    <w:rsid w:val="35428057"/>
    <w:rsid w:val="35452418"/>
    <w:rsid w:val="357B8520"/>
    <w:rsid w:val="35861B03"/>
    <w:rsid w:val="3599A934"/>
    <w:rsid w:val="35ADC798"/>
    <w:rsid w:val="35B00AAA"/>
    <w:rsid w:val="35D6F0A5"/>
    <w:rsid w:val="35D928B9"/>
    <w:rsid w:val="35E1D73F"/>
    <w:rsid w:val="35EF2111"/>
    <w:rsid w:val="35F081AD"/>
    <w:rsid w:val="35F6DB3B"/>
    <w:rsid w:val="35FD24CD"/>
    <w:rsid w:val="36113059"/>
    <w:rsid w:val="3625633D"/>
    <w:rsid w:val="362CBBA6"/>
    <w:rsid w:val="3649664F"/>
    <w:rsid w:val="364AC785"/>
    <w:rsid w:val="364F99C5"/>
    <w:rsid w:val="366CF998"/>
    <w:rsid w:val="36786D52"/>
    <w:rsid w:val="36911989"/>
    <w:rsid w:val="36AC8240"/>
    <w:rsid w:val="36C48C7A"/>
    <w:rsid w:val="36C5187A"/>
    <w:rsid w:val="36D09B38"/>
    <w:rsid w:val="36D3BB70"/>
    <w:rsid w:val="36DA4A35"/>
    <w:rsid w:val="37006818"/>
    <w:rsid w:val="3702165A"/>
    <w:rsid w:val="3730B915"/>
    <w:rsid w:val="374B71F2"/>
    <w:rsid w:val="375AD6B8"/>
    <w:rsid w:val="375DD8D6"/>
    <w:rsid w:val="377D2A0D"/>
    <w:rsid w:val="377F93CA"/>
    <w:rsid w:val="37889E9E"/>
    <w:rsid w:val="378D0515"/>
    <w:rsid w:val="3795E8FE"/>
    <w:rsid w:val="37A5BA1C"/>
    <w:rsid w:val="37B77C35"/>
    <w:rsid w:val="37CB33B8"/>
    <w:rsid w:val="37D8F437"/>
    <w:rsid w:val="37DFD90B"/>
    <w:rsid w:val="37E875C3"/>
    <w:rsid w:val="37FBBD3C"/>
    <w:rsid w:val="381068EA"/>
    <w:rsid w:val="3832ECCD"/>
    <w:rsid w:val="383786AA"/>
    <w:rsid w:val="38472692"/>
    <w:rsid w:val="3851760E"/>
    <w:rsid w:val="385C268D"/>
    <w:rsid w:val="38662BBF"/>
    <w:rsid w:val="386FF438"/>
    <w:rsid w:val="388C0A0B"/>
    <w:rsid w:val="38A19524"/>
    <w:rsid w:val="38A79A7B"/>
    <w:rsid w:val="38B051B4"/>
    <w:rsid w:val="38B09958"/>
    <w:rsid w:val="38B3DBCF"/>
    <w:rsid w:val="38C0E5E4"/>
    <w:rsid w:val="38D695C1"/>
    <w:rsid w:val="38D745D7"/>
    <w:rsid w:val="38E2AD2A"/>
    <w:rsid w:val="38F1C766"/>
    <w:rsid w:val="38F4244B"/>
    <w:rsid w:val="38F4331D"/>
    <w:rsid w:val="38FA56E1"/>
    <w:rsid w:val="3901DC06"/>
    <w:rsid w:val="3907CB2A"/>
    <w:rsid w:val="391134E9"/>
    <w:rsid w:val="391CC505"/>
    <w:rsid w:val="3930695D"/>
    <w:rsid w:val="3937D524"/>
    <w:rsid w:val="3938F3FB"/>
    <w:rsid w:val="3941FD55"/>
    <w:rsid w:val="39424BD1"/>
    <w:rsid w:val="394E1A97"/>
    <w:rsid w:val="3958F69A"/>
    <w:rsid w:val="395A9959"/>
    <w:rsid w:val="395BAD8E"/>
    <w:rsid w:val="3973AE24"/>
    <w:rsid w:val="3973BEA4"/>
    <w:rsid w:val="3977E691"/>
    <w:rsid w:val="397E9611"/>
    <w:rsid w:val="3991F452"/>
    <w:rsid w:val="39A55A40"/>
    <w:rsid w:val="39B7DC55"/>
    <w:rsid w:val="39BD0799"/>
    <w:rsid w:val="39C12649"/>
    <w:rsid w:val="39C5D637"/>
    <w:rsid w:val="39CAE86A"/>
    <w:rsid w:val="39DE017A"/>
    <w:rsid w:val="39E661EF"/>
    <w:rsid w:val="39EA1806"/>
    <w:rsid w:val="39FD9238"/>
    <w:rsid w:val="3A1CAF55"/>
    <w:rsid w:val="3A2265C3"/>
    <w:rsid w:val="3A2DEC29"/>
    <w:rsid w:val="3A31EE26"/>
    <w:rsid w:val="3A39FC32"/>
    <w:rsid w:val="3A4C4D18"/>
    <w:rsid w:val="3A510C3A"/>
    <w:rsid w:val="3A635196"/>
    <w:rsid w:val="3A7120A2"/>
    <w:rsid w:val="3A7BEFDD"/>
    <w:rsid w:val="3A8D7202"/>
    <w:rsid w:val="3A8F56FC"/>
    <w:rsid w:val="3A95D9BF"/>
    <w:rsid w:val="3AD0944F"/>
    <w:rsid w:val="3ADFD1CB"/>
    <w:rsid w:val="3AF07B81"/>
    <w:rsid w:val="3AF5A332"/>
    <w:rsid w:val="3AF7334A"/>
    <w:rsid w:val="3AFDFECA"/>
    <w:rsid w:val="3B04AF7B"/>
    <w:rsid w:val="3B0F7645"/>
    <w:rsid w:val="3B1EF433"/>
    <w:rsid w:val="3B352EC3"/>
    <w:rsid w:val="3B5D5EEE"/>
    <w:rsid w:val="3B82D181"/>
    <w:rsid w:val="3B82FD62"/>
    <w:rsid w:val="3B96CDFA"/>
    <w:rsid w:val="3B9E3772"/>
    <w:rsid w:val="3BA2D820"/>
    <w:rsid w:val="3BB7897E"/>
    <w:rsid w:val="3BBC10C7"/>
    <w:rsid w:val="3BC25974"/>
    <w:rsid w:val="3BCFD6A8"/>
    <w:rsid w:val="3BD18EB5"/>
    <w:rsid w:val="3BE0752A"/>
    <w:rsid w:val="3C0DAE8B"/>
    <w:rsid w:val="3C1E6A82"/>
    <w:rsid w:val="3C2A22E8"/>
    <w:rsid w:val="3C395174"/>
    <w:rsid w:val="3C5B4C41"/>
    <w:rsid w:val="3C6759DF"/>
    <w:rsid w:val="3C6FA4D5"/>
    <w:rsid w:val="3C8613C9"/>
    <w:rsid w:val="3C87C656"/>
    <w:rsid w:val="3C886025"/>
    <w:rsid w:val="3C99F2EC"/>
    <w:rsid w:val="3C9EA68C"/>
    <w:rsid w:val="3CC3D450"/>
    <w:rsid w:val="3CC6C671"/>
    <w:rsid w:val="3CD72257"/>
    <w:rsid w:val="3CDE3F04"/>
    <w:rsid w:val="3CFE0681"/>
    <w:rsid w:val="3CFEE7F5"/>
    <w:rsid w:val="3D0BF9CD"/>
    <w:rsid w:val="3D4D8F79"/>
    <w:rsid w:val="3D4EA218"/>
    <w:rsid w:val="3D562964"/>
    <w:rsid w:val="3D56A043"/>
    <w:rsid w:val="3D5A652A"/>
    <w:rsid w:val="3D5A97BA"/>
    <w:rsid w:val="3D944219"/>
    <w:rsid w:val="3DB10B58"/>
    <w:rsid w:val="3DBFE640"/>
    <w:rsid w:val="3DC889DA"/>
    <w:rsid w:val="3DDF396F"/>
    <w:rsid w:val="3DE131DC"/>
    <w:rsid w:val="3DE5B7AD"/>
    <w:rsid w:val="3DEC0455"/>
    <w:rsid w:val="3DED9DE6"/>
    <w:rsid w:val="3DF5E9AF"/>
    <w:rsid w:val="3E08C7DA"/>
    <w:rsid w:val="3E0C75D1"/>
    <w:rsid w:val="3E202514"/>
    <w:rsid w:val="3E20C767"/>
    <w:rsid w:val="3E3EA94B"/>
    <w:rsid w:val="3E572405"/>
    <w:rsid w:val="3E6383E6"/>
    <w:rsid w:val="3E655F3B"/>
    <w:rsid w:val="3E70324B"/>
    <w:rsid w:val="3E82B127"/>
    <w:rsid w:val="3E849792"/>
    <w:rsid w:val="3E880473"/>
    <w:rsid w:val="3E8A0142"/>
    <w:rsid w:val="3E8FE274"/>
    <w:rsid w:val="3E92BB95"/>
    <w:rsid w:val="3E9CC25F"/>
    <w:rsid w:val="3EA2A72C"/>
    <w:rsid w:val="3EACE3E8"/>
    <w:rsid w:val="3EB4778C"/>
    <w:rsid w:val="3EB75ACC"/>
    <w:rsid w:val="3EBE9925"/>
    <w:rsid w:val="3EC5EFD1"/>
    <w:rsid w:val="3EEE068F"/>
    <w:rsid w:val="3F00A327"/>
    <w:rsid w:val="3F32D168"/>
    <w:rsid w:val="3F658081"/>
    <w:rsid w:val="3F696C2A"/>
    <w:rsid w:val="3F72BE37"/>
    <w:rsid w:val="3F7F4980"/>
    <w:rsid w:val="3F8E7530"/>
    <w:rsid w:val="3F913E6C"/>
    <w:rsid w:val="3FA3B22D"/>
    <w:rsid w:val="3FA71F86"/>
    <w:rsid w:val="3FDD2AEF"/>
    <w:rsid w:val="3FE1FF8E"/>
    <w:rsid w:val="3FE4C64D"/>
    <w:rsid w:val="3FE9D715"/>
    <w:rsid w:val="3FFC0317"/>
    <w:rsid w:val="4007FF54"/>
    <w:rsid w:val="40096491"/>
    <w:rsid w:val="400E482E"/>
    <w:rsid w:val="4026BDB6"/>
    <w:rsid w:val="4034B98F"/>
    <w:rsid w:val="404A1D6A"/>
    <w:rsid w:val="4053B51A"/>
    <w:rsid w:val="405FC9DA"/>
    <w:rsid w:val="4071C751"/>
    <w:rsid w:val="407324BA"/>
    <w:rsid w:val="40743B63"/>
    <w:rsid w:val="407C0E6A"/>
    <w:rsid w:val="408818F7"/>
    <w:rsid w:val="40900B29"/>
    <w:rsid w:val="40950659"/>
    <w:rsid w:val="40AB154A"/>
    <w:rsid w:val="40AF36BF"/>
    <w:rsid w:val="40BA1AAD"/>
    <w:rsid w:val="40CCAD94"/>
    <w:rsid w:val="40D0932F"/>
    <w:rsid w:val="40DD56AC"/>
    <w:rsid w:val="40E73F09"/>
    <w:rsid w:val="40F0AB17"/>
    <w:rsid w:val="40FA8554"/>
    <w:rsid w:val="4114394A"/>
    <w:rsid w:val="411B5572"/>
    <w:rsid w:val="4129871F"/>
    <w:rsid w:val="4136ED99"/>
    <w:rsid w:val="41457B81"/>
    <w:rsid w:val="414CD541"/>
    <w:rsid w:val="416EF275"/>
    <w:rsid w:val="4180A80C"/>
    <w:rsid w:val="41839734"/>
    <w:rsid w:val="4185A9B0"/>
    <w:rsid w:val="4185CC83"/>
    <w:rsid w:val="418AE8D4"/>
    <w:rsid w:val="4193CFE0"/>
    <w:rsid w:val="4197A9C8"/>
    <w:rsid w:val="41ABF4C2"/>
    <w:rsid w:val="41B22448"/>
    <w:rsid w:val="41B787D2"/>
    <w:rsid w:val="41BD240A"/>
    <w:rsid w:val="41C6A795"/>
    <w:rsid w:val="41C959BD"/>
    <w:rsid w:val="41CA2711"/>
    <w:rsid w:val="41CB47A6"/>
    <w:rsid w:val="41DB092E"/>
    <w:rsid w:val="41DB3461"/>
    <w:rsid w:val="41DD5DF2"/>
    <w:rsid w:val="41E0C6FE"/>
    <w:rsid w:val="41EB2C28"/>
    <w:rsid w:val="41FC8627"/>
    <w:rsid w:val="41FFF789"/>
    <w:rsid w:val="4204AA26"/>
    <w:rsid w:val="420C8DDF"/>
    <w:rsid w:val="420FF17C"/>
    <w:rsid w:val="421C6EA7"/>
    <w:rsid w:val="423668A5"/>
    <w:rsid w:val="4260B74C"/>
    <w:rsid w:val="426326AD"/>
    <w:rsid w:val="42694D68"/>
    <w:rsid w:val="4286E0E6"/>
    <w:rsid w:val="4287E59C"/>
    <w:rsid w:val="4289ECC0"/>
    <w:rsid w:val="428B6F87"/>
    <w:rsid w:val="42987FEB"/>
    <w:rsid w:val="429D7D6A"/>
    <w:rsid w:val="42A6EA29"/>
    <w:rsid w:val="42BFF6C5"/>
    <w:rsid w:val="42CAA333"/>
    <w:rsid w:val="42D70A32"/>
    <w:rsid w:val="42E8616A"/>
    <w:rsid w:val="42E9A017"/>
    <w:rsid w:val="42F5F912"/>
    <w:rsid w:val="42F91EB3"/>
    <w:rsid w:val="43419346"/>
    <w:rsid w:val="43553A25"/>
    <w:rsid w:val="435A75F0"/>
    <w:rsid w:val="4366307D"/>
    <w:rsid w:val="436E234D"/>
    <w:rsid w:val="4371DCBB"/>
    <w:rsid w:val="43745B8C"/>
    <w:rsid w:val="43866D93"/>
    <w:rsid w:val="43AE14A3"/>
    <w:rsid w:val="43C4263F"/>
    <w:rsid w:val="43DE4CBF"/>
    <w:rsid w:val="43EF9647"/>
    <w:rsid w:val="43F4DB6E"/>
    <w:rsid w:val="43FD118F"/>
    <w:rsid w:val="43FD856C"/>
    <w:rsid w:val="44006ABD"/>
    <w:rsid w:val="442403B5"/>
    <w:rsid w:val="442B3736"/>
    <w:rsid w:val="442C879C"/>
    <w:rsid w:val="44320B34"/>
    <w:rsid w:val="443661AF"/>
    <w:rsid w:val="4436BE12"/>
    <w:rsid w:val="443B3B9B"/>
    <w:rsid w:val="44443177"/>
    <w:rsid w:val="444AECEA"/>
    <w:rsid w:val="446739AE"/>
    <w:rsid w:val="44758B59"/>
    <w:rsid w:val="448194C7"/>
    <w:rsid w:val="4483FB7E"/>
    <w:rsid w:val="4489B5A6"/>
    <w:rsid w:val="448E6845"/>
    <w:rsid w:val="44992EBB"/>
    <w:rsid w:val="449FB270"/>
    <w:rsid w:val="44ABF291"/>
    <w:rsid w:val="44AF122C"/>
    <w:rsid w:val="44AF286A"/>
    <w:rsid w:val="44BE628F"/>
    <w:rsid w:val="44DACB97"/>
    <w:rsid w:val="44E2A7D8"/>
    <w:rsid w:val="4507D89A"/>
    <w:rsid w:val="4509B7CE"/>
    <w:rsid w:val="450C2682"/>
    <w:rsid w:val="451AFDDF"/>
    <w:rsid w:val="4522FD59"/>
    <w:rsid w:val="453181CE"/>
    <w:rsid w:val="454AE495"/>
    <w:rsid w:val="455A6809"/>
    <w:rsid w:val="4563A599"/>
    <w:rsid w:val="4566D1F0"/>
    <w:rsid w:val="456D0F8D"/>
    <w:rsid w:val="456F7FEA"/>
    <w:rsid w:val="4582EB72"/>
    <w:rsid w:val="45C44F8C"/>
    <w:rsid w:val="45C852C9"/>
    <w:rsid w:val="45DBE1D0"/>
    <w:rsid w:val="45E6DDEC"/>
    <w:rsid w:val="460451D7"/>
    <w:rsid w:val="460F0DC3"/>
    <w:rsid w:val="46152AFC"/>
    <w:rsid w:val="461B0092"/>
    <w:rsid w:val="461B5D7C"/>
    <w:rsid w:val="462FCD08"/>
    <w:rsid w:val="46337B91"/>
    <w:rsid w:val="4639B83B"/>
    <w:rsid w:val="46443F14"/>
    <w:rsid w:val="46733C31"/>
    <w:rsid w:val="468AD2B6"/>
    <w:rsid w:val="46962F7A"/>
    <w:rsid w:val="46A91087"/>
    <w:rsid w:val="46B3DD20"/>
    <w:rsid w:val="46BC52AC"/>
    <w:rsid w:val="46C0A7A3"/>
    <w:rsid w:val="46D68F23"/>
    <w:rsid w:val="46DD75C3"/>
    <w:rsid w:val="46E518D3"/>
    <w:rsid w:val="46E6E977"/>
    <w:rsid w:val="471A3D40"/>
    <w:rsid w:val="4721222A"/>
    <w:rsid w:val="472765C2"/>
    <w:rsid w:val="474B5FD2"/>
    <w:rsid w:val="474E3686"/>
    <w:rsid w:val="4758296C"/>
    <w:rsid w:val="4759E55F"/>
    <w:rsid w:val="477508D5"/>
    <w:rsid w:val="478E0D6A"/>
    <w:rsid w:val="479F6449"/>
    <w:rsid w:val="47A80FEC"/>
    <w:rsid w:val="47AAD75A"/>
    <w:rsid w:val="47ADD94B"/>
    <w:rsid w:val="47BE871B"/>
    <w:rsid w:val="47C23F7D"/>
    <w:rsid w:val="47D7F96B"/>
    <w:rsid w:val="47F21723"/>
    <w:rsid w:val="48001CA3"/>
    <w:rsid w:val="48168FAD"/>
    <w:rsid w:val="482A646B"/>
    <w:rsid w:val="482B4919"/>
    <w:rsid w:val="482C41BD"/>
    <w:rsid w:val="483CB20D"/>
    <w:rsid w:val="484338F1"/>
    <w:rsid w:val="485B422B"/>
    <w:rsid w:val="48834AD3"/>
    <w:rsid w:val="488972DE"/>
    <w:rsid w:val="488B8EF5"/>
    <w:rsid w:val="489E53F9"/>
    <w:rsid w:val="48A01352"/>
    <w:rsid w:val="48A49F3E"/>
    <w:rsid w:val="48A6AFCE"/>
    <w:rsid w:val="48AE7172"/>
    <w:rsid w:val="48B9CA8B"/>
    <w:rsid w:val="48BD2C18"/>
    <w:rsid w:val="48D30402"/>
    <w:rsid w:val="48D8C644"/>
    <w:rsid w:val="48DDC8EE"/>
    <w:rsid w:val="48DE46B2"/>
    <w:rsid w:val="48DF33B8"/>
    <w:rsid w:val="48F6F17B"/>
    <w:rsid w:val="48FA1FA9"/>
    <w:rsid w:val="48FF4B17"/>
    <w:rsid w:val="490D9303"/>
    <w:rsid w:val="4926DAFB"/>
    <w:rsid w:val="492B80FE"/>
    <w:rsid w:val="492EC255"/>
    <w:rsid w:val="4933E8BE"/>
    <w:rsid w:val="494AACCC"/>
    <w:rsid w:val="4952B091"/>
    <w:rsid w:val="495D4815"/>
    <w:rsid w:val="495F01C8"/>
    <w:rsid w:val="49603D72"/>
    <w:rsid w:val="496DFF9A"/>
    <w:rsid w:val="497539AD"/>
    <w:rsid w:val="497D000E"/>
    <w:rsid w:val="497D3358"/>
    <w:rsid w:val="497E89C1"/>
    <w:rsid w:val="49859EE0"/>
    <w:rsid w:val="49B3D5E4"/>
    <w:rsid w:val="49C13E0D"/>
    <w:rsid w:val="49D386E6"/>
    <w:rsid w:val="49D4DCA6"/>
    <w:rsid w:val="49D64D78"/>
    <w:rsid w:val="49E0B4C6"/>
    <w:rsid w:val="49FF0B65"/>
    <w:rsid w:val="4A0134AC"/>
    <w:rsid w:val="4A0BBDE1"/>
    <w:rsid w:val="4A0DF62C"/>
    <w:rsid w:val="4A3345CC"/>
    <w:rsid w:val="4A36C35A"/>
    <w:rsid w:val="4A3E11AD"/>
    <w:rsid w:val="4A4464D0"/>
    <w:rsid w:val="4A53285D"/>
    <w:rsid w:val="4A6F3752"/>
    <w:rsid w:val="4A81AE61"/>
    <w:rsid w:val="4A85DBF2"/>
    <w:rsid w:val="4A86B90D"/>
    <w:rsid w:val="4AB799D0"/>
    <w:rsid w:val="4AB85293"/>
    <w:rsid w:val="4AC08493"/>
    <w:rsid w:val="4AC71420"/>
    <w:rsid w:val="4ACF3C3B"/>
    <w:rsid w:val="4AD826DB"/>
    <w:rsid w:val="4ADB527C"/>
    <w:rsid w:val="4AEBFC0B"/>
    <w:rsid w:val="4AF788C6"/>
    <w:rsid w:val="4AF85A27"/>
    <w:rsid w:val="4B0385CB"/>
    <w:rsid w:val="4B0B79AF"/>
    <w:rsid w:val="4B158F3F"/>
    <w:rsid w:val="4B1E8408"/>
    <w:rsid w:val="4B39E073"/>
    <w:rsid w:val="4B3A8107"/>
    <w:rsid w:val="4B4AD8BF"/>
    <w:rsid w:val="4B58B83C"/>
    <w:rsid w:val="4B6853D8"/>
    <w:rsid w:val="4B6A750C"/>
    <w:rsid w:val="4B841415"/>
    <w:rsid w:val="4B8D038D"/>
    <w:rsid w:val="4B92748B"/>
    <w:rsid w:val="4B99CD21"/>
    <w:rsid w:val="4BA172B7"/>
    <w:rsid w:val="4BAC8466"/>
    <w:rsid w:val="4BBB07B2"/>
    <w:rsid w:val="4BBBB3F1"/>
    <w:rsid w:val="4BCA6B2D"/>
    <w:rsid w:val="4BCF507B"/>
    <w:rsid w:val="4BD9EAB4"/>
    <w:rsid w:val="4BEA94CC"/>
    <w:rsid w:val="4BFCC3DE"/>
    <w:rsid w:val="4BFD9349"/>
    <w:rsid w:val="4C17CC67"/>
    <w:rsid w:val="4C1E0098"/>
    <w:rsid w:val="4C2CB060"/>
    <w:rsid w:val="4C2D237A"/>
    <w:rsid w:val="4C32E471"/>
    <w:rsid w:val="4C41D807"/>
    <w:rsid w:val="4C59B36F"/>
    <w:rsid w:val="4C7AD3C5"/>
    <w:rsid w:val="4C7C7782"/>
    <w:rsid w:val="4C7E2F63"/>
    <w:rsid w:val="4C80380C"/>
    <w:rsid w:val="4C838CB4"/>
    <w:rsid w:val="4CBF9EBB"/>
    <w:rsid w:val="4CC9F446"/>
    <w:rsid w:val="4CF0F247"/>
    <w:rsid w:val="4D25889B"/>
    <w:rsid w:val="4D32BD5F"/>
    <w:rsid w:val="4D34BBD7"/>
    <w:rsid w:val="4D486116"/>
    <w:rsid w:val="4D6B5112"/>
    <w:rsid w:val="4D7F8F54"/>
    <w:rsid w:val="4D85D4E9"/>
    <w:rsid w:val="4D87D876"/>
    <w:rsid w:val="4DAF330D"/>
    <w:rsid w:val="4DB1AEDA"/>
    <w:rsid w:val="4DB78785"/>
    <w:rsid w:val="4DC94785"/>
    <w:rsid w:val="4DC9CD5F"/>
    <w:rsid w:val="4DE6BAF0"/>
    <w:rsid w:val="4DF31BAA"/>
    <w:rsid w:val="4DFF6293"/>
    <w:rsid w:val="4DFFE08B"/>
    <w:rsid w:val="4E080000"/>
    <w:rsid w:val="4E0C4D78"/>
    <w:rsid w:val="4E201BEA"/>
    <w:rsid w:val="4E2031F6"/>
    <w:rsid w:val="4E324E17"/>
    <w:rsid w:val="4E332E63"/>
    <w:rsid w:val="4E3473ED"/>
    <w:rsid w:val="4E3B6CAA"/>
    <w:rsid w:val="4E4F0B39"/>
    <w:rsid w:val="4E537D3B"/>
    <w:rsid w:val="4E5BA0C7"/>
    <w:rsid w:val="4E5D8BC6"/>
    <w:rsid w:val="4E63E5EE"/>
    <w:rsid w:val="4E6E893A"/>
    <w:rsid w:val="4E77E3C5"/>
    <w:rsid w:val="4E8223D5"/>
    <w:rsid w:val="4E90C357"/>
    <w:rsid w:val="4E92C946"/>
    <w:rsid w:val="4E9B0911"/>
    <w:rsid w:val="4EB02ECB"/>
    <w:rsid w:val="4EBDBF60"/>
    <w:rsid w:val="4EC0458B"/>
    <w:rsid w:val="4EC08C35"/>
    <w:rsid w:val="4EC6C145"/>
    <w:rsid w:val="4EE04302"/>
    <w:rsid w:val="4EE8E2E6"/>
    <w:rsid w:val="4F010DA8"/>
    <w:rsid w:val="4F21DAC4"/>
    <w:rsid w:val="4F226667"/>
    <w:rsid w:val="4F25A9E8"/>
    <w:rsid w:val="4F2BEB40"/>
    <w:rsid w:val="4F35BBE8"/>
    <w:rsid w:val="4F360B28"/>
    <w:rsid w:val="4F443629"/>
    <w:rsid w:val="4F5E68FE"/>
    <w:rsid w:val="4F6240DB"/>
    <w:rsid w:val="4F64117A"/>
    <w:rsid w:val="4F655266"/>
    <w:rsid w:val="4F7D645D"/>
    <w:rsid w:val="4F8785C5"/>
    <w:rsid w:val="4F8A9FA6"/>
    <w:rsid w:val="4F9BC05A"/>
    <w:rsid w:val="4FB16BF8"/>
    <w:rsid w:val="4FB44E9C"/>
    <w:rsid w:val="4FBE2B42"/>
    <w:rsid w:val="4FCBC4B5"/>
    <w:rsid w:val="4FE0CE45"/>
    <w:rsid w:val="50258B06"/>
    <w:rsid w:val="5037090F"/>
    <w:rsid w:val="5048D037"/>
    <w:rsid w:val="504F4C17"/>
    <w:rsid w:val="50573ECC"/>
    <w:rsid w:val="505FD7DA"/>
    <w:rsid w:val="5064F4AD"/>
    <w:rsid w:val="507D103B"/>
    <w:rsid w:val="507D8164"/>
    <w:rsid w:val="507F0551"/>
    <w:rsid w:val="509BCF5D"/>
    <w:rsid w:val="50A00C2B"/>
    <w:rsid w:val="50AC5255"/>
    <w:rsid w:val="50BF5D04"/>
    <w:rsid w:val="50BFCAC1"/>
    <w:rsid w:val="50E545A1"/>
    <w:rsid w:val="50EF656D"/>
    <w:rsid w:val="50F8DE94"/>
    <w:rsid w:val="50F99444"/>
    <w:rsid w:val="51165D18"/>
    <w:rsid w:val="511B259C"/>
    <w:rsid w:val="511BD9BF"/>
    <w:rsid w:val="5129ABCB"/>
    <w:rsid w:val="512EC63B"/>
    <w:rsid w:val="513A2CB1"/>
    <w:rsid w:val="514A7EBB"/>
    <w:rsid w:val="51568CAB"/>
    <w:rsid w:val="5162056D"/>
    <w:rsid w:val="5162B409"/>
    <w:rsid w:val="51672B0A"/>
    <w:rsid w:val="518AD436"/>
    <w:rsid w:val="518DD574"/>
    <w:rsid w:val="5197FC2A"/>
    <w:rsid w:val="519A674E"/>
    <w:rsid w:val="519E7F61"/>
    <w:rsid w:val="51A35D1B"/>
    <w:rsid w:val="51C0E08F"/>
    <w:rsid w:val="51C18DCB"/>
    <w:rsid w:val="51C9D2C0"/>
    <w:rsid w:val="51CA2258"/>
    <w:rsid w:val="51CC02E5"/>
    <w:rsid w:val="51DA6C21"/>
    <w:rsid w:val="51DF2E96"/>
    <w:rsid w:val="51E8B5BB"/>
    <w:rsid w:val="51F16238"/>
    <w:rsid w:val="51FD6CB8"/>
    <w:rsid w:val="5221B9FE"/>
    <w:rsid w:val="52264669"/>
    <w:rsid w:val="522EEDED"/>
    <w:rsid w:val="52326897"/>
    <w:rsid w:val="52467B0F"/>
    <w:rsid w:val="52469690"/>
    <w:rsid w:val="5257D35C"/>
    <w:rsid w:val="525868BD"/>
    <w:rsid w:val="526475CE"/>
    <w:rsid w:val="5275C2F8"/>
    <w:rsid w:val="5279FB64"/>
    <w:rsid w:val="5293951D"/>
    <w:rsid w:val="529B79C0"/>
    <w:rsid w:val="52A81765"/>
    <w:rsid w:val="52ABCAF3"/>
    <w:rsid w:val="52B48DA0"/>
    <w:rsid w:val="52BD199D"/>
    <w:rsid w:val="52C4D331"/>
    <w:rsid w:val="52D71206"/>
    <w:rsid w:val="52EA0962"/>
    <w:rsid w:val="52F217DB"/>
    <w:rsid w:val="530C659C"/>
    <w:rsid w:val="53122BC5"/>
    <w:rsid w:val="53248B9D"/>
    <w:rsid w:val="5326C765"/>
    <w:rsid w:val="532AF7A2"/>
    <w:rsid w:val="532C02BF"/>
    <w:rsid w:val="533935CA"/>
    <w:rsid w:val="533AC41C"/>
    <w:rsid w:val="533B56F1"/>
    <w:rsid w:val="53410727"/>
    <w:rsid w:val="535B4428"/>
    <w:rsid w:val="535DC3D7"/>
    <w:rsid w:val="53601DAF"/>
    <w:rsid w:val="5376F1AD"/>
    <w:rsid w:val="5379FFAE"/>
    <w:rsid w:val="537E76CB"/>
    <w:rsid w:val="5389AA98"/>
    <w:rsid w:val="538C8F3A"/>
    <w:rsid w:val="539638BF"/>
    <w:rsid w:val="53994E4F"/>
    <w:rsid w:val="53A55AE7"/>
    <w:rsid w:val="53A62B5B"/>
    <w:rsid w:val="53AB24C3"/>
    <w:rsid w:val="53B53DB1"/>
    <w:rsid w:val="53BE52BF"/>
    <w:rsid w:val="53C9E7D7"/>
    <w:rsid w:val="53D0EB01"/>
    <w:rsid w:val="53D77EEF"/>
    <w:rsid w:val="53E07E2C"/>
    <w:rsid w:val="53EABA7D"/>
    <w:rsid w:val="54151038"/>
    <w:rsid w:val="541DADEF"/>
    <w:rsid w:val="5428C0C1"/>
    <w:rsid w:val="5431DA21"/>
    <w:rsid w:val="54323040"/>
    <w:rsid w:val="54358B96"/>
    <w:rsid w:val="543F60D6"/>
    <w:rsid w:val="544811BE"/>
    <w:rsid w:val="54666459"/>
    <w:rsid w:val="54752D88"/>
    <w:rsid w:val="5477CCD8"/>
    <w:rsid w:val="547DD670"/>
    <w:rsid w:val="549B9C43"/>
    <w:rsid w:val="54A1E7D9"/>
    <w:rsid w:val="54B4AFB7"/>
    <w:rsid w:val="54C5A702"/>
    <w:rsid w:val="54D20810"/>
    <w:rsid w:val="54D451A5"/>
    <w:rsid w:val="54D6972B"/>
    <w:rsid w:val="54D71069"/>
    <w:rsid w:val="54E34DA0"/>
    <w:rsid w:val="54FE30B1"/>
    <w:rsid w:val="551821B7"/>
    <w:rsid w:val="55211BA0"/>
    <w:rsid w:val="553A4FC1"/>
    <w:rsid w:val="55417AD2"/>
    <w:rsid w:val="5559F89B"/>
    <w:rsid w:val="556BF472"/>
    <w:rsid w:val="556F5886"/>
    <w:rsid w:val="5575AE68"/>
    <w:rsid w:val="55839EB0"/>
    <w:rsid w:val="5591B849"/>
    <w:rsid w:val="55977185"/>
    <w:rsid w:val="559D2F89"/>
    <w:rsid w:val="55A38BBE"/>
    <w:rsid w:val="55A78829"/>
    <w:rsid w:val="55AAB6AC"/>
    <w:rsid w:val="55AC296F"/>
    <w:rsid w:val="55BA60BC"/>
    <w:rsid w:val="55BB0827"/>
    <w:rsid w:val="55C8D1CA"/>
    <w:rsid w:val="55D0C7F7"/>
    <w:rsid w:val="55D47694"/>
    <w:rsid w:val="55D8B280"/>
    <w:rsid w:val="55E8662F"/>
    <w:rsid w:val="55E947EB"/>
    <w:rsid w:val="55FE7B39"/>
    <w:rsid w:val="561167E9"/>
    <w:rsid w:val="5614F0FD"/>
    <w:rsid w:val="56183CED"/>
    <w:rsid w:val="56246E0E"/>
    <w:rsid w:val="56268FBE"/>
    <w:rsid w:val="565BE07F"/>
    <w:rsid w:val="565EF92E"/>
    <w:rsid w:val="56706413"/>
    <w:rsid w:val="568692F2"/>
    <w:rsid w:val="5693616E"/>
    <w:rsid w:val="56981442"/>
    <w:rsid w:val="569B7095"/>
    <w:rsid w:val="56A341A1"/>
    <w:rsid w:val="56AFF22D"/>
    <w:rsid w:val="56B1315D"/>
    <w:rsid w:val="56B3CFF8"/>
    <w:rsid w:val="56C36001"/>
    <w:rsid w:val="56C6E53D"/>
    <w:rsid w:val="56CD3755"/>
    <w:rsid w:val="56DBA26F"/>
    <w:rsid w:val="57065C9E"/>
    <w:rsid w:val="57084D21"/>
    <w:rsid w:val="570CB79D"/>
    <w:rsid w:val="570FE809"/>
    <w:rsid w:val="571D63CD"/>
    <w:rsid w:val="573EB255"/>
    <w:rsid w:val="5765281F"/>
    <w:rsid w:val="576DDE54"/>
    <w:rsid w:val="577A8D50"/>
    <w:rsid w:val="577C892E"/>
    <w:rsid w:val="577CB10A"/>
    <w:rsid w:val="57809571"/>
    <w:rsid w:val="578AFE90"/>
    <w:rsid w:val="579068E0"/>
    <w:rsid w:val="57940BC1"/>
    <w:rsid w:val="579CB3FD"/>
    <w:rsid w:val="57B2C2AB"/>
    <w:rsid w:val="57C09974"/>
    <w:rsid w:val="57CECDF6"/>
    <w:rsid w:val="57E51440"/>
    <w:rsid w:val="57E6403A"/>
    <w:rsid w:val="57F02D53"/>
    <w:rsid w:val="57F65368"/>
    <w:rsid w:val="58023B20"/>
    <w:rsid w:val="582D5FBE"/>
    <w:rsid w:val="5835C562"/>
    <w:rsid w:val="5838DB58"/>
    <w:rsid w:val="584AA514"/>
    <w:rsid w:val="584B6F81"/>
    <w:rsid w:val="584E5A16"/>
    <w:rsid w:val="58503031"/>
    <w:rsid w:val="5859C86F"/>
    <w:rsid w:val="585FBE0B"/>
    <w:rsid w:val="58685E9B"/>
    <w:rsid w:val="5877FDA4"/>
    <w:rsid w:val="58875A2D"/>
    <w:rsid w:val="588F0AC9"/>
    <w:rsid w:val="5897990B"/>
    <w:rsid w:val="589AAD67"/>
    <w:rsid w:val="58A65CC8"/>
    <w:rsid w:val="58ABFA23"/>
    <w:rsid w:val="58EE37F8"/>
    <w:rsid w:val="58EE6EC4"/>
    <w:rsid w:val="590866AA"/>
    <w:rsid w:val="590C600C"/>
    <w:rsid w:val="590FC4C4"/>
    <w:rsid w:val="591C0779"/>
    <w:rsid w:val="5952CBDA"/>
    <w:rsid w:val="595CDCB5"/>
    <w:rsid w:val="59625947"/>
    <w:rsid w:val="59653CDF"/>
    <w:rsid w:val="5969D134"/>
    <w:rsid w:val="598DBB15"/>
    <w:rsid w:val="598F4EF1"/>
    <w:rsid w:val="59952CBC"/>
    <w:rsid w:val="599A051B"/>
    <w:rsid w:val="59A0E8D6"/>
    <w:rsid w:val="59BD0ED2"/>
    <w:rsid w:val="59C02AAD"/>
    <w:rsid w:val="59D9EE0F"/>
    <w:rsid w:val="59E3EE97"/>
    <w:rsid w:val="59F221B5"/>
    <w:rsid w:val="59FA2B5C"/>
    <w:rsid w:val="5A065892"/>
    <w:rsid w:val="5A084FC6"/>
    <w:rsid w:val="5A09C261"/>
    <w:rsid w:val="5A19BD0A"/>
    <w:rsid w:val="5A19D44E"/>
    <w:rsid w:val="5A1C5AE1"/>
    <w:rsid w:val="5A2340FF"/>
    <w:rsid w:val="5A298946"/>
    <w:rsid w:val="5A35287C"/>
    <w:rsid w:val="5A3E4666"/>
    <w:rsid w:val="5A460EA7"/>
    <w:rsid w:val="5A496C42"/>
    <w:rsid w:val="5A49E391"/>
    <w:rsid w:val="5A5FCAC2"/>
    <w:rsid w:val="5A6209CB"/>
    <w:rsid w:val="5A6B5B7A"/>
    <w:rsid w:val="5A7B496D"/>
    <w:rsid w:val="5A8E0CC4"/>
    <w:rsid w:val="5A9B2A4E"/>
    <w:rsid w:val="5AA89541"/>
    <w:rsid w:val="5AB268E6"/>
    <w:rsid w:val="5AC0222F"/>
    <w:rsid w:val="5AC1D48D"/>
    <w:rsid w:val="5AD15560"/>
    <w:rsid w:val="5AEB0CDD"/>
    <w:rsid w:val="5AF9B2DD"/>
    <w:rsid w:val="5AFE1847"/>
    <w:rsid w:val="5B07E412"/>
    <w:rsid w:val="5B09454F"/>
    <w:rsid w:val="5B09A12C"/>
    <w:rsid w:val="5B11A5DF"/>
    <w:rsid w:val="5B1579DD"/>
    <w:rsid w:val="5B1FFE9E"/>
    <w:rsid w:val="5B332A5B"/>
    <w:rsid w:val="5B383C78"/>
    <w:rsid w:val="5B3CEF6C"/>
    <w:rsid w:val="5B3F8DA6"/>
    <w:rsid w:val="5B5A2B2E"/>
    <w:rsid w:val="5B668DD1"/>
    <w:rsid w:val="5B73DBFB"/>
    <w:rsid w:val="5B769D7E"/>
    <w:rsid w:val="5B9E85E1"/>
    <w:rsid w:val="5BA94437"/>
    <w:rsid w:val="5BBA1DB8"/>
    <w:rsid w:val="5BC33EC5"/>
    <w:rsid w:val="5BE88723"/>
    <w:rsid w:val="5BF14188"/>
    <w:rsid w:val="5BF67A94"/>
    <w:rsid w:val="5BFD3CBC"/>
    <w:rsid w:val="5C09AE1B"/>
    <w:rsid w:val="5C2A0CA4"/>
    <w:rsid w:val="5C2A438D"/>
    <w:rsid w:val="5C332E7B"/>
    <w:rsid w:val="5C381728"/>
    <w:rsid w:val="5C3F2D20"/>
    <w:rsid w:val="5C46FFC1"/>
    <w:rsid w:val="5C475777"/>
    <w:rsid w:val="5C4AF4D1"/>
    <w:rsid w:val="5C4EF3E5"/>
    <w:rsid w:val="5C5CC515"/>
    <w:rsid w:val="5C6731F6"/>
    <w:rsid w:val="5C736FB8"/>
    <w:rsid w:val="5C766D4C"/>
    <w:rsid w:val="5C871D27"/>
    <w:rsid w:val="5C87DBCE"/>
    <w:rsid w:val="5C9D18AC"/>
    <w:rsid w:val="5CAA710C"/>
    <w:rsid w:val="5CD92E5B"/>
    <w:rsid w:val="5CDA8C8E"/>
    <w:rsid w:val="5CDC3060"/>
    <w:rsid w:val="5CE23862"/>
    <w:rsid w:val="5CEC2A61"/>
    <w:rsid w:val="5CF1D490"/>
    <w:rsid w:val="5CF6475A"/>
    <w:rsid w:val="5CF8924E"/>
    <w:rsid w:val="5D1550F5"/>
    <w:rsid w:val="5D1FF6F7"/>
    <w:rsid w:val="5D254D88"/>
    <w:rsid w:val="5D3434F7"/>
    <w:rsid w:val="5D35B0C6"/>
    <w:rsid w:val="5D3911BD"/>
    <w:rsid w:val="5D4073D5"/>
    <w:rsid w:val="5D709AE6"/>
    <w:rsid w:val="5D73FCA8"/>
    <w:rsid w:val="5D7BD889"/>
    <w:rsid w:val="5D80F90C"/>
    <w:rsid w:val="5D8F1911"/>
    <w:rsid w:val="5D914116"/>
    <w:rsid w:val="5DA04F58"/>
    <w:rsid w:val="5DB0D37C"/>
    <w:rsid w:val="5DB3AA56"/>
    <w:rsid w:val="5DCE612C"/>
    <w:rsid w:val="5DD1DD0C"/>
    <w:rsid w:val="5DD6C2D7"/>
    <w:rsid w:val="5DDD9749"/>
    <w:rsid w:val="5DE2A22B"/>
    <w:rsid w:val="5DE96288"/>
    <w:rsid w:val="5DF39F4F"/>
    <w:rsid w:val="5E1838A9"/>
    <w:rsid w:val="5E1C6704"/>
    <w:rsid w:val="5E266A2A"/>
    <w:rsid w:val="5E320B48"/>
    <w:rsid w:val="5E408B07"/>
    <w:rsid w:val="5E47C2F6"/>
    <w:rsid w:val="5E524D83"/>
    <w:rsid w:val="5E5E9B68"/>
    <w:rsid w:val="5E604D60"/>
    <w:rsid w:val="5E64B3C9"/>
    <w:rsid w:val="5E6AF3E5"/>
    <w:rsid w:val="5EBCCB25"/>
    <w:rsid w:val="5EC82DC3"/>
    <w:rsid w:val="5EC96F63"/>
    <w:rsid w:val="5ED28E48"/>
    <w:rsid w:val="5EE6A84C"/>
    <w:rsid w:val="5EEA01AC"/>
    <w:rsid w:val="5EFF6691"/>
    <w:rsid w:val="5F12D888"/>
    <w:rsid w:val="5F1CD9E1"/>
    <w:rsid w:val="5F1DED6E"/>
    <w:rsid w:val="5F36F921"/>
    <w:rsid w:val="5F4AE1FA"/>
    <w:rsid w:val="5F6C4394"/>
    <w:rsid w:val="5F6C58A4"/>
    <w:rsid w:val="5F76A669"/>
    <w:rsid w:val="5F9E934C"/>
    <w:rsid w:val="5FA0C370"/>
    <w:rsid w:val="5FA1F3C3"/>
    <w:rsid w:val="5FAFB71B"/>
    <w:rsid w:val="5FB4620C"/>
    <w:rsid w:val="5FC3A349"/>
    <w:rsid w:val="5FC741CA"/>
    <w:rsid w:val="5FC80B60"/>
    <w:rsid w:val="5FD4BB45"/>
    <w:rsid w:val="5FDBAB35"/>
    <w:rsid w:val="5FE0B4DF"/>
    <w:rsid w:val="5FE6515F"/>
    <w:rsid w:val="5FE65E9E"/>
    <w:rsid w:val="5FE723E3"/>
    <w:rsid w:val="5FF43E58"/>
    <w:rsid w:val="5FF58669"/>
    <w:rsid w:val="600FA67C"/>
    <w:rsid w:val="60162981"/>
    <w:rsid w:val="602907AC"/>
    <w:rsid w:val="60340C37"/>
    <w:rsid w:val="6041CA51"/>
    <w:rsid w:val="60453BD4"/>
    <w:rsid w:val="604C31A4"/>
    <w:rsid w:val="6051780B"/>
    <w:rsid w:val="6088EED4"/>
    <w:rsid w:val="60A29861"/>
    <w:rsid w:val="60B42675"/>
    <w:rsid w:val="60B4C210"/>
    <w:rsid w:val="60BF2128"/>
    <w:rsid w:val="60CFF7B9"/>
    <w:rsid w:val="60D2A29F"/>
    <w:rsid w:val="60E8ABAC"/>
    <w:rsid w:val="60F6EFC8"/>
    <w:rsid w:val="6101E6C2"/>
    <w:rsid w:val="610239FF"/>
    <w:rsid w:val="61184E7F"/>
    <w:rsid w:val="611D2A8E"/>
    <w:rsid w:val="61285A70"/>
    <w:rsid w:val="615EFDAA"/>
    <w:rsid w:val="616F94FF"/>
    <w:rsid w:val="617593D9"/>
    <w:rsid w:val="618F1A4B"/>
    <w:rsid w:val="61C92BF9"/>
    <w:rsid w:val="61D40B2B"/>
    <w:rsid w:val="61DA13FA"/>
    <w:rsid w:val="61ECC2F9"/>
    <w:rsid w:val="61EF0EE3"/>
    <w:rsid w:val="61F38861"/>
    <w:rsid w:val="61F3E7FA"/>
    <w:rsid w:val="61FE039D"/>
    <w:rsid w:val="62057012"/>
    <w:rsid w:val="620723E3"/>
    <w:rsid w:val="6208763A"/>
    <w:rsid w:val="620AB23A"/>
    <w:rsid w:val="620F7853"/>
    <w:rsid w:val="62125298"/>
    <w:rsid w:val="6231B4F9"/>
    <w:rsid w:val="6232B787"/>
    <w:rsid w:val="6243FE1A"/>
    <w:rsid w:val="6247647F"/>
    <w:rsid w:val="6265BA9D"/>
    <w:rsid w:val="6278A571"/>
    <w:rsid w:val="627EA89C"/>
    <w:rsid w:val="62A92061"/>
    <w:rsid w:val="62C5BF9E"/>
    <w:rsid w:val="62D46F92"/>
    <w:rsid w:val="62D5047F"/>
    <w:rsid w:val="62D6E48F"/>
    <w:rsid w:val="62DE7E54"/>
    <w:rsid w:val="62E59D03"/>
    <w:rsid w:val="62EE383E"/>
    <w:rsid w:val="62FB3102"/>
    <w:rsid w:val="62FD36BA"/>
    <w:rsid w:val="6309AFAC"/>
    <w:rsid w:val="630F9ADF"/>
    <w:rsid w:val="633C8492"/>
    <w:rsid w:val="6348828E"/>
    <w:rsid w:val="6368C1C3"/>
    <w:rsid w:val="636BA689"/>
    <w:rsid w:val="63733971"/>
    <w:rsid w:val="63740128"/>
    <w:rsid w:val="639CD928"/>
    <w:rsid w:val="63A06B30"/>
    <w:rsid w:val="63B406D1"/>
    <w:rsid w:val="63D34BC5"/>
    <w:rsid w:val="63DD352B"/>
    <w:rsid w:val="63DE6A94"/>
    <w:rsid w:val="63E43B89"/>
    <w:rsid w:val="63ED0513"/>
    <w:rsid w:val="63F0AB5D"/>
    <w:rsid w:val="63FB0020"/>
    <w:rsid w:val="640C64E1"/>
    <w:rsid w:val="6428F7E8"/>
    <w:rsid w:val="642E6D1D"/>
    <w:rsid w:val="6432909C"/>
    <w:rsid w:val="645136D3"/>
    <w:rsid w:val="645B0C36"/>
    <w:rsid w:val="645FD1C1"/>
    <w:rsid w:val="647E5038"/>
    <w:rsid w:val="649423C5"/>
    <w:rsid w:val="6499A04C"/>
    <w:rsid w:val="6499E07C"/>
    <w:rsid w:val="649B169D"/>
    <w:rsid w:val="64A15A0C"/>
    <w:rsid w:val="64BC58C8"/>
    <w:rsid w:val="64BDC51F"/>
    <w:rsid w:val="64C4C58E"/>
    <w:rsid w:val="64CA22CC"/>
    <w:rsid w:val="64DFD777"/>
    <w:rsid w:val="64F0B0A9"/>
    <w:rsid w:val="650E3015"/>
    <w:rsid w:val="652477DF"/>
    <w:rsid w:val="65306100"/>
    <w:rsid w:val="6546E1A3"/>
    <w:rsid w:val="65527D13"/>
    <w:rsid w:val="656668CF"/>
    <w:rsid w:val="65721CAA"/>
    <w:rsid w:val="65AC85AC"/>
    <w:rsid w:val="65CBEF8A"/>
    <w:rsid w:val="65DA7522"/>
    <w:rsid w:val="65E1954F"/>
    <w:rsid w:val="65E63611"/>
    <w:rsid w:val="65E8D032"/>
    <w:rsid w:val="65F196C5"/>
    <w:rsid w:val="65F2E050"/>
    <w:rsid w:val="65F4DD35"/>
    <w:rsid w:val="65F64004"/>
    <w:rsid w:val="65F741E0"/>
    <w:rsid w:val="65FF8315"/>
    <w:rsid w:val="6600AE98"/>
    <w:rsid w:val="6601FBD4"/>
    <w:rsid w:val="6615D092"/>
    <w:rsid w:val="661C753A"/>
    <w:rsid w:val="66610528"/>
    <w:rsid w:val="66620D3E"/>
    <w:rsid w:val="666E5F89"/>
    <w:rsid w:val="669100F9"/>
    <w:rsid w:val="669545D3"/>
    <w:rsid w:val="6696DFE3"/>
    <w:rsid w:val="6697ADB5"/>
    <w:rsid w:val="669D5FD0"/>
    <w:rsid w:val="66A42A5F"/>
    <w:rsid w:val="66A66F8E"/>
    <w:rsid w:val="66B8B417"/>
    <w:rsid w:val="66C094EC"/>
    <w:rsid w:val="66C51921"/>
    <w:rsid w:val="66D92C66"/>
    <w:rsid w:val="66DB265C"/>
    <w:rsid w:val="66F72DF7"/>
    <w:rsid w:val="66FA9468"/>
    <w:rsid w:val="670CC389"/>
    <w:rsid w:val="670FF367"/>
    <w:rsid w:val="673BA4C7"/>
    <w:rsid w:val="674258E3"/>
    <w:rsid w:val="674E0C6B"/>
    <w:rsid w:val="674E2025"/>
    <w:rsid w:val="6751CCFF"/>
    <w:rsid w:val="67566081"/>
    <w:rsid w:val="676439BD"/>
    <w:rsid w:val="678D84F9"/>
    <w:rsid w:val="6798A955"/>
    <w:rsid w:val="67A7728C"/>
    <w:rsid w:val="67AABDA2"/>
    <w:rsid w:val="67AB3BE1"/>
    <w:rsid w:val="67AE1AE9"/>
    <w:rsid w:val="67B0917D"/>
    <w:rsid w:val="67B2C9C8"/>
    <w:rsid w:val="67B7274D"/>
    <w:rsid w:val="67DC3A28"/>
    <w:rsid w:val="67E7117F"/>
    <w:rsid w:val="67EDAEC0"/>
    <w:rsid w:val="67F3CF2B"/>
    <w:rsid w:val="6826F4DB"/>
    <w:rsid w:val="68288A3A"/>
    <w:rsid w:val="683538CD"/>
    <w:rsid w:val="683D1851"/>
    <w:rsid w:val="684D5B84"/>
    <w:rsid w:val="685A0D05"/>
    <w:rsid w:val="685FC3CA"/>
    <w:rsid w:val="687BC955"/>
    <w:rsid w:val="688362EF"/>
    <w:rsid w:val="688AA249"/>
    <w:rsid w:val="6891B9E2"/>
    <w:rsid w:val="68939C82"/>
    <w:rsid w:val="689EA030"/>
    <w:rsid w:val="68A31228"/>
    <w:rsid w:val="68A4FD2D"/>
    <w:rsid w:val="68A90867"/>
    <w:rsid w:val="68BF602B"/>
    <w:rsid w:val="68D0005C"/>
    <w:rsid w:val="68E6AC08"/>
    <w:rsid w:val="68E9CD35"/>
    <w:rsid w:val="691D9E16"/>
    <w:rsid w:val="69396C22"/>
    <w:rsid w:val="69484DCA"/>
    <w:rsid w:val="694BC028"/>
    <w:rsid w:val="6967E5CA"/>
    <w:rsid w:val="696DFEDB"/>
    <w:rsid w:val="6977EBDB"/>
    <w:rsid w:val="697CC6EE"/>
    <w:rsid w:val="69810BE3"/>
    <w:rsid w:val="6982E73E"/>
    <w:rsid w:val="69A132DE"/>
    <w:rsid w:val="69A65BC5"/>
    <w:rsid w:val="69AF0EA5"/>
    <w:rsid w:val="69B83AC4"/>
    <w:rsid w:val="69C1F8B5"/>
    <w:rsid w:val="69C945B1"/>
    <w:rsid w:val="69CACAA5"/>
    <w:rsid w:val="69ECBD60"/>
    <w:rsid w:val="69F57CC9"/>
    <w:rsid w:val="6A24B869"/>
    <w:rsid w:val="6A31C1A0"/>
    <w:rsid w:val="6A363BA7"/>
    <w:rsid w:val="6A4883F2"/>
    <w:rsid w:val="6A4B5AE6"/>
    <w:rsid w:val="6A66207B"/>
    <w:rsid w:val="6A75D2AF"/>
    <w:rsid w:val="6A7710F3"/>
    <w:rsid w:val="6A83AACA"/>
    <w:rsid w:val="6A9068E2"/>
    <w:rsid w:val="6AA57C38"/>
    <w:rsid w:val="6AA60498"/>
    <w:rsid w:val="6AA79EFB"/>
    <w:rsid w:val="6AA92947"/>
    <w:rsid w:val="6AAAC84F"/>
    <w:rsid w:val="6ABC5A33"/>
    <w:rsid w:val="6ABCB2CB"/>
    <w:rsid w:val="6AC4C7D2"/>
    <w:rsid w:val="6ACA4A93"/>
    <w:rsid w:val="6ACE97FC"/>
    <w:rsid w:val="6ACF95A9"/>
    <w:rsid w:val="6ADAC81E"/>
    <w:rsid w:val="6ADDDF41"/>
    <w:rsid w:val="6AE5D7D3"/>
    <w:rsid w:val="6AE89BB4"/>
    <w:rsid w:val="6AEA7B9F"/>
    <w:rsid w:val="6AEDFA00"/>
    <w:rsid w:val="6AF6E98A"/>
    <w:rsid w:val="6B0C5C9A"/>
    <w:rsid w:val="6B1371C9"/>
    <w:rsid w:val="6B15C57F"/>
    <w:rsid w:val="6B1D970D"/>
    <w:rsid w:val="6B270389"/>
    <w:rsid w:val="6B2AA4DC"/>
    <w:rsid w:val="6B428D2F"/>
    <w:rsid w:val="6B4B3B71"/>
    <w:rsid w:val="6B6B8AFD"/>
    <w:rsid w:val="6B85C6F3"/>
    <w:rsid w:val="6B88F7D6"/>
    <w:rsid w:val="6B8AA163"/>
    <w:rsid w:val="6B936EDA"/>
    <w:rsid w:val="6B95C297"/>
    <w:rsid w:val="6BA9C688"/>
    <w:rsid w:val="6BAA8731"/>
    <w:rsid w:val="6BAE9FBC"/>
    <w:rsid w:val="6BBA035E"/>
    <w:rsid w:val="6BBB3F8A"/>
    <w:rsid w:val="6BBE10AD"/>
    <w:rsid w:val="6BC1761B"/>
    <w:rsid w:val="6BC404FA"/>
    <w:rsid w:val="6BCB3C31"/>
    <w:rsid w:val="6BD23CC2"/>
    <w:rsid w:val="6BE428D0"/>
    <w:rsid w:val="6BF1F664"/>
    <w:rsid w:val="6BFBA805"/>
    <w:rsid w:val="6C1576B6"/>
    <w:rsid w:val="6C164031"/>
    <w:rsid w:val="6C1A00A6"/>
    <w:rsid w:val="6C227DD2"/>
    <w:rsid w:val="6C269733"/>
    <w:rsid w:val="6C316DF4"/>
    <w:rsid w:val="6C370A71"/>
    <w:rsid w:val="6C475B37"/>
    <w:rsid w:val="6C4F3126"/>
    <w:rsid w:val="6C57BD5C"/>
    <w:rsid w:val="6C63F498"/>
    <w:rsid w:val="6C6B0E0F"/>
    <w:rsid w:val="6C89FFC9"/>
    <w:rsid w:val="6C959BE4"/>
    <w:rsid w:val="6CC30E77"/>
    <w:rsid w:val="6CC894E8"/>
    <w:rsid w:val="6CCC7B92"/>
    <w:rsid w:val="6CF736A1"/>
    <w:rsid w:val="6CF75CC6"/>
    <w:rsid w:val="6D021497"/>
    <w:rsid w:val="6D092CD5"/>
    <w:rsid w:val="6D13DF67"/>
    <w:rsid w:val="6D1C6184"/>
    <w:rsid w:val="6D224C0F"/>
    <w:rsid w:val="6D24E2A1"/>
    <w:rsid w:val="6D2F89C4"/>
    <w:rsid w:val="6D3635DF"/>
    <w:rsid w:val="6D3DF070"/>
    <w:rsid w:val="6D4ECE92"/>
    <w:rsid w:val="6D57A1F0"/>
    <w:rsid w:val="6D6CC075"/>
    <w:rsid w:val="6D6D73A1"/>
    <w:rsid w:val="6D83E453"/>
    <w:rsid w:val="6DB18B57"/>
    <w:rsid w:val="6DD0CCC5"/>
    <w:rsid w:val="6DD7503D"/>
    <w:rsid w:val="6DD9EE2A"/>
    <w:rsid w:val="6DE0D293"/>
    <w:rsid w:val="6DEFFD60"/>
    <w:rsid w:val="6DF12B48"/>
    <w:rsid w:val="6DF70D89"/>
    <w:rsid w:val="6E17AE3A"/>
    <w:rsid w:val="6E339D3A"/>
    <w:rsid w:val="6E33F58B"/>
    <w:rsid w:val="6E368D6F"/>
    <w:rsid w:val="6E3FD26B"/>
    <w:rsid w:val="6E5C0816"/>
    <w:rsid w:val="6E61235A"/>
    <w:rsid w:val="6E677A73"/>
    <w:rsid w:val="6E72A9E2"/>
    <w:rsid w:val="6E7D6C8C"/>
    <w:rsid w:val="6E89D753"/>
    <w:rsid w:val="6E8E3A4E"/>
    <w:rsid w:val="6E9C6EFD"/>
    <w:rsid w:val="6EA0B4BD"/>
    <w:rsid w:val="6EB04F8D"/>
    <w:rsid w:val="6EB58239"/>
    <w:rsid w:val="6ED3B582"/>
    <w:rsid w:val="6ED4D978"/>
    <w:rsid w:val="6ED882B2"/>
    <w:rsid w:val="6EE5B6C6"/>
    <w:rsid w:val="6EF3B796"/>
    <w:rsid w:val="6EF5B16F"/>
    <w:rsid w:val="6EF9C76A"/>
    <w:rsid w:val="6F022BB1"/>
    <w:rsid w:val="6F028B3B"/>
    <w:rsid w:val="6F20172C"/>
    <w:rsid w:val="6F204454"/>
    <w:rsid w:val="6F20CA2D"/>
    <w:rsid w:val="6F2A725D"/>
    <w:rsid w:val="6F4B7F94"/>
    <w:rsid w:val="6F558352"/>
    <w:rsid w:val="6F63C054"/>
    <w:rsid w:val="6F64833C"/>
    <w:rsid w:val="6F78534F"/>
    <w:rsid w:val="6F7A5E29"/>
    <w:rsid w:val="6F82A301"/>
    <w:rsid w:val="6FB21695"/>
    <w:rsid w:val="6FB3551A"/>
    <w:rsid w:val="6FC188FA"/>
    <w:rsid w:val="6FD11EEE"/>
    <w:rsid w:val="6FD27ABF"/>
    <w:rsid w:val="6FE9AFF6"/>
    <w:rsid w:val="6FFED012"/>
    <w:rsid w:val="70006235"/>
    <w:rsid w:val="7008FBA9"/>
    <w:rsid w:val="70103808"/>
    <w:rsid w:val="7010FE88"/>
    <w:rsid w:val="701A5F95"/>
    <w:rsid w:val="702164CE"/>
    <w:rsid w:val="70326D54"/>
    <w:rsid w:val="70341102"/>
    <w:rsid w:val="703F0C3C"/>
    <w:rsid w:val="7060C30E"/>
    <w:rsid w:val="7065C217"/>
    <w:rsid w:val="706A1C94"/>
    <w:rsid w:val="707A0FB8"/>
    <w:rsid w:val="707AAE1E"/>
    <w:rsid w:val="707FF80B"/>
    <w:rsid w:val="70884155"/>
    <w:rsid w:val="708C9D54"/>
    <w:rsid w:val="70932204"/>
    <w:rsid w:val="709369FA"/>
    <w:rsid w:val="70A1DDFF"/>
    <w:rsid w:val="70BCEDDF"/>
    <w:rsid w:val="70C259C9"/>
    <w:rsid w:val="70CC4960"/>
    <w:rsid w:val="70D5728C"/>
    <w:rsid w:val="70E56C6A"/>
    <w:rsid w:val="70E57543"/>
    <w:rsid w:val="70F7F23E"/>
    <w:rsid w:val="70FE84BB"/>
    <w:rsid w:val="71148FFC"/>
    <w:rsid w:val="7114A22A"/>
    <w:rsid w:val="7155241A"/>
    <w:rsid w:val="71723678"/>
    <w:rsid w:val="717376BB"/>
    <w:rsid w:val="7188F68A"/>
    <w:rsid w:val="71A32443"/>
    <w:rsid w:val="71AF3060"/>
    <w:rsid w:val="71B2ED21"/>
    <w:rsid w:val="71C1F253"/>
    <w:rsid w:val="71D74E27"/>
    <w:rsid w:val="71EC2982"/>
    <w:rsid w:val="720690A4"/>
    <w:rsid w:val="72247016"/>
    <w:rsid w:val="722E9AF7"/>
    <w:rsid w:val="72390D68"/>
    <w:rsid w:val="724B121C"/>
    <w:rsid w:val="724BA3B7"/>
    <w:rsid w:val="7261D43C"/>
    <w:rsid w:val="726A2EE5"/>
    <w:rsid w:val="726A3FB8"/>
    <w:rsid w:val="7271CFED"/>
    <w:rsid w:val="7272C92E"/>
    <w:rsid w:val="7279C54E"/>
    <w:rsid w:val="7281B000"/>
    <w:rsid w:val="72858C0D"/>
    <w:rsid w:val="72883EE6"/>
    <w:rsid w:val="728EE653"/>
    <w:rsid w:val="72B56A43"/>
    <w:rsid w:val="72CA64D3"/>
    <w:rsid w:val="72CE5BEF"/>
    <w:rsid w:val="72DE3242"/>
    <w:rsid w:val="72EA2231"/>
    <w:rsid w:val="72EB74C8"/>
    <w:rsid w:val="72FC4604"/>
    <w:rsid w:val="730524AA"/>
    <w:rsid w:val="73135E2E"/>
    <w:rsid w:val="7317B41A"/>
    <w:rsid w:val="731F3718"/>
    <w:rsid w:val="731F55EA"/>
    <w:rsid w:val="7328D93F"/>
    <w:rsid w:val="7349D6BA"/>
    <w:rsid w:val="738132CC"/>
    <w:rsid w:val="738471C5"/>
    <w:rsid w:val="738501D6"/>
    <w:rsid w:val="738F8967"/>
    <w:rsid w:val="73B10D08"/>
    <w:rsid w:val="73BFF4AC"/>
    <w:rsid w:val="73D43AD9"/>
    <w:rsid w:val="73E4A85F"/>
    <w:rsid w:val="73E508F9"/>
    <w:rsid w:val="73EFBD17"/>
    <w:rsid w:val="73FC2363"/>
    <w:rsid w:val="7407D72C"/>
    <w:rsid w:val="740E5AF1"/>
    <w:rsid w:val="741FECF8"/>
    <w:rsid w:val="743C1527"/>
    <w:rsid w:val="74529A42"/>
    <w:rsid w:val="7467D164"/>
    <w:rsid w:val="7474F080"/>
    <w:rsid w:val="7478366C"/>
    <w:rsid w:val="7484D925"/>
    <w:rsid w:val="748BB6AF"/>
    <w:rsid w:val="74B598D9"/>
    <w:rsid w:val="74B98514"/>
    <w:rsid w:val="74BAD0D8"/>
    <w:rsid w:val="74C78BBC"/>
    <w:rsid w:val="74DB3C74"/>
    <w:rsid w:val="74E97D3B"/>
    <w:rsid w:val="74EA67C1"/>
    <w:rsid w:val="74EEE371"/>
    <w:rsid w:val="74F012E8"/>
    <w:rsid w:val="74FA9688"/>
    <w:rsid w:val="750BB081"/>
    <w:rsid w:val="750E95AE"/>
    <w:rsid w:val="75212AF4"/>
    <w:rsid w:val="752644FC"/>
    <w:rsid w:val="75497762"/>
    <w:rsid w:val="7556BB00"/>
    <w:rsid w:val="7559CEDE"/>
    <w:rsid w:val="756DFAFD"/>
    <w:rsid w:val="757267C6"/>
    <w:rsid w:val="757E8961"/>
    <w:rsid w:val="758947E9"/>
    <w:rsid w:val="758C32A8"/>
    <w:rsid w:val="759BDBEB"/>
    <w:rsid w:val="75A17521"/>
    <w:rsid w:val="75A18DFE"/>
    <w:rsid w:val="75C7C4DE"/>
    <w:rsid w:val="75CA7AAD"/>
    <w:rsid w:val="75D0CEB4"/>
    <w:rsid w:val="75D439A0"/>
    <w:rsid w:val="75F8D13B"/>
    <w:rsid w:val="76015334"/>
    <w:rsid w:val="761F3634"/>
    <w:rsid w:val="7633A4AC"/>
    <w:rsid w:val="76438307"/>
    <w:rsid w:val="764F8D5F"/>
    <w:rsid w:val="765F5AF2"/>
    <w:rsid w:val="7664BF49"/>
    <w:rsid w:val="76657513"/>
    <w:rsid w:val="76787898"/>
    <w:rsid w:val="767B267F"/>
    <w:rsid w:val="768C032A"/>
    <w:rsid w:val="769287DC"/>
    <w:rsid w:val="76977129"/>
    <w:rsid w:val="76AE3FAE"/>
    <w:rsid w:val="76BD699C"/>
    <w:rsid w:val="76BF2DEB"/>
    <w:rsid w:val="76C5DECF"/>
    <w:rsid w:val="76C9573F"/>
    <w:rsid w:val="76D78E63"/>
    <w:rsid w:val="76E1C8D5"/>
    <w:rsid w:val="76EFEBFF"/>
    <w:rsid w:val="7704E8FF"/>
    <w:rsid w:val="771BAF8E"/>
    <w:rsid w:val="7720001D"/>
    <w:rsid w:val="7721668B"/>
    <w:rsid w:val="7725EF4D"/>
    <w:rsid w:val="774EA6AD"/>
    <w:rsid w:val="77542E79"/>
    <w:rsid w:val="7758430B"/>
    <w:rsid w:val="775F0BD7"/>
    <w:rsid w:val="776508C3"/>
    <w:rsid w:val="776D6300"/>
    <w:rsid w:val="77720B38"/>
    <w:rsid w:val="779C77E1"/>
    <w:rsid w:val="77A1FCB4"/>
    <w:rsid w:val="77B0E626"/>
    <w:rsid w:val="77B94C6D"/>
    <w:rsid w:val="77C0040F"/>
    <w:rsid w:val="77CA3AE2"/>
    <w:rsid w:val="77CA5CB9"/>
    <w:rsid w:val="77CCEAF1"/>
    <w:rsid w:val="77E369A5"/>
    <w:rsid w:val="77E7E547"/>
    <w:rsid w:val="77E89755"/>
    <w:rsid w:val="77E8B762"/>
    <w:rsid w:val="77E9CCB1"/>
    <w:rsid w:val="77FE1971"/>
    <w:rsid w:val="78056EAE"/>
    <w:rsid w:val="78146F24"/>
    <w:rsid w:val="7818B960"/>
    <w:rsid w:val="78226231"/>
    <w:rsid w:val="7837590C"/>
    <w:rsid w:val="78691323"/>
    <w:rsid w:val="786D04A2"/>
    <w:rsid w:val="78723DE9"/>
    <w:rsid w:val="788D56E6"/>
    <w:rsid w:val="788DF71E"/>
    <w:rsid w:val="78E6ACA5"/>
    <w:rsid w:val="78F2853D"/>
    <w:rsid w:val="78FB8677"/>
    <w:rsid w:val="79026E0B"/>
    <w:rsid w:val="79066BF4"/>
    <w:rsid w:val="79086706"/>
    <w:rsid w:val="79212621"/>
    <w:rsid w:val="7928491A"/>
    <w:rsid w:val="793A60F9"/>
    <w:rsid w:val="794E95D0"/>
    <w:rsid w:val="795A128D"/>
    <w:rsid w:val="795A78E3"/>
    <w:rsid w:val="7965FF5E"/>
    <w:rsid w:val="7969D7DF"/>
    <w:rsid w:val="796C0509"/>
    <w:rsid w:val="7989F4FD"/>
    <w:rsid w:val="79A80CB2"/>
    <w:rsid w:val="79AA1ACA"/>
    <w:rsid w:val="79B0D418"/>
    <w:rsid w:val="79D02B70"/>
    <w:rsid w:val="79D28B10"/>
    <w:rsid w:val="79D69535"/>
    <w:rsid w:val="79E42D15"/>
    <w:rsid w:val="79EC55B6"/>
    <w:rsid w:val="7A132DE6"/>
    <w:rsid w:val="7A172F04"/>
    <w:rsid w:val="7A26A9B8"/>
    <w:rsid w:val="7A35B089"/>
    <w:rsid w:val="7A670A50"/>
    <w:rsid w:val="7A6CB909"/>
    <w:rsid w:val="7A724C5B"/>
    <w:rsid w:val="7A72CF29"/>
    <w:rsid w:val="7A75B35C"/>
    <w:rsid w:val="7A7E09CF"/>
    <w:rsid w:val="7A81214B"/>
    <w:rsid w:val="7A83D74D"/>
    <w:rsid w:val="7A94F974"/>
    <w:rsid w:val="7A9CADBC"/>
    <w:rsid w:val="7A9E9B61"/>
    <w:rsid w:val="7AAD8A0B"/>
    <w:rsid w:val="7AC7DC85"/>
    <w:rsid w:val="7AD6A884"/>
    <w:rsid w:val="7ADE370D"/>
    <w:rsid w:val="7AE4FFF6"/>
    <w:rsid w:val="7B2B7889"/>
    <w:rsid w:val="7B3946BF"/>
    <w:rsid w:val="7B485B05"/>
    <w:rsid w:val="7B5659CD"/>
    <w:rsid w:val="7B66C87D"/>
    <w:rsid w:val="7B76F901"/>
    <w:rsid w:val="7B81909A"/>
    <w:rsid w:val="7B9206CB"/>
    <w:rsid w:val="7B98302B"/>
    <w:rsid w:val="7BB1835D"/>
    <w:rsid w:val="7BB1CAB3"/>
    <w:rsid w:val="7BBB53B0"/>
    <w:rsid w:val="7BBB68AA"/>
    <w:rsid w:val="7BBF0F68"/>
    <w:rsid w:val="7BCB47AB"/>
    <w:rsid w:val="7BCECA50"/>
    <w:rsid w:val="7BD343EE"/>
    <w:rsid w:val="7BD55C46"/>
    <w:rsid w:val="7BD8CC05"/>
    <w:rsid w:val="7BE4F763"/>
    <w:rsid w:val="7C037BCA"/>
    <w:rsid w:val="7C0EB327"/>
    <w:rsid w:val="7C1C5F8D"/>
    <w:rsid w:val="7C20368E"/>
    <w:rsid w:val="7C34DCD7"/>
    <w:rsid w:val="7C48F5D7"/>
    <w:rsid w:val="7C4A806C"/>
    <w:rsid w:val="7C4AC455"/>
    <w:rsid w:val="7C6B070E"/>
    <w:rsid w:val="7C760E86"/>
    <w:rsid w:val="7C97DCBB"/>
    <w:rsid w:val="7CA5A686"/>
    <w:rsid w:val="7CB8AD5E"/>
    <w:rsid w:val="7CBBA97A"/>
    <w:rsid w:val="7CBF0A9E"/>
    <w:rsid w:val="7CC7B7CB"/>
    <w:rsid w:val="7CD18D53"/>
    <w:rsid w:val="7CE25932"/>
    <w:rsid w:val="7CF7D72F"/>
    <w:rsid w:val="7CF8BE0A"/>
    <w:rsid w:val="7CF98844"/>
    <w:rsid w:val="7D10628D"/>
    <w:rsid w:val="7D10C6EE"/>
    <w:rsid w:val="7D154B44"/>
    <w:rsid w:val="7D2D8B45"/>
    <w:rsid w:val="7D550DB9"/>
    <w:rsid w:val="7D62DFFC"/>
    <w:rsid w:val="7D791B60"/>
    <w:rsid w:val="7D7D6FB0"/>
    <w:rsid w:val="7D7F62F1"/>
    <w:rsid w:val="7D96CC04"/>
    <w:rsid w:val="7DAE8829"/>
    <w:rsid w:val="7DB985BB"/>
    <w:rsid w:val="7DE0AB93"/>
    <w:rsid w:val="7DEE5466"/>
    <w:rsid w:val="7DF17998"/>
    <w:rsid w:val="7DF2CA4E"/>
    <w:rsid w:val="7E01DCC9"/>
    <w:rsid w:val="7E038AA1"/>
    <w:rsid w:val="7E0D00EB"/>
    <w:rsid w:val="7E154F10"/>
    <w:rsid w:val="7E397081"/>
    <w:rsid w:val="7E3C3528"/>
    <w:rsid w:val="7E471B3E"/>
    <w:rsid w:val="7E581768"/>
    <w:rsid w:val="7E69AD4C"/>
    <w:rsid w:val="7E6D0810"/>
    <w:rsid w:val="7E736136"/>
    <w:rsid w:val="7E77D7F8"/>
    <w:rsid w:val="7E7885CB"/>
    <w:rsid w:val="7E84B2C7"/>
    <w:rsid w:val="7E8B681F"/>
    <w:rsid w:val="7E901078"/>
    <w:rsid w:val="7E978612"/>
    <w:rsid w:val="7EA18D20"/>
    <w:rsid w:val="7EA7E2EC"/>
    <w:rsid w:val="7EDC84D3"/>
    <w:rsid w:val="7EDCECAA"/>
    <w:rsid w:val="7EF9CCF2"/>
    <w:rsid w:val="7F0154AC"/>
    <w:rsid w:val="7F12CAA7"/>
    <w:rsid w:val="7F1503C1"/>
    <w:rsid w:val="7F27D31C"/>
    <w:rsid w:val="7F2D3374"/>
    <w:rsid w:val="7F2FD4D4"/>
    <w:rsid w:val="7F3FA70A"/>
    <w:rsid w:val="7F405116"/>
    <w:rsid w:val="7F47EE6C"/>
    <w:rsid w:val="7F4BF60F"/>
    <w:rsid w:val="7F502233"/>
    <w:rsid w:val="7F5373C0"/>
    <w:rsid w:val="7F54AA22"/>
    <w:rsid w:val="7F5DB40B"/>
    <w:rsid w:val="7F5E9428"/>
    <w:rsid w:val="7F61D8A7"/>
    <w:rsid w:val="7F630B8B"/>
    <w:rsid w:val="7F6B17E5"/>
    <w:rsid w:val="7F6BFB5E"/>
    <w:rsid w:val="7F7D30CC"/>
    <w:rsid w:val="7F833D68"/>
    <w:rsid w:val="7FB3E2A7"/>
    <w:rsid w:val="7FBE8673"/>
    <w:rsid w:val="7FC2B80E"/>
    <w:rsid w:val="7FD9E2DC"/>
    <w:rsid w:val="7FDACDB6"/>
    <w:rsid w:val="7FE3B36F"/>
    <w:rsid w:val="7FE631B6"/>
    <w:rsid w:val="7FED21D4"/>
    <w:rsid w:val="7FF17FE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3FD"/>
  <w14:discardImageEditingData/>
  <w14:defaultImageDpi w14:val="1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745"/>
    <w:rPr>
      <w:rFonts w:ascii="Arial" w:hAnsi="Arial"/>
      <w:color w:val="000000" w:themeColor="text1"/>
    </w:rPr>
  </w:style>
  <w:style w:type="paragraph" w:styleId="Heading1">
    <w:name w:val="heading 1"/>
    <w:basedOn w:val="Normal"/>
    <w:next w:val="Normal"/>
    <w:link w:val="Heading1Char"/>
    <w:uiPriority w:val="9"/>
    <w:qFormat/>
    <w:rsid w:val="00E51FBA"/>
    <w:pPr>
      <w:keepNext/>
      <w:keepLines/>
      <w:spacing w:before="240" w:after="600"/>
      <w:outlineLvl w:val="0"/>
    </w:pPr>
    <w:rPr>
      <w:rFonts w:eastAsiaTheme="majorEastAsia" w:cstheme="majorBidi"/>
      <w:b/>
      <w:color w:val="auto"/>
      <w:sz w:val="56"/>
      <w:szCs w:val="32"/>
    </w:rPr>
  </w:style>
  <w:style w:type="paragraph" w:styleId="Heading2">
    <w:name w:val="heading 2"/>
    <w:basedOn w:val="Normal"/>
    <w:next w:val="Normal"/>
    <w:link w:val="Heading2Char"/>
    <w:uiPriority w:val="9"/>
    <w:unhideWhenUsed/>
    <w:qFormat/>
    <w:rsid w:val="00D72814"/>
    <w:pPr>
      <w:keepNext/>
      <w:keepLines/>
      <w:spacing w:before="240" w:after="600" w:line="240" w:lineRule="auto"/>
      <w:outlineLvl w:val="1"/>
    </w:pPr>
    <w:rPr>
      <w:rFonts w:eastAsiaTheme="majorEastAsia" w:cstheme="majorBidi"/>
      <w:b/>
      <w:sz w:val="56"/>
      <w:szCs w:val="26"/>
    </w:rPr>
  </w:style>
  <w:style w:type="paragraph" w:styleId="Heading3">
    <w:name w:val="heading 3"/>
    <w:basedOn w:val="Normal"/>
    <w:next w:val="Normal"/>
    <w:link w:val="Heading3Char"/>
    <w:uiPriority w:val="9"/>
    <w:unhideWhenUsed/>
    <w:qFormat/>
    <w:rsid w:val="00F517EA"/>
    <w:pPr>
      <w:keepNext/>
      <w:keepLines/>
      <w:spacing w:before="360" w:after="240" w:line="240" w:lineRule="auto"/>
      <w:outlineLvl w:val="2"/>
    </w:pPr>
    <w:rPr>
      <w:rFonts w:eastAsiaTheme="majorEastAsia" w:cstheme="majorBidi"/>
      <w:b/>
      <w:sz w:val="32"/>
      <w:szCs w:val="24"/>
    </w:rPr>
  </w:style>
  <w:style w:type="paragraph" w:styleId="Heading4">
    <w:name w:val="heading 4"/>
    <w:basedOn w:val="Normal"/>
    <w:next w:val="Normal"/>
    <w:link w:val="Heading4Char"/>
    <w:uiPriority w:val="9"/>
    <w:unhideWhenUsed/>
    <w:qFormat/>
    <w:rsid w:val="00D72814"/>
    <w:pPr>
      <w:outlineLvl w:val="3"/>
    </w:pPr>
    <w:rPr>
      <w:rFonts w:cs="Arial"/>
      <w:b/>
      <w:bCs/>
      <w:color w:val="005D5D" w:themeColor="accent2"/>
      <w:sz w:val="28"/>
    </w:rPr>
  </w:style>
  <w:style w:type="paragraph" w:styleId="Heading5">
    <w:name w:val="heading 5"/>
    <w:basedOn w:val="Normal"/>
    <w:next w:val="Normal"/>
    <w:link w:val="Heading5Char"/>
    <w:uiPriority w:val="9"/>
    <w:unhideWhenUsed/>
    <w:qFormat/>
    <w:rsid w:val="000404CE"/>
    <w:pPr>
      <w:outlineLvl w:val="4"/>
    </w:pPr>
    <w:rPr>
      <w:rFonts w:cs="Arial"/>
      <w:b/>
      <w:bCs/>
    </w:rPr>
  </w:style>
  <w:style w:type="paragraph" w:styleId="Heading6">
    <w:name w:val="heading 6"/>
    <w:basedOn w:val="Normal"/>
    <w:next w:val="Normal"/>
    <w:link w:val="Heading6Char"/>
    <w:uiPriority w:val="9"/>
    <w:unhideWhenUsed/>
    <w:qFormat/>
    <w:rsid w:val="00BA18F6"/>
    <w:pPr>
      <w:keepNext/>
      <w:keepLines/>
      <w:spacing w:before="40" w:after="0"/>
      <w:outlineLvl w:val="5"/>
    </w:pPr>
    <w:rPr>
      <w:rFonts w:asciiTheme="majorHAnsi" w:eastAsiaTheme="majorEastAsia" w:hAnsiTheme="majorHAnsi" w:cstheme="majorBidi"/>
      <w:color w:val="341461" w:themeColor="accent1" w:themeShade="7F"/>
    </w:rPr>
  </w:style>
  <w:style w:type="paragraph" w:styleId="Heading7">
    <w:name w:val="heading 7"/>
    <w:basedOn w:val="Normal"/>
    <w:next w:val="Normal"/>
    <w:link w:val="Heading7Char"/>
    <w:uiPriority w:val="9"/>
    <w:unhideWhenUsed/>
    <w:qFormat/>
    <w:rsid w:val="00BA18F6"/>
    <w:pPr>
      <w:keepNext/>
      <w:keepLines/>
      <w:spacing w:before="40" w:after="0"/>
      <w:outlineLvl w:val="6"/>
    </w:pPr>
    <w:rPr>
      <w:rFonts w:asciiTheme="majorHAnsi" w:eastAsiaTheme="majorEastAsia" w:hAnsiTheme="majorHAnsi" w:cstheme="majorBidi"/>
      <w:i/>
      <w:iCs/>
      <w:color w:val="34146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andTablelabel">
    <w:name w:val="Chart and Table label"/>
    <w:basedOn w:val="Normal"/>
    <w:qFormat/>
    <w:rsid w:val="000404CE"/>
    <w:rPr>
      <w:b/>
      <w:sz w:val="20"/>
      <w:lang w:val="en-US"/>
    </w:rPr>
  </w:style>
  <w:style w:type="character" w:styleId="UnresolvedMention">
    <w:name w:val="Unresolved Mention"/>
    <w:basedOn w:val="DefaultParagraphFont"/>
    <w:uiPriority w:val="99"/>
    <w:semiHidden/>
    <w:unhideWhenUsed/>
    <w:rsid w:val="00E82EEB"/>
    <w:rPr>
      <w:color w:val="605E5C"/>
      <w:shd w:val="clear" w:color="auto" w:fill="E1DFDD"/>
    </w:rPr>
  </w:style>
  <w:style w:type="paragraph" w:styleId="Footer">
    <w:name w:val="footer"/>
    <w:basedOn w:val="Normal"/>
    <w:link w:val="FooterChar"/>
    <w:uiPriority w:val="99"/>
    <w:unhideWhenUsed/>
    <w:rsid w:val="00C40E20"/>
    <w:pPr>
      <w:tabs>
        <w:tab w:val="left" w:pos="4513"/>
        <w:tab w:val="right" w:pos="9026"/>
      </w:tabs>
      <w:spacing w:after="0" w:line="240" w:lineRule="auto"/>
      <w:jc w:val="right"/>
    </w:pPr>
    <w:rPr>
      <w:sz w:val="18"/>
    </w:rPr>
  </w:style>
  <w:style w:type="character" w:customStyle="1" w:styleId="FooterChar">
    <w:name w:val="Footer Char"/>
    <w:basedOn w:val="DefaultParagraphFont"/>
    <w:link w:val="Footer"/>
    <w:uiPriority w:val="99"/>
    <w:rsid w:val="00C40E20"/>
    <w:rPr>
      <w:rFonts w:ascii="Arial" w:hAnsi="Arial"/>
      <w:color w:val="000000" w:themeColor="text1"/>
      <w:sz w:val="18"/>
    </w:rPr>
  </w:style>
  <w:style w:type="paragraph" w:styleId="Title">
    <w:name w:val="Title"/>
    <w:basedOn w:val="Normal"/>
    <w:next w:val="Normal"/>
    <w:link w:val="TitleChar"/>
    <w:uiPriority w:val="1"/>
    <w:qFormat/>
    <w:rsid w:val="002950ED"/>
    <w:pPr>
      <w:spacing w:before="1080" w:after="240" w:line="276" w:lineRule="auto"/>
    </w:pPr>
    <w:rPr>
      <w:rFonts w:eastAsiaTheme="majorEastAsia" w:cstheme="majorBidi"/>
      <w:b/>
      <w:color w:val="441170" w:themeColor="text2"/>
      <w:spacing w:val="-10"/>
      <w:kern w:val="28"/>
      <w:sz w:val="72"/>
      <w:szCs w:val="56"/>
    </w:rPr>
  </w:style>
  <w:style w:type="character" w:customStyle="1" w:styleId="TitleChar">
    <w:name w:val="Title Char"/>
    <w:basedOn w:val="DefaultParagraphFont"/>
    <w:link w:val="Title"/>
    <w:uiPriority w:val="1"/>
    <w:rsid w:val="002950ED"/>
    <w:rPr>
      <w:rFonts w:ascii="Arial" w:eastAsiaTheme="majorEastAsia" w:hAnsi="Arial" w:cstheme="majorBidi"/>
      <w:b/>
      <w:color w:val="441170" w:themeColor="text2"/>
      <w:spacing w:val="-10"/>
      <w:kern w:val="28"/>
      <w:sz w:val="72"/>
      <w:szCs w:val="56"/>
    </w:rPr>
  </w:style>
  <w:style w:type="character" w:customStyle="1" w:styleId="Heading1Char">
    <w:name w:val="Heading 1 Char"/>
    <w:basedOn w:val="DefaultParagraphFont"/>
    <w:link w:val="Heading1"/>
    <w:uiPriority w:val="9"/>
    <w:rsid w:val="00E51FBA"/>
    <w:rPr>
      <w:rFonts w:ascii="Arial" w:eastAsiaTheme="majorEastAsia" w:hAnsi="Arial" w:cstheme="majorBidi"/>
      <w:b/>
      <w:sz w:val="56"/>
      <w:szCs w:val="32"/>
    </w:rPr>
  </w:style>
  <w:style w:type="paragraph" w:styleId="TOCHeading">
    <w:name w:val="TOC Heading"/>
    <w:basedOn w:val="Heading1"/>
    <w:next w:val="Normal"/>
    <w:uiPriority w:val="39"/>
    <w:unhideWhenUsed/>
    <w:qFormat/>
    <w:rsid w:val="007177A7"/>
    <w:pPr>
      <w:outlineLvl w:val="9"/>
    </w:pPr>
    <w:rPr>
      <w:lang w:val="en-US"/>
    </w:rPr>
  </w:style>
  <w:style w:type="paragraph" w:styleId="ListParagraph">
    <w:name w:val="List Paragraph"/>
    <w:aliases w:val="Bullet Point,Bulletr List Paragraph,FooterText,L,List Paragraph1,List Paragraph11,List Paragraph2,List Paragraph21,Listeafsnit1,NFP GP Bulleted List,Paragraphe de liste1,Parágrafo da Lista1,Párrafo de lista1,Recommendation,numbered,リスト段落1"/>
    <w:basedOn w:val="Normal"/>
    <w:link w:val="ListParagraphChar"/>
    <w:uiPriority w:val="34"/>
    <w:qFormat/>
    <w:rsid w:val="00E148F7"/>
    <w:pPr>
      <w:ind w:left="720"/>
      <w:contextualSpacing/>
    </w:pPr>
  </w:style>
  <w:style w:type="table" w:styleId="TableGrid">
    <w:name w:val="Table Grid"/>
    <w:basedOn w:val="TableNormal"/>
    <w:uiPriority w:val="39"/>
    <w:rsid w:val="00F43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7DBD"/>
    <w:rPr>
      <w:sz w:val="16"/>
      <w:szCs w:val="16"/>
    </w:rPr>
  </w:style>
  <w:style w:type="paragraph" w:styleId="CommentText">
    <w:name w:val="annotation text"/>
    <w:basedOn w:val="Normal"/>
    <w:link w:val="CommentTextChar"/>
    <w:uiPriority w:val="99"/>
    <w:unhideWhenUsed/>
    <w:rsid w:val="007F7DBD"/>
    <w:pPr>
      <w:spacing w:line="240" w:lineRule="auto"/>
    </w:pPr>
    <w:rPr>
      <w:sz w:val="20"/>
      <w:szCs w:val="20"/>
    </w:rPr>
  </w:style>
  <w:style w:type="character" w:customStyle="1" w:styleId="CommentTextChar">
    <w:name w:val="Comment Text Char"/>
    <w:basedOn w:val="DefaultParagraphFont"/>
    <w:link w:val="CommentText"/>
    <w:uiPriority w:val="99"/>
    <w:rsid w:val="007F7DBD"/>
    <w:rPr>
      <w:sz w:val="20"/>
      <w:szCs w:val="20"/>
    </w:rPr>
  </w:style>
  <w:style w:type="paragraph" w:styleId="CommentSubject">
    <w:name w:val="annotation subject"/>
    <w:basedOn w:val="CommentText"/>
    <w:next w:val="CommentText"/>
    <w:link w:val="CommentSubjectChar"/>
    <w:uiPriority w:val="99"/>
    <w:semiHidden/>
    <w:unhideWhenUsed/>
    <w:rsid w:val="007F7DBD"/>
    <w:rPr>
      <w:b/>
      <w:bCs/>
    </w:rPr>
  </w:style>
  <w:style w:type="character" w:customStyle="1" w:styleId="CommentSubjectChar">
    <w:name w:val="Comment Subject Char"/>
    <w:basedOn w:val="CommentTextChar"/>
    <w:link w:val="CommentSubject"/>
    <w:uiPriority w:val="99"/>
    <w:semiHidden/>
    <w:rsid w:val="007F7DBD"/>
    <w:rPr>
      <w:b/>
      <w:bCs/>
      <w:sz w:val="20"/>
      <w:szCs w:val="20"/>
    </w:rPr>
  </w:style>
  <w:style w:type="paragraph" w:styleId="NoSpacing">
    <w:name w:val="No Spacing"/>
    <w:uiPriority w:val="1"/>
    <w:qFormat/>
    <w:rsid w:val="00A62216"/>
    <w:pPr>
      <w:spacing w:after="0" w:line="240" w:lineRule="auto"/>
    </w:pPr>
  </w:style>
  <w:style w:type="paragraph" w:customStyle="1" w:styleId="Bodycopy">
    <w:name w:val="Body copy"/>
    <w:basedOn w:val="Normal"/>
    <w:link w:val="BodycopyChar"/>
    <w:qFormat/>
    <w:rsid w:val="00873BE7"/>
  </w:style>
  <w:style w:type="table" w:styleId="PlainTable4">
    <w:name w:val="Plain Table 4"/>
    <w:basedOn w:val="TableNormal"/>
    <w:uiPriority w:val="44"/>
    <w:rsid w:val="006066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
    <w:name w:val="List Bullet"/>
    <w:basedOn w:val="Normal"/>
    <w:qFormat/>
    <w:rsid w:val="004F4B0C"/>
    <w:pPr>
      <w:numPr>
        <w:numId w:val="1"/>
      </w:numPr>
      <w:spacing w:line="240" w:lineRule="atLeast"/>
    </w:pPr>
    <w:rPr>
      <w:rFonts w:eastAsia="SimSun" w:cs="Times New Roman"/>
      <w:spacing w:val="-1"/>
      <w:szCs w:val="20"/>
      <w:lang w:val="en-GB" w:eastAsia="en-GB"/>
    </w:rPr>
  </w:style>
  <w:style w:type="paragraph" w:customStyle="1" w:styleId="Tableheader">
    <w:name w:val="Table header"/>
    <w:basedOn w:val="Normal"/>
    <w:qFormat/>
    <w:rsid w:val="006066C4"/>
    <w:pPr>
      <w:spacing w:before="120" w:after="120" w:line="240" w:lineRule="auto"/>
    </w:pPr>
    <w:rPr>
      <w:b/>
      <w:color w:val="FFFFFF" w:themeColor="background1"/>
      <w:lang w:val="en-US"/>
    </w:rPr>
  </w:style>
  <w:style w:type="paragraph" w:customStyle="1" w:styleId="Tablebodycopy">
    <w:name w:val="Table body copy"/>
    <w:basedOn w:val="Normal"/>
    <w:qFormat/>
    <w:rsid w:val="009A5BC4"/>
    <w:pPr>
      <w:spacing w:before="120" w:after="120" w:line="240" w:lineRule="auto"/>
    </w:pPr>
    <w:rPr>
      <w:lang w:val="en-US"/>
    </w:rPr>
  </w:style>
  <w:style w:type="character" w:customStyle="1" w:styleId="Heading2Char">
    <w:name w:val="Heading 2 Char"/>
    <w:basedOn w:val="DefaultParagraphFont"/>
    <w:link w:val="Heading2"/>
    <w:uiPriority w:val="9"/>
    <w:rsid w:val="00D72814"/>
    <w:rPr>
      <w:rFonts w:ascii="Arial" w:eastAsiaTheme="majorEastAsia" w:hAnsi="Arial" w:cstheme="majorBidi"/>
      <w:b/>
      <w:color w:val="000000" w:themeColor="text1"/>
      <w:sz w:val="56"/>
      <w:szCs w:val="26"/>
    </w:rPr>
  </w:style>
  <w:style w:type="paragraph" w:styleId="TOC1">
    <w:name w:val="toc 1"/>
    <w:basedOn w:val="Normal"/>
    <w:next w:val="Normal"/>
    <w:autoRedefine/>
    <w:uiPriority w:val="39"/>
    <w:unhideWhenUsed/>
    <w:rsid w:val="00FC6840"/>
    <w:pPr>
      <w:tabs>
        <w:tab w:val="right" w:pos="9016"/>
      </w:tabs>
      <w:spacing w:before="240" w:after="120"/>
    </w:pPr>
    <w:rPr>
      <w:b/>
      <w:bCs/>
      <w:noProof/>
      <w:color w:val="auto"/>
      <w:sz w:val="28"/>
      <w:szCs w:val="28"/>
    </w:rPr>
  </w:style>
  <w:style w:type="character" w:customStyle="1" w:styleId="Heading3Char">
    <w:name w:val="Heading 3 Char"/>
    <w:basedOn w:val="DefaultParagraphFont"/>
    <w:link w:val="Heading3"/>
    <w:uiPriority w:val="9"/>
    <w:rsid w:val="00F517EA"/>
    <w:rPr>
      <w:rFonts w:ascii="Arial" w:eastAsiaTheme="majorEastAsia" w:hAnsi="Arial" w:cstheme="majorBidi"/>
      <w:b/>
      <w:color w:val="000000" w:themeColor="text1"/>
      <w:sz w:val="32"/>
      <w:szCs w:val="24"/>
    </w:rPr>
  </w:style>
  <w:style w:type="paragraph" w:styleId="TOC2">
    <w:name w:val="toc 2"/>
    <w:basedOn w:val="Normal"/>
    <w:next w:val="Normal"/>
    <w:autoRedefine/>
    <w:uiPriority w:val="39"/>
    <w:unhideWhenUsed/>
    <w:rsid w:val="008E0DF7"/>
    <w:pPr>
      <w:tabs>
        <w:tab w:val="right" w:pos="9016"/>
      </w:tabs>
      <w:spacing w:after="100"/>
      <w:ind w:left="220"/>
    </w:pPr>
    <w:rPr>
      <w:noProof/>
    </w:rPr>
  </w:style>
  <w:style w:type="paragraph" w:styleId="TOC4">
    <w:name w:val="toc 4"/>
    <w:basedOn w:val="Normal"/>
    <w:next w:val="Normal"/>
    <w:autoRedefine/>
    <w:uiPriority w:val="39"/>
    <w:unhideWhenUsed/>
    <w:rsid w:val="007B2AD6"/>
    <w:pPr>
      <w:tabs>
        <w:tab w:val="right" w:leader="dot" w:pos="9016"/>
      </w:tabs>
      <w:spacing w:after="100"/>
      <w:ind w:left="220"/>
    </w:pPr>
  </w:style>
  <w:style w:type="paragraph" w:styleId="TOC3">
    <w:name w:val="toc 3"/>
    <w:basedOn w:val="Normal"/>
    <w:next w:val="Normal"/>
    <w:autoRedefine/>
    <w:uiPriority w:val="39"/>
    <w:unhideWhenUsed/>
    <w:rsid w:val="007B2AD6"/>
    <w:pPr>
      <w:tabs>
        <w:tab w:val="right" w:leader="dot" w:pos="9016"/>
      </w:tabs>
      <w:spacing w:after="100"/>
      <w:ind w:left="220"/>
    </w:pPr>
  </w:style>
  <w:style w:type="paragraph" w:styleId="TOC5">
    <w:name w:val="toc 5"/>
    <w:basedOn w:val="Normal"/>
    <w:next w:val="Normal"/>
    <w:autoRedefine/>
    <w:uiPriority w:val="39"/>
    <w:unhideWhenUsed/>
    <w:rsid w:val="007B2AD6"/>
    <w:pPr>
      <w:tabs>
        <w:tab w:val="right" w:leader="dot" w:pos="9016"/>
      </w:tabs>
      <w:spacing w:after="100"/>
      <w:ind w:left="220"/>
    </w:pPr>
  </w:style>
  <w:style w:type="character" w:styleId="Hyperlink">
    <w:name w:val="Hyperlink"/>
    <w:basedOn w:val="DefaultParagraphFont"/>
    <w:uiPriority w:val="99"/>
    <w:unhideWhenUsed/>
    <w:rsid w:val="00A93DF6"/>
    <w:rPr>
      <w:color w:val="215E9E" w:themeColor="hyperlink"/>
      <w:u w:val="single"/>
    </w:rPr>
  </w:style>
  <w:style w:type="paragraph" w:customStyle="1" w:styleId="Dateoncover">
    <w:name w:val="Date on cover"/>
    <w:basedOn w:val="Normal"/>
    <w:qFormat/>
    <w:rsid w:val="00BA18F6"/>
    <w:rPr>
      <w:rFonts w:cs="Arial"/>
      <w:b/>
      <w:bCs/>
      <w:sz w:val="28"/>
      <w:szCs w:val="28"/>
    </w:rPr>
  </w:style>
  <w:style w:type="paragraph" w:styleId="ListBullet2">
    <w:name w:val="List Bullet 2"/>
    <w:basedOn w:val="Normal"/>
    <w:qFormat/>
    <w:rsid w:val="00BE68F3"/>
    <w:pPr>
      <w:numPr>
        <w:ilvl w:val="1"/>
        <w:numId w:val="1"/>
      </w:numPr>
      <w:spacing w:line="240" w:lineRule="atLeast"/>
    </w:pPr>
    <w:rPr>
      <w:rFonts w:eastAsia="SimSun" w:cs="Times New Roman"/>
      <w:spacing w:val="-1"/>
      <w:szCs w:val="20"/>
      <w:lang w:val="en-GB" w:eastAsia="en-GB"/>
    </w:rPr>
  </w:style>
  <w:style w:type="paragraph" w:styleId="ListBullet3">
    <w:name w:val="List Bullet 3"/>
    <w:basedOn w:val="Normal"/>
    <w:qFormat/>
    <w:rsid w:val="00BE68F3"/>
    <w:pPr>
      <w:numPr>
        <w:ilvl w:val="2"/>
        <w:numId w:val="1"/>
      </w:numPr>
      <w:spacing w:line="240" w:lineRule="atLeast"/>
    </w:pPr>
    <w:rPr>
      <w:rFonts w:eastAsia="SimSun" w:cs="Times New Roman"/>
      <w:spacing w:val="-1"/>
      <w:szCs w:val="20"/>
      <w:lang w:val="en-GB" w:eastAsia="en-GB"/>
    </w:rPr>
  </w:style>
  <w:style w:type="paragraph" w:styleId="ListBullet4">
    <w:name w:val="List Bullet 4"/>
    <w:basedOn w:val="ListBullet3"/>
    <w:semiHidden/>
    <w:rsid w:val="004F4B0C"/>
    <w:pPr>
      <w:numPr>
        <w:ilvl w:val="3"/>
      </w:numPr>
    </w:pPr>
  </w:style>
  <w:style w:type="character" w:customStyle="1" w:styleId="Heading4Char">
    <w:name w:val="Heading 4 Char"/>
    <w:basedOn w:val="DefaultParagraphFont"/>
    <w:link w:val="Heading4"/>
    <w:uiPriority w:val="9"/>
    <w:rsid w:val="00D72814"/>
    <w:rPr>
      <w:rFonts w:ascii="Arial" w:hAnsi="Arial" w:cs="Arial"/>
      <w:b/>
      <w:bCs/>
      <w:color w:val="005D5D" w:themeColor="accent2"/>
      <w:sz w:val="28"/>
    </w:rPr>
  </w:style>
  <w:style w:type="character" w:customStyle="1" w:styleId="Heading5Char">
    <w:name w:val="Heading 5 Char"/>
    <w:basedOn w:val="DefaultParagraphFont"/>
    <w:link w:val="Heading5"/>
    <w:uiPriority w:val="9"/>
    <w:rsid w:val="000404CE"/>
    <w:rPr>
      <w:rFonts w:ascii="Arial" w:hAnsi="Arial" w:cs="Arial"/>
      <w:b/>
      <w:bCs/>
      <w:color w:val="000000" w:themeColor="text1"/>
    </w:rPr>
  </w:style>
  <w:style w:type="character" w:customStyle="1" w:styleId="Heading6Char">
    <w:name w:val="Heading 6 Char"/>
    <w:basedOn w:val="DefaultParagraphFont"/>
    <w:link w:val="Heading6"/>
    <w:uiPriority w:val="9"/>
    <w:rsid w:val="00BA18F6"/>
    <w:rPr>
      <w:rFonts w:asciiTheme="majorHAnsi" w:eastAsiaTheme="majorEastAsia" w:hAnsiTheme="majorHAnsi" w:cstheme="majorBidi"/>
      <w:color w:val="341461" w:themeColor="accent1" w:themeShade="7F"/>
    </w:rPr>
  </w:style>
  <w:style w:type="character" w:customStyle="1" w:styleId="Heading7Char">
    <w:name w:val="Heading 7 Char"/>
    <w:basedOn w:val="DefaultParagraphFont"/>
    <w:link w:val="Heading7"/>
    <w:uiPriority w:val="9"/>
    <w:rsid w:val="00BA18F6"/>
    <w:rPr>
      <w:rFonts w:asciiTheme="majorHAnsi" w:eastAsiaTheme="majorEastAsia" w:hAnsiTheme="majorHAnsi" w:cstheme="majorBidi"/>
      <w:i/>
      <w:iCs/>
      <w:color w:val="341461" w:themeColor="accent1" w:themeShade="7F"/>
    </w:rPr>
  </w:style>
  <w:style w:type="paragraph" w:customStyle="1" w:styleId="coversubtitle">
    <w:name w:val="cover subtitle"/>
    <w:basedOn w:val="Bodycopy"/>
    <w:qFormat/>
    <w:rsid w:val="001C0CB2"/>
    <w:pPr>
      <w:spacing w:after="400"/>
    </w:pPr>
    <w:rPr>
      <w:sz w:val="40"/>
      <w:szCs w:val="40"/>
    </w:rPr>
  </w:style>
  <w:style w:type="paragraph" w:styleId="Header">
    <w:name w:val="header"/>
    <w:basedOn w:val="Normal"/>
    <w:link w:val="HeaderChar"/>
    <w:uiPriority w:val="99"/>
    <w:unhideWhenUsed/>
    <w:rsid w:val="00C40E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0E20"/>
    <w:rPr>
      <w:rFonts w:ascii="Arial" w:hAnsi="Arial"/>
      <w:color w:val="000000" w:themeColor="text1"/>
    </w:rPr>
  </w:style>
  <w:style w:type="paragraph" w:styleId="BodyText">
    <w:name w:val="Body Text"/>
    <w:basedOn w:val="Normal"/>
    <w:link w:val="BodyTextChar"/>
    <w:uiPriority w:val="1"/>
    <w:qFormat/>
    <w:rsid w:val="00E51FBA"/>
    <w:pPr>
      <w:widowControl w:val="0"/>
      <w:autoSpaceDE w:val="0"/>
      <w:autoSpaceDN w:val="0"/>
      <w:spacing w:after="0" w:line="240" w:lineRule="auto"/>
    </w:pPr>
    <w:rPr>
      <w:rFonts w:eastAsia="Arial" w:cs="Arial"/>
      <w:color w:val="auto"/>
      <w:sz w:val="32"/>
      <w:szCs w:val="32"/>
      <w:lang w:val="en-US"/>
    </w:rPr>
  </w:style>
  <w:style w:type="character" w:customStyle="1" w:styleId="BodyTextChar">
    <w:name w:val="Body Text Char"/>
    <w:basedOn w:val="DefaultParagraphFont"/>
    <w:link w:val="BodyText"/>
    <w:uiPriority w:val="1"/>
    <w:rsid w:val="00E51FBA"/>
    <w:rPr>
      <w:rFonts w:ascii="Arial" w:eastAsia="Arial" w:hAnsi="Arial" w:cs="Arial"/>
      <w:sz w:val="32"/>
      <w:szCs w:val="32"/>
      <w:lang w:val="en-US"/>
    </w:rPr>
  </w:style>
  <w:style w:type="character" w:customStyle="1" w:styleId="BodycopyChar">
    <w:name w:val="Body copy Char"/>
    <w:basedOn w:val="DefaultParagraphFont"/>
    <w:link w:val="Bodycopy"/>
    <w:uiPriority w:val="1"/>
    <w:rsid w:val="00E51FBA"/>
    <w:rPr>
      <w:rFonts w:ascii="Arial" w:hAnsi="Arial"/>
      <w:color w:val="000000" w:themeColor="text1"/>
    </w:rPr>
  </w:style>
  <w:style w:type="character" w:customStyle="1" w:styleId="ui-provider">
    <w:name w:val="ui-provider"/>
    <w:basedOn w:val="DefaultParagraphFont"/>
    <w:rsid w:val="00E17EC6"/>
  </w:style>
  <w:style w:type="character" w:styleId="Strong">
    <w:name w:val="Strong"/>
    <w:basedOn w:val="DefaultParagraphFont"/>
    <w:uiPriority w:val="22"/>
    <w:qFormat/>
    <w:rsid w:val="00E17EC6"/>
    <w:rPr>
      <w:b/>
      <w:bCs/>
    </w:rPr>
  </w:style>
  <w:style w:type="paragraph" w:styleId="EndnoteText">
    <w:name w:val="endnote text"/>
    <w:basedOn w:val="Normal"/>
    <w:link w:val="EndnoteTextChar"/>
    <w:uiPriority w:val="99"/>
    <w:unhideWhenUsed/>
    <w:rsid w:val="00D72814"/>
    <w:pPr>
      <w:spacing w:after="0" w:line="240" w:lineRule="auto"/>
    </w:pPr>
    <w:rPr>
      <w:sz w:val="20"/>
      <w:szCs w:val="20"/>
    </w:rPr>
  </w:style>
  <w:style w:type="character" w:customStyle="1" w:styleId="EndnoteTextChar">
    <w:name w:val="Endnote Text Char"/>
    <w:basedOn w:val="DefaultParagraphFont"/>
    <w:link w:val="EndnoteText"/>
    <w:uiPriority w:val="99"/>
    <w:rsid w:val="00D72814"/>
    <w:rPr>
      <w:rFonts w:ascii="Arial" w:hAnsi="Arial"/>
      <w:color w:val="000000" w:themeColor="text1"/>
      <w:sz w:val="20"/>
      <w:szCs w:val="20"/>
    </w:rPr>
  </w:style>
  <w:style w:type="character" w:styleId="EndnoteReference">
    <w:name w:val="endnote reference"/>
    <w:basedOn w:val="DefaultParagraphFont"/>
    <w:uiPriority w:val="99"/>
    <w:semiHidden/>
    <w:unhideWhenUsed/>
    <w:rsid w:val="00D72814"/>
    <w:rPr>
      <w:vertAlign w:val="superscript"/>
    </w:rPr>
  </w:style>
  <w:style w:type="paragraph" w:styleId="IntenseQuote">
    <w:name w:val="Intense Quote"/>
    <w:basedOn w:val="Normal"/>
    <w:next w:val="Normal"/>
    <w:link w:val="IntenseQuoteChar"/>
    <w:uiPriority w:val="30"/>
    <w:qFormat/>
    <w:rsid w:val="00B52752"/>
    <w:pPr>
      <w:pBdr>
        <w:top w:val="single" w:sz="4" w:space="10" w:color="6929C4" w:themeColor="accent1"/>
        <w:bottom w:val="single" w:sz="4" w:space="10" w:color="6929C4" w:themeColor="accent1"/>
      </w:pBdr>
      <w:spacing w:before="360" w:after="360"/>
      <w:ind w:left="864" w:right="864"/>
      <w:jc w:val="center"/>
    </w:pPr>
    <w:rPr>
      <w:i/>
      <w:iCs/>
      <w:color w:val="6929C4" w:themeColor="accent1"/>
    </w:rPr>
  </w:style>
  <w:style w:type="character" w:customStyle="1" w:styleId="IntenseQuoteChar">
    <w:name w:val="Intense Quote Char"/>
    <w:basedOn w:val="DefaultParagraphFont"/>
    <w:link w:val="IntenseQuote"/>
    <w:uiPriority w:val="30"/>
    <w:rsid w:val="00B52752"/>
    <w:rPr>
      <w:rFonts w:ascii="Arial" w:hAnsi="Arial"/>
      <w:i/>
      <w:iCs/>
      <w:color w:val="6929C4" w:themeColor="accent1"/>
    </w:rPr>
  </w:style>
  <w:style w:type="character" w:customStyle="1" w:styleId="ListParagraphChar">
    <w:name w:val="List Paragraph Char"/>
    <w:aliases w:val="Bullet Point Char,Bulletr List Paragraph Char,FooterText Char,L Char,List Paragraph1 Char,List Paragraph11 Char,List Paragraph2 Char,List Paragraph21 Char,Listeafsnit1 Char,NFP GP Bulleted List Char,Paragraphe de liste1 Char"/>
    <w:basedOn w:val="DefaultParagraphFont"/>
    <w:link w:val="ListParagraph"/>
    <w:uiPriority w:val="34"/>
    <w:qFormat/>
    <w:locked/>
    <w:rsid w:val="00C20F89"/>
    <w:rPr>
      <w:rFonts w:ascii="Arial" w:hAnsi="Arial"/>
      <w:color w:val="000000" w:themeColor="text1"/>
    </w:rPr>
  </w:style>
  <w:style w:type="character" w:styleId="Mention">
    <w:name w:val="Mention"/>
    <w:basedOn w:val="DefaultParagraphFont"/>
    <w:uiPriority w:val="99"/>
    <w:unhideWhenUsed/>
    <w:rsid w:val="00CE6D1F"/>
    <w:rPr>
      <w:color w:val="2B579A"/>
      <w:shd w:val="clear" w:color="auto" w:fill="E1DFDD"/>
    </w:rPr>
  </w:style>
  <w:style w:type="paragraph" w:styleId="NormalWeb">
    <w:name w:val="Normal (Web)"/>
    <w:basedOn w:val="Normal"/>
    <w:uiPriority w:val="99"/>
    <w:unhideWhenUsed/>
    <w:rsid w:val="005F6D5E"/>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styleId="Quote">
    <w:name w:val="Quote"/>
    <w:basedOn w:val="Normal"/>
    <w:next w:val="Normal"/>
    <w:link w:val="QuoteChar"/>
    <w:uiPriority w:val="29"/>
    <w:qFormat/>
    <w:rsid w:val="005F6D5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F6D5E"/>
    <w:rPr>
      <w:rFonts w:ascii="Arial" w:hAnsi="Arial"/>
      <w:i/>
      <w:iCs/>
      <w:color w:val="404040" w:themeColor="text1" w:themeTint="BF"/>
    </w:rPr>
  </w:style>
  <w:style w:type="character" w:styleId="SubtleReference">
    <w:name w:val="Subtle Reference"/>
    <w:basedOn w:val="DefaultParagraphFont"/>
    <w:uiPriority w:val="31"/>
    <w:qFormat/>
    <w:rsid w:val="005F6D5E"/>
    <w:rPr>
      <w:smallCaps/>
      <w:color w:val="5A5A5A" w:themeColor="text1" w:themeTint="A5"/>
    </w:rPr>
  </w:style>
  <w:style w:type="character" w:styleId="FollowedHyperlink">
    <w:name w:val="FollowedHyperlink"/>
    <w:basedOn w:val="DefaultParagraphFont"/>
    <w:uiPriority w:val="99"/>
    <w:semiHidden/>
    <w:unhideWhenUsed/>
    <w:rsid w:val="005F6D5E"/>
    <w:rPr>
      <w:color w:val="00B4FF" w:themeColor="followedHyperlink"/>
      <w:u w:val="single"/>
    </w:rPr>
  </w:style>
  <w:style w:type="table" w:styleId="GridTable1Light-Accent1">
    <w:name w:val="Grid Table 1 Light Accent 1"/>
    <w:basedOn w:val="TableNormal"/>
    <w:uiPriority w:val="46"/>
    <w:rsid w:val="005F6D5E"/>
    <w:pPr>
      <w:spacing w:after="0" w:line="240" w:lineRule="auto"/>
    </w:pPr>
    <w:tblPr>
      <w:tblStyleRowBandSize w:val="1"/>
      <w:tblStyleColBandSize w:val="1"/>
      <w:tblBorders>
        <w:top w:val="single" w:sz="4" w:space="0" w:color="C2A4EC" w:themeColor="accent1" w:themeTint="66"/>
        <w:left w:val="single" w:sz="4" w:space="0" w:color="C2A4EC" w:themeColor="accent1" w:themeTint="66"/>
        <w:bottom w:val="single" w:sz="4" w:space="0" w:color="C2A4EC" w:themeColor="accent1" w:themeTint="66"/>
        <w:right w:val="single" w:sz="4" w:space="0" w:color="C2A4EC" w:themeColor="accent1" w:themeTint="66"/>
        <w:insideH w:val="single" w:sz="4" w:space="0" w:color="C2A4EC" w:themeColor="accent1" w:themeTint="66"/>
        <w:insideV w:val="single" w:sz="4" w:space="0" w:color="C2A4EC" w:themeColor="accent1" w:themeTint="66"/>
      </w:tblBorders>
    </w:tblPr>
    <w:tblStylePr w:type="firstRow">
      <w:rPr>
        <w:b/>
        <w:bCs/>
      </w:rPr>
      <w:tblPr/>
      <w:tcPr>
        <w:tcBorders>
          <w:bottom w:val="single" w:sz="12" w:space="0" w:color="A377E2" w:themeColor="accent1" w:themeTint="99"/>
        </w:tcBorders>
      </w:tcPr>
    </w:tblStylePr>
    <w:tblStylePr w:type="lastRow">
      <w:rPr>
        <w:b/>
        <w:bCs/>
      </w:rPr>
      <w:tblPr/>
      <w:tcPr>
        <w:tcBorders>
          <w:top w:val="double" w:sz="2" w:space="0" w:color="A377E2" w:themeColor="accent1" w:themeTint="99"/>
        </w:tcBorders>
      </w:tcPr>
    </w:tblStylePr>
    <w:tblStylePr w:type="firstCol">
      <w:rPr>
        <w:b/>
        <w:bCs/>
      </w:rPr>
    </w:tblStylePr>
    <w:tblStylePr w:type="lastCol">
      <w:rPr>
        <w:b/>
        <w:bCs/>
      </w:rPr>
    </w:tblStylePr>
  </w:style>
  <w:style w:type="table" w:styleId="ListTable2-Accent6">
    <w:name w:val="List Table 2 Accent 6"/>
    <w:basedOn w:val="TableNormal"/>
    <w:uiPriority w:val="47"/>
    <w:rsid w:val="005F6D5E"/>
    <w:pPr>
      <w:spacing w:after="0" w:line="240" w:lineRule="auto"/>
    </w:pPr>
    <w:tblPr>
      <w:tblStyleRowBandSize w:val="1"/>
      <w:tblStyleColBandSize w:val="1"/>
      <w:tblBorders>
        <w:top w:val="single" w:sz="4" w:space="0" w:color="F40E19" w:themeColor="accent6" w:themeTint="99"/>
        <w:bottom w:val="single" w:sz="4" w:space="0" w:color="F40E19" w:themeColor="accent6" w:themeTint="99"/>
        <w:insideH w:val="single" w:sz="4" w:space="0" w:color="F40E1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AEB2" w:themeFill="accent6" w:themeFillTint="33"/>
      </w:tcPr>
    </w:tblStylePr>
    <w:tblStylePr w:type="band1Horz">
      <w:tblPr/>
      <w:tcPr>
        <w:shd w:val="clear" w:color="auto" w:fill="FBAEB2" w:themeFill="accent6" w:themeFillTint="33"/>
      </w:tcPr>
    </w:tblStylePr>
  </w:style>
  <w:style w:type="table" w:styleId="ListTable1Light-Accent3">
    <w:name w:val="List Table 1 Light Accent 3"/>
    <w:basedOn w:val="TableNormal"/>
    <w:uiPriority w:val="46"/>
    <w:rsid w:val="005F6D5E"/>
    <w:pPr>
      <w:spacing w:after="0" w:line="240" w:lineRule="auto"/>
    </w:pPr>
    <w:tblPr>
      <w:tblStyleRowBandSize w:val="1"/>
      <w:tblStyleColBandSize w:val="1"/>
    </w:tblPr>
    <w:tblStylePr w:type="firstRow">
      <w:rPr>
        <w:b/>
        <w:bCs/>
      </w:rPr>
      <w:tblPr/>
      <w:tcPr>
        <w:tcBorders>
          <w:bottom w:val="single" w:sz="4" w:space="0" w:color="6DBEF4" w:themeColor="accent3" w:themeTint="99"/>
        </w:tcBorders>
      </w:tcPr>
    </w:tblStylePr>
    <w:tblStylePr w:type="lastRow">
      <w:rPr>
        <w:b/>
        <w:bCs/>
      </w:rPr>
      <w:tblPr/>
      <w:tcPr>
        <w:tcBorders>
          <w:top w:val="single" w:sz="4" w:space="0" w:color="6DBEF4" w:themeColor="accent3" w:themeTint="99"/>
        </w:tcBorders>
      </w:tcPr>
    </w:tblStylePr>
    <w:tblStylePr w:type="firstCol">
      <w:rPr>
        <w:b/>
        <w:bCs/>
      </w:rPr>
    </w:tblStylePr>
    <w:tblStylePr w:type="lastCol">
      <w:rPr>
        <w:b/>
        <w:bCs/>
      </w:rPr>
    </w:tblStylePr>
    <w:tblStylePr w:type="band1Vert">
      <w:tblPr/>
      <w:tcPr>
        <w:shd w:val="clear" w:color="auto" w:fill="CEE9FB" w:themeFill="accent3" w:themeFillTint="33"/>
      </w:tcPr>
    </w:tblStylePr>
    <w:tblStylePr w:type="band1Horz">
      <w:tblPr/>
      <w:tcPr>
        <w:shd w:val="clear" w:color="auto" w:fill="CEE9FB" w:themeFill="accent3" w:themeFillTint="33"/>
      </w:tcPr>
    </w:tblStylePr>
  </w:style>
  <w:style w:type="table" w:styleId="ListTable2-Accent2">
    <w:name w:val="List Table 2 Accent 2"/>
    <w:basedOn w:val="TableNormal"/>
    <w:uiPriority w:val="47"/>
    <w:rsid w:val="005F6D5E"/>
    <w:pPr>
      <w:spacing w:after="0" w:line="240" w:lineRule="auto"/>
    </w:pPr>
    <w:tblPr>
      <w:tblStyleRowBandSize w:val="1"/>
      <w:tblStyleColBandSize w:val="1"/>
      <w:tblBorders>
        <w:top w:val="single" w:sz="4" w:space="0" w:color="04FFFF" w:themeColor="accent2" w:themeTint="99"/>
        <w:bottom w:val="single" w:sz="4" w:space="0" w:color="04FFFF" w:themeColor="accent2" w:themeTint="99"/>
        <w:insideH w:val="single" w:sz="4" w:space="0" w:color="04FF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BFFFF" w:themeFill="accent2" w:themeFillTint="33"/>
      </w:tcPr>
    </w:tblStylePr>
    <w:tblStylePr w:type="band1Horz">
      <w:tblPr/>
      <w:tcPr>
        <w:shd w:val="clear" w:color="auto" w:fill="ABFFFF" w:themeFill="accent2" w:themeFillTint="33"/>
      </w:tcPr>
    </w:tblStylePr>
  </w:style>
  <w:style w:type="paragraph" w:styleId="FootnoteText">
    <w:name w:val="footnote text"/>
    <w:basedOn w:val="Normal"/>
    <w:link w:val="FootnoteTextChar"/>
    <w:uiPriority w:val="99"/>
    <w:unhideWhenUsed/>
    <w:rsid w:val="005F6D5E"/>
    <w:pPr>
      <w:spacing w:after="0" w:line="240" w:lineRule="auto"/>
    </w:pPr>
    <w:rPr>
      <w:sz w:val="20"/>
      <w:szCs w:val="20"/>
    </w:rPr>
  </w:style>
  <w:style w:type="character" w:customStyle="1" w:styleId="FootnoteTextChar">
    <w:name w:val="Footnote Text Char"/>
    <w:basedOn w:val="DefaultParagraphFont"/>
    <w:link w:val="FootnoteText"/>
    <w:uiPriority w:val="99"/>
    <w:rsid w:val="005F6D5E"/>
    <w:rPr>
      <w:rFonts w:ascii="Arial" w:hAnsi="Arial"/>
      <w:color w:val="000000" w:themeColor="text1"/>
      <w:sz w:val="20"/>
      <w:szCs w:val="20"/>
    </w:rPr>
  </w:style>
  <w:style w:type="character" w:styleId="FootnoteReference">
    <w:name w:val="footnote reference"/>
    <w:basedOn w:val="DefaultParagraphFont"/>
    <w:uiPriority w:val="99"/>
    <w:unhideWhenUsed/>
    <w:rsid w:val="005F6D5E"/>
    <w:rPr>
      <w:vertAlign w:val="superscript"/>
    </w:rPr>
  </w:style>
  <w:style w:type="paragraph" w:styleId="Revision">
    <w:name w:val="Revision"/>
    <w:hidden/>
    <w:uiPriority w:val="99"/>
    <w:semiHidden/>
    <w:rsid w:val="005F6D5E"/>
    <w:pPr>
      <w:spacing w:after="0" w:line="240" w:lineRule="auto"/>
    </w:pPr>
    <w:rPr>
      <w:rFonts w:ascii="Arial" w:hAnsi="Arial"/>
      <w:color w:val="000000" w:themeColor="text1"/>
    </w:rPr>
  </w:style>
  <w:style w:type="character" w:customStyle="1" w:styleId="cf01">
    <w:name w:val="cf01"/>
    <w:basedOn w:val="DefaultParagraphFont"/>
    <w:rsid w:val="005136BF"/>
    <w:rPr>
      <w:rFonts w:ascii="Segoe UI" w:hAnsi="Segoe UI" w:cs="Segoe UI" w:hint="default"/>
      <w:sz w:val="18"/>
      <w:szCs w:val="18"/>
    </w:rPr>
  </w:style>
  <w:style w:type="paragraph" w:customStyle="1" w:styleId="pf0">
    <w:name w:val="pf0"/>
    <w:basedOn w:val="Normal"/>
    <w:rsid w:val="00A91D01"/>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Default">
    <w:name w:val="Default"/>
    <w:rsid w:val="00377B56"/>
    <w:pPr>
      <w:autoSpaceDE w:val="0"/>
      <w:autoSpaceDN w:val="0"/>
      <w:adjustRightInd w:val="0"/>
      <w:spacing w:after="0" w:line="240" w:lineRule="auto"/>
    </w:pPr>
    <w:rPr>
      <w:rFonts w:ascii="Arial" w:hAnsi="Arial" w:cs="Arial"/>
      <w:color w:val="000000"/>
      <w:sz w:val="24"/>
      <w:szCs w:val="24"/>
    </w:rPr>
  </w:style>
  <w:style w:type="character" w:customStyle="1" w:styleId="normaltextrun">
    <w:name w:val="normaltextrun"/>
    <w:basedOn w:val="DefaultParagraphFont"/>
    <w:rsid w:val="00EC701E"/>
  </w:style>
  <w:style w:type="character" w:customStyle="1" w:styleId="eop">
    <w:name w:val="eop"/>
    <w:basedOn w:val="DefaultParagraphFont"/>
    <w:rsid w:val="00EC701E"/>
  </w:style>
  <w:style w:type="paragraph" w:customStyle="1" w:styleId="paragraph">
    <w:name w:val="paragraph"/>
    <w:basedOn w:val="Normal"/>
    <w:rsid w:val="00E6256B"/>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paragraph" w:customStyle="1" w:styleId="breadcrumb-item">
    <w:name w:val="breadcrumb-item"/>
    <w:basedOn w:val="Normal"/>
    <w:rsid w:val="00E13239"/>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field">
    <w:name w:val="field"/>
    <w:basedOn w:val="DefaultParagraphFont"/>
    <w:rsid w:val="00E13239"/>
  </w:style>
  <w:style w:type="character" w:styleId="Emphasis">
    <w:name w:val="Emphasis"/>
    <w:basedOn w:val="DefaultParagraphFont"/>
    <w:uiPriority w:val="20"/>
    <w:qFormat/>
    <w:rsid w:val="00E13239"/>
    <w:rPr>
      <w:i/>
      <w:iCs/>
    </w:rPr>
  </w:style>
  <w:style w:type="paragraph" w:customStyle="1" w:styleId="Figuretext">
    <w:name w:val="Figure text"/>
    <w:basedOn w:val="Normal"/>
    <w:qFormat/>
    <w:rsid w:val="00E13239"/>
    <w:pPr>
      <w:keepNext/>
      <w:pBdr>
        <w:top w:val="single" w:sz="2" w:space="3" w:color="000000"/>
        <w:left w:val="single" w:sz="2" w:space="4" w:color="000000"/>
        <w:bottom w:val="single" w:sz="2" w:space="1" w:color="000000"/>
        <w:right w:val="single" w:sz="2" w:space="4" w:color="000000"/>
      </w:pBdr>
      <w:spacing w:after="40" w:line="240" w:lineRule="atLeast"/>
      <w:ind w:left="119" w:right="113"/>
      <w:jc w:val="center"/>
      <w:outlineLvl w:val="1"/>
    </w:pPr>
    <w:rPr>
      <w:rFonts w:eastAsiaTheme="majorEastAsia" w:cstheme="majorBidi"/>
      <w:bCs/>
      <w:iCs/>
      <w:color w:val="0D0D0D" w:themeColor="text1" w:themeTint="F2"/>
      <w:sz w:val="18"/>
    </w:rPr>
  </w:style>
  <w:style w:type="character" w:customStyle="1" w:styleId="cf11">
    <w:name w:val="cf11"/>
    <w:basedOn w:val="DefaultParagraphFont"/>
    <w:rsid w:val="00DA4007"/>
    <w:rPr>
      <w:rFonts w:ascii="Segoe UI" w:hAnsi="Segoe UI" w:cs="Segoe UI" w:hint="default"/>
      <w:sz w:val="18"/>
      <w:szCs w:val="18"/>
    </w:rPr>
  </w:style>
  <w:style w:type="paragraph" w:styleId="TOC6">
    <w:name w:val="toc 6"/>
    <w:basedOn w:val="Normal"/>
    <w:next w:val="Normal"/>
    <w:autoRedefine/>
    <w:uiPriority w:val="39"/>
    <w:unhideWhenUsed/>
    <w:rsid w:val="00A00A78"/>
    <w:pPr>
      <w:spacing w:after="100"/>
      <w:ind w:left="1100"/>
    </w:pPr>
    <w:rPr>
      <w:rFonts w:asciiTheme="minorHAnsi" w:eastAsiaTheme="minorEastAsia" w:hAnsiTheme="minorHAnsi"/>
      <w:color w:val="auto"/>
      <w:kern w:val="2"/>
      <w:lang w:eastAsia="en-AU"/>
      <w14:ligatures w14:val="standardContextual"/>
    </w:rPr>
  </w:style>
  <w:style w:type="paragraph" w:styleId="TOC7">
    <w:name w:val="toc 7"/>
    <w:basedOn w:val="Normal"/>
    <w:next w:val="Normal"/>
    <w:autoRedefine/>
    <w:uiPriority w:val="39"/>
    <w:unhideWhenUsed/>
    <w:rsid w:val="00A00A78"/>
    <w:pPr>
      <w:spacing w:after="100"/>
      <w:ind w:left="1320"/>
    </w:pPr>
    <w:rPr>
      <w:rFonts w:asciiTheme="minorHAnsi" w:eastAsiaTheme="minorEastAsia" w:hAnsiTheme="minorHAnsi"/>
      <w:color w:val="auto"/>
      <w:kern w:val="2"/>
      <w:lang w:eastAsia="en-AU"/>
      <w14:ligatures w14:val="standardContextual"/>
    </w:rPr>
  </w:style>
  <w:style w:type="paragraph" w:styleId="TOC8">
    <w:name w:val="toc 8"/>
    <w:basedOn w:val="Normal"/>
    <w:next w:val="Normal"/>
    <w:autoRedefine/>
    <w:uiPriority w:val="39"/>
    <w:unhideWhenUsed/>
    <w:rsid w:val="00A00A78"/>
    <w:pPr>
      <w:spacing w:after="100"/>
      <w:ind w:left="1540"/>
    </w:pPr>
    <w:rPr>
      <w:rFonts w:asciiTheme="minorHAnsi" w:eastAsiaTheme="minorEastAsia" w:hAnsiTheme="minorHAnsi"/>
      <w:color w:val="auto"/>
      <w:kern w:val="2"/>
      <w:lang w:eastAsia="en-AU"/>
      <w14:ligatures w14:val="standardContextual"/>
    </w:rPr>
  </w:style>
  <w:style w:type="paragraph" w:styleId="TOC9">
    <w:name w:val="toc 9"/>
    <w:basedOn w:val="Normal"/>
    <w:next w:val="Normal"/>
    <w:autoRedefine/>
    <w:uiPriority w:val="39"/>
    <w:unhideWhenUsed/>
    <w:rsid w:val="00A00A78"/>
    <w:pPr>
      <w:spacing w:after="100"/>
      <w:ind w:left="1760"/>
    </w:pPr>
    <w:rPr>
      <w:rFonts w:asciiTheme="minorHAnsi" w:eastAsiaTheme="minorEastAsia" w:hAnsiTheme="minorHAnsi"/>
      <w:color w:val="auto"/>
      <w:kern w:val="2"/>
      <w:lang w:eastAsia="en-AU"/>
      <w14:ligatures w14:val="standardContextual"/>
    </w:rPr>
  </w:style>
  <w:style w:type="character" w:customStyle="1" w:styleId="fielditemname">
    <w:name w:val="fielditemname"/>
    <w:basedOn w:val="DefaultParagraphFont"/>
    <w:rsid w:val="009E09C1"/>
  </w:style>
  <w:style w:type="paragraph" w:customStyle="1" w:styleId="msonormal0">
    <w:name w:val="msonormal"/>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textrun">
    <w:name w:val="textrun"/>
    <w:basedOn w:val="DefaultParagraphFont"/>
    <w:rsid w:val="00CD2B22"/>
  </w:style>
  <w:style w:type="paragraph" w:customStyle="1" w:styleId="outlineelement">
    <w:name w:val="outlineelement"/>
    <w:basedOn w:val="Normal"/>
    <w:rsid w:val="00CD2B22"/>
    <w:pPr>
      <w:spacing w:before="100" w:beforeAutospacing="1" w:after="100" w:afterAutospacing="1" w:line="240" w:lineRule="auto"/>
    </w:pPr>
    <w:rPr>
      <w:rFonts w:ascii="Times New Roman" w:eastAsia="Times New Roman" w:hAnsi="Times New Roman" w:cs="Times New Roman"/>
      <w:color w:val="auto"/>
      <w:sz w:val="24"/>
      <w:szCs w:val="24"/>
      <w:lang w:eastAsia="en-AU"/>
    </w:rPr>
  </w:style>
  <w:style w:type="character" w:customStyle="1" w:styleId="superscript">
    <w:name w:val="superscript"/>
    <w:basedOn w:val="DefaultParagraphFont"/>
    <w:rsid w:val="00CD2B22"/>
  </w:style>
  <w:style w:type="character" w:customStyle="1" w:styleId="trackchangetextinsertion">
    <w:name w:val="trackchangetextinsertion"/>
    <w:basedOn w:val="DefaultParagraphFont"/>
    <w:rsid w:val="00CD2B22"/>
  </w:style>
  <w:style w:type="character" w:customStyle="1" w:styleId="trackchangetextdeletionmarker">
    <w:name w:val="trackchangetextdeletionmarker"/>
    <w:basedOn w:val="DefaultParagraphFont"/>
    <w:rsid w:val="00CD2B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792903">
      <w:bodyDiv w:val="1"/>
      <w:marLeft w:val="0"/>
      <w:marRight w:val="0"/>
      <w:marTop w:val="0"/>
      <w:marBottom w:val="0"/>
      <w:divBdr>
        <w:top w:val="none" w:sz="0" w:space="0" w:color="auto"/>
        <w:left w:val="none" w:sz="0" w:space="0" w:color="auto"/>
        <w:bottom w:val="none" w:sz="0" w:space="0" w:color="auto"/>
        <w:right w:val="none" w:sz="0" w:space="0" w:color="auto"/>
      </w:divBdr>
    </w:div>
    <w:div w:id="442118336">
      <w:bodyDiv w:val="1"/>
      <w:marLeft w:val="0"/>
      <w:marRight w:val="0"/>
      <w:marTop w:val="0"/>
      <w:marBottom w:val="0"/>
      <w:divBdr>
        <w:top w:val="none" w:sz="0" w:space="0" w:color="auto"/>
        <w:left w:val="none" w:sz="0" w:space="0" w:color="auto"/>
        <w:bottom w:val="none" w:sz="0" w:space="0" w:color="auto"/>
        <w:right w:val="none" w:sz="0" w:space="0" w:color="auto"/>
      </w:divBdr>
    </w:div>
    <w:div w:id="471606876">
      <w:bodyDiv w:val="1"/>
      <w:marLeft w:val="0"/>
      <w:marRight w:val="0"/>
      <w:marTop w:val="0"/>
      <w:marBottom w:val="0"/>
      <w:divBdr>
        <w:top w:val="none" w:sz="0" w:space="0" w:color="auto"/>
        <w:left w:val="none" w:sz="0" w:space="0" w:color="auto"/>
        <w:bottom w:val="none" w:sz="0" w:space="0" w:color="auto"/>
        <w:right w:val="none" w:sz="0" w:space="0" w:color="auto"/>
      </w:divBdr>
    </w:div>
    <w:div w:id="551576961">
      <w:bodyDiv w:val="1"/>
      <w:marLeft w:val="0"/>
      <w:marRight w:val="0"/>
      <w:marTop w:val="0"/>
      <w:marBottom w:val="0"/>
      <w:divBdr>
        <w:top w:val="none" w:sz="0" w:space="0" w:color="auto"/>
        <w:left w:val="none" w:sz="0" w:space="0" w:color="auto"/>
        <w:bottom w:val="none" w:sz="0" w:space="0" w:color="auto"/>
        <w:right w:val="none" w:sz="0" w:space="0" w:color="auto"/>
      </w:divBdr>
    </w:div>
    <w:div w:id="637802497">
      <w:bodyDiv w:val="1"/>
      <w:marLeft w:val="0"/>
      <w:marRight w:val="0"/>
      <w:marTop w:val="0"/>
      <w:marBottom w:val="0"/>
      <w:divBdr>
        <w:top w:val="none" w:sz="0" w:space="0" w:color="auto"/>
        <w:left w:val="none" w:sz="0" w:space="0" w:color="auto"/>
        <w:bottom w:val="none" w:sz="0" w:space="0" w:color="auto"/>
        <w:right w:val="none" w:sz="0" w:space="0" w:color="auto"/>
      </w:divBdr>
    </w:div>
    <w:div w:id="792557925">
      <w:bodyDiv w:val="1"/>
      <w:marLeft w:val="0"/>
      <w:marRight w:val="0"/>
      <w:marTop w:val="0"/>
      <w:marBottom w:val="0"/>
      <w:divBdr>
        <w:top w:val="none" w:sz="0" w:space="0" w:color="auto"/>
        <w:left w:val="none" w:sz="0" w:space="0" w:color="auto"/>
        <w:bottom w:val="none" w:sz="0" w:space="0" w:color="auto"/>
        <w:right w:val="none" w:sz="0" w:space="0" w:color="auto"/>
      </w:divBdr>
    </w:div>
    <w:div w:id="830412846">
      <w:bodyDiv w:val="1"/>
      <w:marLeft w:val="0"/>
      <w:marRight w:val="0"/>
      <w:marTop w:val="0"/>
      <w:marBottom w:val="0"/>
      <w:divBdr>
        <w:top w:val="none" w:sz="0" w:space="0" w:color="auto"/>
        <w:left w:val="none" w:sz="0" w:space="0" w:color="auto"/>
        <w:bottom w:val="none" w:sz="0" w:space="0" w:color="auto"/>
        <w:right w:val="none" w:sz="0" w:space="0" w:color="auto"/>
      </w:divBdr>
    </w:div>
    <w:div w:id="834224026">
      <w:bodyDiv w:val="1"/>
      <w:marLeft w:val="0"/>
      <w:marRight w:val="0"/>
      <w:marTop w:val="0"/>
      <w:marBottom w:val="0"/>
      <w:divBdr>
        <w:top w:val="none" w:sz="0" w:space="0" w:color="auto"/>
        <w:left w:val="none" w:sz="0" w:space="0" w:color="auto"/>
        <w:bottom w:val="none" w:sz="0" w:space="0" w:color="auto"/>
        <w:right w:val="none" w:sz="0" w:space="0" w:color="auto"/>
      </w:divBdr>
    </w:div>
    <w:div w:id="867565799">
      <w:bodyDiv w:val="1"/>
      <w:marLeft w:val="0"/>
      <w:marRight w:val="0"/>
      <w:marTop w:val="0"/>
      <w:marBottom w:val="0"/>
      <w:divBdr>
        <w:top w:val="none" w:sz="0" w:space="0" w:color="auto"/>
        <w:left w:val="none" w:sz="0" w:space="0" w:color="auto"/>
        <w:bottom w:val="none" w:sz="0" w:space="0" w:color="auto"/>
        <w:right w:val="none" w:sz="0" w:space="0" w:color="auto"/>
      </w:divBdr>
    </w:div>
    <w:div w:id="1117528102">
      <w:bodyDiv w:val="1"/>
      <w:marLeft w:val="0"/>
      <w:marRight w:val="0"/>
      <w:marTop w:val="0"/>
      <w:marBottom w:val="0"/>
      <w:divBdr>
        <w:top w:val="none" w:sz="0" w:space="0" w:color="auto"/>
        <w:left w:val="none" w:sz="0" w:space="0" w:color="auto"/>
        <w:bottom w:val="none" w:sz="0" w:space="0" w:color="auto"/>
        <w:right w:val="none" w:sz="0" w:space="0" w:color="auto"/>
      </w:divBdr>
      <w:divsChild>
        <w:div w:id="337123347">
          <w:marLeft w:val="0"/>
          <w:marRight w:val="0"/>
          <w:marTop w:val="0"/>
          <w:marBottom w:val="0"/>
          <w:divBdr>
            <w:top w:val="none" w:sz="0" w:space="0" w:color="auto"/>
            <w:left w:val="none" w:sz="0" w:space="0" w:color="auto"/>
            <w:bottom w:val="none" w:sz="0" w:space="0" w:color="auto"/>
            <w:right w:val="none" w:sz="0" w:space="0" w:color="auto"/>
          </w:divBdr>
        </w:div>
        <w:div w:id="374476089">
          <w:marLeft w:val="0"/>
          <w:marRight w:val="0"/>
          <w:marTop w:val="0"/>
          <w:marBottom w:val="0"/>
          <w:divBdr>
            <w:top w:val="none" w:sz="0" w:space="0" w:color="auto"/>
            <w:left w:val="none" w:sz="0" w:space="0" w:color="auto"/>
            <w:bottom w:val="none" w:sz="0" w:space="0" w:color="auto"/>
            <w:right w:val="none" w:sz="0" w:space="0" w:color="auto"/>
          </w:divBdr>
        </w:div>
        <w:div w:id="688943683">
          <w:marLeft w:val="0"/>
          <w:marRight w:val="0"/>
          <w:marTop w:val="0"/>
          <w:marBottom w:val="0"/>
          <w:divBdr>
            <w:top w:val="none" w:sz="0" w:space="0" w:color="auto"/>
            <w:left w:val="none" w:sz="0" w:space="0" w:color="auto"/>
            <w:bottom w:val="none" w:sz="0" w:space="0" w:color="auto"/>
            <w:right w:val="none" w:sz="0" w:space="0" w:color="auto"/>
          </w:divBdr>
        </w:div>
        <w:div w:id="762724762">
          <w:marLeft w:val="0"/>
          <w:marRight w:val="0"/>
          <w:marTop w:val="0"/>
          <w:marBottom w:val="0"/>
          <w:divBdr>
            <w:top w:val="none" w:sz="0" w:space="0" w:color="auto"/>
            <w:left w:val="none" w:sz="0" w:space="0" w:color="auto"/>
            <w:bottom w:val="none" w:sz="0" w:space="0" w:color="auto"/>
            <w:right w:val="none" w:sz="0" w:space="0" w:color="auto"/>
          </w:divBdr>
        </w:div>
        <w:div w:id="988705478">
          <w:marLeft w:val="0"/>
          <w:marRight w:val="0"/>
          <w:marTop w:val="0"/>
          <w:marBottom w:val="0"/>
          <w:divBdr>
            <w:top w:val="none" w:sz="0" w:space="0" w:color="auto"/>
            <w:left w:val="none" w:sz="0" w:space="0" w:color="auto"/>
            <w:bottom w:val="none" w:sz="0" w:space="0" w:color="auto"/>
            <w:right w:val="none" w:sz="0" w:space="0" w:color="auto"/>
          </w:divBdr>
        </w:div>
        <w:div w:id="1100682340">
          <w:marLeft w:val="0"/>
          <w:marRight w:val="0"/>
          <w:marTop w:val="0"/>
          <w:marBottom w:val="0"/>
          <w:divBdr>
            <w:top w:val="none" w:sz="0" w:space="0" w:color="auto"/>
            <w:left w:val="none" w:sz="0" w:space="0" w:color="auto"/>
            <w:bottom w:val="none" w:sz="0" w:space="0" w:color="auto"/>
            <w:right w:val="none" w:sz="0" w:space="0" w:color="auto"/>
          </w:divBdr>
        </w:div>
        <w:div w:id="1199198055">
          <w:marLeft w:val="0"/>
          <w:marRight w:val="0"/>
          <w:marTop w:val="0"/>
          <w:marBottom w:val="0"/>
          <w:divBdr>
            <w:top w:val="none" w:sz="0" w:space="0" w:color="auto"/>
            <w:left w:val="none" w:sz="0" w:space="0" w:color="auto"/>
            <w:bottom w:val="none" w:sz="0" w:space="0" w:color="auto"/>
            <w:right w:val="none" w:sz="0" w:space="0" w:color="auto"/>
          </w:divBdr>
        </w:div>
      </w:divsChild>
    </w:div>
    <w:div w:id="1145391717">
      <w:bodyDiv w:val="1"/>
      <w:marLeft w:val="0"/>
      <w:marRight w:val="0"/>
      <w:marTop w:val="0"/>
      <w:marBottom w:val="0"/>
      <w:divBdr>
        <w:top w:val="none" w:sz="0" w:space="0" w:color="auto"/>
        <w:left w:val="none" w:sz="0" w:space="0" w:color="auto"/>
        <w:bottom w:val="none" w:sz="0" w:space="0" w:color="auto"/>
        <w:right w:val="none" w:sz="0" w:space="0" w:color="auto"/>
      </w:divBdr>
    </w:div>
    <w:div w:id="1162819298">
      <w:bodyDiv w:val="1"/>
      <w:marLeft w:val="0"/>
      <w:marRight w:val="0"/>
      <w:marTop w:val="0"/>
      <w:marBottom w:val="0"/>
      <w:divBdr>
        <w:top w:val="none" w:sz="0" w:space="0" w:color="auto"/>
        <w:left w:val="none" w:sz="0" w:space="0" w:color="auto"/>
        <w:bottom w:val="none" w:sz="0" w:space="0" w:color="auto"/>
        <w:right w:val="none" w:sz="0" w:space="0" w:color="auto"/>
      </w:divBdr>
    </w:div>
    <w:div w:id="1218667210">
      <w:bodyDiv w:val="1"/>
      <w:marLeft w:val="0"/>
      <w:marRight w:val="0"/>
      <w:marTop w:val="0"/>
      <w:marBottom w:val="0"/>
      <w:divBdr>
        <w:top w:val="none" w:sz="0" w:space="0" w:color="auto"/>
        <w:left w:val="none" w:sz="0" w:space="0" w:color="auto"/>
        <w:bottom w:val="none" w:sz="0" w:space="0" w:color="auto"/>
        <w:right w:val="none" w:sz="0" w:space="0" w:color="auto"/>
      </w:divBdr>
    </w:div>
    <w:div w:id="1243875051">
      <w:bodyDiv w:val="1"/>
      <w:marLeft w:val="0"/>
      <w:marRight w:val="0"/>
      <w:marTop w:val="0"/>
      <w:marBottom w:val="0"/>
      <w:divBdr>
        <w:top w:val="none" w:sz="0" w:space="0" w:color="auto"/>
        <w:left w:val="none" w:sz="0" w:space="0" w:color="auto"/>
        <w:bottom w:val="none" w:sz="0" w:space="0" w:color="auto"/>
        <w:right w:val="none" w:sz="0" w:space="0" w:color="auto"/>
      </w:divBdr>
      <w:divsChild>
        <w:div w:id="187840582">
          <w:marLeft w:val="0"/>
          <w:marRight w:val="0"/>
          <w:marTop w:val="0"/>
          <w:marBottom w:val="0"/>
          <w:divBdr>
            <w:top w:val="none" w:sz="0" w:space="0" w:color="auto"/>
            <w:left w:val="none" w:sz="0" w:space="0" w:color="auto"/>
            <w:bottom w:val="none" w:sz="0" w:space="0" w:color="auto"/>
            <w:right w:val="none" w:sz="0" w:space="0" w:color="auto"/>
          </w:divBdr>
        </w:div>
        <w:div w:id="223882003">
          <w:marLeft w:val="0"/>
          <w:marRight w:val="0"/>
          <w:marTop w:val="0"/>
          <w:marBottom w:val="0"/>
          <w:divBdr>
            <w:top w:val="none" w:sz="0" w:space="0" w:color="auto"/>
            <w:left w:val="none" w:sz="0" w:space="0" w:color="auto"/>
            <w:bottom w:val="none" w:sz="0" w:space="0" w:color="auto"/>
            <w:right w:val="none" w:sz="0" w:space="0" w:color="auto"/>
          </w:divBdr>
        </w:div>
        <w:div w:id="307706529">
          <w:marLeft w:val="0"/>
          <w:marRight w:val="0"/>
          <w:marTop w:val="0"/>
          <w:marBottom w:val="0"/>
          <w:divBdr>
            <w:top w:val="none" w:sz="0" w:space="0" w:color="auto"/>
            <w:left w:val="none" w:sz="0" w:space="0" w:color="auto"/>
            <w:bottom w:val="none" w:sz="0" w:space="0" w:color="auto"/>
            <w:right w:val="none" w:sz="0" w:space="0" w:color="auto"/>
          </w:divBdr>
        </w:div>
        <w:div w:id="477068205">
          <w:marLeft w:val="0"/>
          <w:marRight w:val="0"/>
          <w:marTop w:val="0"/>
          <w:marBottom w:val="0"/>
          <w:divBdr>
            <w:top w:val="none" w:sz="0" w:space="0" w:color="auto"/>
            <w:left w:val="none" w:sz="0" w:space="0" w:color="auto"/>
            <w:bottom w:val="none" w:sz="0" w:space="0" w:color="auto"/>
            <w:right w:val="none" w:sz="0" w:space="0" w:color="auto"/>
          </w:divBdr>
        </w:div>
        <w:div w:id="1069423325">
          <w:marLeft w:val="0"/>
          <w:marRight w:val="0"/>
          <w:marTop w:val="0"/>
          <w:marBottom w:val="0"/>
          <w:divBdr>
            <w:top w:val="none" w:sz="0" w:space="0" w:color="auto"/>
            <w:left w:val="none" w:sz="0" w:space="0" w:color="auto"/>
            <w:bottom w:val="none" w:sz="0" w:space="0" w:color="auto"/>
            <w:right w:val="none" w:sz="0" w:space="0" w:color="auto"/>
          </w:divBdr>
        </w:div>
        <w:div w:id="1174225758">
          <w:marLeft w:val="0"/>
          <w:marRight w:val="0"/>
          <w:marTop w:val="0"/>
          <w:marBottom w:val="0"/>
          <w:divBdr>
            <w:top w:val="none" w:sz="0" w:space="0" w:color="auto"/>
            <w:left w:val="none" w:sz="0" w:space="0" w:color="auto"/>
            <w:bottom w:val="none" w:sz="0" w:space="0" w:color="auto"/>
            <w:right w:val="none" w:sz="0" w:space="0" w:color="auto"/>
          </w:divBdr>
        </w:div>
        <w:div w:id="1563521049">
          <w:marLeft w:val="0"/>
          <w:marRight w:val="0"/>
          <w:marTop w:val="0"/>
          <w:marBottom w:val="0"/>
          <w:divBdr>
            <w:top w:val="none" w:sz="0" w:space="0" w:color="auto"/>
            <w:left w:val="none" w:sz="0" w:space="0" w:color="auto"/>
            <w:bottom w:val="none" w:sz="0" w:space="0" w:color="auto"/>
            <w:right w:val="none" w:sz="0" w:space="0" w:color="auto"/>
          </w:divBdr>
        </w:div>
        <w:div w:id="1801338689">
          <w:marLeft w:val="0"/>
          <w:marRight w:val="0"/>
          <w:marTop w:val="0"/>
          <w:marBottom w:val="0"/>
          <w:divBdr>
            <w:top w:val="none" w:sz="0" w:space="0" w:color="auto"/>
            <w:left w:val="none" w:sz="0" w:space="0" w:color="auto"/>
            <w:bottom w:val="none" w:sz="0" w:space="0" w:color="auto"/>
            <w:right w:val="none" w:sz="0" w:space="0" w:color="auto"/>
          </w:divBdr>
        </w:div>
      </w:divsChild>
    </w:div>
    <w:div w:id="1731616380">
      <w:bodyDiv w:val="1"/>
      <w:marLeft w:val="0"/>
      <w:marRight w:val="0"/>
      <w:marTop w:val="0"/>
      <w:marBottom w:val="0"/>
      <w:divBdr>
        <w:top w:val="none" w:sz="0" w:space="0" w:color="auto"/>
        <w:left w:val="none" w:sz="0" w:space="0" w:color="auto"/>
        <w:bottom w:val="none" w:sz="0" w:space="0" w:color="auto"/>
        <w:right w:val="none" w:sz="0" w:space="0" w:color="auto"/>
      </w:divBdr>
    </w:div>
    <w:div w:id="1793553891">
      <w:bodyDiv w:val="1"/>
      <w:marLeft w:val="0"/>
      <w:marRight w:val="0"/>
      <w:marTop w:val="0"/>
      <w:marBottom w:val="0"/>
      <w:divBdr>
        <w:top w:val="none" w:sz="0" w:space="0" w:color="auto"/>
        <w:left w:val="none" w:sz="0" w:space="0" w:color="auto"/>
        <w:bottom w:val="none" w:sz="0" w:space="0" w:color="auto"/>
        <w:right w:val="none" w:sz="0" w:space="0" w:color="auto"/>
      </w:divBdr>
    </w:div>
    <w:div w:id="1958948713">
      <w:bodyDiv w:val="1"/>
      <w:marLeft w:val="0"/>
      <w:marRight w:val="0"/>
      <w:marTop w:val="0"/>
      <w:marBottom w:val="0"/>
      <w:divBdr>
        <w:top w:val="none" w:sz="0" w:space="0" w:color="auto"/>
        <w:left w:val="none" w:sz="0" w:space="0" w:color="auto"/>
        <w:bottom w:val="none" w:sz="0" w:space="0" w:color="auto"/>
        <w:right w:val="none" w:sz="0" w:space="0" w:color="auto"/>
      </w:divBdr>
    </w:div>
    <w:div w:id="2069917391">
      <w:bodyDiv w:val="1"/>
      <w:marLeft w:val="0"/>
      <w:marRight w:val="0"/>
      <w:marTop w:val="0"/>
      <w:marBottom w:val="0"/>
      <w:divBdr>
        <w:top w:val="none" w:sz="0" w:space="0" w:color="auto"/>
        <w:left w:val="none" w:sz="0" w:space="0" w:color="auto"/>
        <w:bottom w:val="none" w:sz="0" w:space="0" w:color="auto"/>
        <w:right w:val="none" w:sz="0" w:space="0" w:color="auto"/>
      </w:divBdr>
      <w:divsChild>
        <w:div w:id="97064795">
          <w:marLeft w:val="0"/>
          <w:marRight w:val="0"/>
          <w:marTop w:val="0"/>
          <w:marBottom w:val="0"/>
          <w:divBdr>
            <w:top w:val="none" w:sz="0" w:space="0" w:color="auto"/>
            <w:left w:val="none" w:sz="0" w:space="0" w:color="auto"/>
            <w:bottom w:val="none" w:sz="0" w:space="0" w:color="auto"/>
            <w:right w:val="none" w:sz="0" w:space="0" w:color="auto"/>
          </w:divBdr>
        </w:div>
        <w:div w:id="122965043">
          <w:marLeft w:val="0"/>
          <w:marRight w:val="0"/>
          <w:marTop w:val="0"/>
          <w:marBottom w:val="0"/>
          <w:divBdr>
            <w:top w:val="none" w:sz="0" w:space="0" w:color="auto"/>
            <w:left w:val="none" w:sz="0" w:space="0" w:color="auto"/>
            <w:bottom w:val="none" w:sz="0" w:space="0" w:color="auto"/>
            <w:right w:val="none" w:sz="0" w:space="0" w:color="auto"/>
          </w:divBdr>
        </w:div>
        <w:div w:id="179391493">
          <w:marLeft w:val="0"/>
          <w:marRight w:val="0"/>
          <w:marTop w:val="0"/>
          <w:marBottom w:val="0"/>
          <w:divBdr>
            <w:top w:val="none" w:sz="0" w:space="0" w:color="auto"/>
            <w:left w:val="none" w:sz="0" w:space="0" w:color="auto"/>
            <w:bottom w:val="none" w:sz="0" w:space="0" w:color="auto"/>
            <w:right w:val="none" w:sz="0" w:space="0" w:color="auto"/>
          </w:divBdr>
        </w:div>
        <w:div w:id="1340039769">
          <w:marLeft w:val="0"/>
          <w:marRight w:val="0"/>
          <w:marTop w:val="0"/>
          <w:marBottom w:val="0"/>
          <w:divBdr>
            <w:top w:val="none" w:sz="0" w:space="0" w:color="auto"/>
            <w:left w:val="none" w:sz="0" w:space="0" w:color="auto"/>
            <w:bottom w:val="none" w:sz="0" w:space="0" w:color="auto"/>
            <w:right w:val="none" w:sz="0" w:space="0" w:color="auto"/>
          </w:divBdr>
        </w:div>
        <w:div w:id="1421831962">
          <w:marLeft w:val="0"/>
          <w:marRight w:val="0"/>
          <w:marTop w:val="0"/>
          <w:marBottom w:val="0"/>
          <w:divBdr>
            <w:top w:val="none" w:sz="0" w:space="0" w:color="auto"/>
            <w:left w:val="none" w:sz="0" w:space="0" w:color="auto"/>
            <w:bottom w:val="none" w:sz="0" w:space="0" w:color="auto"/>
            <w:right w:val="none" w:sz="0" w:space="0" w:color="auto"/>
          </w:divBdr>
        </w:div>
        <w:div w:id="1845976931">
          <w:marLeft w:val="0"/>
          <w:marRight w:val="0"/>
          <w:marTop w:val="0"/>
          <w:marBottom w:val="0"/>
          <w:divBdr>
            <w:top w:val="none" w:sz="0" w:space="0" w:color="auto"/>
            <w:left w:val="none" w:sz="0" w:space="0" w:color="auto"/>
            <w:bottom w:val="none" w:sz="0" w:space="0" w:color="auto"/>
            <w:right w:val="none" w:sz="0" w:space="0" w:color="auto"/>
          </w:divBdr>
        </w:div>
        <w:div w:id="1867907789">
          <w:marLeft w:val="0"/>
          <w:marRight w:val="0"/>
          <w:marTop w:val="0"/>
          <w:marBottom w:val="0"/>
          <w:divBdr>
            <w:top w:val="none" w:sz="0" w:space="0" w:color="auto"/>
            <w:left w:val="none" w:sz="0" w:space="0" w:color="auto"/>
            <w:bottom w:val="none" w:sz="0" w:space="0" w:color="auto"/>
            <w:right w:val="none" w:sz="0" w:space="0" w:color="auto"/>
          </w:divBdr>
        </w:div>
        <w:div w:id="1878077016">
          <w:marLeft w:val="0"/>
          <w:marRight w:val="0"/>
          <w:marTop w:val="0"/>
          <w:marBottom w:val="0"/>
          <w:divBdr>
            <w:top w:val="none" w:sz="0" w:space="0" w:color="auto"/>
            <w:left w:val="none" w:sz="0" w:space="0" w:color="auto"/>
            <w:bottom w:val="none" w:sz="0" w:space="0" w:color="auto"/>
            <w:right w:val="none" w:sz="0" w:space="0" w:color="auto"/>
          </w:divBdr>
        </w:div>
      </w:divsChild>
    </w:div>
    <w:div w:id="2092040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footer" Target="footer2.xml"/><Relationship Id="rId42" Type="http://schemas.openxmlformats.org/officeDocument/2006/relationships/image" Target="media/image26.svg"/><Relationship Id="rId63" Type="http://schemas.openxmlformats.org/officeDocument/2006/relationships/footer" Target="footer11.xml"/><Relationship Id="rId84" Type="http://schemas.openxmlformats.org/officeDocument/2006/relationships/image" Target="media/image43.svg"/><Relationship Id="rId138" Type="http://schemas.openxmlformats.org/officeDocument/2006/relationships/image" Target="media/image90.svg"/><Relationship Id="rId159" Type="http://schemas.openxmlformats.org/officeDocument/2006/relationships/image" Target="media/image97.png"/><Relationship Id="rId170" Type="http://schemas.openxmlformats.org/officeDocument/2006/relationships/image" Target="media/image104.png"/><Relationship Id="rId191" Type="http://schemas.openxmlformats.org/officeDocument/2006/relationships/image" Target="media/image119.jpeg"/><Relationship Id="rId205" Type="http://schemas.openxmlformats.org/officeDocument/2006/relationships/image" Target="media/image132.jpeg"/><Relationship Id="rId226" Type="http://schemas.openxmlformats.org/officeDocument/2006/relationships/header" Target="header38.xml"/><Relationship Id="rId107" Type="http://schemas.openxmlformats.org/officeDocument/2006/relationships/footer" Target="footer18.xml"/><Relationship Id="rId11" Type="http://schemas.openxmlformats.org/officeDocument/2006/relationships/image" Target="media/image3.png"/><Relationship Id="rId32" Type="http://schemas.openxmlformats.org/officeDocument/2006/relationships/image" Target="media/image16.svg"/><Relationship Id="rId53" Type="http://schemas.openxmlformats.org/officeDocument/2006/relationships/header" Target="header9.xml"/><Relationship Id="rId74" Type="http://schemas.openxmlformats.org/officeDocument/2006/relationships/header" Target="header18.xml"/><Relationship Id="rId128" Type="http://schemas.openxmlformats.org/officeDocument/2006/relationships/image" Target="media/image80.svg"/><Relationship Id="rId149" Type="http://schemas.openxmlformats.org/officeDocument/2006/relationships/footer" Target="footer19.xml"/><Relationship Id="rId5" Type="http://schemas.openxmlformats.org/officeDocument/2006/relationships/webSettings" Target="webSettings.xml"/><Relationship Id="rId95" Type="http://schemas.openxmlformats.org/officeDocument/2006/relationships/image" Target="media/image54.svg"/><Relationship Id="rId160" Type="http://schemas.openxmlformats.org/officeDocument/2006/relationships/header" Target="header28.xml"/><Relationship Id="rId181" Type="http://schemas.openxmlformats.org/officeDocument/2006/relationships/image" Target="media/image109.png"/><Relationship Id="rId216" Type="http://schemas.openxmlformats.org/officeDocument/2006/relationships/footer" Target="footer32.xml"/><Relationship Id="rId237" Type="http://schemas.openxmlformats.org/officeDocument/2006/relationships/image" Target="media/image149.png"/><Relationship Id="rId22" Type="http://schemas.openxmlformats.org/officeDocument/2006/relationships/footer" Target="footer3.xml"/><Relationship Id="rId43" Type="http://schemas.openxmlformats.org/officeDocument/2006/relationships/image" Target="media/image27.emf"/><Relationship Id="rId64" Type="http://schemas.openxmlformats.org/officeDocument/2006/relationships/footer" Target="footer12.xml"/><Relationship Id="rId118" Type="http://schemas.openxmlformats.org/officeDocument/2006/relationships/image" Target="media/image70.png"/><Relationship Id="rId139" Type="http://schemas.openxmlformats.org/officeDocument/2006/relationships/image" Target="media/image91.png"/><Relationship Id="rId85" Type="http://schemas.openxmlformats.org/officeDocument/2006/relationships/image" Target="media/image44.png"/><Relationship Id="rId150" Type="http://schemas.openxmlformats.org/officeDocument/2006/relationships/footer" Target="footer20.xml"/><Relationship Id="rId171" Type="http://schemas.openxmlformats.org/officeDocument/2006/relationships/image" Target="media/image105.png"/><Relationship Id="rId192" Type="http://schemas.openxmlformats.org/officeDocument/2006/relationships/image" Target="media/image120.jpeg"/><Relationship Id="rId206" Type="http://schemas.openxmlformats.org/officeDocument/2006/relationships/image" Target="media/image133.jpeg"/><Relationship Id="rId227" Type="http://schemas.openxmlformats.org/officeDocument/2006/relationships/footer" Target="footer35.xml"/><Relationship Id="rId12" Type="http://schemas.openxmlformats.org/officeDocument/2006/relationships/image" Target="media/image4.png"/><Relationship Id="rId33" Type="http://schemas.openxmlformats.org/officeDocument/2006/relationships/image" Target="media/image17.png"/><Relationship Id="rId108" Type="http://schemas.openxmlformats.org/officeDocument/2006/relationships/image" Target="media/image60.png"/><Relationship Id="rId129" Type="http://schemas.openxmlformats.org/officeDocument/2006/relationships/image" Target="media/image81.png"/><Relationship Id="rId54" Type="http://schemas.openxmlformats.org/officeDocument/2006/relationships/footer" Target="footer7.xml"/><Relationship Id="rId75" Type="http://schemas.openxmlformats.org/officeDocument/2006/relationships/footer" Target="footer15.xml"/><Relationship Id="rId96" Type="http://schemas.openxmlformats.org/officeDocument/2006/relationships/image" Target="media/image55.png"/><Relationship Id="rId140" Type="http://schemas.openxmlformats.org/officeDocument/2006/relationships/hyperlink" Target="https://iea.blob.core.windows.net/assets/a0432c97-14af-4fc7-b3bf-c409fb7e4ab8/WorldEnergyEmployment.pdf" TargetMode="External"/><Relationship Id="rId161" Type="http://schemas.openxmlformats.org/officeDocument/2006/relationships/footer" Target="footer25.xml"/><Relationship Id="rId182" Type="http://schemas.openxmlformats.org/officeDocument/2006/relationships/image" Target="media/image110.png"/><Relationship Id="rId217" Type="http://schemas.openxmlformats.org/officeDocument/2006/relationships/image" Target="media/image137.png"/><Relationship Id="rId6" Type="http://schemas.openxmlformats.org/officeDocument/2006/relationships/footnotes" Target="footnotes.xml"/><Relationship Id="rId238" Type="http://schemas.openxmlformats.org/officeDocument/2006/relationships/header" Target="header40.xml"/><Relationship Id="rId23" Type="http://schemas.openxmlformats.org/officeDocument/2006/relationships/header" Target="header5.xml"/><Relationship Id="rId119" Type="http://schemas.openxmlformats.org/officeDocument/2006/relationships/image" Target="media/image71.svg"/><Relationship Id="rId44" Type="http://schemas.openxmlformats.org/officeDocument/2006/relationships/image" Target="media/image28.emf"/><Relationship Id="rId65" Type="http://schemas.openxmlformats.org/officeDocument/2006/relationships/header" Target="header15.xml"/><Relationship Id="rId86" Type="http://schemas.openxmlformats.org/officeDocument/2006/relationships/image" Target="media/image45.png"/><Relationship Id="rId130" Type="http://schemas.openxmlformats.org/officeDocument/2006/relationships/image" Target="media/image82.svg"/><Relationship Id="rId151" Type="http://schemas.openxmlformats.org/officeDocument/2006/relationships/header" Target="header24.xml"/><Relationship Id="rId172" Type="http://schemas.openxmlformats.org/officeDocument/2006/relationships/image" Target="media/image106.png"/><Relationship Id="rId193" Type="http://schemas.openxmlformats.org/officeDocument/2006/relationships/image" Target="media/image121.jpeg"/><Relationship Id="rId207" Type="http://schemas.openxmlformats.org/officeDocument/2006/relationships/image" Target="media/image134.png"/><Relationship Id="rId228" Type="http://schemas.openxmlformats.org/officeDocument/2006/relationships/image" Target="media/image142.png"/><Relationship Id="rId13" Type="http://schemas.openxmlformats.org/officeDocument/2006/relationships/image" Target="media/image5.png"/><Relationship Id="rId109" Type="http://schemas.openxmlformats.org/officeDocument/2006/relationships/image" Target="media/image61.png"/><Relationship Id="rId34" Type="http://schemas.openxmlformats.org/officeDocument/2006/relationships/image" Target="media/image18.svg"/><Relationship Id="rId55" Type="http://schemas.openxmlformats.org/officeDocument/2006/relationships/header" Target="header10.xml"/><Relationship Id="rId76" Type="http://schemas.openxmlformats.org/officeDocument/2006/relationships/image" Target="media/image35.png"/><Relationship Id="rId97" Type="http://schemas.openxmlformats.org/officeDocument/2006/relationships/image" Target="media/image56.svg"/><Relationship Id="rId120" Type="http://schemas.openxmlformats.org/officeDocument/2006/relationships/image" Target="media/image72.png"/><Relationship Id="rId141" Type="http://schemas.openxmlformats.org/officeDocument/2006/relationships/hyperlink" Target="https://www.canada.ca/en/immigration-refugees-citizenship/services/immigrate-canada/express-entry/eligibility/find-national-occupation-code.html" TargetMode="External"/><Relationship Id="rId7" Type="http://schemas.openxmlformats.org/officeDocument/2006/relationships/endnotes" Target="endnotes.xml"/><Relationship Id="rId162" Type="http://schemas.openxmlformats.org/officeDocument/2006/relationships/header" Target="header29.xml"/><Relationship Id="rId183" Type="http://schemas.openxmlformats.org/officeDocument/2006/relationships/image" Target="media/image111.png"/><Relationship Id="rId218" Type="http://schemas.openxmlformats.org/officeDocument/2006/relationships/image" Target="media/image138.png"/><Relationship Id="rId239" Type="http://schemas.openxmlformats.org/officeDocument/2006/relationships/fontTable" Target="fontTable.xml"/><Relationship Id="rId24" Type="http://schemas.openxmlformats.org/officeDocument/2006/relationships/footer" Target="footer4.xml"/><Relationship Id="rId45" Type="http://schemas.openxmlformats.org/officeDocument/2006/relationships/image" Target="media/image29.png"/><Relationship Id="rId66" Type="http://schemas.openxmlformats.org/officeDocument/2006/relationships/footer" Target="footer13.xml"/><Relationship Id="rId87" Type="http://schemas.openxmlformats.org/officeDocument/2006/relationships/image" Target="media/image46.png"/><Relationship Id="rId110" Type="http://schemas.openxmlformats.org/officeDocument/2006/relationships/image" Target="media/image62.png"/><Relationship Id="rId131" Type="http://schemas.openxmlformats.org/officeDocument/2006/relationships/image" Target="media/image83.png"/><Relationship Id="rId152" Type="http://schemas.openxmlformats.org/officeDocument/2006/relationships/footer" Target="footer21.xml"/><Relationship Id="rId173" Type="http://schemas.openxmlformats.org/officeDocument/2006/relationships/image" Target="media/image107.png"/><Relationship Id="rId194" Type="http://schemas.openxmlformats.org/officeDocument/2006/relationships/image" Target="media/image122.jpeg"/><Relationship Id="rId208" Type="http://schemas.openxmlformats.org/officeDocument/2006/relationships/image" Target="media/image135.svg"/><Relationship Id="rId229" Type="http://schemas.openxmlformats.org/officeDocument/2006/relationships/image" Target="media/image143.png"/><Relationship Id="rId240" Type="http://schemas.openxmlformats.org/officeDocument/2006/relationships/theme" Target="theme/theme1.xml"/><Relationship Id="rId14" Type="http://schemas.openxmlformats.org/officeDocument/2006/relationships/hyperlink" Target="https://www.jobsandskills.gov.au/work/clean-energy-capacity-study" TargetMode="External"/><Relationship Id="rId35" Type="http://schemas.openxmlformats.org/officeDocument/2006/relationships/image" Target="media/image19.png"/><Relationship Id="rId56" Type="http://schemas.openxmlformats.org/officeDocument/2006/relationships/header" Target="header11.xml"/><Relationship Id="rId77" Type="http://schemas.openxmlformats.org/officeDocument/2006/relationships/image" Target="media/image36.png"/><Relationship Id="rId100" Type="http://schemas.openxmlformats.org/officeDocument/2006/relationships/image" Target="media/image59.png"/><Relationship Id="rId8" Type="http://schemas.openxmlformats.org/officeDocument/2006/relationships/image" Target="media/image1.png"/><Relationship Id="rId98" Type="http://schemas.openxmlformats.org/officeDocument/2006/relationships/image" Target="media/image57.png"/><Relationship Id="rId121" Type="http://schemas.openxmlformats.org/officeDocument/2006/relationships/image" Target="media/image73.png"/><Relationship Id="rId142" Type="http://schemas.openxmlformats.org/officeDocument/2006/relationships/image" Target="media/image92.png"/><Relationship Id="rId163" Type="http://schemas.openxmlformats.org/officeDocument/2006/relationships/footer" Target="footer26.xml"/><Relationship Id="rId184" Type="http://schemas.openxmlformats.org/officeDocument/2006/relationships/image" Target="media/image112.svg"/><Relationship Id="rId219" Type="http://schemas.openxmlformats.org/officeDocument/2006/relationships/image" Target="media/image139.svg"/><Relationship Id="rId230" Type="http://schemas.openxmlformats.org/officeDocument/2006/relationships/image" Target="media/image144.svg"/><Relationship Id="rId25" Type="http://schemas.openxmlformats.org/officeDocument/2006/relationships/image" Target="media/image10.png"/><Relationship Id="rId46" Type="http://schemas.openxmlformats.org/officeDocument/2006/relationships/header" Target="header6.xml"/><Relationship Id="rId67" Type="http://schemas.openxmlformats.org/officeDocument/2006/relationships/image" Target="media/image31.png"/><Relationship Id="rId88" Type="http://schemas.openxmlformats.org/officeDocument/2006/relationships/image" Target="media/image47.png"/><Relationship Id="rId111" Type="http://schemas.openxmlformats.org/officeDocument/2006/relationships/image" Target="media/image63.png"/><Relationship Id="rId132" Type="http://schemas.openxmlformats.org/officeDocument/2006/relationships/image" Target="media/image84.svg"/><Relationship Id="rId153" Type="http://schemas.openxmlformats.org/officeDocument/2006/relationships/header" Target="header25.xml"/><Relationship Id="rId174" Type="http://schemas.openxmlformats.org/officeDocument/2006/relationships/image" Target="media/image108.png"/><Relationship Id="rId195" Type="http://schemas.openxmlformats.org/officeDocument/2006/relationships/image" Target="media/image123.jpeg"/><Relationship Id="rId209" Type="http://schemas.openxmlformats.org/officeDocument/2006/relationships/image" Target="media/image136.png"/><Relationship Id="rId190" Type="http://schemas.openxmlformats.org/officeDocument/2006/relationships/image" Target="media/image118.png"/><Relationship Id="rId204" Type="http://schemas.openxmlformats.org/officeDocument/2006/relationships/image" Target="media/image131.png"/><Relationship Id="rId220" Type="http://schemas.openxmlformats.org/officeDocument/2006/relationships/image" Target="media/image140.png"/><Relationship Id="rId225" Type="http://schemas.openxmlformats.org/officeDocument/2006/relationships/footer" Target="footer34.xml"/><Relationship Id="rId15" Type="http://schemas.openxmlformats.org/officeDocument/2006/relationships/image" Target="media/image6.png"/><Relationship Id="rId36" Type="http://schemas.openxmlformats.org/officeDocument/2006/relationships/image" Target="media/image20.svg"/><Relationship Id="rId57" Type="http://schemas.openxmlformats.org/officeDocument/2006/relationships/footer" Target="footer8.xml"/><Relationship Id="rId106" Type="http://schemas.openxmlformats.org/officeDocument/2006/relationships/header" Target="header21.xml"/><Relationship Id="rId127" Type="http://schemas.openxmlformats.org/officeDocument/2006/relationships/image" Target="media/image79.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footer" Target="footer6.xml"/><Relationship Id="rId73" Type="http://schemas.openxmlformats.org/officeDocument/2006/relationships/footer" Target="footer14.xml"/><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8.svg"/><Relationship Id="rId101" Type="http://schemas.openxmlformats.org/officeDocument/2006/relationships/hyperlink" Target="https://www.abs.gov.au/statistics/detailed-methodology-information/concepts-sources-methods/labour-statistics-concepts-sources-and-methods/2021/concepts-and-sources/employment-arrangements" TargetMode="External"/><Relationship Id="rId122" Type="http://schemas.openxmlformats.org/officeDocument/2006/relationships/image" Target="media/image74.svg"/><Relationship Id="rId143" Type="http://schemas.openxmlformats.org/officeDocument/2006/relationships/image" Target="media/image93.png"/><Relationship Id="rId148" Type="http://schemas.openxmlformats.org/officeDocument/2006/relationships/header" Target="header23.xml"/><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oter" Target="footer29.xml"/><Relationship Id="rId210" Type="http://schemas.openxmlformats.org/officeDocument/2006/relationships/hyperlink" Target="https://www.dcceew.gov.au/environment/protection/waste/publications/national-waste-policy-action-plan" TargetMode="External"/><Relationship Id="rId215" Type="http://schemas.openxmlformats.org/officeDocument/2006/relationships/header" Target="header35.xml"/><Relationship Id="rId236" Type="http://schemas.openxmlformats.org/officeDocument/2006/relationships/footer" Target="footer36.xml"/><Relationship Id="rId26" Type="http://schemas.openxmlformats.org/officeDocument/2006/relationships/image" Target="media/image11.png"/><Relationship Id="rId231" Type="http://schemas.openxmlformats.org/officeDocument/2006/relationships/image" Target="media/image145.png"/><Relationship Id="rId47" Type="http://schemas.openxmlformats.org/officeDocument/2006/relationships/image" Target="media/image30.png"/><Relationship Id="rId68" Type="http://schemas.openxmlformats.org/officeDocument/2006/relationships/image" Target="media/image32.svg"/><Relationship Id="rId89" Type="http://schemas.openxmlformats.org/officeDocument/2006/relationships/image" Target="media/image48.png"/><Relationship Id="rId112" Type="http://schemas.openxmlformats.org/officeDocument/2006/relationships/image" Target="media/image64.svg"/><Relationship Id="rId133" Type="http://schemas.openxmlformats.org/officeDocument/2006/relationships/image" Target="media/image85.png"/><Relationship Id="rId154" Type="http://schemas.openxmlformats.org/officeDocument/2006/relationships/header" Target="header26.xml"/><Relationship Id="rId175" Type="http://schemas.openxmlformats.org/officeDocument/2006/relationships/header" Target="header30.xml"/><Relationship Id="rId196" Type="http://schemas.openxmlformats.org/officeDocument/2006/relationships/image" Target="media/image124.jpeg"/><Relationship Id="rId200" Type="http://schemas.openxmlformats.org/officeDocument/2006/relationships/image" Target="media/image128.png"/><Relationship Id="rId16" Type="http://schemas.openxmlformats.org/officeDocument/2006/relationships/header" Target="header2.xml"/><Relationship Id="rId221" Type="http://schemas.openxmlformats.org/officeDocument/2006/relationships/image" Target="media/image141.svg"/><Relationship Id="rId37" Type="http://schemas.openxmlformats.org/officeDocument/2006/relationships/image" Target="media/image21.png"/><Relationship Id="rId58" Type="http://schemas.openxmlformats.org/officeDocument/2006/relationships/footer" Target="footer9.xml"/><Relationship Id="rId79" Type="http://schemas.openxmlformats.org/officeDocument/2006/relationships/image" Target="media/image38.png"/><Relationship Id="rId102" Type="http://schemas.openxmlformats.org/officeDocument/2006/relationships/header" Target="header19.xml"/><Relationship Id="rId123" Type="http://schemas.openxmlformats.org/officeDocument/2006/relationships/image" Target="media/image75.png"/><Relationship Id="rId144" Type="http://schemas.openxmlformats.org/officeDocument/2006/relationships/image" Target="media/image94.svg"/><Relationship Id="rId90" Type="http://schemas.openxmlformats.org/officeDocument/2006/relationships/image" Target="media/image49.png"/><Relationship Id="rId165" Type="http://schemas.openxmlformats.org/officeDocument/2006/relationships/image" Target="media/image99.png"/><Relationship Id="rId186" Type="http://schemas.openxmlformats.org/officeDocument/2006/relationships/image" Target="media/image114.png"/><Relationship Id="rId211" Type="http://schemas.openxmlformats.org/officeDocument/2006/relationships/header" Target="header33.xml"/><Relationship Id="rId232" Type="http://schemas.openxmlformats.org/officeDocument/2006/relationships/image" Target="media/image146.svg"/><Relationship Id="rId27" Type="http://schemas.openxmlformats.org/officeDocument/2006/relationships/hyperlink" Target="https://www.jobsandskills.gov.au/consultations/work-plan-development-process-consultation-paper" TargetMode="External"/><Relationship Id="rId48" Type="http://schemas.openxmlformats.org/officeDocument/2006/relationships/hyperlink" Target="https://www.jobsandskills.gov.au/sites/default/files/2023-04/Clean%20Energy%20Capacity%20Study%20-%20Discussion%20Paper.pdf" TargetMode="External"/><Relationship Id="rId69" Type="http://schemas.openxmlformats.org/officeDocument/2006/relationships/image" Target="media/image33.png"/><Relationship Id="rId113" Type="http://schemas.openxmlformats.org/officeDocument/2006/relationships/image" Target="media/image65.png"/><Relationship Id="rId134" Type="http://schemas.openxmlformats.org/officeDocument/2006/relationships/image" Target="media/image86.svg"/><Relationship Id="rId80" Type="http://schemas.openxmlformats.org/officeDocument/2006/relationships/image" Target="media/image39.png"/><Relationship Id="rId155" Type="http://schemas.openxmlformats.org/officeDocument/2006/relationships/footer" Target="footer22.xml"/><Relationship Id="rId176" Type="http://schemas.openxmlformats.org/officeDocument/2006/relationships/header" Target="header31.xml"/><Relationship Id="rId197" Type="http://schemas.openxmlformats.org/officeDocument/2006/relationships/image" Target="media/image125.png"/><Relationship Id="rId201" Type="http://schemas.openxmlformats.org/officeDocument/2006/relationships/image" Target="media/image129.svg"/><Relationship Id="rId222" Type="http://schemas.openxmlformats.org/officeDocument/2006/relationships/header" Target="header36.xml"/><Relationship Id="rId17" Type="http://schemas.openxmlformats.org/officeDocument/2006/relationships/image" Target="media/image8.png"/><Relationship Id="rId38" Type="http://schemas.openxmlformats.org/officeDocument/2006/relationships/image" Target="media/image22.svg"/><Relationship Id="rId59" Type="http://schemas.openxmlformats.org/officeDocument/2006/relationships/header" Target="header12.xml"/><Relationship Id="rId103" Type="http://schemas.openxmlformats.org/officeDocument/2006/relationships/header" Target="header20.xml"/><Relationship Id="rId124" Type="http://schemas.openxmlformats.org/officeDocument/2006/relationships/image" Target="media/image76.svg"/><Relationship Id="rId70" Type="http://schemas.openxmlformats.org/officeDocument/2006/relationships/image" Target="media/image34.svg"/><Relationship Id="rId91" Type="http://schemas.openxmlformats.org/officeDocument/2006/relationships/image" Target="media/image50.png"/><Relationship Id="rId145" Type="http://schemas.openxmlformats.org/officeDocument/2006/relationships/image" Target="media/image95.png"/><Relationship Id="rId166" Type="http://schemas.openxmlformats.org/officeDocument/2006/relationships/image" Target="media/image100.png"/><Relationship Id="rId187" Type="http://schemas.openxmlformats.org/officeDocument/2006/relationships/image" Target="media/image115.png"/><Relationship Id="rId1" Type="http://schemas.openxmlformats.org/officeDocument/2006/relationships/customXml" Target="../customXml/item1.xml"/><Relationship Id="rId212" Type="http://schemas.openxmlformats.org/officeDocument/2006/relationships/header" Target="header34.xml"/><Relationship Id="rId233" Type="http://schemas.openxmlformats.org/officeDocument/2006/relationships/image" Target="media/image147.png"/><Relationship Id="rId28" Type="http://schemas.openxmlformats.org/officeDocument/2006/relationships/image" Target="media/image12.png"/><Relationship Id="rId49" Type="http://schemas.openxmlformats.org/officeDocument/2006/relationships/header" Target="header7.xml"/><Relationship Id="rId114" Type="http://schemas.openxmlformats.org/officeDocument/2006/relationships/image" Target="media/image66.svg"/><Relationship Id="rId60" Type="http://schemas.openxmlformats.org/officeDocument/2006/relationships/footer" Target="footer10.xml"/><Relationship Id="rId81" Type="http://schemas.openxmlformats.org/officeDocument/2006/relationships/image" Target="media/image40.png"/><Relationship Id="rId135" Type="http://schemas.openxmlformats.org/officeDocument/2006/relationships/image" Target="media/image87.png"/><Relationship Id="rId156" Type="http://schemas.openxmlformats.org/officeDocument/2006/relationships/footer" Target="footer23.xml"/><Relationship Id="rId177" Type="http://schemas.openxmlformats.org/officeDocument/2006/relationships/footer" Target="footer27.xml"/><Relationship Id="rId198" Type="http://schemas.openxmlformats.org/officeDocument/2006/relationships/image" Target="media/image126.png"/><Relationship Id="rId202" Type="http://schemas.openxmlformats.org/officeDocument/2006/relationships/image" Target="media/image130.emf"/><Relationship Id="rId223" Type="http://schemas.openxmlformats.org/officeDocument/2006/relationships/header" Target="header37.xml"/><Relationship Id="rId18" Type="http://schemas.openxmlformats.org/officeDocument/2006/relationships/image" Target="media/image9.png"/><Relationship Id="rId39" Type="http://schemas.openxmlformats.org/officeDocument/2006/relationships/image" Target="media/image23.png"/><Relationship Id="rId50" Type="http://schemas.openxmlformats.org/officeDocument/2006/relationships/header" Target="header8.xml"/><Relationship Id="rId104" Type="http://schemas.openxmlformats.org/officeDocument/2006/relationships/footer" Target="footer16.xml"/><Relationship Id="rId125" Type="http://schemas.openxmlformats.org/officeDocument/2006/relationships/image" Target="media/image77.png"/><Relationship Id="rId146" Type="http://schemas.openxmlformats.org/officeDocument/2006/relationships/image" Target="media/image96.png"/><Relationship Id="rId167" Type="http://schemas.openxmlformats.org/officeDocument/2006/relationships/image" Target="media/image101.png"/><Relationship Id="rId188" Type="http://schemas.openxmlformats.org/officeDocument/2006/relationships/image" Target="media/image116.png"/><Relationship Id="rId71" Type="http://schemas.openxmlformats.org/officeDocument/2006/relationships/header" Target="header16.xml"/><Relationship Id="rId92" Type="http://schemas.openxmlformats.org/officeDocument/2006/relationships/image" Target="media/image51.png"/><Relationship Id="rId213" Type="http://schemas.openxmlformats.org/officeDocument/2006/relationships/footer" Target="footer30.xml"/><Relationship Id="rId234" Type="http://schemas.openxmlformats.org/officeDocument/2006/relationships/image" Target="media/image148.svg"/><Relationship Id="rId2" Type="http://schemas.openxmlformats.org/officeDocument/2006/relationships/numbering" Target="numbering.xml"/><Relationship Id="rId29" Type="http://schemas.openxmlformats.org/officeDocument/2006/relationships/image" Target="media/image13.emf"/><Relationship Id="rId40" Type="http://schemas.openxmlformats.org/officeDocument/2006/relationships/image" Target="media/image24.svg"/><Relationship Id="rId115" Type="http://schemas.openxmlformats.org/officeDocument/2006/relationships/image" Target="media/image67.png"/><Relationship Id="rId136" Type="http://schemas.openxmlformats.org/officeDocument/2006/relationships/image" Target="media/image88.svg"/><Relationship Id="rId157" Type="http://schemas.openxmlformats.org/officeDocument/2006/relationships/header" Target="header27.xml"/><Relationship Id="rId178" Type="http://schemas.openxmlformats.org/officeDocument/2006/relationships/footer" Target="footer28.xml"/><Relationship Id="rId61" Type="http://schemas.openxmlformats.org/officeDocument/2006/relationships/header" Target="header13.xml"/><Relationship Id="rId82" Type="http://schemas.openxmlformats.org/officeDocument/2006/relationships/image" Target="media/image41.png"/><Relationship Id="rId199" Type="http://schemas.openxmlformats.org/officeDocument/2006/relationships/image" Target="media/image127.svg"/><Relationship Id="rId203" Type="http://schemas.openxmlformats.org/officeDocument/2006/relationships/hyperlink" Target="https://ocean.economist.com/innovation/articles/cleaner-ports-healthier-communities" TargetMode="External"/><Relationship Id="rId19" Type="http://schemas.openxmlformats.org/officeDocument/2006/relationships/header" Target="header3.xml"/><Relationship Id="rId224" Type="http://schemas.openxmlformats.org/officeDocument/2006/relationships/footer" Target="footer33.xml"/><Relationship Id="rId30" Type="http://schemas.openxmlformats.org/officeDocument/2006/relationships/image" Target="media/image14.png"/><Relationship Id="rId105" Type="http://schemas.openxmlformats.org/officeDocument/2006/relationships/footer" Target="footer17.xml"/><Relationship Id="rId126" Type="http://schemas.openxmlformats.org/officeDocument/2006/relationships/image" Target="media/image78.svg"/><Relationship Id="rId147" Type="http://schemas.openxmlformats.org/officeDocument/2006/relationships/header" Target="header22.xml"/><Relationship Id="rId168" Type="http://schemas.openxmlformats.org/officeDocument/2006/relationships/image" Target="media/image102.png"/><Relationship Id="rId51" Type="http://schemas.openxmlformats.org/officeDocument/2006/relationships/footer" Target="footer5.xml"/><Relationship Id="rId72" Type="http://schemas.openxmlformats.org/officeDocument/2006/relationships/header" Target="header17.xml"/><Relationship Id="rId93" Type="http://schemas.openxmlformats.org/officeDocument/2006/relationships/image" Target="media/image52.png"/><Relationship Id="rId189" Type="http://schemas.openxmlformats.org/officeDocument/2006/relationships/image" Target="media/image117.png"/><Relationship Id="rId3" Type="http://schemas.openxmlformats.org/officeDocument/2006/relationships/styles" Target="styles.xml"/><Relationship Id="rId214" Type="http://schemas.openxmlformats.org/officeDocument/2006/relationships/footer" Target="footer31.xml"/><Relationship Id="rId235" Type="http://schemas.openxmlformats.org/officeDocument/2006/relationships/header" Target="header39.xml"/><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footer" Target="footer24.xml"/><Relationship Id="rId20" Type="http://schemas.openxmlformats.org/officeDocument/2006/relationships/header" Target="header4.xml"/><Relationship Id="rId41" Type="http://schemas.openxmlformats.org/officeDocument/2006/relationships/image" Target="media/image25.png"/><Relationship Id="rId62" Type="http://schemas.openxmlformats.org/officeDocument/2006/relationships/header" Target="header14.xml"/><Relationship Id="rId83" Type="http://schemas.openxmlformats.org/officeDocument/2006/relationships/image" Target="media/image42.png"/><Relationship Id="rId179" Type="http://schemas.openxmlformats.org/officeDocument/2006/relationships/header" Target="header32.xml"/></Relationships>
</file>

<file path=word/_rels/endnotes.xml.rels><?xml version="1.0" encoding="UTF-8" standalone="yes"?>
<Relationships xmlns="http://schemas.openxmlformats.org/package/2006/relationships"><Relationship Id="rId117" Type="http://schemas.openxmlformats.org/officeDocument/2006/relationships/hyperlink" Target="https://fbicrc.com.au/vocational-skills-gap-assessment-and-workforce-development-plan-officially-launched/" TargetMode="External"/><Relationship Id="rId21" Type="http://schemas.openxmlformats.org/officeDocument/2006/relationships/hyperlink" Target="https://arena.gov.au/assets/2014/05/ARC-study.pdf.pdf" TargetMode="External"/><Relationship Id="rId42" Type="http://schemas.openxmlformats.org/officeDocument/2006/relationships/hyperlink" Target="https://www.enel.com/media/explore/search-press-releases/press/2023/07/enel-signs-deal-to-sell-50-of-enel-green-power-australia-to-inpex-corporation" TargetMode="External"/><Relationship Id="rId63" Type="http://schemas.openxmlformats.org/officeDocument/2006/relationships/hyperlink" Target="https://www.premier.vic.gov.au/wind-turbines-bring-manufacturing-jobs-geelong" TargetMode="External"/><Relationship Id="rId84" Type="http://schemas.openxmlformats.org/officeDocument/2006/relationships/hyperlink" Target="https://view.officeapps.live.com/op/view.aspx?src=https%3A%2F%2Fwww.industry.gov.au%2Fsites%2Fdefault%2Ffiles%2F2022-08%2Fyouth-in-stem-report-2021.docx&amp;wdOrigin=BROWSELINK" TargetMode="External"/><Relationship Id="rId138" Type="http://schemas.openxmlformats.org/officeDocument/2006/relationships/hyperlink" Target="https://www.climatechangeauthority.gov.au/sites/default/files/2021Factsheet%20-%20Agriculture.pdf" TargetMode="External"/><Relationship Id="rId159" Type="http://schemas.openxmlformats.org/officeDocument/2006/relationships/hyperlink" Target="https://www.pmc.gov.au/publications/strengthening-skills-expert-review-australias-vocational-education-and-training-system" TargetMode="External"/><Relationship Id="rId170" Type="http://schemas.openxmlformats.org/officeDocument/2006/relationships/hyperlink" Target="https://www.wgea.gov.au/publications/australias-gender-equality-scorecard" TargetMode="External"/><Relationship Id="rId191" Type="http://schemas.openxmlformats.org/officeDocument/2006/relationships/hyperlink" Target="https://australiainstitute.org.au/wp-content/uploads/2021/08/P1124-Guiding-principles-for-a-new-livelihood-and-work-program-in-remote-Indigenous-Australia-Web.pdf" TargetMode="External"/><Relationship Id="rId205" Type="http://schemas.openxmlformats.org/officeDocument/2006/relationships/hyperlink" Target="https://www.riotinto.com/-/media/Content/Documents/Sustainability/People/RT-Everyday-respect-report.pdf" TargetMode="External"/><Relationship Id="rId226" Type="http://schemas.openxmlformats.org/officeDocument/2006/relationships/hyperlink" Target="https://lva.vic.gov.au/business-and-worker-support/worker-support-services" TargetMode="External"/><Relationship Id="rId107" Type="http://schemas.openxmlformats.org/officeDocument/2006/relationships/hyperlink" Target="https://fbicrc.com.au/wp-content/uploads/2021/06/Future-Charge-Report-Final.pdf" TargetMode="External"/><Relationship Id="rId11" Type="http://schemas.openxmlformats.org/officeDocument/2006/relationships/hyperlink" Target="https://assets.cleanenergycouncil.org.au/documents/CEC_Skilling-the-Energy-Transition-2022.pdf" TargetMode="External"/><Relationship Id="rId32" Type="http://schemas.openxmlformats.org/officeDocument/2006/relationships/hyperlink" Target="https://consult.abs.gov.au/standards-and-classifications/anzsco-targeted-update-2021-proposed-changes/supporting_documents/FAQs_Proposed%20Changes_Ver6.pdf" TargetMode="External"/><Relationship Id="rId53" Type="http://schemas.openxmlformats.org/officeDocument/2006/relationships/hyperlink" Target="https://www.busnews.com.au/industry-news/2303/inside-the-state-of-the-current-australian-electric-bus-industry" TargetMode="External"/><Relationship Id="rId74" Type="http://schemas.openxmlformats.org/officeDocument/2006/relationships/hyperlink" Target="https://www.rmit.edu.au/study-with-us/levels-of-study/undergraduate-study/honours-degrees/bachelor-of-environmental-sciencebachelor-of-engineering-environmental-engineering-honours-bh096" TargetMode="External"/><Relationship Id="rId128" Type="http://schemas.openxmlformats.org/officeDocument/2006/relationships/hyperlink" Target="https://cement.org.au/australias-cement-industry/about-cement/australias-cement-industry/" TargetMode="External"/><Relationship Id="rId149" Type="http://schemas.openxmlformats.org/officeDocument/2006/relationships/hyperlink" Target="https://www.dewr.gov.au/expert-review-australias-vet-system/resources/vocational-education-and-training-vet-reform-roadmap-draft" TargetMode="External"/><Relationship Id="rId5" Type="http://schemas.openxmlformats.org/officeDocument/2006/relationships/hyperlink" Target="https://www.aemc.gov.au/regulation/national-governance" TargetMode="External"/><Relationship Id="rId95" Type="http://schemas.openxmlformats.org/officeDocument/2006/relationships/hyperlink" Target="https://www.oecd.org/migration/talent-attractiveness/" TargetMode="External"/><Relationship Id="rId160" Type="http://schemas.openxmlformats.org/officeDocument/2006/relationships/hyperlink" Target="https://consult.industry.gov.au/diversityinstem2/draft-recommendations" TargetMode="External"/><Relationship Id="rId181" Type="http://schemas.openxmlformats.org/officeDocument/2006/relationships/hyperlink" Target="https://www.wgea.gov.au/publications/gari-yala-speak-the-truth-gendered-insights" TargetMode="External"/><Relationship Id="rId216" Type="http://schemas.openxmlformats.org/officeDocument/2006/relationships/hyperlink" Target="https://www.sydney.edu.au/sydney-environment-institute/our-research/transition-and-transformation/unsettling-resources/a-just-transition-away-from-coal-in-australia.html" TargetMode="External"/><Relationship Id="rId237" Type="http://schemas.openxmlformats.org/officeDocument/2006/relationships/hyperlink" Target="https://acilallen.com.au/projects/other/transition-of-the-australian-car-manufacturing-sector" TargetMode="External"/><Relationship Id="rId22" Type="http://schemas.openxmlformats.org/officeDocument/2006/relationships/hyperlink" Target="https://iea.blob.core.windows.net/assets/a0432c97-14af-4fc7-b3bf-c409fb7e4ab8/WorldEnergyEmployment.pdf" TargetMode="External"/><Relationship Id="rId43" Type="http://schemas.openxmlformats.org/officeDocument/2006/relationships/hyperlink" Target="https://www.pv-magazine-australia.com/2022/07/25/enel-looks-to-sell-major-stake-in-australian-wind-solar-portfolio/" TargetMode="External"/><Relationship Id="rId64" Type="http://schemas.openxmlformats.org/officeDocument/2006/relationships/hyperlink" Target="https://www.governmentnews.com.au/queensland-boosts-electric-bus-fleet/" TargetMode="External"/><Relationship Id="rId118" Type="http://schemas.openxmlformats.org/officeDocument/2006/relationships/hyperlink" Target="https://www.dcceew.gov.au/energy/transport/national-electric-vehicle-strategy" TargetMode="External"/><Relationship Id="rId139" Type="http://schemas.openxmlformats.org/officeDocument/2006/relationships/hyperlink" Target="https://www.energy.gov.au/business/sector-guides/agriculture" TargetMode="External"/><Relationship Id="rId85" Type="http://schemas.openxmlformats.org/officeDocument/2006/relationships/hyperlink" Target="https://www.wave.org.au/wp-content/uploads/2020/11/Apprenticeships-should-work-for-women-too-published.pdf" TargetMode="External"/><Relationship Id="rId150" Type="http://schemas.openxmlformats.org/officeDocument/2006/relationships/hyperlink" Target="https://www.education.gov.au/australian-universities-accord/resources/accord-interim-report" TargetMode="External"/><Relationship Id="rId171" Type="http://schemas.openxmlformats.org/officeDocument/2006/relationships/hyperlink" Target="https://www.engineersaustralia.org.au/publications/women-engineering" TargetMode="External"/><Relationship Id="rId192" Type="http://schemas.openxmlformats.org/officeDocument/2006/relationships/hyperlink" Target="https://www.wa.gov.au/government/media-statements/McGowan-Labor-Government/Land-allocation-approvals-for-green-industrial-precinct-in-the-Pilbara-20230515" TargetMode="External"/><Relationship Id="rId206" Type="http://schemas.openxmlformats.org/officeDocument/2006/relationships/hyperlink" Target="https://www.sciencedirect.com/science/article/pii/S2210422423000114?via%3Dihub" TargetMode="External"/><Relationship Id="rId227" Type="http://schemas.openxmlformats.org/officeDocument/2006/relationships/hyperlink" Target="https://www.deeca.vic.gov.au/forestry/forestry-transition-program" TargetMode="External"/><Relationship Id="rId12" Type="http://schemas.openxmlformats.org/officeDocument/2006/relationships/hyperlink" Target="https://www.energy.gov.au/government-priorities/energy-and-climate-change-ministerial-council/priorities/national-energy-transformation-partnership" TargetMode="External"/><Relationship Id="rId33" Type="http://schemas.openxmlformats.org/officeDocument/2006/relationships/hyperlink" Target="https://www.cleanenergycouncil.org.au/resources/resources-hub/empowering-everyone-diversity-in-the-australian-clean-energy-sector" TargetMode="External"/><Relationship Id="rId108" Type="http://schemas.openxmlformats.org/officeDocument/2006/relationships/hyperlink" Target="https://www.abs.gov.au/statistics/labour/employment-and-unemployment/employment-renewable-energy-activities-australia/latest-release" TargetMode="External"/><Relationship Id="rId129" Type="http://schemas.openxmlformats.org/officeDocument/2006/relationships/hyperlink" Target="https://www.rmit.edu.au/research/centres-collaborations/multi-partner-collaborations/smartcrete-crc" TargetMode="External"/><Relationship Id="rId54" Type="http://schemas.openxmlformats.org/officeDocument/2006/relationships/hyperlink" Target="https://www.governmentnews.com.au/queensland-boosts-electric-bus-fleet/" TargetMode="External"/><Relationship Id="rId75" Type="http://schemas.openxmlformats.org/officeDocument/2006/relationships/hyperlink" Target="https://education.ec.europa.eu/education-levels/higher-education/micro-credentials" TargetMode="External"/><Relationship Id="rId96" Type="http://schemas.openxmlformats.org/officeDocument/2006/relationships/hyperlink" Target="https://www.palmscheme.gov.au/" TargetMode="External"/><Relationship Id="rId140" Type="http://schemas.openxmlformats.org/officeDocument/2006/relationships/hyperlink" Target="https://www.dcceew.gov.au/climate-change/publications/national-greenhouse-gas-inventory-quarterly-updates" TargetMode="External"/><Relationship Id="rId161" Type="http://schemas.openxmlformats.org/officeDocument/2006/relationships/hyperlink" Target="https://www.ncver.edu.au/__data/assets/pdf_file/0039/9669603/Attracting_industry_experts_to_become_VET_practitioners_a_journey_not_a_destination.pdf" TargetMode="External"/><Relationship Id="rId182" Type="http://schemas.openxmlformats.org/officeDocument/2006/relationships/hyperlink" Target="https://www.csrm.uq.edu.au/publications/what-did-i-get-myself-into-indigenous-women-and-mining-employment-in-australia" TargetMode="External"/><Relationship Id="rId217" Type="http://schemas.openxmlformats.org/officeDocument/2006/relationships/hyperlink" Target="https://ccep.crawford.anu.edu.au/publication/ccep-working-paper/18120/after-hazelwood-coal-fired-power-station-closure-latrobe-valley" TargetMode="External"/><Relationship Id="rId6" Type="http://schemas.openxmlformats.org/officeDocument/2006/relationships/hyperlink" Target="https://www.energy.gov.au/sites/default/files/2022-08/National%20Energy%20Transformation%20Partnership.pdf" TargetMode="External"/><Relationship Id="rId238" Type="http://schemas.openxmlformats.org/officeDocument/2006/relationships/hyperlink" Target="https://www.oecd-ilibrary.org/employment/back-to-work-australia_9789264253476-en" TargetMode="External"/><Relationship Id="rId23" Type="http://schemas.openxmlformats.org/officeDocument/2006/relationships/hyperlink" Target="https://www.uts.edu.au/sites/default/files/2020-07/CEC%20Report%20ETH%20webinar%2025-6-20.pdf" TargetMode="External"/><Relationship Id="rId119" Type="http://schemas.openxmlformats.org/officeDocument/2006/relationships/hyperlink" Target="https://www.vivaenergy.com.au/media/news/2023/viva-energy-to-acquire-otr-group-transforming-viva-energy-s-convenience-and-mobility-retail-business" TargetMode="External"/><Relationship Id="rId44" Type="http://schemas.openxmlformats.org/officeDocument/2006/relationships/hyperlink" Target="https://www.agl.com.au/about-agl/how-we-source-energy" TargetMode="External"/><Relationship Id="rId65" Type="http://schemas.openxmlformats.org/officeDocument/2006/relationships/hyperlink" Target="https://www.canberratimes.com.au/story/8052950/australia-to-make-electric-buses-go-round/" TargetMode="External"/><Relationship Id="rId86" Type="http://schemas.openxmlformats.org/officeDocument/2006/relationships/hyperlink" Target="https://www.ilo.org/wcmsp5/groups/public/---dgreports/---dcomm/documents/publication/wcms_856649.pdf" TargetMode="External"/><Relationship Id="rId130" Type="http://schemas.openxmlformats.org/officeDocument/2006/relationships/hyperlink" Target="https://www.energymining.sa.gov.au/home/news/latest/gfg-to-phase-out-coal-based-steelmaking-at-whyalla-with-$485-million-investment" TargetMode="External"/><Relationship Id="rId151" Type="http://schemas.openxmlformats.org/officeDocument/2006/relationships/hyperlink" Target="https://view.officeapps.live.com/op/view.aspx?src=https%3A%2F%2Fwww.pc.gov.au%2Finquiries%2Fcompleted%2Fproductivity%2Freport%2Fproductivity-volume7-labour-market.docx&amp;wdOrigin=BROWSELINK" TargetMode="External"/><Relationship Id="rId172" Type="http://schemas.openxmlformats.org/officeDocument/2006/relationships/hyperlink" Target="https://www.agec.org.au/wp-content/uploads/2018/09/Women-in-Engineering-Realising-Productivity-and-Innovation-Through-Diversity-2017.pdf" TargetMode="External"/><Relationship Id="rId193" Type="http://schemas.openxmlformats.org/officeDocument/2006/relationships/hyperlink" Target="https://assets.maorilawreview.co.nz/Jon-Altman-2014-Maori-Law-Review-Indigenous-Law-Speaker-Series-The-political-ecology-and-political-economy-of-the-Indigenous-land-titling-revolution-in-Australia-D.pdf" TargetMode="External"/><Relationship Id="rId207" Type="http://schemas.openxmlformats.org/officeDocument/2006/relationships/hyperlink" Target="https://www.linkedin.com/posts/trade-council-of-denmark-in-australia_denmark-activity-7102530674925977600-gT-k" TargetMode="External"/><Relationship Id="rId228" Type="http://schemas.openxmlformats.org/officeDocument/2006/relationships/hyperlink" Target="https://www.nsw.gov.au/regional-nsw/programs-and-grants/royalties-for-rejuvenation-fund" TargetMode="External"/><Relationship Id="rId13" Type="http://schemas.openxmlformats.org/officeDocument/2006/relationships/hyperlink" Target="https://assets.cleanenergycouncil.org.au/documents/CEC_Skilling-the-Energy-Transition-2022.pdf" TargetMode="External"/><Relationship Id="rId109" Type="http://schemas.openxmlformats.org/officeDocument/2006/relationships/hyperlink" Target="https://www.agc.org.au/wp-content/uploads/2023/01/Urgent-action-needed-to-stem-slump-in-geoscience-graduates.pdf" TargetMode="External"/><Relationship Id="rId34" Type="http://schemas.openxmlformats.org/officeDocument/2006/relationships/hyperlink" Target="https://www.energy-transition-hub.org/partner/fotowatio-renewable-ventures-frv" TargetMode="External"/><Relationship Id="rId55" Type="http://schemas.openxmlformats.org/officeDocument/2006/relationships/hyperlink" Target="https://afma.org.au/australian-new-car-sales-surge-in-june-2023/" TargetMode="External"/><Relationship Id="rId76" Type="http://schemas.openxmlformats.org/officeDocument/2006/relationships/hyperlink" Target="https://www.education.gov.au/microcredentials-pilot-higher-education" TargetMode="External"/><Relationship Id="rId97" Type="http://schemas.openxmlformats.org/officeDocument/2006/relationships/hyperlink" Target="https://www.palmscheme.gov.au/sites/default/files/2022-12/PALM%20scheme%20reforms%20Budget%20announcements%20-%20factsheet.pdf" TargetMode="External"/><Relationship Id="rId120" Type="http://schemas.openxmlformats.org/officeDocument/2006/relationships/hyperlink" Target="https://www.ieabioenergy.com/wp-content/uploads/2022/06/Turning-Circle-report.pdf" TargetMode="External"/><Relationship Id="rId141" Type="http://schemas.openxmlformats.org/officeDocument/2006/relationships/hyperlink" Target="https://www.netzeroaustralia.net.au/wp-content/uploads/2023/04/Downscaling-The-role-of-forestry-in-enhancing-the-Australian-land-CO2-sink.pdf" TargetMode="External"/><Relationship Id="rId7" Type="http://schemas.openxmlformats.org/officeDocument/2006/relationships/hyperlink" Target="https://www.dcceew.gov.au/energy/transport/national-electric-vehicle-strategy" TargetMode="External"/><Relationship Id="rId162" Type="http://schemas.openxmlformats.org/officeDocument/2006/relationships/hyperlink" Target="https://www.wave.org.au/wp-content/uploads/2020/11/Apprenticeships-should-work-for-women-too-published.pdf" TargetMode="External"/><Relationship Id="rId183" Type="http://schemas.openxmlformats.org/officeDocument/2006/relationships/hyperlink" Target="https://www.csrm.uq.edu.au/publications/factors-supporting-indigenous-employee-retention-in-the-australian-mining-industry-a-case-study-of-the-pilbara-region" TargetMode="External"/><Relationship Id="rId218" Type="http://schemas.openxmlformats.org/officeDocument/2006/relationships/hyperlink" Target="https://acilallen.com.au/projects/other/transition-of-the-australian-car-manufacturing-sector" TargetMode="External"/><Relationship Id="rId239" Type="http://schemas.openxmlformats.org/officeDocument/2006/relationships/hyperlink" Target="https://nousgroup.com/wp-content/uploads/2022/01/Lessons-Learnt-From-Large-Firm-Closures-Vol-1.pdf" TargetMode="External"/><Relationship Id="rId24" Type="http://schemas.openxmlformats.org/officeDocument/2006/relationships/hyperlink" Target="https://www.apsc.gov.au/employment-data/aps-employment-data-31-december-2022" TargetMode="External"/><Relationship Id="rId45" Type="http://schemas.openxmlformats.org/officeDocument/2006/relationships/hyperlink" Target="https://www.agl.com.au/about-agl/how-we-source-energy" TargetMode="External"/><Relationship Id="rId66" Type="http://schemas.openxmlformats.org/officeDocument/2006/relationships/hyperlink" Target="https://www.dcceew.gov.au/environment/protection/waste/national-waste-reports/2022" TargetMode="External"/><Relationship Id="rId87" Type="http://schemas.openxmlformats.org/officeDocument/2006/relationships/hyperlink" Target="https://www.ceew.in/sites/default/files/Green-Jobs-Report-Jan27.pdf" TargetMode="External"/><Relationship Id="rId110" Type="http://schemas.openxmlformats.org/officeDocument/2006/relationships/hyperlink" Target="https://www.starofthesouth.com.au/worker-guide" TargetMode="External"/><Relationship Id="rId131" Type="http://schemas.openxmlformats.org/officeDocument/2006/relationships/hyperlink" Target="https://www.sciencedirect.com/science/article/pii/S0360319923022930?via%3Dihub" TargetMode="External"/><Relationship Id="rId152" Type="http://schemas.openxmlformats.org/officeDocument/2006/relationships/hyperlink" Target="https://www.ceda.com.au/ResearchAndPolicies/Research/Energy/Powering-the-transition-The-net-zero-workforce-cha" TargetMode="External"/><Relationship Id="rId173" Type="http://schemas.openxmlformats.org/officeDocument/2006/relationships/hyperlink" Target="https://www.agec.org.au/wp-content/uploads/2018/09/Women-in-Engineering-Realising-Productivity-and-Innovation-Through-Diversity-2017.pdf" TargetMode="External"/><Relationship Id="rId194" Type="http://schemas.openxmlformats.org/officeDocument/2006/relationships/hyperlink" Target="https://www.fnces.org.au/" TargetMode="External"/><Relationship Id="rId208" Type="http://schemas.openxmlformats.org/officeDocument/2006/relationships/hyperlink" Target="https://www.renac.de/projects/current-projects/bilateral-energy-cooperation-initiatives/energy-cooperation-australia-and-germany" TargetMode="External"/><Relationship Id="rId229" Type="http://schemas.openxmlformats.org/officeDocument/2006/relationships/hyperlink" Target="https://acilallen.com.au/projects/other/transition-of-the-australian-car-manufacturing-sector" TargetMode="External"/><Relationship Id="rId240" Type="http://schemas.openxmlformats.org/officeDocument/2006/relationships/hyperlink" Target="https://acilallen.com.au/projects/other/transition-of-the-australian-car-manufacturing-sector" TargetMode="External"/><Relationship Id="rId14" Type="http://schemas.openxmlformats.org/officeDocument/2006/relationships/hyperlink" Target="https://www.cleanenergycouncil.org.au/resources/resources-hub/clean-energy-australia-report" TargetMode="External"/><Relationship Id="rId35" Type="http://schemas.openxmlformats.org/officeDocument/2006/relationships/hyperlink" Target="https://www.pv-magazine.com/2015/04/08/abdul-latif-jameel-completes-frv-acquisition_100018962/" TargetMode="External"/><Relationship Id="rId56" Type="http://schemas.openxmlformats.org/officeDocument/2006/relationships/hyperlink" Target="https://www.whichcar.com.au/advice/ev-servicing-costs-explained" TargetMode="External"/><Relationship Id="rId77" Type="http://schemas.openxmlformats.org/officeDocument/2006/relationships/hyperlink" Target="https://www.starofthesouth.com.au/worker-guide" TargetMode="External"/><Relationship Id="rId100" Type="http://schemas.openxmlformats.org/officeDocument/2006/relationships/hyperlink" Target="https://training.gov.au/Training/Details/UEG" TargetMode="External"/><Relationship Id="rId8" Type="http://schemas.openxmlformats.org/officeDocument/2006/relationships/hyperlink" Target="https://www.airswift.com/geti/" TargetMode="External"/><Relationship Id="rId98" Type="http://schemas.openxmlformats.org/officeDocument/2006/relationships/hyperlink" Target="https://www.jobsandskills.gov.au/reports/skills-shortage-quarterly-report-June-2023" TargetMode="External"/><Relationship Id="rId121" Type="http://schemas.openxmlformats.org/officeDocument/2006/relationships/hyperlink" Target="https://www.infrastructure.gov.au/department/media/publications/aviation-green-paper-towards-2050" TargetMode="External"/><Relationship Id="rId142" Type="http://schemas.openxmlformats.org/officeDocument/2006/relationships/hyperlink" Target="https://australia.chevron.com/-/media/australia/publications/documents/gorgon-carbon-capture-and-storage--fact-sheet.pdf" TargetMode="External"/><Relationship Id="rId163" Type="http://schemas.openxmlformats.org/officeDocument/2006/relationships/hyperlink" Target="https://jobsqueensland.qld.gov.au/projects/women-in-trades/" TargetMode="External"/><Relationship Id="rId184" Type="http://schemas.openxmlformats.org/officeDocument/2006/relationships/hyperlink" Target="https://www.csrm.uq.edu.au/publications/factors-supporting-indigenous-employee-retention-in-the-australian-mining-industry-a-case-study-of-the-pilbara-region" TargetMode="External"/><Relationship Id="rId219" Type="http://schemas.openxmlformats.org/officeDocument/2006/relationships/hyperlink" Target="https://www.aer.gov.au/wholesale-markets/notice-of-closure-exemptions" TargetMode="External"/><Relationship Id="rId230" Type="http://schemas.openxmlformats.org/officeDocument/2006/relationships/hyperlink" Target="https://nousgroup.com/wp-content/uploads/2022/01/Lessons-Learnt-From-Large-Firm-Closures-Vol-3.pdf" TargetMode="External"/><Relationship Id="rId25" Type="http://schemas.openxmlformats.org/officeDocument/2006/relationships/hyperlink" Target="https://www.premier.vic.gov.au/wind-turbines-bring-manufacturing-jobs-geelong" TargetMode="External"/><Relationship Id="rId46" Type="http://schemas.openxmlformats.org/officeDocument/2006/relationships/hyperlink" Target="https://www.iberdrola.com.au/" TargetMode="External"/><Relationship Id="rId67" Type="http://schemas.openxmlformats.org/officeDocument/2006/relationships/hyperlink" Target="https://arena.gov.au/projects/kwinana-waste-to-energy-project/" TargetMode="External"/><Relationship Id="rId88" Type="http://schemas.openxmlformats.org/officeDocument/2006/relationships/hyperlink" Target="https://cwur.org/2022-23.php" TargetMode="External"/><Relationship Id="rId111" Type="http://schemas.openxmlformats.org/officeDocument/2006/relationships/hyperlink" Target="https://minister.dcceew.gov.au/bowen/media-releases/australia-joins-global-drive-boost-offshore-wind" TargetMode="External"/><Relationship Id="rId132" Type="http://schemas.openxmlformats.org/officeDocument/2006/relationships/hyperlink" Target="https://www.cleanenergyregulator.gov.au/Infohub/Markets/Pages/qcmr/december-quarter-2022/State-of-Total-Renewables.aspx" TargetMode="External"/><Relationship Id="rId153" Type="http://schemas.openxmlformats.org/officeDocument/2006/relationships/hyperlink" Target="https://www.legislation.gov.au/Details/C2021C00272" TargetMode="External"/><Relationship Id="rId174" Type="http://schemas.openxmlformats.org/officeDocument/2006/relationships/hyperlink" Target="https://humanrights.gov.au/time-for-respect-2022" TargetMode="External"/><Relationship Id="rId195" Type="http://schemas.openxmlformats.org/officeDocument/2006/relationships/hyperlink" Target="https://www.oecd-ilibrary.org/urban-rural-and-regional-development/linking-indigenous-communities-with-regional-development-in-canada_fa0f60c6-en" TargetMode="External"/><Relationship Id="rId209" Type="http://schemas.openxmlformats.org/officeDocument/2006/relationships/hyperlink" Target="https://www.sciencedirect.com/science/article/pii/S2210422423000114?via%3Dihub" TargetMode="External"/><Relationship Id="rId220" Type="http://schemas.openxmlformats.org/officeDocument/2006/relationships/hyperlink" Target="https://acilallen.com.au/projects/other/transition-of-the-australian-car-manufacturing-sector" TargetMode="External"/><Relationship Id="rId241" Type="http://schemas.openxmlformats.org/officeDocument/2006/relationships/hyperlink" Target="https://www.ncver.edu.au/research-and-statistics/publications/all-publications/industry-restructuring-and-job-loss-helping-older-workers-get-back-into-employment" TargetMode="External"/><Relationship Id="rId15" Type="http://schemas.openxmlformats.org/officeDocument/2006/relationships/hyperlink" Target="https://www.abs.gov.au/statistics/labour/employment-and-unemployment/employment-renewable-energy-activities-australia/latest-release" TargetMode="External"/><Relationship Id="rId36" Type="http://schemas.openxmlformats.org/officeDocument/2006/relationships/hyperlink" Target="https://neoen.com/en/" TargetMode="External"/><Relationship Id="rId57" Type="http://schemas.openxmlformats.org/officeDocument/2006/relationships/hyperlink" Target="https://www.climateworkscentre.org/resource/net-zero-momentum-tracker-banking-sector-report/" TargetMode="External"/><Relationship Id="rId10" Type="http://schemas.openxmlformats.org/officeDocument/2006/relationships/hyperlink" Target="https://www.pm.gov.au/media/national-net-zero-authority" TargetMode="External"/><Relationship Id="rId31" Type="http://schemas.openxmlformats.org/officeDocument/2006/relationships/hyperlink" Target="https://www.nationalskillscommission.gov.au/reports/emerging-occupations" TargetMode="External"/><Relationship Id="rId52" Type="http://schemas.openxmlformats.org/officeDocument/2006/relationships/hyperlink" Target="https://research.csiro.au/hyresource/central-queensland-hydrogen-project/" TargetMode="External"/><Relationship Id="rId73" Type="http://schemas.openxmlformats.org/officeDocument/2006/relationships/hyperlink" Target="https://www.aigroup.com.au/education-training/centre-for-education-and-training/blog/degree-apprenticeships-are-coming-to-queensland/" TargetMode="External"/><Relationship Id="rId78" Type="http://schemas.openxmlformats.org/officeDocument/2006/relationships/hyperlink" Target="https://arena.gov.au/projects/?project-value-start=0&amp;project-value-end=200000000" TargetMode="External"/><Relationship Id="rId94" Type="http://schemas.openxmlformats.org/officeDocument/2006/relationships/hyperlink" Target="https://www.oecd.org/migration/mig/Measuring-and-Assessing-Talent-Attractiveness-in-OECD-Countries.pdf" TargetMode="External"/><Relationship Id="rId99" Type="http://schemas.openxmlformats.org/officeDocument/2006/relationships/hyperlink" Target="https://www.dcceew.gov.au/energy/publications/state-of-hydrogen-2022" TargetMode="External"/><Relationship Id="rId101" Type="http://schemas.openxmlformats.org/officeDocument/2006/relationships/hyperlink" Target="https://aemo.com.au/energy-systems/major-publications/integrated-system-plan-isp/2022-integrated-system-plan-isp" TargetMode="External"/><Relationship Id="rId122" Type="http://schemas.openxmlformats.org/officeDocument/2006/relationships/hyperlink" Target="https://www.oecd-ilibrary.org/transport/decarbonising-maritime-transport_b1a7632c-en" TargetMode="External"/><Relationship Id="rId143" Type="http://schemas.openxmlformats.org/officeDocument/2006/relationships/hyperlink" Target="https://www.energymining.sa.gov.au/industry/energy-resources/infrastructure-and-energy-markets/new-technologies/carbon-capture-and-storage" TargetMode="External"/><Relationship Id="rId148" Type="http://schemas.openxmlformats.org/officeDocument/2006/relationships/hyperlink" Target="https://www.education.gov.au/australian-universities-accord/resources/accord-interim-report" TargetMode="External"/><Relationship Id="rId164" Type="http://schemas.openxmlformats.org/officeDocument/2006/relationships/hyperlink" Target="https://parlinfo.aph.gov.au/parlInfo/download/committees/estimate/26913/toc_pdf/Education%20and%20Employment%20Legislation%20Committee_2023_05_31.pdf;fileType=application%2Fpdf" TargetMode="External"/><Relationship Id="rId169" Type="http://schemas.openxmlformats.org/officeDocument/2006/relationships/hyperlink" Target="https://www.wgea.gov.au/publications/australias-gender-equality-scorecard" TargetMode="External"/><Relationship Id="rId185" Type="http://schemas.openxmlformats.org/officeDocument/2006/relationships/hyperlink" Target="https://indigenous-jobsmap.csiro.au/" TargetMode="External"/><Relationship Id="rId4" Type="http://schemas.openxmlformats.org/officeDocument/2006/relationships/hyperlink" Target="https://budget.gov.au/content/factsheets/download/factsheet_clean_energy-20230510.pdf" TargetMode="External"/><Relationship Id="rId9" Type="http://schemas.openxmlformats.org/officeDocument/2006/relationships/hyperlink" Target="https://commission.europa.eu/strategy-and-policy/priorities-2019-2024/european-green-deal/green-deal-industrial-plan_en" TargetMode="External"/><Relationship Id="rId180" Type="http://schemas.openxmlformats.org/officeDocument/2006/relationships/hyperlink" Target="https://www.jobsandskills.gov.au/work/first-nations-people-workforce-analysis" TargetMode="External"/><Relationship Id="rId210" Type="http://schemas.openxmlformats.org/officeDocument/2006/relationships/hyperlink" Target="https://www.academia.edu/86930246/Supply_side_and_Demand_side_Explanations_of_Declining_Apprentice_Training_Rates_A_Critical_Overview" TargetMode="External"/><Relationship Id="rId215" Type="http://schemas.openxmlformats.org/officeDocument/2006/relationships/hyperlink" Target="https://www.emerald.com/insight/content/doi/10.1108/IJSHE-09-2016-0179/full/html" TargetMode="External"/><Relationship Id="rId236" Type="http://schemas.openxmlformats.org/officeDocument/2006/relationships/hyperlink" Target="https://acilallen.com.au/projects/other/transition-of-the-australian-car-manufacturing-sector" TargetMode="External"/><Relationship Id="rId26" Type="http://schemas.openxmlformats.org/officeDocument/2006/relationships/hyperlink" Target="https://www.dcceew.gov.au/environment/protection/waste/publications/national-waste-policy-action-plan" TargetMode="External"/><Relationship Id="rId231" Type="http://schemas.openxmlformats.org/officeDocument/2006/relationships/hyperlink" Target="https://www.voced.edu.au/content/ngv%3A77608" TargetMode="External"/><Relationship Id="rId47" Type="http://schemas.openxmlformats.org/officeDocument/2006/relationships/hyperlink" Target="https://www.iberdrola.com.au/our-assets/asset-map/" TargetMode="External"/><Relationship Id="rId68" Type="http://schemas.openxmlformats.org/officeDocument/2006/relationships/hyperlink" Target="https://www.bp.com/en_au/australia/home/media/press-releases/biorefinery-plans-new-milestone.html" TargetMode="External"/><Relationship Id="rId89" Type="http://schemas.openxmlformats.org/officeDocument/2006/relationships/hyperlink" Target="https://internationaleducation.gov.au/research/research-papers/Documents/IGOS%20Final%20Report_FINAL%20Amendment_030919.pdf" TargetMode="External"/><Relationship Id="rId112" Type="http://schemas.openxmlformats.org/officeDocument/2006/relationships/hyperlink" Target="https://www.dcceew.gov.au/sites/default/files/documents/oct-budget-2022-23-jobs-fs.pdf" TargetMode="External"/><Relationship Id="rId133" Type="http://schemas.openxmlformats.org/officeDocument/2006/relationships/hyperlink" Target="https://parlinfo.aph.gov.au/parlInfo/search/display/display.w3p;query=Id%3A%22media%2Fpressrel%2F8530261%22;src1=sm1" TargetMode="External"/><Relationship Id="rId154" Type="http://schemas.openxmlformats.org/officeDocument/2006/relationships/hyperlink" Target="https://www.dewr.gov.au/skills-support-individuals/mutual-recognition" TargetMode="External"/><Relationship Id="rId175" Type="http://schemas.openxmlformats.org/officeDocument/2006/relationships/hyperlink" Target="https://humanrights.gov.au/time-for-respect-2022" TargetMode="External"/><Relationship Id="rId196" Type="http://schemas.openxmlformats.org/officeDocument/2006/relationships/hyperlink" Target="https://www.aihw.gov.au/reports/disability/people-with-disability-in-australia/contents/people-with-disability/prevalence-of-disability" TargetMode="External"/><Relationship Id="rId200" Type="http://schemas.openxmlformats.org/officeDocument/2006/relationships/hyperlink" Target="https://www.engineersaustralia.org.au/publications/barriers-employment-migrant-engineers?gclid=EAIaIQobChMIo7KrwqGhgQMVAl9gCh0uTwLFEAAYASAAEgIkY_D_BwE" TargetMode="External"/><Relationship Id="rId16" Type="http://schemas.openxmlformats.org/officeDocument/2006/relationships/hyperlink" Target="https://www.abs.gov.au/statistics/labour/employment-and-unemployment/employment-renewable-energy-activities-australia/latest-release" TargetMode="External"/><Relationship Id="rId221" Type="http://schemas.openxmlformats.org/officeDocument/2006/relationships/hyperlink" Target="https://www.energyaustralia.com.au/about-us/media/news/energyaustralia-helps-yallourn-workers-prepare-life-after-coal" TargetMode="External"/><Relationship Id="rId242" Type="http://schemas.openxmlformats.org/officeDocument/2006/relationships/hyperlink" Target="https://jobsqueensland.qld.gov.au/projects/supporting-workforces-industry-transition/" TargetMode="External"/><Relationship Id="rId37" Type="http://schemas.openxmlformats.org/officeDocument/2006/relationships/hyperlink" Target="https://www.afr.com/companies/energy/neoen-starts-construction-of-fifth-big-battery-in-australia-20230105-p5camb" TargetMode="External"/><Relationship Id="rId58" Type="http://schemas.openxmlformats.org/officeDocument/2006/relationships/hyperlink" Target="https://www.climateworkscentre.org/resource/net-zero-momentum-tracker-superannuation-sector/" TargetMode="External"/><Relationship Id="rId79" Type="http://schemas.openxmlformats.org/officeDocument/2006/relationships/hyperlink" Target="https://www.uow.edu.au/media/2022/breakthrough-opens-door-to-low-cost-green-hydrogen.php" TargetMode="External"/><Relationship Id="rId102" Type="http://schemas.openxmlformats.org/officeDocument/2006/relationships/hyperlink" Target="https://www.agriculture.gov.au/about/news/snapshot-world-biofuels-dec-22" TargetMode="External"/><Relationship Id="rId123" Type="http://schemas.openxmlformats.org/officeDocument/2006/relationships/hyperlink" Target="https://www.globalmaritimeforum.org/publications/shippings-energy-transition-strategic-opportunities-in-south-africa" TargetMode="External"/><Relationship Id="rId144" Type="http://schemas.openxmlformats.org/officeDocument/2006/relationships/hyperlink" Target="https://www.education.gov.au/advanced-apprenticeships-industry-40-pilot" TargetMode="External"/><Relationship Id="rId90" Type="http://schemas.openxmlformats.org/officeDocument/2006/relationships/hyperlink" Target="https://www.homeaffairs.gov.au/reports-and-publications/reviews-and-inquiries/departmental-reviews/migration-system-for-australias-future" TargetMode="External"/><Relationship Id="rId165" Type="http://schemas.openxmlformats.org/officeDocument/2006/relationships/hyperlink" Target="https://www.neca.asn.au/sites/default/files/Industry%20Submission%20-%20National%20Strategy%20to%20Achieve%20Gender%20Equality%202023.pdf" TargetMode="External"/><Relationship Id="rId186" Type="http://schemas.openxmlformats.org/officeDocument/2006/relationships/hyperlink" Target="https://www.csrm.uq.edu.au/publications/indigenous-employment-in-the-australian-mining-industry" TargetMode="External"/><Relationship Id="rId211" Type="http://schemas.openxmlformats.org/officeDocument/2006/relationships/hyperlink" Target="https://search.informit.org/doi/epdf/10.3316/ielapa.990100869" TargetMode="External"/><Relationship Id="rId232" Type="http://schemas.openxmlformats.org/officeDocument/2006/relationships/hyperlink" Target="https://www.ncver.edu.au/research-and-statistics/publications/all-publications/the-end-of-car-manufacturing-in-australia-what-is-the-role-of-training" TargetMode="External"/><Relationship Id="rId27" Type="http://schemas.openxmlformats.org/officeDocument/2006/relationships/hyperlink" Target="https://minister.dcceew.gov.au/plibersek/speeches/speech-launch-national-clothing-product-stewardship-scheme" TargetMode="External"/><Relationship Id="rId48" Type="http://schemas.openxmlformats.org/officeDocument/2006/relationships/hyperlink" Target="https://www.squadronenergy.com/our-wind-projects" TargetMode="External"/><Relationship Id="rId69" Type="http://schemas.openxmlformats.org/officeDocument/2006/relationships/hyperlink" Target="https://www.agl.com.au/about-agl/how-we-source-energy" TargetMode="External"/><Relationship Id="rId113" Type="http://schemas.openxmlformats.org/officeDocument/2006/relationships/hyperlink" Target="https://www.starofthesouth.com.au/worker-guide" TargetMode="External"/><Relationship Id="rId134" Type="http://schemas.openxmlformats.org/officeDocument/2006/relationships/hyperlink" Target="https://www.transport.nsw.gov.au/projects/current-projects/zero-emission-buses" TargetMode="External"/><Relationship Id="rId80" Type="http://schemas.openxmlformats.org/officeDocument/2006/relationships/hyperlink" Target="https://www.aitsl.edu.au/research/australian-teacher-workforce-data/atwdreports/national-trends-teacher-workforce" TargetMode="External"/><Relationship Id="rId155" Type="http://schemas.openxmlformats.org/officeDocument/2006/relationships/hyperlink" Target="https://www.nsw.gov.au/nsw-government/projects-and-initiatives/automatic-mutual-recognition" TargetMode="External"/><Relationship Id="rId176" Type="http://schemas.openxmlformats.org/officeDocument/2006/relationships/hyperlink" Target="https://view.officeapps.live.com/op/view.aspx?src=https%3A%2F%2Fwww.respectatwork.gov.au%2Fsites%2Fdefault%2Ffiles%2F2023-01%2FFINAL_Factsheet_What%2520causes%2520workplace%2520sexual%2520harassment%2520%25281%2529_0.docx&amp;wdOrigin=BROWSELINK" TargetMode="External"/><Relationship Id="rId197" Type="http://schemas.openxmlformats.org/officeDocument/2006/relationships/hyperlink" Target="https://www.cleanenergycouncil.org.au/resources/resources-hub/empowering-everyone-diversity-in-the-australian-clean-energy-sector" TargetMode="External"/><Relationship Id="rId201" Type="http://schemas.openxmlformats.org/officeDocument/2006/relationships/hyperlink" Target="https://www.jobsandskills.gov.au/news/april-2023-australian-labour-market-migrants-report-released" TargetMode="External"/><Relationship Id="rId222" Type="http://schemas.openxmlformats.org/officeDocument/2006/relationships/hyperlink" Target="https://www.synergy.net.au/About-us/Community-Investment/Muja-Workforce-Transition-Program" TargetMode="External"/><Relationship Id="rId243" Type="http://schemas.openxmlformats.org/officeDocument/2006/relationships/hyperlink" Target="https://nousgroup.com/wp-content/uploads/2022/01/Lessons-Learnt-From-Large-Firm-Closures-Vol-1.pdf" TargetMode="External"/><Relationship Id="rId17" Type="http://schemas.openxmlformats.org/officeDocument/2006/relationships/hyperlink" Target="https://aemo.com.au/-/media/files/major-publications/isp/2022/supporting-materials/the-australian-electricity-workforce-for-the-2022-isp.pdf?la=en" TargetMode="External"/><Relationship Id="rId38" Type="http://schemas.openxmlformats.org/officeDocument/2006/relationships/hyperlink" Target="https://www.pv-magazine.com/2021/10/29/neoen-connects-460-mw-solar-farm-to-grid-in-australia/" TargetMode="External"/><Relationship Id="rId59" Type="http://schemas.openxmlformats.org/officeDocument/2006/relationships/hyperlink" Target="https://www.industry.gov.au/sites/default/files/2023-06/critical-minerals-strategy-2023-2030.pdf" TargetMode="External"/><Relationship Id="rId103" Type="http://schemas.openxmlformats.org/officeDocument/2006/relationships/hyperlink" Target="https://arena.gov.au/knowledge-bank/australias-bioenergy-roadmap-report/" TargetMode="External"/><Relationship Id="rId124" Type="http://schemas.openxmlformats.org/officeDocument/2006/relationships/hyperlink" Target="https://unctad.org/news/decarbonizing-maritime-sector-mobilizing-coordinated-action-industry-using-ecosystems-approach" TargetMode="External"/><Relationship Id="rId70" Type="http://schemas.openxmlformats.org/officeDocument/2006/relationships/hyperlink" Target="https://www.energyaustralia.com.au/about-us/what-we-do/generating-energy" TargetMode="External"/><Relationship Id="rId91" Type="http://schemas.openxmlformats.org/officeDocument/2006/relationships/hyperlink" Target="https://minister.homeaffairs.gov.au/ClareONeil/Pages/transcript-jobs-skills-summit-migration-system-02092022.aspx" TargetMode="External"/><Relationship Id="rId145" Type="http://schemas.openxmlformats.org/officeDocument/2006/relationships/hyperlink" Target="https://www.education.gov.au/advanced-apprenticeships-industry-40-pilot" TargetMode="External"/><Relationship Id="rId166" Type="http://schemas.openxmlformats.org/officeDocument/2006/relationships/hyperlink" Target="https://www.education.gov.au/australian-curriculum/national-stem-education-resources-toolkit" TargetMode="External"/><Relationship Id="rId187" Type="http://schemas.openxmlformats.org/officeDocument/2006/relationships/hyperlink" Target="https://www.niaa.gov.au/news-centre/indigenous-affairs/2023-24-budget-investing-better-future-aboriginal-and-torres-strait-islander-people" TargetMode="External"/><Relationship Id="rId1" Type="http://schemas.openxmlformats.org/officeDocument/2006/relationships/hyperlink" Target="https://www.dewr.gov.au/nsc/resources/australias-current-emerging-and-future-workforce-skills-needs" TargetMode="External"/><Relationship Id="rId212" Type="http://schemas.openxmlformats.org/officeDocument/2006/relationships/hyperlink" Target="https://www.ilo.org/wcmsp5/groups/public/---ed_norm/---relconf/documents/meetingdocument/wcms_731155.pdf" TargetMode="External"/><Relationship Id="rId233" Type="http://schemas.openxmlformats.org/officeDocument/2006/relationships/hyperlink" Target="https://www.pc.gov.au/research/supporting/literacy-numeracy-labour-outcomes/literacy-numeracy-labour-outcomes.pdf" TargetMode="External"/><Relationship Id="rId28" Type="http://schemas.openxmlformats.org/officeDocument/2006/relationships/hyperlink" Target="https://www.csiro.au/en/research/environmental-impacts/emissions/carbon-sequestration-potential" TargetMode="External"/><Relationship Id="rId49" Type="http://schemas.openxmlformats.org/officeDocument/2006/relationships/hyperlink" Target="https://www.csiro.au/en/maps/Hydrogen-storage-and-distribution" TargetMode="External"/><Relationship Id="rId114" Type="http://schemas.openxmlformats.org/officeDocument/2006/relationships/hyperlink" Target="https://www.iea.org/reports/global-ev-outlook-2023" TargetMode="External"/><Relationship Id="rId60" Type="http://schemas.openxmlformats.org/officeDocument/2006/relationships/hyperlink" Target="https://www.globalaustralia.gov.au/industries/net-zero/critical-minerals/prospectus-2022" TargetMode="External"/><Relationship Id="rId81" Type="http://schemas.openxmlformats.org/officeDocument/2006/relationships/hyperlink" Target="https://www.industry.gov.au/publications/stem-equity-monitor" TargetMode="External"/><Relationship Id="rId135" Type="http://schemas.openxmlformats.org/officeDocument/2006/relationships/hyperlink" Target="https://www.statedevelopment.qld.gov.au/industry/queensland-is-renewable-ready/fortescue-future-industries" TargetMode="External"/><Relationship Id="rId156" Type="http://schemas.openxmlformats.org/officeDocument/2006/relationships/hyperlink" Target="https://www.accesscanberra.act.gov.au/s/article/automatic-mutual-recognition-tab-Interstate-licensees-intending-to-work-in-the-act" TargetMode="External"/><Relationship Id="rId177" Type="http://schemas.openxmlformats.org/officeDocument/2006/relationships/hyperlink" Target="https://humanrights.gov.au/time-for-respect-2022" TargetMode="External"/><Relationship Id="rId198" Type="http://schemas.openxmlformats.org/officeDocument/2006/relationships/hyperlink" Target="https://www.abs.gov.au/statistics/health/disability/disability-ageing-and-carers-australia-summary-findings/latest-release" TargetMode="External"/><Relationship Id="rId202" Type="http://schemas.openxmlformats.org/officeDocument/2006/relationships/hyperlink" Target="https://www.dca.org.au/news-articles/racism-work-call-anti-racist-action-australian-organisations" TargetMode="External"/><Relationship Id="rId223" Type="http://schemas.openxmlformats.org/officeDocument/2006/relationships/hyperlink" Target="https://acilallen.com.au/projects/other/transition-of-the-australian-car-manufacturing-sector" TargetMode="External"/><Relationship Id="rId244" Type="http://schemas.openxmlformats.org/officeDocument/2006/relationships/hyperlink" Target="https://acilallen.com.au/projects/other/transition-of-the-australian-car-manufacturing-sector" TargetMode="External"/><Relationship Id="rId18" Type="http://schemas.openxmlformats.org/officeDocument/2006/relationships/hyperlink" Target="https://www.abs.gov.au/statistics/labour/employment-and-unemployment/employment-renewable-energy-activities-australia/latest-release" TargetMode="External"/><Relationship Id="rId39" Type="http://schemas.openxmlformats.org/officeDocument/2006/relationships/hyperlink" Target="https://www.investment.nsw.gov.au/assets/Industry-sectors/Clean-economy/neoen-australia-case-study.pdf" TargetMode="External"/><Relationship Id="rId50" Type="http://schemas.openxmlformats.org/officeDocument/2006/relationships/hyperlink" Target="https://research.csiro.au/hyresource/hunter-hydrogen-hub/" TargetMode="External"/><Relationship Id="rId104" Type="http://schemas.openxmlformats.org/officeDocument/2006/relationships/hyperlink" Target="https://www.agriculture.gov.au/about/news/snapshot-world-biofuels-dec-22" TargetMode="External"/><Relationship Id="rId125" Type="http://schemas.openxmlformats.org/officeDocument/2006/relationships/hyperlink" Target="https://www.irena.org/Digital-Report/World-Energy-Transitions-Outlook-2022" TargetMode="External"/><Relationship Id="rId146" Type="http://schemas.openxmlformats.org/officeDocument/2006/relationships/hyperlink" Target="https://www.ncver.edu.au/research-and-statistics/publications/all-publications/higher-apprenticeships-what-are-we-talking-about" TargetMode="External"/><Relationship Id="rId167" Type="http://schemas.openxmlformats.org/officeDocument/2006/relationships/hyperlink" Target="https://careertrackers.org.au/about-ct/" TargetMode="External"/><Relationship Id="rId188" Type="http://schemas.openxmlformats.org/officeDocument/2006/relationships/hyperlink" Target="https://www.csrm.uq.edu.au/publications/the-indigenous-exchange-forum-transitions-in-mine-closure" TargetMode="External"/><Relationship Id="rId71" Type="http://schemas.openxmlformats.org/officeDocument/2006/relationships/hyperlink" Target="https://www.leadingedgeenergy.com.au/blog/timeline-for-coal-exit/" TargetMode="External"/><Relationship Id="rId92" Type="http://schemas.openxmlformats.org/officeDocument/2006/relationships/hyperlink" Target="https://web-assets.bcg.com/cf/76/00bdede345b09397d1269119e6f1/bcg-decoding-global-talent-onsite-and-virtual-mar-2021-rr.pdf" TargetMode="External"/><Relationship Id="rId213" Type="http://schemas.openxmlformats.org/officeDocument/2006/relationships/hyperlink" Target="https://www.energy.nsw.gov.au/sites/default/files/2022-11/electricity-infrastructure-jobs-advocates-first-report-to-minister-for-energy-for-publication.pdf" TargetMode="External"/><Relationship Id="rId234" Type="http://schemas.openxmlformats.org/officeDocument/2006/relationships/hyperlink" Target="https://www.voced.edu.au/content/ngv%3A77608" TargetMode="External"/><Relationship Id="rId2" Type="http://schemas.openxmlformats.org/officeDocument/2006/relationships/hyperlink" Target="https://minister.dcceew.gov.au/bowen/transcripts/interview-patricia-karvelas-abc-radio-national-5" TargetMode="External"/><Relationship Id="rId29" Type="http://schemas.openxmlformats.org/officeDocument/2006/relationships/hyperlink" Target="https://www.cleanenergyregulator.gov.au/NGER/National%20greenhouse%20and%20energy%20reporting%20data/a-closer-look-at-emissions-and-energy-data/australia%E2%80%99s-scope-1-emissions-by-industry-for-nger-reporters" TargetMode="External"/><Relationship Id="rId40" Type="http://schemas.openxmlformats.org/officeDocument/2006/relationships/hyperlink" Target="https://griffithsolarfarm.com.au/" TargetMode="External"/><Relationship Id="rId115" Type="http://schemas.openxmlformats.org/officeDocument/2006/relationships/hyperlink" Target="https://www.mckinsey.com/capabilities/operations/our-insights/global-infrastructure-initiative/roundtables/sydney-2022-scaling-ev-infrastructure-to-meet-net-zero-targets" TargetMode="External"/><Relationship Id="rId136" Type="http://schemas.openxmlformats.org/officeDocument/2006/relationships/hyperlink" Target="https://www.energymining.sa.gov.au/home/events-and-initiatives/premiers-awards-energy-and-mining/2021_award_nominees/tindo_solar_-_new_production_facility" TargetMode="External"/><Relationship Id="rId157" Type="http://schemas.openxmlformats.org/officeDocument/2006/relationships/hyperlink" Target="https://assets.cleanenergycouncil.org.au/documents/CEC_Skilling-the-Energy-Transition-2022.pdf" TargetMode="External"/><Relationship Id="rId178" Type="http://schemas.openxmlformats.org/officeDocument/2006/relationships/hyperlink" Target="https://www.abs.gov.au/statistics/people/aboriginal-and-torres-strait-islander-peoples/estimates-aboriginal-and-torres-strait-islander-australians/30-june-2021" TargetMode="External"/><Relationship Id="rId61" Type="http://schemas.openxmlformats.org/officeDocument/2006/relationships/hyperlink" Target="https://www.industry.gov.au/sites/default/files/2023-07/resources-and-energy-quarterly-june-2023.pdf" TargetMode="External"/><Relationship Id="rId82" Type="http://schemas.openxmlformats.org/officeDocument/2006/relationships/hyperlink" Target="https://www.accenture.com/au-en/insights/strategy/youthquake-meets-green-economy" TargetMode="External"/><Relationship Id="rId199" Type="http://schemas.openxmlformats.org/officeDocument/2006/relationships/hyperlink" Target="https://disability.royalcommission.gov.au/" TargetMode="External"/><Relationship Id="rId203" Type="http://schemas.openxmlformats.org/officeDocument/2006/relationships/hyperlink" Target="https://humanrights.gov.au/our-work/race-discrimination/publications/leading-change-blueprint-cultural-diversity-and-0" TargetMode="External"/><Relationship Id="rId19" Type="http://schemas.openxmlformats.org/officeDocument/2006/relationships/hyperlink" Target="https://www.abs.gov.au/statistics/industry/building-and-construction/building-activity-australia/latest-release" TargetMode="External"/><Relationship Id="rId224" Type="http://schemas.openxmlformats.org/officeDocument/2006/relationships/hyperlink" Target="https://www.workforceaustralia.gov.au/individuals/coaching/assistance/retrenched-workers" TargetMode="External"/><Relationship Id="rId245" Type="http://schemas.openxmlformats.org/officeDocument/2006/relationships/hyperlink" Target="https://treasury.gov.au/employment-whitepaper/final-report" TargetMode="External"/><Relationship Id="rId30" Type="http://schemas.openxmlformats.org/officeDocument/2006/relationships/hyperlink" Target="https://www.abs.gov.au/statistics/industry/energy/energy-account-australia/latest-release" TargetMode="External"/><Relationship Id="rId105" Type="http://schemas.openxmlformats.org/officeDocument/2006/relationships/hyperlink" Target="https://training.gov.au/Training/Details/MSM" TargetMode="External"/><Relationship Id="rId126" Type="http://schemas.openxmlformats.org/officeDocument/2006/relationships/hyperlink" Target="https://www.dcceew.gov.au/climate-change/publications/national-inventory-report-2021" TargetMode="External"/><Relationship Id="rId147" Type="http://schemas.openxmlformats.org/officeDocument/2006/relationships/hyperlink" Target="https://www.aemc.gov.au/sites/default/files/documents/regulatory_sandboxes.pdf" TargetMode="External"/><Relationship Id="rId168" Type="http://schemas.openxmlformats.org/officeDocument/2006/relationships/hyperlink" Target="https://ministers.dewr.gov.au/oconnor/gender-imbalance-workforce-contributing-skills-shortages" TargetMode="External"/><Relationship Id="rId51" Type="http://schemas.openxmlformats.org/officeDocument/2006/relationships/hyperlink" Target="https://research.csiro.au/hyresource/central-queensland-hydrogen-project/" TargetMode="External"/><Relationship Id="rId72" Type="http://schemas.openxmlformats.org/officeDocument/2006/relationships/hyperlink" Target="https://www.education.gov.au/australian-universities-accord/resources/accord-interim-report" TargetMode="External"/><Relationship Id="rId93" Type="http://schemas.openxmlformats.org/officeDocument/2006/relationships/hyperlink" Target="https://www.canada.ca/en/immigration-refugees-citizenship/services/immigrate-canada/express-entry/eligibility/skilled-trades.html" TargetMode="External"/><Relationship Id="rId189" Type="http://schemas.openxmlformats.org/officeDocument/2006/relationships/hyperlink" Target="https://www.alrc.gov.au/publication/pathways-to-justice-inquiry-into-the-incarceration-rate-of-aboriginal-and-torres-strait-islander-peoples-alrc-report-133/" TargetMode="External"/><Relationship Id="rId3" Type="http://schemas.openxmlformats.org/officeDocument/2006/relationships/hyperlink" Target="https://www.dcceew.gov.au/climate-change/strategies/annual-climate-change-statement" TargetMode="External"/><Relationship Id="rId214" Type="http://schemas.openxmlformats.org/officeDocument/2006/relationships/hyperlink" Target="https://www.accenture.com/content/dam/accenture/final/a-com-migration/r3-3/pdf/pdf-167/accenture-youthquake-meets-green-economy.pdf" TargetMode="External"/><Relationship Id="rId235" Type="http://schemas.openxmlformats.org/officeDocument/2006/relationships/hyperlink" Target="https://www.ncver.edu.au/research-and-statistics/publications/all-publications/the-end-of-car-manufacturing-in-australia-what-is-the-role-of-training" TargetMode="External"/><Relationship Id="rId116" Type="http://schemas.openxmlformats.org/officeDocument/2006/relationships/hyperlink" Target="https://training.gov.au/Training/Details/AUR" TargetMode="External"/><Relationship Id="rId137" Type="http://schemas.openxmlformats.org/officeDocument/2006/relationships/hyperlink" Target="https://www.dcceew.gov.au/climate-change/publications/national-greenhouse-gas-inventory-quarterly-updates" TargetMode="External"/><Relationship Id="rId158" Type="http://schemas.openxmlformats.org/officeDocument/2006/relationships/hyperlink" Target="https://www.ncver.edu.au/research-and-statistics/publications/all-publications/completion-rates-for-group-training-organisations-and-direct-employers-how-do-they-compare" TargetMode="External"/><Relationship Id="rId20" Type="http://schemas.openxmlformats.org/officeDocument/2006/relationships/hyperlink" Target="https://www.fcai.com.au/news/index/view/news/801" TargetMode="External"/><Relationship Id="rId41" Type="http://schemas.openxmlformats.org/officeDocument/2006/relationships/hyperlink" Target="https://numurkahsolarfarm.com.au/" TargetMode="External"/><Relationship Id="rId62" Type="http://schemas.openxmlformats.org/officeDocument/2006/relationships/hyperlink" Target="https://www.industry.gov.au/sites/default/files/2023-07/resources-and-energy-quarterly-june-2023.pdf" TargetMode="External"/><Relationship Id="rId83" Type="http://schemas.openxmlformats.org/officeDocument/2006/relationships/hyperlink" Target="https://www.industry.gov.au/publications/stem-equity-monitor" TargetMode="External"/><Relationship Id="rId179" Type="http://schemas.openxmlformats.org/officeDocument/2006/relationships/hyperlink" Target="https://www.indigenoushpf.gov.au/Measures/2-07-Employment" TargetMode="External"/><Relationship Id="rId190" Type="http://schemas.openxmlformats.org/officeDocument/2006/relationships/hyperlink" Target="https://humanrights.gov.au/our-work/rights-and-freedoms/projects/discrimination-employment-basis-criminal-record" TargetMode="External"/><Relationship Id="rId204" Type="http://schemas.openxmlformats.org/officeDocument/2006/relationships/hyperlink" Target="https://www.cleanenergycouncil.org.au/resources/resources-hub/empowering-everyone-diversity-in-the-australian-clean-energy-sector" TargetMode="External"/><Relationship Id="rId225" Type="http://schemas.openxmlformats.org/officeDocument/2006/relationships/hyperlink" Target="https://www.wa.gov.au/organisation/department-of-the-premier-and-cabinet/collie-transition-package" TargetMode="External"/><Relationship Id="rId106" Type="http://schemas.openxmlformats.org/officeDocument/2006/relationships/hyperlink" Target="https://arena.gov.au/knowledge-bank/australias-bioenergy-roadmap-report/" TargetMode="External"/><Relationship Id="rId127" Type="http://schemas.openxmlformats.org/officeDocument/2006/relationships/hyperlink" Target="https://cement.org.au/wp-content/uploads/2021/10/Decarbonisation_Pathways_Australian_Cement_and_Concrete_Sector.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JSA 100">
      <a:dk1>
        <a:srgbClr val="000000"/>
      </a:dk1>
      <a:lt1>
        <a:srgbClr val="FFFFFF"/>
      </a:lt1>
      <a:dk2>
        <a:srgbClr val="441170"/>
      </a:dk2>
      <a:lt2>
        <a:srgbClr val="D2DE5A"/>
      </a:lt2>
      <a:accent1>
        <a:srgbClr val="6929C4"/>
      </a:accent1>
      <a:accent2>
        <a:srgbClr val="005D5D"/>
      </a:accent2>
      <a:accent3>
        <a:srgbClr val="1192E8"/>
      </a:accent3>
      <a:accent4>
        <a:srgbClr val="9F1853"/>
      </a:accent4>
      <a:accent5>
        <a:srgbClr val="FA4D56"/>
      </a:accent5>
      <a:accent6>
        <a:srgbClr val="570408"/>
      </a:accent6>
      <a:hlink>
        <a:srgbClr val="215E9E"/>
      </a:hlink>
      <a:folHlink>
        <a:srgbClr val="00B4F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F5E02-D8F2-48C9-BC49-6E05594CA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113</Pages>
  <Words>79064</Words>
  <Characters>450666</Characters>
  <Application>Microsoft Office Word</Application>
  <DocSecurity>0</DocSecurity>
  <Lines>3755</Lines>
  <Paragraphs>1057</Paragraphs>
  <ScaleCrop>false</ScaleCrop>
  <Company/>
  <LinksUpToDate>false</LinksUpToDate>
  <CharactersWithSpaces>528673</CharactersWithSpaces>
  <SharedDoc>false</SharedDoc>
  <HLinks>
    <vt:vector size="1836" baseType="variant">
      <vt:variant>
        <vt:i4>6225925</vt:i4>
      </vt:variant>
      <vt:variant>
        <vt:i4>321</vt:i4>
      </vt:variant>
      <vt:variant>
        <vt:i4>0</vt:i4>
      </vt:variant>
      <vt:variant>
        <vt:i4>5</vt:i4>
      </vt:variant>
      <vt:variant>
        <vt:lpwstr>https://www.dcceew.gov.au/environment/protection/waste/publications/national-waste-policy-action-plan</vt:lpwstr>
      </vt:variant>
      <vt:variant>
        <vt:lpwstr/>
      </vt:variant>
      <vt:variant>
        <vt:i4>3932261</vt:i4>
      </vt:variant>
      <vt:variant>
        <vt:i4>318</vt:i4>
      </vt:variant>
      <vt:variant>
        <vt:i4>0</vt:i4>
      </vt:variant>
      <vt:variant>
        <vt:i4>5</vt:i4>
      </vt:variant>
      <vt:variant>
        <vt:lpwstr>https://ocean.economist.com/innovation/articles/cleaner-ports-healthier-communities</vt:lpwstr>
      </vt:variant>
      <vt:variant>
        <vt:lpwstr/>
      </vt:variant>
      <vt:variant>
        <vt:i4>720896</vt:i4>
      </vt:variant>
      <vt:variant>
        <vt:i4>315</vt:i4>
      </vt:variant>
      <vt:variant>
        <vt:i4>0</vt:i4>
      </vt:variant>
      <vt:variant>
        <vt:i4>5</vt:i4>
      </vt:variant>
      <vt:variant>
        <vt:lpwstr>https://www.canada.ca/en/immigration-refugees-citizenship/services/immigrate-canada/express-entry/eligibility/find-national-occupation-code.html</vt:lpwstr>
      </vt:variant>
      <vt:variant>
        <vt:lpwstr/>
      </vt:variant>
      <vt:variant>
        <vt:i4>3276847</vt:i4>
      </vt:variant>
      <vt:variant>
        <vt:i4>312</vt:i4>
      </vt:variant>
      <vt:variant>
        <vt:i4>0</vt:i4>
      </vt:variant>
      <vt:variant>
        <vt:i4>5</vt:i4>
      </vt:variant>
      <vt:variant>
        <vt:lpwstr>https://iea.blob.core.windows.net/assets/a0432c97-14af-4fc7-b3bf-c409fb7e4ab8/WorldEnergyEmployment.pdf</vt:lpwstr>
      </vt:variant>
      <vt:variant>
        <vt:lpwstr/>
      </vt:variant>
      <vt:variant>
        <vt:i4>8192032</vt:i4>
      </vt:variant>
      <vt:variant>
        <vt:i4>309</vt:i4>
      </vt:variant>
      <vt:variant>
        <vt:i4>0</vt:i4>
      </vt:variant>
      <vt:variant>
        <vt:i4>5</vt:i4>
      </vt:variant>
      <vt:variant>
        <vt:lpwstr>https://www.iberdrola.com.au/our-assets/asset-map/</vt:lpwstr>
      </vt:variant>
      <vt:variant>
        <vt:lpwstr/>
      </vt:variant>
      <vt:variant>
        <vt:i4>917572</vt:i4>
      </vt:variant>
      <vt:variant>
        <vt:i4>306</vt:i4>
      </vt:variant>
      <vt:variant>
        <vt:i4>0</vt:i4>
      </vt:variant>
      <vt:variant>
        <vt:i4>5</vt:i4>
      </vt:variant>
      <vt:variant>
        <vt:lpwstr>https://www.abs.gov.au/statistics/detailed-methodology-information/concepts-sources-methods/labour-statistics-concepts-sources-and-methods/2021/concepts-and-sources/employment-arrangements</vt:lpwstr>
      </vt:variant>
      <vt:variant>
        <vt:lpwstr/>
      </vt:variant>
      <vt:variant>
        <vt:i4>3932221</vt:i4>
      </vt:variant>
      <vt:variant>
        <vt:i4>303</vt:i4>
      </vt:variant>
      <vt:variant>
        <vt:i4>0</vt:i4>
      </vt:variant>
      <vt:variant>
        <vt:i4>5</vt:i4>
      </vt:variant>
      <vt:variant>
        <vt:lpwstr>https://www.jobsandskills.gov.au/sites/default/files/2023-04/Clean Energy Capacity Study - Discussion Paper.pdf</vt:lpwstr>
      </vt:variant>
      <vt:variant>
        <vt:lpwstr/>
      </vt:variant>
      <vt:variant>
        <vt:i4>3145855</vt:i4>
      </vt:variant>
      <vt:variant>
        <vt:i4>300</vt:i4>
      </vt:variant>
      <vt:variant>
        <vt:i4>0</vt:i4>
      </vt:variant>
      <vt:variant>
        <vt:i4>5</vt:i4>
      </vt:variant>
      <vt:variant>
        <vt:lpwstr>https://www.jobsandskills.gov.au/consultations/work-plan-development-process-consultation-paper</vt:lpwstr>
      </vt:variant>
      <vt:variant>
        <vt:lpwstr/>
      </vt:variant>
      <vt:variant>
        <vt:i4>86</vt:i4>
      </vt:variant>
      <vt:variant>
        <vt:i4>297</vt:i4>
      </vt:variant>
      <vt:variant>
        <vt:i4>0</vt:i4>
      </vt:variant>
      <vt:variant>
        <vt:i4>5</vt:i4>
      </vt:variant>
      <vt:variant>
        <vt:lpwstr>https://www.jobsandskills.gov.au/work/clean-energy-capacity-study</vt:lpwstr>
      </vt:variant>
      <vt:variant>
        <vt:lpwstr/>
      </vt:variant>
      <vt:variant>
        <vt:i4>1638457</vt:i4>
      </vt:variant>
      <vt:variant>
        <vt:i4>290</vt:i4>
      </vt:variant>
      <vt:variant>
        <vt:i4>0</vt:i4>
      </vt:variant>
      <vt:variant>
        <vt:i4>5</vt:i4>
      </vt:variant>
      <vt:variant>
        <vt:lpwstr/>
      </vt:variant>
      <vt:variant>
        <vt:lpwstr>_Toc146892705</vt:lpwstr>
      </vt:variant>
      <vt:variant>
        <vt:i4>1638457</vt:i4>
      </vt:variant>
      <vt:variant>
        <vt:i4>284</vt:i4>
      </vt:variant>
      <vt:variant>
        <vt:i4>0</vt:i4>
      </vt:variant>
      <vt:variant>
        <vt:i4>5</vt:i4>
      </vt:variant>
      <vt:variant>
        <vt:lpwstr/>
      </vt:variant>
      <vt:variant>
        <vt:lpwstr>_Toc146892704</vt:lpwstr>
      </vt:variant>
      <vt:variant>
        <vt:i4>1638457</vt:i4>
      </vt:variant>
      <vt:variant>
        <vt:i4>278</vt:i4>
      </vt:variant>
      <vt:variant>
        <vt:i4>0</vt:i4>
      </vt:variant>
      <vt:variant>
        <vt:i4>5</vt:i4>
      </vt:variant>
      <vt:variant>
        <vt:lpwstr/>
      </vt:variant>
      <vt:variant>
        <vt:lpwstr>_Toc146892703</vt:lpwstr>
      </vt:variant>
      <vt:variant>
        <vt:i4>1638457</vt:i4>
      </vt:variant>
      <vt:variant>
        <vt:i4>272</vt:i4>
      </vt:variant>
      <vt:variant>
        <vt:i4>0</vt:i4>
      </vt:variant>
      <vt:variant>
        <vt:i4>5</vt:i4>
      </vt:variant>
      <vt:variant>
        <vt:lpwstr/>
      </vt:variant>
      <vt:variant>
        <vt:lpwstr>_Toc146892702</vt:lpwstr>
      </vt:variant>
      <vt:variant>
        <vt:i4>1638457</vt:i4>
      </vt:variant>
      <vt:variant>
        <vt:i4>266</vt:i4>
      </vt:variant>
      <vt:variant>
        <vt:i4>0</vt:i4>
      </vt:variant>
      <vt:variant>
        <vt:i4>5</vt:i4>
      </vt:variant>
      <vt:variant>
        <vt:lpwstr/>
      </vt:variant>
      <vt:variant>
        <vt:lpwstr>_Toc146892701</vt:lpwstr>
      </vt:variant>
      <vt:variant>
        <vt:i4>1638457</vt:i4>
      </vt:variant>
      <vt:variant>
        <vt:i4>260</vt:i4>
      </vt:variant>
      <vt:variant>
        <vt:i4>0</vt:i4>
      </vt:variant>
      <vt:variant>
        <vt:i4>5</vt:i4>
      </vt:variant>
      <vt:variant>
        <vt:lpwstr/>
      </vt:variant>
      <vt:variant>
        <vt:lpwstr>_Toc146892700</vt:lpwstr>
      </vt:variant>
      <vt:variant>
        <vt:i4>1048632</vt:i4>
      </vt:variant>
      <vt:variant>
        <vt:i4>254</vt:i4>
      </vt:variant>
      <vt:variant>
        <vt:i4>0</vt:i4>
      </vt:variant>
      <vt:variant>
        <vt:i4>5</vt:i4>
      </vt:variant>
      <vt:variant>
        <vt:lpwstr/>
      </vt:variant>
      <vt:variant>
        <vt:lpwstr>_Toc146892699</vt:lpwstr>
      </vt:variant>
      <vt:variant>
        <vt:i4>1048632</vt:i4>
      </vt:variant>
      <vt:variant>
        <vt:i4>248</vt:i4>
      </vt:variant>
      <vt:variant>
        <vt:i4>0</vt:i4>
      </vt:variant>
      <vt:variant>
        <vt:i4>5</vt:i4>
      </vt:variant>
      <vt:variant>
        <vt:lpwstr/>
      </vt:variant>
      <vt:variant>
        <vt:lpwstr>_Toc146892698</vt:lpwstr>
      </vt:variant>
      <vt:variant>
        <vt:i4>1048632</vt:i4>
      </vt:variant>
      <vt:variant>
        <vt:i4>242</vt:i4>
      </vt:variant>
      <vt:variant>
        <vt:i4>0</vt:i4>
      </vt:variant>
      <vt:variant>
        <vt:i4>5</vt:i4>
      </vt:variant>
      <vt:variant>
        <vt:lpwstr/>
      </vt:variant>
      <vt:variant>
        <vt:lpwstr>_Toc146892697</vt:lpwstr>
      </vt:variant>
      <vt:variant>
        <vt:i4>1048632</vt:i4>
      </vt:variant>
      <vt:variant>
        <vt:i4>236</vt:i4>
      </vt:variant>
      <vt:variant>
        <vt:i4>0</vt:i4>
      </vt:variant>
      <vt:variant>
        <vt:i4>5</vt:i4>
      </vt:variant>
      <vt:variant>
        <vt:lpwstr/>
      </vt:variant>
      <vt:variant>
        <vt:lpwstr>_Toc146892696</vt:lpwstr>
      </vt:variant>
      <vt:variant>
        <vt:i4>1048632</vt:i4>
      </vt:variant>
      <vt:variant>
        <vt:i4>230</vt:i4>
      </vt:variant>
      <vt:variant>
        <vt:i4>0</vt:i4>
      </vt:variant>
      <vt:variant>
        <vt:i4>5</vt:i4>
      </vt:variant>
      <vt:variant>
        <vt:lpwstr/>
      </vt:variant>
      <vt:variant>
        <vt:lpwstr>_Toc146892695</vt:lpwstr>
      </vt:variant>
      <vt:variant>
        <vt:i4>1048632</vt:i4>
      </vt:variant>
      <vt:variant>
        <vt:i4>224</vt:i4>
      </vt:variant>
      <vt:variant>
        <vt:i4>0</vt:i4>
      </vt:variant>
      <vt:variant>
        <vt:i4>5</vt:i4>
      </vt:variant>
      <vt:variant>
        <vt:lpwstr/>
      </vt:variant>
      <vt:variant>
        <vt:lpwstr>_Toc146892694</vt:lpwstr>
      </vt:variant>
      <vt:variant>
        <vt:i4>1048632</vt:i4>
      </vt:variant>
      <vt:variant>
        <vt:i4>218</vt:i4>
      </vt:variant>
      <vt:variant>
        <vt:i4>0</vt:i4>
      </vt:variant>
      <vt:variant>
        <vt:i4>5</vt:i4>
      </vt:variant>
      <vt:variant>
        <vt:lpwstr/>
      </vt:variant>
      <vt:variant>
        <vt:lpwstr>_Toc146892693</vt:lpwstr>
      </vt:variant>
      <vt:variant>
        <vt:i4>1048632</vt:i4>
      </vt:variant>
      <vt:variant>
        <vt:i4>212</vt:i4>
      </vt:variant>
      <vt:variant>
        <vt:i4>0</vt:i4>
      </vt:variant>
      <vt:variant>
        <vt:i4>5</vt:i4>
      </vt:variant>
      <vt:variant>
        <vt:lpwstr/>
      </vt:variant>
      <vt:variant>
        <vt:lpwstr>_Toc146892692</vt:lpwstr>
      </vt:variant>
      <vt:variant>
        <vt:i4>1048632</vt:i4>
      </vt:variant>
      <vt:variant>
        <vt:i4>206</vt:i4>
      </vt:variant>
      <vt:variant>
        <vt:i4>0</vt:i4>
      </vt:variant>
      <vt:variant>
        <vt:i4>5</vt:i4>
      </vt:variant>
      <vt:variant>
        <vt:lpwstr/>
      </vt:variant>
      <vt:variant>
        <vt:lpwstr>_Toc146892691</vt:lpwstr>
      </vt:variant>
      <vt:variant>
        <vt:i4>1048632</vt:i4>
      </vt:variant>
      <vt:variant>
        <vt:i4>200</vt:i4>
      </vt:variant>
      <vt:variant>
        <vt:i4>0</vt:i4>
      </vt:variant>
      <vt:variant>
        <vt:i4>5</vt:i4>
      </vt:variant>
      <vt:variant>
        <vt:lpwstr/>
      </vt:variant>
      <vt:variant>
        <vt:lpwstr>_Toc146892690</vt:lpwstr>
      </vt:variant>
      <vt:variant>
        <vt:i4>1114168</vt:i4>
      </vt:variant>
      <vt:variant>
        <vt:i4>194</vt:i4>
      </vt:variant>
      <vt:variant>
        <vt:i4>0</vt:i4>
      </vt:variant>
      <vt:variant>
        <vt:i4>5</vt:i4>
      </vt:variant>
      <vt:variant>
        <vt:lpwstr/>
      </vt:variant>
      <vt:variant>
        <vt:lpwstr>_Toc146892689</vt:lpwstr>
      </vt:variant>
      <vt:variant>
        <vt:i4>1114168</vt:i4>
      </vt:variant>
      <vt:variant>
        <vt:i4>188</vt:i4>
      </vt:variant>
      <vt:variant>
        <vt:i4>0</vt:i4>
      </vt:variant>
      <vt:variant>
        <vt:i4>5</vt:i4>
      </vt:variant>
      <vt:variant>
        <vt:lpwstr/>
      </vt:variant>
      <vt:variant>
        <vt:lpwstr>_Toc146892688</vt:lpwstr>
      </vt:variant>
      <vt:variant>
        <vt:i4>1114168</vt:i4>
      </vt:variant>
      <vt:variant>
        <vt:i4>182</vt:i4>
      </vt:variant>
      <vt:variant>
        <vt:i4>0</vt:i4>
      </vt:variant>
      <vt:variant>
        <vt:i4>5</vt:i4>
      </vt:variant>
      <vt:variant>
        <vt:lpwstr/>
      </vt:variant>
      <vt:variant>
        <vt:lpwstr>_Toc146892687</vt:lpwstr>
      </vt:variant>
      <vt:variant>
        <vt:i4>1114168</vt:i4>
      </vt:variant>
      <vt:variant>
        <vt:i4>176</vt:i4>
      </vt:variant>
      <vt:variant>
        <vt:i4>0</vt:i4>
      </vt:variant>
      <vt:variant>
        <vt:i4>5</vt:i4>
      </vt:variant>
      <vt:variant>
        <vt:lpwstr/>
      </vt:variant>
      <vt:variant>
        <vt:lpwstr>_Toc146892685</vt:lpwstr>
      </vt:variant>
      <vt:variant>
        <vt:i4>1114168</vt:i4>
      </vt:variant>
      <vt:variant>
        <vt:i4>170</vt:i4>
      </vt:variant>
      <vt:variant>
        <vt:i4>0</vt:i4>
      </vt:variant>
      <vt:variant>
        <vt:i4>5</vt:i4>
      </vt:variant>
      <vt:variant>
        <vt:lpwstr/>
      </vt:variant>
      <vt:variant>
        <vt:lpwstr>_Toc146892684</vt:lpwstr>
      </vt:variant>
      <vt:variant>
        <vt:i4>1114168</vt:i4>
      </vt:variant>
      <vt:variant>
        <vt:i4>164</vt:i4>
      </vt:variant>
      <vt:variant>
        <vt:i4>0</vt:i4>
      </vt:variant>
      <vt:variant>
        <vt:i4>5</vt:i4>
      </vt:variant>
      <vt:variant>
        <vt:lpwstr/>
      </vt:variant>
      <vt:variant>
        <vt:lpwstr>_Toc146892683</vt:lpwstr>
      </vt:variant>
      <vt:variant>
        <vt:i4>1114168</vt:i4>
      </vt:variant>
      <vt:variant>
        <vt:i4>158</vt:i4>
      </vt:variant>
      <vt:variant>
        <vt:i4>0</vt:i4>
      </vt:variant>
      <vt:variant>
        <vt:i4>5</vt:i4>
      </vt:variant>
      <vt:variant>
        <vt:lpwstr/>
      </vt:variant>
      <vt:variant>
        <vt:lpwstr>_Toc146892682</vt:lpwstr>
      </vt:variant>
      <vt:variant>
        <vt:i4>1114168</vt:i4>
      </vt:variant>
      <vt:variant>
        <vt:i4>152</vt:i4>
      </vt:variant>
      <vt:variant>
        <vt:i4>0</vt:i4>
      </vt:variant>
      <vt:variant>
        <vt:i4>5</vt:i4>
      </vt:variant>
      <vt:variant>
        <vt:lpwstr/>
      </vt:variant>
      <vt:variant>
        <vt:lpwstr>_Toc146892681</vt:lpwstr>
      </vt:variant>
      <vt:variant>
        <vt:i4>1114168</vt:i4>
      </vt:variant>
      <vt:variant>
        <vt:i4>146</vt:i4>
      </vt:variant>
      <vt:variant>
        <vt:i4>0</vt:i4>
      </vt:variant>
      <vt:variant>
        <vt:i4>5</vt:i4>
      </vt:variant>
      <vt:variant>
        <vt:lpwstr/>
      </vt:variant>
      <vt:variant>
        <vt:lpwstr>_Toc146892680</vt:lpwstr>
      </vt:variant>
      <vt:variant>
        <vt:i4>1966136</vt:i4>
      </vt:variant>
      <vt:variant>
        <vt:i4>140</vt:i4>
      </vt:variant>
      <vt:variant>
        <vt:i4>0</vt:i4>
      </vt:variant>
      <vt:variant>
        <vt:i4>5</vt:i4>
      </vt:variant>
      <vt:variant>
        <vt:lpwstr/>
      </vt:variant>
      <vt:variant>
        <vt:lpwstr>_Toc146892679</vt:lpwstr>
      </vt:variant>
      <vt:variant>
        <vt:i4>1966136</vt:i4>
      </vt:variant>
      <vt:variant>
        <vt:i4>134</vt:i4>
      </vt:variant>
      <vt:variant>
        <vt:i4>0</vt:i4>
      </vt:variant>
      <vt:variant>
        <vt:i4>5</vt:i4>
      </vt:variant>
      <vt:variant>
        <vt:lpwstr/>
      </vt:variant>
      <vt:variant>
        <vt:lpwstr>_Toc146892678</vt:lpwstr>
      </vt:variant>
      <vt:variant>
        <vt:i4>1966136</vt:i4>
      </vt:variant>
      <vt:variant>
        <vt:i4>128</vt:i4>
      </vt:variant>
      <vt:variant>
        <vt:i4>0</vt:i4>
      </vt:variant>
      <vt:variant>
        <vt:i4>5</vt:i4>
      </vt:variant>
      <vt:variant>
        <vt:lpwstr/>
      </vt:variant>
      <vt:variant>
        <vt:lpwstr>_Toc146892677</vt:lpwstr>
      </vt:variant>
      <vt:variant>
        <vt:i4>1966136</vt:i4>
      </vt:variant>
      <vt:variant>
        <vt:i4>122</vt:i4>
      </vt:variant>
      <vt:variant>
        <vt:i4>0</vt:i4>
      </vt:variant>
      <vt:variant>
        <vt:i4>5</vt:i4>
      </vt:variant>
      <vt:variant>
        <vt:lpwstr/>
      </vt:variant>
      <vt:variant>
        <vt:lpwstr>_Toc146892676</vt:lpwstr>
      </vt:variant>
      <vt:variant>
        <vt:i4>1966136</vt:i4>
      </vt:variant>
      <vt:variant>
        <vt:i4>116</vt:i4>
      </vt:variant>
      <vt:variant>
        <vt:i4>0</vt:i4>
      </vt:variant>
      <vt:variant>
        <vt:i4>5</vt:i4>
      </vt:variant>
      <vt:variant>
        <vt:lpwstr/>
      </vt:variant>
      <vt:variant>
        <vt:lpwstr>_Toc146892675</vt:lpwstr>
      </vt:variant>
      <vt:variant>
        <vt:i4>1966136</vt:i4>
      </vt:variant>
      <vt:variant>
        <vt:i4>110</vt:i4>
      </vt:variant>
      <vt:variant>
        <vt:i4>0</vt:i4>
      </vt:variant>
      <vt:variant>
        <vt:i4>5</vt:i4>
      </vt:variant>
      <vt:variant>
        <vt:lpwstr/>
      </vt:variant>
      <vt:variant>
        <vt:lpwstr>_Toc146892674</vt:lpwstr>
      </vt:variant>
      <vt:variant>
        <vt:i4>1966136</vt:i4>
      </vt:variant>
      <vt:variant>
        <vt:i4>104</vt:i4>
      </vt:variant>
      <vt:variant>
        <vt:i4>0</vt:i4>
      </vt:variant>
      <vt:variant>
        <vt:i4>5</vt:i4>
      </vt:variant>
      <vt:variant>
        <vt:lpwstr/>
      </vt:variant>
      <vt:variant>
        <vt:lpwstr>_Toc146892673</vt:lpwstr>
      </vt:variant>
      <vt:variant>
        <vt:i4>1966136</vt:i4>
      </vt:variant>
      <vt:variant>
        <vt:i4>98</vt:i4>
      </vt:variant>
      <vt:variant>
        <vt:i4>0</vt:i4>
      </vt:variant>
      <vt:variant>
        <vt:i4>5</vt:i4>
      </vt:variant>
      <vt:variant>
        <vt:lpwstr/>
      </vt:variant>
      <vt:variant>
        <vt:lpwstr>_Toc146892672</vt:lpwstr>
      </vt:variant>
      <vt:variant>
        <vt:i4>1966136</vt:i4>
      </vt:variant>
      <vt:variant>
        <vt:i4>92</vt:i4>
      </vt:variant>
      <vt:variant>
        <vt:i4>0</vt:i4>
      </vt:variant>
      <vt:variant>
        <vt:i4>5</vt:i4>
      </vt:variant>
      <vt:variant>
        <vt:lpwstr/>
      </vt:variant>
      <vt:variant>
        <vt:lpwstr>_Toc146892671</vt:lpwstr>
      </vt:variant>
      <vt:variant>
        <vt:i4>1966136</vt:i4>
      </vt:variant>
      <vt:variant>
        <vt:i4>86</vt:i4>
      </vt:variant>
      <vt:variant>
        <vt:i4>0</vt:i4>
      </vt:variant>
      <vt:variant>
        <vt:i4>5</vt:i4>
      </vt:variant>
      <vt:variant>
        <vt:lpwstr/>
      </vt:variant>
      <vt:variant>
        <vt:lpwstr>_Toc146892670</vt:lpwstr>
      </vt:variant>
      <vt:variant>
        <vt:i4>2031672</vt:i4>
      </vt:variant>
      <vt:variant>
        <vt:i4>80</vt:i4>
      </vt:variant>
      <vt:variant>
        <vt:i4>0</vt:i4>
      </vt:variant>
      <vt:variant>
        <vt:i4>5</vt:i4>
      </vt:variant>
      <vt:variant>
        <vt:lpwstr/>
      </vt:variant>
      <vt:variant>
        <vt:lpwstr>_Toc146892669</vt:lpwstr>
      </vt:variant>
      <vt:variant>
        <vt:i4>2031672</vt:i4>
      </vt:variant>
      <vt:variant>
        <vt:i4>74</vt:i4>
      </vt:variant>
      <vt:variant>
        <vt:i4>0</vt:i4>
      </vt:variant>
      <vt:variant>
        <vt:i4>5</vt:i4>
      </vt:variant>
      <vt:variant>
        <vt:lpwstr/>
      </vt:variant>
      <vt:variant>
        <vt:lpwstr>_Toc146892668</vt:lpwstr>
      </vt:variant>
      <vt:variant>
        <vt:i4>2031672</vt:i4>
      </vt:variant>
      <vt:variant>
        <vt:i4>68</vt:i4>
      </vt:variant>
      <vt:variant>
        <vt:i4>0</vt:i4>
      </vt:variant>
      <vt:variant>
        <vt:i4>5</vt:i4>
      </vt:variant>
      <vt:variant>
        <vt:lpwstr/>
      </vt:variant>
      <vt:variant>
        <vt:lpwstr>_Toc146892667</vt:lpwstr>
      </vt:variant>
      <vt:variant>
        <vt:i4>2031672</vt:i4>
      </vt:variant>
      <vt:variant>
        <vt:i4>62</vt:i4>
      </vt:variant>
      <vt:variant>
        <vt:i4>0</vt:i4>
      </vt:variant>
      <vt:variant>
        <vt:i4>5</vt:i4>
      </vt:variant>
      <vt:variant>
        <vt:lpwstr/>
      </vt:variant>
      <vt:variant>
        <vt:lpwstr>_Toc146892666</vt:lpwstr>
      </vt:variant>
      <vt:variant>
        <vt:i4>2031672</vt:i4>
      </vt:variant>
      <vt:variant>
        <vt:i4>56</vt:i4>
      </vt:variant>
      <vt:variant>
        <vt:i4>0</vt:i4>
      </vt:variant>
      <vt:variant>
        <vt:i4>5</vt:i4>
      </vt:variant>
      <vt:variant>
        <vt:lpwstr/>
      </vt:variant>
      <vt:variant>
        <vt:lpwstr>_Toc146892665</vt:lpwstr>
      </vt:variant>
      <vt:variant>
        <vt:i4>2031672</vt:i4>
      </vt:variant>
      <vt:variant>
        <vt:i4>50</vt:i4>
      </vt:variant>
      <vt:variant>
        <vt:i4>0</vt:i4>
      </vt:variant>
      <vt:variant>
        <vt:i4>5</vt:i4>
      </vt:variant>
      <vt:variant>
        <vt:lpwstr/>
      </vt:variant>
      <vt:variant>
        <vt:lpwstr>_Toc146892664</vt:lpwstr>
      </vt:variant>
      <vt:variant>
        <vt:i4>2031672</vt:i4>
      </vt:variant>
      <vt:variant>
        <vt:i4>44</vt:i4>
      </vt:variant>
      <vt:variant>
        <vt:i4>0</vt:i4>
      </vt:variant>
      <vt:variant>
        <vt:i4>5</vt:i4>
      </vt:variant>
      <vt:variant>
        <vt:lpwstr/>
      </vt:variant>
      <vt:variant>
        <vt:lpwstr>_Toc146892663</vt:lpwstr>
      </vt:variant>
      <vt:variant>
        <vt:i4>2031672</vt:i4>
      </vt:variant>
      <vt:variant>
        <vt:i4>38</vt:i4>
      </vt:variant>
      <vt:variant>
        <vt:i4>0</vt:i4>
      </vt:variant>
      <vt:variant>
        <vt:i4>5</vt:i4>
      </vt:variant>
      <vt:variant>
        <vt:lpwstr/>
      </vt:variant>
      <vt:variant>
        <vt:lpwstr>_Toc146892662</vt:lpwstr>
      </vt:variant>
      <vt:variant>
        <vt:i4>2031672</vt:i4>
      </vt:variant>
      <vt:variant>
        <vt:i4>32</vt:i4>
      </vt:variant>
      <vt:variant>
        <vt:i4>0</vt:i4>
      </vt:variant>
      <vt:variant>
        <vt:i4>5</vt:i4>
      </vt:variant>
      <vt:variant>
        <vt:lpwstr/>
      </vt:variant>
      <vt:variant>
        <vt:lpwstr>_Toc146892661</vt:lpwstr>
      </vt:variant>
      <vt:variant>
        <vt:i4>2031672</vt:i4>
      </vt:variant>
      <vt:variant>
        <vt:i4>26</vt:i4>
      </vt:variant>
      <vt:variant>
        <vt:i4>0</vt:i4>
      </vt:variant>
      <vt:variant>
        <vt:i4>5</vt:i4>
      </vt:variant>
      <vt:variant>
        <vt:lpwstr/>
      </vt:variant>
      <vt:variant>
        <vt:lpwstr>_Toc146892660</vt:lpwstr>
      </vt:variant>
      <vt:variant>
        <vt:i4>1835064</vt:i4>
      </vt:variant>
      <vt:variant>
        <vt:i4>20</vt:i4>
      </vt:variant>
      <vt:variant>
        <vt:i4>0</vt:i4>
      </vt:variant>
      <vt:variant>
        <vt:i4>5</vt:i4>
      </vt:variant>
      <vt:variant>
        <vt:lpwstr/>
      </vt:variant>
      <vt:variant>
        <vt:lpwstr>_Toc146892659</vt:lpwstr>
      </vt:variant>
      <vt:variant>
        <vt:i4>1835064</vt:i4>
      </vt:variant>
      <vt:variant>
        <vt:i4>14</vt:i4>
      </vt:variant>
      <vt:variant>
        <vt:i4>0</vt:i4>
      </vt:variant>
      <vt:variant>
        <vt:i4>5</vt:i4>
      </vt:variant>
      <vt:variant>
        <vt:lpwstr/>
      </vt:variant>
      <vt:variant>
        <vt:lpwstr>_Toc146892658</vt:lpwstr>
      </vt:variant>
      <vt:variant>
        <vt:i4>1835064</vt:i4>
      </vt:variant>
      <vt:variant>
        <vt:i4>8</vt:i4>
      </vt:variant>
      <vt:variant>
        <vt:i4>0</vt:i4>
      </vt:variant>
      <vt:variant>
        <vt:i4>5</vt:i4>
      </vt:variant>
      <vt:variant>
        <vt:lpwstr/>
      </vt:variant>
      <vt:variant>
        <vt:lpwstr>_Toc146892657</vt:lpwstr>
      </vt:variant>
      <vt:variant>
        <vt:i4>1835064</vt:i4>
      </vt:variant>
      <vt:variant>
        <vt:i4>2</vt:i4>
      </vt:variant>
      <vt:variant>
        <vt:i4>0</vt:i4>
      </vt:variant>
      <vt:variant>
        <vt:i4>5</vt:i4>
      </vt:variant>
      <vt:variant>
        <vt:lpwstr/>
      </vt:variant>
      <vt:variant>
        <vt:lpwstr>_Toc146892656</vt:lpwstr>
      </vt:variant>
      <vt:variant>
        <vt:i4>3342436</vt:i4>
      </vt:variant>
      <vt:variant>
        <vt:i4>741</vt:i4>
      </vt:variant>
      <vt:variant>
        <vt:i4>0</vt:i4>
      </vt:variant>
      <vt:variant>
        <vt:i4>5</vt:i4>
      </vt:variant>
      <vt:variant>
        <vt:lpwstr>https://treasury.gov.au/employment-whitepaper/final-report</vt:lpwstr>
      </vt:variant>
      <vt:variant>
        <vt:lpwstr/>
      </vt:variant>
      <vt:variant>
        <vt:i4>1245212</vt:i4>
      </vt:variant>
      <vt:variant>
        <vt:i4>738</vt:i4>
      </vt:variant>
      <vt:variant>
        <vt:i4>0</vt:i4>
      </vt:variant>
      <vt:variant>
        <vt:i4>5</vt:i4>
      </vt:variant>
      <vt:variant>
        <vt:lpwstr>https://acilallen.com.au/projects/other/transition-of-the-australian-car-manufacturing-sector</vt:lpwstr>
      </vt:variant>
      <vt:variant>
        <vt:lpwstr/>
      </vt:variant>
      <vt:variant>
        <vt:i4>3014752</vt:i4>
      </vt:variant>
      <vt:variant>
        <vt:i4>735</vt:i4>
      </vt:variant>
      <vt:variant>
        <vt:i4>0</vt:i4>
      </vt:variant>
      <vt:variant>
        <vt:i4>5</vt:i4>
      </vt:variant>
      <vt:variant>
        <vt:lpwstr>https://nousgroup.com/wp-content/uploads/2022/01/Lessons-Learnt-From-Large-Firm-Closures-Vol-1.pdf</vt:lpwstr>
      </vt:variant>
      <vt:variant>
        <vt:lpwstr/>
      </vt:variant>
      <vt:variant>
        <vt:i4>5898242</vt:i4>
      </vt:variant>
      <vt:variant>
        <vt:i4>732</vt:i4>
      </vt:variant>
      <vt:variant>
        <vt:i4>0</vt:i4>
      </vt:variant>
      <vt:variant>
        <vt:i4>5</vt:i4>
      </vt:variant>
      <vt:variant>
        <vt:lpwstr>https://jobsqueensland.qld.gov.au/projects/supporting-workforces-industry-transition/</vt:lpwstr>
      </vt:variant>
      <vt:variant>
        <vt:lpwstr/>
      </vt:variant>
      <vt:variant>
        <vt:i4>1</vt:i4>
      </vt:variant>
      <vt:variant>
        <vt:i4>729</vt:i4>
      </vt:variant>
      <vt:variant>
        <vt:i4>0</vt:i4>
      </vt:variant>
      <vt:variant>
        <vt:i4>5</vt:i4>
      </vt:variant>
      <vt:variant>
        <vt:lpwstr>https://www.ncver.edu.au/research-and-statistics/publications/all-publications/industry-restructuring-and-job-loss-helping-older-workers-get-back-into-employment</vt:lpwstr>
      </vt:variant>
      <vt:variant>
        <vt:lpwstr/>
      </vt:variant>
      <vt:variant>
        <vt:i4>1245212</vt:i4>
      </vt:variant>
      <vt:variant>
        <vt:i4>726</vt:i4>
      </vt:variant>
      <vt:variant>
        <vt:i4>0</vt:i4>
      </vt:variant>
      <vt:variant>
        <vt:i4>5</vt:i4>
      </vt:variant>
      <vt:variant>
        <vt:lpwstr>https://acilallen.com.au/projects/other/transition-of-the-australian-car-manufacturing-sector</vt:lpwstr>
      </vt:variant>
      <vt:variant>
        <vt:lpwstr/>
      </vt:variant>
      <vt:variant>
        <vt:i4>3014752</vt:i4>
      </vt:variant>
      <vt:variant>
        <vt:i4>723</vt:i4>
      </vt:variant>
      <vt:variant>
        <vt:i4>0</vt:i4>
      </vt:variant>
      <vt:variant>
        <vt:i4>5</vt:i4>
      </vt:variant>
      <vt:variant>
        <vt:lpwstr>https://nousgroup.com/wp-content/uploads/2022/01/Lessons-Learnt-From-Large-Firm-Closures-Vol-1.pdf</vt:lpwstr>
      </vt:variant>
      <vt:variant>
        <vt:lpwstr/>
      </vt:variant>
      <vt:variant>
        <vt:i4>2293830</vt:i4>
      </vt:variant>
      <vt:variant>
        <vt:i4>720</vt:i4>
      </vt:variant>
      <vt:variant>
        <vt:i4>0</vt:i4>
      </vt:variant>
      <vt:variant>
        <vt:i4>5</vt:i4>
      </vt:variant>
      <vt:variant>
        <vt:lpwstr>https://www.oecd-ilibrary.org/employment/back-to-work-australia_9789264253476-en</vt:lpwstr>
      </vt:variant>
      <vt:variant>
        <vt:lpwstr/>
      </vt:variant>
      <vt:variant>
        <vt:i4>1245212</vt:i4>
      </vt:variant>
      <vt:variant>
        <vt:i4>717</vt:i4>
      </vt:variant>
      <vt:variant>
        <vt:i4>0</vt:i4>
      </vt:variant>
      <vt:variant>
        <vt:i4>5</vt:i4>
      </vt:variant>
      <vt:variant>
        <vt:lpwstr>https://acilallen.com.au/projects/other/transition-of-the-australian-car-manufacturing-sector</vt:lpwstr>
      </vt:variant>
      <vt:variant>
        <vt:lpwstr/>
      </vt:variant>
      <vt:variant>
        <vt:i4>1245212</vt:i4>
      </vt:variant>
      <vt:variant>
        <vt:i4>714</vt:i4>
      </vt:variant>
      <vt:variant>
        <vt:i4>0</vt:i4>
      </vt:variant>
      <vt:variant>
        <vt:i4>5</vt:i4>
      </vt:variant>
      <vt:variant>
        <vt:lpwstr>https://acilallen.com.au/projects/other/transition-of-the-australian-car-manufacturing-sector</vt:lpwstr>
      </vt:variant>
      <vt:variant>
        <vt:lpwstr/>
      </vt:variant>
      <vt:variant>
        <vt:i4>917582</vt:i4>
      </vt:variant>
      <vt:variant>
        <vt:i4>711</vt:i4>
      </vt:variant>
      <vt:variant>
        <vt:i4>0</vt:i4>
      </vt:variant>
      <vt:variant>
        <vt:i4>5</vt:i4>
      </vt:variant>
      <vt:variant>
        <vt:lpwstr>https://www.ncver.edu.au/research-and-statistics/publications/all-publications/the-end-of-car-manufacturing-in-australia-what-is-the-role-of-training</vt:lpwstr>
      </vt:variant>
      <vt:variant>
        <vt:lpwstr/>
      </vt:variant>
      <vt:variant>
        <vt:i4>6094865</vt:i4>
      </vt:variant>
      <vt:variant>
        <vt:i4>708</vt:i4>
      </vt:variant>
      <vt:variant>
        <vt:i4>0</vt:i4>
      </vt:variant>
      <vt:variant>
        <vt:i4>5</vt:i4>
      </vt:variant>
      <vt:variant>
        <vt:lpwstr>https://www.voced.edu.au/content/ngv%3A77608</vt:lpwstr>
      </vt:variant>
      <vt:variant>
        <vt:lpwstr/>
      </vt:variant>
      <vt:variant>
        <vt:i4>5373967</vt:i4>
      </vt:variant>
      <vt:variant>
        <vt:i4>705</vt:i4>
      </vt:variant>
      <vt:variant>
        <vt:i4>0</vt:i4>
      </vt:variant>
      <vt:variant>
        <vt:i4>5</vt:i4>
      </vt:variant>
      <vt:variant>
        <vt:lpwstr>https://www.pc.gov.au/research/supporting/literacy-numeracy-labour-outcomes/literacy-numeracy-labour-outcomes.pdf</vt:lpwstr>
      </vt:variant>
      <vt:variant>
        <vt:lpwstr/>
      </vt:variant>
      <vt:variant>
        <vt:i4>917582</vt:i4>
      </vt:variant>
      <vt:variant>
        <vt:i4>702</vt:i4>
      </vt:variant>
      <vt:variant>
        <vt:i4>0</vt:i4>
      </vt:variant>
      <vt:variant>
        <vt:i4>5</vt:i4>
      </vt:variant>
      <vt:variant>
        <vt:lpwstr>https://www.ncver.edu.au/research-and-statistics/publications/all-publications/the-end-of-car-manufacturing-in-australia-what-is-the-role-of-training</vt:lpwstr>
      </vt:variant>
      <vt:variant>
        <vt:lpwstr/>
      </vt:variant>
      <vt:variant>
        <vt:i4>6094865</vt:i4>
      </vt:variant>
      <vt:variant>
        <vt:i4>699</vt:i4>
      </vt:variant>
      <vt:variant>
        <vt:i4>0</vt:i4>
      </vt:variant>
      <vt:variant>
        <vt:i4>5</vt:i4>
      </vt:variant>
      <vt:variant>
        <vt:lpwstr>https://www.voced.edu.au/content/ngv%3A77608</vt:lpwstr>
      </vt:variant>
      <vt:variant>
        <vt:lpwstr/>
      </vt:variant>
      <vt:variant>
        <vt:i4>2883680</vt:i4>
      </vt:variant>
      <vt:variant>
        <vt:i4>696</vt:i4>
      </vt:variant>
      <vt:variant>
        <vt:i4>0</vt:i4>
      </vt:variant>
      <vt:variant>
        <vt:i4>5</vt:i4>
      </vt:variant>
      <vt:variant>
        <vt:lpwstr>https://nousgroup.com/wp-content/uploads/2022/01/Lessons-Learnt-From-Large-Firm-Closures-Vol-3.pdf</vt:lpwstr>
      </vt:variant>
      <vt:variant>
        <vt:lpwstr/>
      </vt:variant>
      <vt:variant>
        <vt:i4>1245212</vt:i4>
      </vt:variant>
      <vt:variant>
        <vt:i4>693</vt:i4>
      </vt:variant>
      <vt:variant>
        <vt:i4>0</vt:i4>
      </vt:variant>
      <vt:variant>
        <vt:i4>5</vt:i4>
      </vt:variant>
      <vt:variant>
        <vt:lpwstr>https://acilallen.com.au/projects/other/transition-of-the-australian-car-manufacturing-sector</vt:lpwstr>
      </vt:variant>
      <vt:variant>
        <vt:lpwstr/>
      </vt:variant>
      <vt:variant>
        <vt:i4>8323130</vt:i4>
      </vt:variant>
      <vt:variant>
        <vt:i4>690</vt:i4>
      </vt:variant>
      <vt:variant>
        <vt:i4>0</vt:i4>
      </vt:variant>
      <vt:variant>
        <vt:i4>5</vt:i4>
      </vt:variant>
      <vt:variant>
        <vt:lpwstr>https://www.nsw.gov.au/regional-nsw/programs-and-grants/royalties-for-rejuvenation-fund</vt:lpwstr>
      </vt:variant>
      <vt:variant>
        <vt:lpwstr/>
      </vt:variant>
      <vt:variant>
        <vt:i4>655434</vt:i4>
      </vt:variant>
      <vt:variant>
        <vt:i4>687</vt:i4>
      </vt:variant>
      <vt:variant>
        <vt:i4>0</vt:i4>
      </vt:variant>
      <vt:variant>
        <vt:i4>5</vt:i4>
      </vt:variant>
      <vt:variant>
        <vt:lpwstr>https://www.deeca.vic.gov.au/forestry/forestry-transition-program</vt:lpwstr>
      </vt:variant>
      <vt:variant>
        <vt:lpwstr/>
      </vt:variant>
      <vt:variant>
        <vt:i4>2228350</vt:i4>
      </vt:variant>
      <vt:variant>
        <vt:i4>684</vt:i4>
      </vt:variant>
      <vt:variant>
        <vt:i4>0</vt:i4>
      </vt:variant>
      <vt:variant>
        <vt:i4>5</vt:i4>
      </vt:variant>
      <vt:variant>
        <vt:lpwstr>https://lva.vic.gov.au/business-and-worker-support/worker-support-services</vt:lpwstr>
      </vt:variant>
      <vt:variant>
        <vt:lpwstr/>
      </vt:variant>
      <vt:variant>
        <vt:i4>7012455</vt:i4>
      </vt:variant>
      <vt:variant>
        <vt:i4>681</vt:i4>
      </vt:variant>
      <vt:variant>
        <vt:i4>0</vt:i4>
      </vt:variant>
      <vt:variant>
        <vt:i4>5</vt:i4>
      </vt:variant>
      <vt:variant>
        <vt:lpwstr>https://www.wa.gov.au/organisation/department-of-the-premier-and-cabinet/collie-transition-package</vt:lpwstr>
      </vt:variant>
      <vt:variant>
        <vt:lpwstr/>
      </vt:variant>
      <vt:variant>
        <vt:i4>131162</vt:i4>
      </vt:variant>
      <vt:variant>
        <vt:i4>678</vt:i4>
      </vt:variant>
      <vt:variant>
        <vt:i4>0</vt:i4>
      </vt:variant>
      <vt:variant>
        <vt:i4>5</vt:i4>
      </vt:variant>
      <vt:variant>
        <vt:lpwstr>https://www.workforceaustralia.gov.au/individuals/coaching/assistance/retrenched-workers</vt:lpwstr>
      </vt:variant>
      <vt:variant>
        <vt:lpwstr/>
      </vt:variant>
      <vt:variant>
        <vt:i4>1245212</vt:i4>
      </vt:variant>
      <vt:variant>
        <vt:i4>675</vt:i4>
      </vt:variant>
      <vt:variant>
        <vt:i4>0</vt:i4>
      </vt:variant>
      <vt:variant>
        <vt:i4>5</vt:i4>
      </vt:variant>
      <vt:variant>
        <vt:lpwstr>https://acilallen.com.au/projects/other/transition-of-the-australian-car-manufacturing-sector</vt:lpwstr>
      </vt:variant>
      <vt:variant>
        <vt:lpwstr/>
      </vt:variant>
      <vt:variant>
        <vt:i4>2424868</vt:i4>
      </vt:variant>
      <vt:variant>
        <vt:i4>672</vt:i4>
      </vt:variant>
      <vt:variant>
        <vt:i4>0</vt:i4>
      </vt:variant>
      <vt:variant>
        <vt:i4>5</vt:i4>
      </vt:variant>
      <vt:variant>
        <vt:lpwstr>https://www.synergy.net.au/About-us/Community-Investment/Muja-Workforce-Transition-Program</vt:lpwstr>
      </vt:variant>
      <vt:variant>
        <vt:lpwstr/>
      </vt:variant>
      <vt:variant>
        <vt:i4>1835030</vt:i4>
      </vt:variant>
      <vt:variant>
        <vt:i4>669</vt:i4>
      </vt:variant>
      <vt:variant>
        <vt:i4>0</vt:i4>
      </vt:variant>
      <vt:variant>
        <vt:i4>5</vt:i4>
      </vt:variant>
      <vt:variant>
        <vt:lpwstr>https://www.energyaustralia.com.au/about-us/media/news/energyaustralia-helps-yallourn-workers-prepare-life-after-coal</vt:lpwstr>
      </vt:variant>
      <vt:variant>
        <vt:lpwstr/>
      </vt:variant>
      <vt:variant>
        <vt:i4>1245212</vt:i4>
      </vt:variant>
      <vt:variant>
        <vt:i4>666</vt:i4>
      </vt:variant>
      <vt:variant>
        <vt:i4>0</vt:i4>
      </vt:variant>
      <vt:variant>
        <vt:i4>5</vt:i4>
      </vt:variant>
      <vt:variant>
        <vt:lpwstr>https://acilallen.com.au/projects/other/transition-of-the-australian-car-manufacturing-sector</vt:lpwstr>
      </vt:variant>
      <vt:variant>
        <vt:lpwstr/>
      </vt:variant>
      <vt:variant>
        <vt:i4>5505096</vt:i4>
      </vt:variant>
      <vt:variant>
        <vt:i4>663</vt:i4>
      </vt:variant>
      <vt:variant>
        <vt:i4>0</vt:i4>
      </vt:variant>
      <vt:variant>
        <vt:i4>5</vt:i4>
      </vt:variant>
      <vt:variant>
        <vt:lpwstr>https://www.aer.gov.au/wholesale-markets/notice-of-closure-exemptions</vt:lpwstr>
      </vt:variant>
      <vt:variant>
        <vt:lpwstr>:~:text=National%20Electricity%20Market%20generators%20are,applicants%20are%20required%20to%20submit.</vt:lpwstr>
      </vt:variant>
      <vt:variant>
        <vt:i4>1245212</vt:i4>
      </vt:variant>
      <vt:variant>
        <vt:i4>660</vt:i4>
      </vt:variant>
      <vt:variant>
        <vt:i4>0</vt:i4>
      </vt:variant>
      <vt:variant>
        <vt:i4>5</vt:i4>
      </vt:variant>
      <vt:variant>
        <vt:lpwstr>https://acilallen.com.au/projects/other/transition-of-the-australian-car-manufacturing-sector</vt:lpwstr>
      </vt:variant>
      <vt:variant>
        <vt:lpwstr/>
      </vt:variant>
      <vt:variant>
        <vt:i4>2949167</vt:i4>
      </vt:variant>
      <vt:variant>
        <vt:i4>657</vt:i4>
      </vt:variant>
      <vt:variant>
        <vt:i4>0</vt:i4>
      </vt:variant>
      <vt:variant>
        <vt:i4>5</vt:i4>
      </vt:variant>
      <vt:variant>
        <vt:lpwstr>https://ccep.crawford.anu.edu.au/publication/ccep-working-paper/18120/after-hazelwood-coal-fired-power-station-closure-latrobe-valley</vt:lpwstr>
      </vt:variant>
      <vt:variant>
        <vt:lpwstr>:~:text=The%20Hazelwood%20case%20study%20provides,regional%20renewal%20strategies%3B%20respectful%20and</vt:lpwstr>
      </vt:variant>
      <vt:variant>
        <vt:i4>5505053</vt:i4>
      </vt:variant>
      <vt:variant>
        <vt:i4>654</vt:i4>
      </vt:variant>
      <vt:variant>
        <vt:i4>0</vt:i4>
      </vt:variant>
      <vt:variant>
        <vt:i4>5</vt:i4>
      </vt:variant>
      <vt:variant>
        <vt:lpwstr>https://www.sydney.edu.au/sydney-environment-institute/our-research/transition-and-transformation/unsettling-resources/a-just-transition-away-from-coal-in-australia.html</vt:lpwstr>
      </vt:variant>
      <vt:variant>
        <vt:lpwstr/>
      </vt:variant>
      <vt:variant>
        <vt:i4>1835029</vt:i4>
      </vt:variant>
      <vt:variant>
        <vt:i4>651</vt:i4>
      </vt:variant>
      <vt:variant>
        <vt:i4>0</vt:i4>
      </vt:variant>
      <vt:variant>
        <vt:i4>5</vt:i4>
      </vt:variant>
      <vt:variant>
        <vt:lpwstr>https://www.emerald.com/insight/content/doi/10.1108/IJSHE-09-2016-0179/full/html</vt:lpwstr>
      </vt:variant>
      <vt:variant>
        <vt:lpwstr/>
      </vt:variant>
      <vt:variant>
        <vt:i4>5046343</vt:i4>
      </vt:variant>
      <vt:variant>
        <vt:i4>648</vt:i4>
      </vt:variant>
      <vt:variant>
        <vt:i4>0</vt:i4>
      </vt:variant>
      <vt:variant>
        <vt:i4>5</vt:i4>
      </vt:variant>
      <vt:variant>
        <vt:lpwstr>https://www.accenture.com/content/dam/accenture/final/a-com-migration/r3-3/pdf/pdf-167/accenture-youthquake-meets-green-economy.pdf</vt:lpwstr>
      </vt:variant>
      <vt:variant>
        <vt:lpwstr>zoom=40</vt:lpwstr>
      </vt:variant>
      <vt:variant>
        <vt:i4>4128864</vt:i4>
      </vt:variant>
      <vt:variant>
        <vt:i4>645</vt:i4>
      </vt:variant>
      <vt:variant>
        <vt:i4>0</vt:i4>
      </vt:variant>
      <vt:variant>
        <vt:i4>5</vt:i4>
      </vt:variant>
      <vt:variant>
        <vt:lpwstr>https://www.energy.nsw.gov.au/sites/default/files/2022-11/electricity-infrastructure-jobs-advocates-first-report-to-minister-for-energy-for-publication.pdf</vt:lpwstr>
      </vt:variant>
      <vt:variant>
        <vt:lpwstr/>
      </vt:variant>
      <vt:variant>
        <vt:i4>2883680</vt:i4>
      </vt:variant>
      <vt:variant>
        <vt:i4>642</vt:i4>
      </vt:variant>
      <vt:variant>
        <vt:i4>0</vt:i4>
      </vt:variant>
      <vt:variant>
        <vt:i4>5</vt:i4>
      </vt:variant>
      <vt:variant>
        <vt:lpwstr>https://www.ilo.org/wcmsp5/groups/public/---ed_norm/---relconf/documents/meetingdocument/wcms_731155.pdf</vt:lpwstr>
      </vt:variant>
      <vt:variant>
        <vt:lpwstr/>
      </vt:variant>
      <vt:variant>
        <vt:i4>1048661</vt:i4>
      </vt:variant>
      <vt:variant>
        <vt:i4>639</vt:i4>
      </vt:variant>
      <vt:variant>
        <vt:i4>0</vt:i4>
      </vt:variant>
      <vt:variant>
        <vt:i4>5</vt:i4>
      </vt:variant>
      <vt:variant>
        <vt:lpwstr>https://search.informit.org/doi/epdf/10.3316/ielapa.990100869</vt:lpwstr>
      </vt:variant>
      <vt:variant>
        <vt:lpwstr/>
      </vt:variant>
      <vt:variant>
        <vt:i4>1966179</vt:i4>
      </vt:variant>
      <vt:variant>
        <vt:i4>636</vt:i4>
      </vt:variant>
      <vt:variant>
        <vt:i4>0</vt:i4>
      </vt:variant>
      <vt:variant>
        <vt:i4>5</vt:i4>
      </vt:variant>
      <vt:variant>
        <vt:lpwstr>https://www.academia.edu/86930246/Supply_side_and_Demand_side_Explanations_of_Declining_Apprentice_Training_Rates_A_Critical_Overview</vt:lpwstr>
      </vt:variant>
      <vt:variant>
        <vt:lpwstr/>
      </vt:variant>
      <vt:variant>
        <vt:i4>7929973</vt:i4>
      </vt:variant>
      <vt:variant>
        <vt:i4>633</vt:i4>
      </vt:variant>
      <vt:variant>
        <vt:i4>0</vt:i4>
      </vt:variant>
      <vt:variant>
        <vt:i4>5</vt:i4>
      </vt:variant>
      <vt:variant>
        <vt:lpwstr>https://www.sciencedirect.com/science/article/pii/S2210422423000114?via%3Dihub</vt:lpwstr>
      </vt:variant>
      <vt:variant>
        <vt:lpwstr/>
      </vt:variant>
      <vt:variant>
        <vt:i4>4718622</vt:i4>
      </vt:variant>
      <vt:variant>
        <vt:i4>630</vt:i4>
      </vt:variant>
      <vt:variant>
        <vt:i4>0</vt:i4>
      </vt:variant>
      <vt:variant>
        <vt:i4>5</vt:i4>
      </vt:variant>
      <vt:variant>
        <vt:lpwstr>https://www.renac.de/projects/current-projects/bilateral-energy-cooperation-initiatives/energy-cooperation-australia-and-germany</vt:lpwstr>
      </vt:variant>
      <vt:variant>
        <vt:lpwstr/>
      </vt:variant>
      <vt:variant>
        <vt:i4>7798801</vt:i4>
      </vt:variant>
      <vt:variant>
        <vt:i4>627</vt:i4>
      </vt:variant>
      <vt:variant>
        <vt:i4>0</vt:i4>
      </vt:variant>
      <vt:variant>
        <vt:i4>5</vt:i4>
      </vt:variant>
      <vt:variant>
        <vt:lpwstr>https://www.linkedin.com/posts/trade-council-of-denmark-in-australia_denmark-activity-7102530674925977600-gT-k</vt:lpwstr>
      </vt:variant>
      <vt:variant>
        <vt:lpwstr/>
      </vt:variant>
      <vt:variant>
        <vt:i4>7929973</vt:i4>
      </vt:variant>
      <vt:variant>
        <vt:i4>624</vt:i4>
      </vt:variant>
      <vt:variant>
        <vt:i4>0</vt:i4>
      </vt:variant>
      <vt:variant>
        <vt:i4>5</vt:i4>
      </vt:variant>
      <vt:variant>
        <vt:lpwstr>https://www.sciencedirect.com/science/article/pii/S2210422423000114?via%3Dihub</vt:lpwstr>
      </vt:variant>
      <vt:variant>
        <vt:lpwstr/>
      </vt:variant>
      <vt:variant>
        <vt:i4>3276900</vt:i4>
      </vt:variant>
      <vt:variant>
        <vt:i4>621</vt:i4>
      </vt:variant>
      <vt:variant>
        <vt:i4>0</vt:i4>
      </vt:variant>
      <vt:variant>
        <vt:i4>5</vt:i4>
      </vt:variant>
      <vt:variant>
        <vt:lpwstr>https://www.riotinto.com/-/media/Content/Documents/Sustainability/People/RT-Everyday-respect-report.pdf</vt:lpwstr>
      </vt:variant>
      <vt:variant>
        <vt:lpwstr/>
      </vt:variant>
      <vt:variant>
        <vt:i4>5570640</vt:i4>
      </vt:variant>
      <vt:variant>
        <vt:i4>618</vt:i4>
      </vt:variant>
      <vt:variant>
        <vt:i4>0</vt:i4>
      </vt:variant>
      <vt:variant>
        <vt:i4>5</vt:i4>
      </vt:variant>
      <vt:variant>
        <vt:lpwstr>https://www.cleanenergycouncil.org.au/resources/resources-hub/empowering-everyone-diversity-in-the-australian-clean-energy-sector</vt:lpwstr>
      </vt:variant>
      <vt:variant>
        <vt:lpwstr/>
      </vt:variant>
      <vt:variant>
        <vt:i4>2359344</vt:i4>
      </vt:variant>
      <vt:variant>
        <vt:i4>615</vt:i4>
      </vt:variant>
      <vt:variant>
        <vt:i4>0</vt:i4>
      </vt:variant>
      <vt:variant>
        <vt:i4>5</vt:i4>
      </vt:variant>
      <vt:variant>
        <vt:lpwstr>https://humanrights.gov.au/our-work/race-discrimination/publications/leading-change-blueprint-cultural-diversity-and-0</vt:lpwstr>
      </vt:variant>
      <vt:variant>
        <vt:lpwstr/>
      </vt:variant>
      <vt:variant>
        <vt:i4>327699</vt:i4>
      </vt:variant>
      <vt:variant>
        <vt:i4>612</vt:i4>
      </vt:variant>
      <vt:variant>
        <vt:i4>0</vt:i4>
      </vt:variant>
      <vt:variant>
        <vt:i4>5</vt:i4>
      </vt:variant>
      <vt:variant>
        <vt:lpwstr>https://www.dca.org.au/news-articles/racism-work-call-anti-racist-action-australian-organisations</vt:lpwstr>
      </vt:variant>
      <vt:variant>
        <vt:lpwstr/>
      </vt:variant>
      <vt:variant>
        <vt:i4>7340091</vt:i4>
      </vt:variant>
      <vt:variant>
        <vt:i4>609</vt:i4>
      </vt:variant>
      <vt:variant>
        <vt:i4>0</vt:i4>
      </vt:variant>
      <vt:variant>
        <vt:i4>5</vt:i4>
      </vt:variant>
      <vt:variant>
        <vt:lpwstr>https://www.jobsandskills.gov.au/news/april-2023-australian-labour-market-migrants-report-released</vt:lpwstr>
      </vt:variant>
      <vt:variant>
        <vt:lpwstr/>
      </vt:variant>
      <vt:variant>
        <vt:i4>4128808</vt:i4>
      </vt:variant>
      <vt:variant>
        <vt:i4>606</vt:i4>
      </vt:variant>
      <vt:variant>
        <vt:i4>0</vt:i4>
      </vt:variant>
      <vt:variant>
        <vt:i4>5</vt:i4>
      </vt:variant>
      <vt:variant>
        <vt:lpwstr>https://www.engineersaustralia.org.au/publications/barriers-employment-migrant-engineers?gclid=EAIaIQobChMIo7KrwqGhgQMVAl9gCh0uTwLFEAAYASAAEgIkY_D_BwE</vt:lpwstr>
      </vt:variant>
      <vt:variant>
        <vt:lpwstr/>
      </vt:variant>
      <vt:variant>
        <vt:i4>3014764</vt:i4>
      </vt:variant>
      <vt:variant>
        <vt:i4>603</vt:i4>
      </vt:variant>
      <vt:variant>
        <vt:i4>0</vt:i4>
      </vt:variant>
      <vt:variant>
        <vt:i4>5</vt:i4>
      </vt:variant>
      <vt:variant>
        <vt:lpwstr>https://disability.royalcommission.gov.au/</vt:lpwstr>
      </vt:variant>
      <vt:variant>
        <vt:lpwstr/>
      </vt:variant>
      <vt:variant>
        <vt:i4>3539068</vt:i4>
      </vt:variant>
      <vt:variant>
        <vt:i4>600</vt:i4>
      </vt:variant>
      <vt:variant>
        <vt:i4>0</vt:i4>
      </vt:variant>
      <vt:variant>
        <vt:i4>5</vt:i4>
      </vt:variant>
      <vt:variant>
        <vt:lpwstr>https://www.abs.gov.au/statistics/health/disability/disability-ageing-and-carers-australia-summary-findings/latest-release</vt:lpwstr>
      </vt:variant>
      <vt:variant>
        <vt:lpwstr>:~:text=In%202018%20there%20were%204.4,years%20and%20over%20had%20disability.</vt:lpwstr>
      </vt:variant>
      <vt:variant>
        <vt:i4>5570640</vt:i4>
      </vt:variant>
      <vt:variant>
        <vt:i4>597</vt:i4>
      </vt:variant>
      <vt:variant>
        <vt:i4>0</vt:i4>
      </vt:variant>
      <vt:variant>
        <vt:i4>5</vt:i4>
      </vt:variant>
      <vt:variant>
        <vt:lpwstr>https://www.cleanenergycouncil.org.au/resources/resources-hub/empowering-everyone-diversity-in-the-australian-clean-energy-sector</vt:lpwstr>
      </vt:variant>
      <vt:variant>
        <vt:lpwstr/>
      </vt:variant>
      <vt:variant>
        <vt:i4>8192109</vt:i4>
      </vt:variant>
      <vt:variant>
        <vt:i4>594</vt:i4>
      </vt:variant>
      <vt:variant>
        <vt:i4>0</vt:i4>
      </vt:variant>
      <vt:variant>
        <vt:i4>5</vt:i4>
      </vt:variant>
      <vt:variant>
        <vt:lpwstr>https://www.aihw.gov.au/reports/disability/people-with-disability-in-australia/contents/people-with-disability/prevalence-of-disability</vt:lpwstr>
      </vt:variant>
      <vt:variant>
        <vt:lpwstr/>
      </vt:variant>
      <vt:variant>
        <vt:i4>2424857</vt:i4>
      </vt:variant>
      <vt:variant>
        <vt:i4>591</vt:i4>
      </vt:variant>
      <vt:variant>
        <vt:i4>0</vt:i4>
      </vt:variant>
      <vt:variant>
        <vt:i4>5</vt:i4>
      </vt:variant>
      <vt:variant>
        <vt:lpwstr>https://www.oecd-ilibrary.org/urban-rural-and-regional-development/linking-indigenous-communities-with-regional-development-in-canada_fa0f60c6-en</vt:lpwstr>
      </vt:variant>
      <vt:variant>
        <vt:lpwstr/>
      </vt:variant>
      <vt:variant>
        <vt:i4>4456543</vt:i4>
      </vt:variant>
      <vt:variant>
        <vt:i4>588</vt:i4>
      </vt:variant>
      <vt:variant>
        <vt:i4>0</vt:i4>
      </vt:variant>
      <vt:variant>
        <vt:i4>5</vt:i4>
      </vt:variant>
      <vt:variant>
        <vt:lpwstr>https://www.fnces.org.au/</vt:lpwstr>
      </vt:variant>
      <vt:variant>
        <vt:lpwstr/>
      </vt:variant>
      <vt:variant>
        <vt:i4>7667821</vt:i4>
      </vt:variant>
      <vt:variant>
        <vt:i4>585</vt:i4>
      </vt:variant>
      <vt:variant>
        <vt:i4>0</vt:i4>
      </vt:variant>
      <vt:variant>
        <vt:i4>5</vt:i4>
      </vt:variant>
      <vt:variant>
        <vt:lpwstr>https://assets.maorilawreview.co.nz/Jon-Altman-2014-Maori-Law-Review-Indigenous-Law-Speaker-Series-The-political-ecology-and-political-economy-of-the-Indigenous-land-titling-revolution-in-Australia-D.pdf</vt:lpwstr>
      </vt:variant>
      <vt:variant>
        <vt:lpwstr/>
      </vt:variant>
      <vt:variant>
        <vt:i4>7798841</vt:i4>
      </vt:variant>
      <vt:variant>
        <vt:i4>582</vt:i4>
      </vt:variant>
      <vt:variant>
        <vt:i4>0</vt:i4>
      </vt:variant>
      <vt:variant>
        <vt:i4>5</vt:i4>
      </vt:variant>
      <vt:variant>
        <vt:lpwstr>https://www.wa.gov.au/government/media-statements/McGowan-Labor-Government/Land-allocation-approvals-for-green-industrial-precinct-in-the-Pilbara-20230515</vt:lpwstr>
      </vt:variant>
      <vt:variant>
        <vt:lpwstr/>
      </vt:variant>
      <vt:variant>
        <vt:i4>8323175</vt:i4>
      </vt:variant>
      <vt:variant>
        <vt:i4>579</vt:i4>
      </vt:variant>
      <vt:variant>
        <vt:i4>0</vt:i4>
      </vt:variant>
      <vt:variant>
        <vt:i4>5</vt:i4>
      </vt:variant>
      <vt:variant>
        <vt:lpwstr>https://australiainstitute.org.au/wp-content/uploads/2021/08/P1124-Guiding-principles-for-a-new-livelihood-and-work-program-in-remote-Indigenous-Australia-Web.pdf</vt:lpwstr>
      </vt:variant>
      <vt:variant>
        <vt:lpwstr/>
      </vt:variant>
      <vt:variant>
        <vt:i4>6881340</vt:i4>
      </vt:variant>
      <vt:variant>
        <vt:i4>576</vt:i4>
      </vt:variant>
      <vt:variant>
        <vt:i4>0</vt:i4>
      </vt:variant>
      <vt:variant>
        <vt:i4>5</vt:i4>
      </vt:variant>
      <vt:variant>
        <vt:lpwstr>https://humanrights.gov.au/our-work/rights-and-freedoms/projects/discrimination-employment-basis-criminal-record</vt:lpwstr>
      </vt:variant>
      <vt:variant>
        <vt:lpwstr>:~:text=Is%20discrimination%20on%20the%20basis%20of%20criminal%20record%20unlawful%3F,to%20resolve%20them%20by%20conciliation.</vt:lpwstr>
      </vt:variant>
      <vt:variant>
        <vt:i4>5570650</vt:i4>
      </vt:variant>
      <vt:variant>
        <vt:i4>573</vt:i4>
      </vt:variant>
      <vt:variant>
        <vt:i4>0</vt:i4>
      </vt:variant>
      <vt:variant>
        <vt:i4>5</vt:i4>
      </vt:variant>
      <vt:variant>
        <vt:lpwstr>https://www.alrc.gov.au/publication/pathways-to-justice-inquiry-into-the-incarceration-rate-of-aboriginal-and-torres-strait-islander-peoples-alrc-report-133/</vt:lpwstr>
      </vt:variant>
      <vt:variant>
        <vt:lpwstr/>
      </vt:variant>
      <vt:variant>
        <vt:i4>3276926</vt:i4>
      </vt:variant>
      <vt:variant>
        <vt:i4>570</vt:i4>
      </vt:variant>
      <vt:variant>
        <vt:i4>0</vt:i4>
      </vt:variant>
      <vt:variant>
        <vt:i4>5</vt:i4>
      </vt:variant>
      <vt:variant>
        <vt:lpwstr>https://www.csrm.uq.edu.au/publications/the-indigenous-exchange-forum-transitions-in-mine-closure</vt:lpwstr>
      </vt:variant>
      <vt:variant>
        <vt:lpwstr>:~:text=The%20Forum%20and%20subsequent%20report,First%20Nations%20groups%20and%20industry.</vt:lpwstr>
      </vt:variant>
      <vt:variant>
        <vt:i4>7536749</vt:i4>
      </vt:variant>
      <vt:variant>
        <vt:i4>567</vt:i4>
      </vt:variant>
      <vt:variant>
        <vt:i4>0</vt:i4>
      </vt:variant>
      <vt:variant>
        <vt:i4>5</vt:i4>
      </vt:variant>
      <vt:variant>
        <vt:lpwstr>https://www.niaa.gov.au/news-centre/indigenous-affairs/2023-24-budget-investing-better-future-aboriginal-and-torres-strait-islander-people</vt:lpwstr>
      </vt:variant>
      <vt:variant>
        <vt:lpwstr/>
      </vt:variant>
      <vt:variant>
        <vt:i4>8257598</vt:i4>
      </vt:variant>
      <vt:variant>
        <vt:i4>564</vt:i4>
      </vt:variant>
      <vt:variant>
        <vt:i4>0</vt:i4>
      </vt:variant>
      <vt:variant>
        <vt:i4>5</vt:i4>
      </vt:variant>
      <vt:variant>
        <vt:lpwstr>https://www.csrm.uq.edu.au/publications/indigenous-employment-in-the-australian-mining-industry</vt:lpwstr>
      </vt:variant>
      <vt:variant>
        <vt:lpwstr/>
      </vt:variant>
      <vt:variant>
        <vt:i4>5308437</vt:i4>
      </vt:variant>
      <vt:variant>
        <vt:i4>561</vt:i4>
      </vt:variant>
      <vt:variant>
        <vt:i4>0</vt:i4>
      </vt:variant>
      <vt:variant>
        <vt:i4>5</vt:i4>
      </vt:variant>
      <vt:variant>
        <vt:lpwstr>https://indigenous-jobsmap.csiro.au/</vt:lpwstr>
      </vt:variant>
      <vt:variant>
        <vt:lpwstr/>
      </vt:variant>
      <vt:variant>
        <vt:i4>6094858</vt:i4>
      </vt:variant>
      <vt:variant>
        <vt:i4>558</vt:i4>
      </vt:variant>
      <vt:variant>
        <vt:i4>0</vt:i4>
      </vt:variant>
      <vt:variant>
        <vt:i4>5</vt:i4>
      </vt:variant>
      <vt:variant>
        <vt:lpwstr>https://www.csrm.uq.edu.au/publications/factors-supporting-indigenous-employee-retention-in-the-australian-mining-industry-a-case-study-of-the-pilbara-region</vt:lpwstr>
      </vt:variant>
      <vt:variant>
        <vt:lpwstr/>
      </vt:variant>
      <vt:variant>
        <vt:i4>6094858</vt:i4>
      </vt:variant>
      <vt:variant>
        <vt:i4>555</vt:i4>
      </vt:variant>
      <vt:variant>
        <vt:i4>0</vt:i4>
      </vt:variant>
      <vt:variant>
        <vt:i4>5</vt:i4>
      </vt:variant>
      <vt:variant>
        <vt:lpwstr>https://www.csrm.uq.edu.au/publications/factors-supporting-indigenous-employee-retention-in-the-australian-mining-industry-a-case-study-of-the-pilbara-region</vt:lpwstr>
      </vt:variant>
      <vt:variant>
        <vt:lpwstr/>
      </vt:variant>
      <vt:variant>
        <vt:i4>3145849</vt:i4>
      </vt:variant>
      <vt:variant>
        <vt:i4>552</vt:i4>
      </vt:variant>
      <vt:variant>
        <vt:i4>0</vt:i4>
      </vt:variant>
      <vt:variant>
        <vt:i4>5</vt:i4>
      </vt:variant>
      <vt:variant>
        <vt:lpwstr>https://www.csrm.uq.edu.au/publications/what-did-i-get-myself-into-indigenous-women-and-mining-employment-in-australia</vt:lpwstr>
      </vt:variant>
      <vt:variant>
        <vt:lpwstr/>
      </vt:variant>
      <vt:variant>
        <vt:i4>393222</vt:i4>
      </vt:variant>
      <vt:variant>
        <vt:i4>549</vt:i4>
      </vt:variant>
      <vt:variant>
        <vt:i4>0</vt:i4>
      </vt:variant>
      <vt:variant>
        <vt:i4>5</vt:i4>
      </vt:variant>
      <vt:variant>
        <vt:lpwstr>https://www.wgea.gov.au/publications/gari-yala-speak-the-truth-gendered-insights</vt:lpwstr>
      </vt:variant>
      <vt:variant>
        <vt:lpwstr/>
      </vt:variant>
      <vt:variant>
        <vt:i4>1310734</vt:i4>
      </vt:variant>
      <vt:variant>
        <vt:i4>546</vt:i4>
      </vt:variant>
      <vt:variant>
        <vt:i4>0</vt:i4>
      </vt:variant>
      <vt:variant>
        <vt:i4>5</vt:i4>
      </vt:variant>
      <vt:variant>
        <vt:lpwstr>https://www.jobsandskills.gov.au/work/first-nations-people-workforce-analysis</vt:lpwstr>
      </vt:variant>
      <vt:variant>
        <vt:lpwstr/>
      </vt:variant>
      <vt:variant>
        <vt:i4>786501</vt:i4>
      </vt:variant>
      <vt:variant>
        <vt:i4>543</vt:i4>
      </vt:variant>
      <vt:variant>
        <vt:i4>0</vt:i4>
      </vt:variant>
      <vt:variant>
        <vt:i4>5</vt:i4>
      </vt:variant>
      <vt:variant>
        <vt:lpwstr>https://www.indigenoushpf.gov.au/Measures/2-07-Employment</vt:lpwstr>
      </vt:variant>
      <vt:variant>
        <vt:lpwstr/>
      </vt:variant>
      <vt:variant>
        <vt:i4>6815797</vt:i4>
      </vt:variant>
      <vt:variant>
        <vt:i4>540</vt:i4>
      </vt:variant>
      <vt:variant>
        <vt:i4>0</vt:i4>
      </vt:variant>
      <vt:variant>
        <vt:i4>5</vt:i4>
      </vt:variant>
      <vt:variant>
        <vt:lpwstr>https://www.abs.gov.au/statistics/people/aboriginal-and-torres-strait-islander-peoples/estimates-aboriginal-and-torres-strait-islander-australians/30-june-2021</vt:lpwstr>
      </vt:variant>
      <vt:variant>
        <vt:lpwstr/>
      </vt:variant>
      <vt:variant>
        <vt:i4>5308430</vt:i4>
      </vt:variant>
      <vt:variant>
        <vt:i4>537</vt:i4>
      </vt:variant>
      <vt:variant>
        <vt:i4>0</vt:i4>
      </vt:variant>
      <vt:variant>
        <vt:i4>5</vt:i4>
      </vt:variant>
      <vt:variant>
        <vt:lpwstr>https://humanrights.gov.au/time-for-respect-2022</vt:lpwstr>
      </vt:variant>
      <vt:variant>
        <vt:lpwstr/>
      </vt:variant>
      <vt:variant>
        <vt:i4>5832746</vt:i4>
      </vt:variant>
      <vt:variant>
        <vt:i4>534</vt:i4>
      </vt:variant>
      <vt:variant>
        <vt:i4>0</vt:i4>
      </vt:variant>
      <vt:variant>
        <vt:i4>5</vt:i4>
      </vt:variant>
      <vt:variant>
        <vt:lpwstr>https://view.officeapps.live.com/op/view.aspx?src=https%3A%2F%2Fwww.respectatwork.gov.au%2Fsites%2Fdefault%2Ffiles%2F2023-01%2FFINAL_Factsheet_What%2520causes%2520workplace%2520sexual%2520harassment%2520%25281%2529_0.docx&amp;wdOrigin=BROWSELINK</vt:lpwstr>
      </vt:variant>
      <vt:variant>
        <vt:lpwstr/>
      </vt:variant>
      <vt:variant>
        <vt:i4>5308430</vt:i4>
      </vt:variant>
      <vt:variant>
        <vt:i4>531</vt:i4>
      </vt:variant>
      <vt:variant>
        <vt:i4>0</vt:i4>
      </vt:variant>
      <vt:variant>
        <vt:i4>5</vt:i4>
      </vt:variant>
      <vt:variant>
        <vt:lpwstr>https://humanrights.gov.au/time-for-respect-2022</vt:lpwstr>
      </vt:variant>
      <vt:variant>
        <vt:lpwstr/>
      </vt:variant>
      <vt:variant>
        <vt:i4>5308430</vt:i4>
      </vt:variant>
      <vt:variant>
        <vt:i4>528</vt:i4>
      </vt:variant>
      <vt:variant>
        <vt:i4>0</vt:i4>
      </vt:variant>
      <vt:variant>
        <vt:i4>5</vt:i4>
      </vt:variant>
      <vt:variant>
        <vt:lpwstr>https://humanrights.gov.au/time-for-respect-2022</vt:lpwstr>
      </vt:variant>
      <vt:variant>
        <vt:lpwstr/>
      </vt:variant>
      <vt:variant>
        <vt:i4>1441805</vt:i4>
      </vt:variant>
      <vt:variant>
        <vt:i4>525</vt:i4>
      </vt:variant>
      <vt:variant>
        <vt:i4>0</vt:i4>
      </vt:variant>
      <vt:variant>
        <vt:i4>5</vt:i4>
      </vt:variant>
      <vt:variant>
        <vt:lpwstr>https://www.agec.org.au/wp-content/uploads/2018/09/Women-in-Engineering-Realising-Productivity-and-Innovation-Through-Diversity-2017.pdf</vt:lpwstr>
      </vt:variant>
      <vt:variant>
        <vt:lpwstr/>
      </vt:variant>
      <vt:variant>
        <vt:i4>1441805</vt:i4>
      </vt:variant>
      <vt:variant>
        <vt:i4>522</vt:i4>
      </vt:variant>
      <vt:variant>
        <vt:i4>0</vt:i4>
      </vt:variant>
      <vt:variant>
        <vt:i4>5</vt:i4>
      </vt:variant>
      <vt:variant>
        <vt:lpwstr>https://www.agec.org.au/wp-content/uploads/2018/09/Women-in-Engineering-Realising-Productivity-and-Innovation-Through-Diversity-2017.pdf</vt:lpwstr>
      </vt:variant>
      <vt:variant>
        <vt:lpwstr/>
      </vt:variant>
      <vt:variant>
        <vt:i4>1179743</vt:i4>
      </vt:variant>
      <vt:variant>
        <vt:i4>519</vt:i4>
      </vt:variant>
      <vt:variant>
        <vt:i4>0</vt:i4>
      </vt:variant>
      <vt:variant>
        <vt:i4>5</vt:i4>
      </vt:variant>
      <vt:variant>
        <vt:lpwstr>https://www.engineersaustralia.org.au/publications/women-engineering</vt:lpwstr>
      </vt:variant>
      <vt:variant>
        <vt:lpwstr/>
      </vt:variant>
      <vt:variant>
        <vt:i4>1376345</vt:i4>
      </vt:variant>
      <vt:variant>
        <vt:i4>516</vt:i4>
      </vt:variant>
      <vt:variant>
        <vt:i4>0</vt:i4>
      </vt:variant>
      <vt:variant>
        <vt:i4>5</vt:i4>
      </vt:variant>
      <vt:variant>
        <vt:lpwstr>https://www.wgea.gov.au/publications/australias-gender-equality-scorecard</vt:lpwstr>
      </vt:variant>
      <vt:variant>
        <vt:lpwstr/>
      </vt:variant>
      <vt:variant>
        <vt:i4>1376345</vt:i4>
      </vt:variant>
      <vt:variant>
        <vt:i4>513</vt:i4>
      </vt:variant>
      <vt:variant>
        <vt:i4>0</vt:i4>
      </vt:variant>
      <vt:variant>
        <vt:i4>5</vt:i4>
      </vt:variant>
      <vt:variant>
        <vt:lpwstr>https://www.wgea.gov.au/publications/australias-gender-equality-scorecard</vt:lpwstr>
      </vt:variant>
      <vt:variant>
        <vt:lpwstr/>
      </vt:variant>
      <vt:variant>
        <vt:i4>3342397</vt:i4>
      </vt:variant>
      <vt:variant>
        <vt:i4>510</vt:i4>
      </vt:variant>
      <vt:variant>
        <vt:i4>0</vt:i4>
      </vt:variant>
      <vt:variant>
        <vt:i4>5</vt:i4>
      </vt:variant>
      <vt:variant>
        <vt:lpwstr>https://ministers.dewr.gov.au/oconnor/gender-imbalance-workforce-contributing-skills-shortages</vt:lpwstr>
      </vt:variant>
      <vt:variant>
        <vt:lpwstr>:~:text=Ministers%3A-,The%20Hon%20Brendan%20O%27Connor%20MP,particularly%20towards%20male%2Ddominated%20occupations.</vt:lpwstr>
      </vt:variant>
      <vt:variant>
        <vt:i4>6815782</vt:i4>
      </vt:variant>
      <vt:variant>
        <vt:i4>507</vt:i4>
      </vt:variant>
      <vt:variant>
        <vt:i4>0</vt:i4>
      </vt:variant>
      <vt:variant>
        <vt:i4>5</vt:i4>
      </vt:variant>
      <vt:variant>
        <vt:lpwstr>https://careertrackers.org.au/about-ct/</vt:lpwstr>
      </vt:variant>
      <vt:variant>
        <vt:lpwstr/>
      </vt:variant>
      <vt:variant>
        <vt:i4>6094851</vt:i4>
      </vt:variant>
      <vt:variant>
        <vt:i4>504</vt:i4>
      </vt:variant>
      <vt:variant>
        <vt:i4>0</vt:i4>
      </vt:variant>
      <vt:variant>
        <vt:i4>5</vt:i4>
      </vt:variant>
      <vt:variant>
        <vt:lpwstr>https://www.education.gov.au/australian-curriculum/national-stem-education-resources-toolkit</vt:lpwstr>
      </vt:variant>
      <vt:variant>
        <vt:lpwstr/>
      </vt:variant>
      <vt:variant>
        <vt:i4>6291509</vt:i4>
      </vt:variant>
      <vt:variant>
        <vt:i4>501</vt:i4>
      </vt:variant>
      <vt:variant>
        <vt:i4>0</vt:i4>
      </vt:variant>
      <vt:variant>
        <vt:i4>5</vt:i4>
      </vt:variant>
      <vt:variant>
        <vt:lpwstr>https://www.neca.asn.au/sites/default/files/Industry Submission - National Strategy to Achieve Gender Equality 2023.pdf</vt:lpwstr>
      </vt:variant>
      <vt:variant>
        <vt:lpwstr/>
      </vt:variant>
      <vt:variant>
        <vt:i4>2490493</vt:i4>
      </vt:variant>
      <vt:variant>
        <vt:i4>498</vt:i4>
      </vt:variant>
      <vt:variant>
        <vt:i4>0</vt:i4>
      </vt:variant>
      <vt:variant>
        <vt:i4>5</vt:i4>
      </vt:variant>
      <vt:variant>
        <vt:lpwstr>https://parlinfo.aph.gov.au/parlInfo/download/committees/estimate/26913/toc_pdf/Education and Employment Legislation Committee_2023_05_31.pdf;fileType=application%2Fpdf</vt:lpwstr>
      </vt:variant>
      <vt:variant>
        <vt:lpwstr>search=%22committees/estimate/26913/0000%22</vt:lpwstr>
      </vt:variant>
      <vt:variant>
        <vt:i4>8126576</vt:i4>
      </vt:variant>
      <vt:variant>
        <vt:i4>495</vt:i4>
      </vt:variant>
      <vt:variant>
        <vt:i4>0</vt:i4>
      </vt:variant>
      <vt:variant>
        <vt:i4>5</vt:i4>
      </vt:variant>
      <vt:variant>
        <vt:lpwstr>https://jobsqueensland.qld.gov.au/projects/women-in-trades/</vt:lpwstr>
      </vt:variant>
      <vt:variant>
        <vt:lpwstr/>
      </vt:variant>
      <vt:variant>
        <vt:i4>3801194</vt:i4>
      </vt:variant>
      <vt:variant>
        <vt:i4>492</vt:i4>
      </vt:variant>
      <vt:variant>
        <vt:i4>0</vt:i4>
      </vt:variant>
      <vt:variant>
        <vt:i4>5</vt:i4>
      </vt:variant>
      <vt:variant>
        <vt:lpwstr>https://www.wave.org.au/wp-content/uploads/2020/11/Apprenticeships-should-work-for-women-too-published.pdf</vt:lpwstr>
      </vt:variant>
      <vt:variant>
        <vt:lpwstr/>
      </vt:variant>
      <vt:variant>
        <vt:i4>7012458</vt:i4>
      </vt:variant>
      <vt:variant>
        <vt:i4>489</vt:i4>
      </vt:variant>
      <vt:variant>
        <vt:i4>0</vt:i4>
      </vt:variant>
      <vt:variant>
        <vt:i4>5</vt:i4>
      </vt:variant>
      <vt:variant>
        <vt:lpwstr>https://www.ncver.edu.au/__data/assets/pdf_file/0039/9669603/Attracting_industry_experts_to_become_VET_practitioners_a_journey_not_a_destination.pdf</vt:lpwstr>
      </vt:variant>
      <vt:variant>
        <vt:lpwstr/>
      </vt:variant>
      <vt:variant>
        <vt:i4>2359332</vt:i4>
      </vt:variant>
      <vt:variant>
        <vt:i4>486</vt:i4>
      </vt:variant>
      <vt:variant>
        <vt:i4>0</vt:i4>
      </vt:variant>
      <vt:variant>
        <vt:i4>5</vt:i4>
      </vt:variant>
      <vt:variant>
        <vt:lpwstr>https://consult.industry.gov.au/diversityinstem2/draft-recommendations</vt:lpwstr>
      </vt:variant>
      <vt:variant>
        <vt:lpwstr/>
      </vt:variant>
      <vt:variant>
        <vt:i4>7667754</vt:i4>
      </vt:variant>
      <vt:variant>
        <vt:i4>483</vt:i4>
      </vt:variant>
      <vt:variant>
        <vt:i4>0</vt:i4>
      </vt:variant>
      <vt:variant>
        <vt:i4>5</vt:i4>
      </vt:variant>
      <vt:variant>
        <vt:lpwstr>https://www.pmc.gov.au/publications/strengthening-skills-expert-review-australias-vocational-education-and-training-system</vt:lpwstr>
      </vt:variant>
      <vt:variant>
        <vt:lpwstr/>
      </vt:variant>
      <vt:variant>
        <vt:i4>5177415</vt:i4>
      </vt:variant>
      <vt:variant>
        <vt:i4>480</vt:i4>
      </vt:variant>
      <vt:variant>
        <vt:i4>0</vt:i4>
      </vt:variant>
      <vt:variant>
        <vt:i4>5</vt:i4>
      </vt:variant>
      <vt:variant>
        <vt:lpwstr>https://www.ncver.edu.au/research-and-statistics/publications/all-publications/completion-rates-for-group-training-organisations-and-direct-employers-how-do-they-compare</vt:lpwstr>
      </vt:variant>
      <vt:variant>
        <vt:lpwstr>:~:text=Overall%2C%20completion%20rates%20with%20GTOs,considered%20to%20make%20meaningful%20comparisons.</vt:lpwstr>
      </vt:variant>
      <vt:variant>
        <vt:i4>3145801</vt:i4>
      </vt:variant>
      <vt:variant>
        <vt:i4>477</vt:i4>
      </vt:variant>
      <vt:variant>
        <vt:i4>0</vt:i4>
      </vt:variant>
      <vt:variant>
        <vt:i4>5</vt:i4>
      </vt:variant>
      <vt:variant>
        <vt:lpwstr>https://assets.cleanenergycouncil.org.au/documents/CEC_Skilling-the-Energy-Transition-2022.pdf</vt:lpwstr>
      </vt:variant>
      <vt:variant>
        <vt:lpwstr/>
      </vt:variant>
      <vt:variant>
        <vt:i4>3735665</vt:i4>
      </vt:variant>
      <vt:variant>
        <vt:i4>474</vt:i4>
      </vt:variant>
      <vt:variant>
        <vt:i4>0</vt:i4>
      </vt:variant>
      <vt:variant>
        <vt:i4>5</vt:i4>
      </vt:variant>
      <vt:variant>
        <vt:lpwstr>https://www.accesscanberra.act.gov.au/s/article/automatic-mutual-recognition-tab-Interstate-licensees-intending-to-work-in-the-act</vt:lpwstr>
      </vt:variant>
      <vt:variant>
        <vt:lpwstr/>
      </vt:variant>
      <vt:variant>
        <vt:i4>2555952</vt:i4>
      </vt:variant>
      <vt:variant>
        <vt:i4>471</vt:i4>
      </vt:variant>
      <vt:variant>
        <vt:i4>0</vt:i4>
      </vt:variant>
      <vt:variant>
        <vt:i4>5</vt:i4>
      </vt:variant>
      <vt:variant>
        <vt:lpwstr>https://www.nsw.gov.au/nsw-government/projects-and-initiatives/automatic-mutual-recognition</vt:lpwstr>
      </vt:variant>
      <vt:variant>
        <vt:lpwstr/>
      </vt:variant>
      <vt:variant>
        <vt:i4>4915210</vt:i4>
      </vt:variant>
      <vt:variant>
        <vt:i4>468</vt:i4>
      </vt:variant>
      <vt:variant>
        <vt:i4>0</vt:i4>
      </vt:variant>
      <vt:variant>
        <vt:i4>5</vt:i4>
      </vt:variant>
      <vt:variant>
        <vt:lpwstr>https://www.dewr.gov.au/skills-support-individuals/mutual-recognition</vt:lpwstr>
      </vt:variant>
      <vt:variant>
        <vt:lpwstr/>
      </vt:variant>
      <vt:variant>
        <vt:i4>7405602</vt:i4>
      </vt:variant>
      <vt:variant>
        <vt:i4>465</vt:i4>
      </vt:variant>
      <vt:variant>
        <vt:i4>0</vt:i4>
      </vt:variant>
      <vt:variant>
        <vt:i4>5</vt:i4>
      </vt:variant>
      <vt:variant>
        <vt:lpwstr>https://www.legislation.gov.au/Details/C2021C00272</vt:lpwstr>
      </vt:variant>
      <vt:variant>
        <vt:lpwstr/>
      </vt:variant>
      <vt:variant>
        <vt:i4>2818156</vt:i4>
      </vt:variant>
      <vt:variant>
        <vt:i4>462</vt:i4>
      </vt:variant>
      <vt:variant>
        <vt:i4>0</vt:i4>
      </vt:variant>
      <vt:variant>
        <vt:i4>5</vt:i4>
      </vt:variant>
      <vt:variant>
        <vt:lpwstr>https://www.ceda.com.au/ResearchAndPolicies/Research/Energy/Powering-the-transition-The-net-zero-workforce-cha</vt:lpwstr>
      </vt:variant>
      <vt:variant>
        <vt:lpwstr/>
      </vt:variant>
      <vt:variant>
        <vt:i4>6750265</vt:i4>
      </vt:variant>
      <vt:variant>
        <vt:i4>459</vt:i4>
      </vt:variant>
      <vt:variant>
        <vt:i4>0</vt:i4>
      </vt:variant>
      <vt:variant>
        <vt:i4>5</vt:i4>
      </vt:variant>
      <vt:variant>
        <vt:lpwstr>https://view.officeapps.live.com/op/view.aspx?src=https%3A%2F%2Fwww.pc.gov.au%2Finquiries%2Fcompleted%2Fproductivity%2Freport%2Fproductivity-volume7-labour-market.docx&amp;wdOrigin=BROWSELINK</vt:lpwstr>
      </vt:variant>
      <vt:variant>
        <vt:lpwstr/>
      </vt:variant>
      <vt:variant>
        <vt:i4>6291500</vt:i4>
      </vt:variant>
      <vt:variant>
        <vt:i4>456</vt:i4>
      </vt:variant>
      <vt:variant>
        <vt:i4>0</vt:i4>
      </vt:variant>
      <vt:variant>
        <vt:i4>5</vt:i4>
      </vt:variant>
      <vt:variant>
        <vt:lpwstr>https://www.education.gov.au/australian-universities-accord/resources/accord-interim-report</vt:lpwstr>
      </vt:variant>
      <vt:variant>
        <vt:lpwstr/>
      </vt:variant>
      <vt:variant>
        <vt:i4>5963851</vt:i4>
      </vt:variant>
      <vt:variant>
        <vt:i4>453</vt:i4>
      </vt:variant>
      <vt:variant>
        <vt:i4>0</vt:i4>
      </vt:variant>
      <vt:variant>
        <vt:i4>5</vt:i4>
      </vt:variant>
      <vt:variant>
        <vt:lpwstr>https://www.dewr.gov.au/expert-review-australias-vet-system/resources/vocational-education-and-training-vet-reform-roadmap-draft</vt:lpwstr>
      </vt:variant>
      <vt:variant>
        <vt:lpwstr/>
      </vt:variant>
      <vt:variant>
        <vt:i4>6291500</vt:i4>
      </vt:variant>
      <vt:variant>
        <vt:i4>450</vt:i4>
      </vt:variant>
      <vt:variant>
        <vt:i4>0</vt:i4>
      </vt:variant>
      <vt:variant>
        <vt:i4>5</vt:i4>
      </vt:variant>
      <vt:variant>
        <vt:lpwstr>https://www.education.gov.au/australian-universities-accord/resources/accord-interim-report</vt:lpwstr>
      </vt:variant>
      <vt:variant>
        <vt:lpwstr/>
      </vt:variant>
      <vt:variant>
        <vt:i4>7798858</vt:i4>
      </vt:variant>
      <vt:variant>
        <vt:i4>447</vt:i4>
      </vt:variant>
      <vt:variant>
        <vt:i4>0</vt:i4>
      </vt:variant>
      <vt:variant>
        <vt:i4>5</vt:i4>
      </vt:variant>
      <vt:variant>
        <vt:lpwstr>https://www.aemc.gov.au/sites/default/files/documents/regulatory_sandboxes.pdf</vt:lpwstr>
      </vt:variant>
      <vt:variant>
        <vt:lpwstr/>
      </vt:variant>
      <vt:variant>
        <vt:i4>3407973</vt:i4>
      </vt:variant>
      <vt:variant>
        <vt:i4>444</vt:i4>
      </vt:variant>
      <vt:variant>
        <vt:i4>0</vt:i4>
      </vt:variant>
      <vt:variant>
        <vt:i4>5</vt:i4>
      </vt:variant>
      <vt:variant>
        <vt:lpwstr>https://www.ncver.edu.au/research-and-statistics/publications/all-publications/higher-apprenticeships-what-are-we-talking-about</vt:lpwstr>
      </vt:variant>
      <vt:variant>
        <vt:lpwstr/>
      </vt:variant>
      <vt:variant>
        <vt:i4>2293868</vt:i4>
      </vt:variant>
      <vt:variant>
        <vt:i4>441</vt:i4>
      </vt:variant>
      <vt:variant>
        <vt:i4>0</vt:i4>
      </vt:variant>
      <vt:variant>
        <vt:i4>5</vt:i4>
      </vt:variant>
      <vt:variant>
        <vt:lpwstr>https://www.education.gov.au/advanced-apprenticeships-industry-40-pilot</vt:lpwstr>
      </vt:variant>
      <vt:variant>
        <vt:lpwstr/>
      </vt:variant>
      <vt:variant>
        <vt:i4>2293868</vt:i4>
      </vt:variant>
      <vt:variant>
        <vt:i4>438</vt:i4>
      </vt:variant>
      <vt:variant>
        <vt:i4>0</vt:i4>
      </vt:variant>
      <vt:variant>
        <vt:i4>5</vt:i4>
      </vt:variant>
      <vt:variant>
        <vt:lpwstr>https://www.education.gov.au/advanced-apprenticeships-industry-40-pilot</vt:lpwstr>
      </vt:variant>
      <vt:variant>
        <vt:lpwstr/>
      </vt:variant>
      <vt:variant>
        <vt:i4>3670048</vt:i4>
      </vt:variant>
      <vt:variant>
        <vt:i4>435</vt:i4>
      </vt:variant>
      <vt:variant>
        <vt:i4>0</vt:i4>
      </vt:variant>
      <vt:variant>
        <vt:i4>5</vt:i4>
      </vt:variant>
      <vt:variant>
        <vt:lpwstr>https://www.energymining.sa.gov.au/industry/energy-resources/infrastructure-and-energy-markets/new-technologies/carbon-capture-and-storage</vt:lpwstr>
      </vt:variant>
      <vt:variant>
        <vt:lpwstr/>
      </vt:variant>
      <vt:variant>
        <vt:i4>917528</vt:i4>
      </vt:variant>
      <vt:variant>
        <vt:i4>432</vt:i4>
      </vt:variant>
      <vt:variant>
        <vt:i4>0</vt:i4>
      </vt:variant>
      <vt:variant>
        <vt:i4>5</vt:i4>
      </vt:variant>
      <vt:variant>
        <vt:lpwstr>https://australia.chevron.com/-/media/australia/publications/documents/gorgon-carbon-capture-and-storage--fact-sheet.pdf</vt:lpwstr>
      </vt:variant>
      <vt:variant>
        <vt:lpwstr/>
      </vt:variant>
      <vt:variant>
        <vt:i4>4325392</vt:i4>
      </vt:variant>
      <vt:variant>
        <vt:i4>429</vt:i4>
      </vt:variant>
      <vt:variant>
        <vt:i4>0</vt:i4>
      </vt:variant>
      <vt:variant>
        <vt:i4>5</vt:i4>
      </vt:variant>
      <vt:variant>
        <vt:lpwstr>https://www.netzeroaustralia.net.au/wp-content/uploads/2023/04/Downscaling-The-role-of-forestry-in-enhancing-the-Australian-land-CO2-sink.pdf</vt:lpwstr>
      </vt:variant>
      <vt:variant>
        <vt:lpwstr/>
      </vt:variant>
      <vt:variant>
        <vt:i4>196673</vt:i4>
      </vt:variant>
      <vt:variant>
        <vt:i4>426</vt:i4>
      </vt:variant>
      <vt:variant>
        <vt:i4>0</vt:i4>
      </vt:variant>
      <vt:variant>
        <vt:i4>5</vt:i4>
      </vt:variant>
      <vt:variant>
        <vt:lpwstr>https://www.dcceew.gov.au/climate-change/publications/national-greenhouse-gas-inventory-quarterly-updates</vt:lpwstr>
      </vt:variant>
      <vt:variant>
        <vt:lpwstr/>
      </vt:variant>
      <vt:variant>
        <vt:i4>4456516</vt:i4>
      </vt:variant>
      <vt:variant>
        <vt:i4>423</vt:i4>
      </vt:variant>
      <vt:variant>
        <vt:i4>0</vt:i4>
      </vt:variant>
      <vt:variant>
        <vt:i4>5</vt:i4>
      </vt:variant>
      <vt:variant>
        <vt:lpwstr>https://www.energy.gov.au/business/sector-guides/agriculture</vt:lpwstr>
      </vt:variant>
      <vt:variant>
        <vt:lpwstr/>
      </vt:variant>
      <vt:variant>
        <vt:i4>262164</vt:i4>
      </vt:variant>
      <vt:variant>
        <vt:i4>420</vt:i4>
      </vt:variant>
      <vt:variant>
        <vt:i4>0</vt:i4>
      </vt:variant>
      <vt:variant>
        <vt:i4>5</vt:i4>
      </vt:variant>
      <vt:variant>
        <vt:lpwstr>https://www.climatechangeauthority.gov.au/sites/default/files/2021Factsheet - Agriculture.pdf</vt:lpwstr>
      </vt:variant>
      <vt:variant>
        <vt:lpwstr/>
      </vt:variant>
      <vt:variant>
        <vt:i4>196673</vt:i4>
      </vt:variant>
      <vt:variant>
        <vt:i4>417</vt:i4>
      </vt:variant>
      <vt:variant>
        <vt:i4>0</vt:i4>
      </vt:variant>
      <vt:variant>
        <vt:i4>5</vt:i4>
      </vt:variant>
      <vt:variant>
        <vt:lpwstr>https://www.dcceew.gov.au/climate-change/publications/national-greenhouse-gas-inventory-quarterly-updates</vt:lpwstr>
      </vt:variant>
      <vt:variant>
        <vt:lpwstr/>
      </vt:variant>
      <vt:variant>
        <vt:i4>4915259</vt:i4>
      </vt:variant>
      <vt:variant>
        <vt:i4>414</vt:i4>
      </vt:variant>
      <vt:variant>
        <vt:i4>0</vt:i4>
      </vt:variant>
      <vt:variant>
        <vt:i4>5</vt:i4>
      </vt:variant>
      <vt:variant>
        <vt:lpwstr>https://www.energymining.sa.gov.au/home/events-and-initiatives/premiers-awards-energy-and-mining/2021_award_nominees/tindo_solar_-_new_production_facility</vt:lpwstr>
      </vt:variant>
      <vt:variant>
        <vt:lpwstr/>
      </vt:variant>
      <vt:variant>
        <vt:i4>6553648</vt:i4>
      </vt:variant>
      <vt:variant>
        <vt:i4>411</vt:i4>
      </vt:variant>
      <vt:variant>
        <vt:i4>0</vt:i4>
      </vt:variant>
      <vt:variant>
        <vt:i4>5</vt:i4>
      </vt:variant>
      <vt:variant>
        <vt:lpwstr>https://www.statedevelopment.qld.gov.au/industry/queensland-is-renewable-ready/fortescue-future-industries</vt:lpwstr>
      </vt:variant>
      <vt:variant>
        <vt:lpwstr/>
      </vt:variant>
      <vt:variant>
        <vt:i4>2228341</vt:i4>
      </vt:variant>
      <vt:variant>
        <vt:i4>408</vt:i4>
      </vt:variant>
      <vt:variant>
        <vt:i4>0</vt:i4>
      </vt:variant>
      <vt:variant>
        <vt:i4>5</vt:i4>
      </vt:variant>
      <vt:variant>
        <vt:lpwstr>https://www.transport.nsw.gov.au/projects/current-projects/zero-emission-buses</vt:lpwstr>
      </vt:variant>
      <vt:variant>
        <vt:lpwstr/>
      </vt:variant>
      <vt:variant>
        <vt:i4>524383</vt:i4>
      </vt:variant>
      <vt:variant>
        <vt:i4>405</vt:i4>
      </vt:variant>
      <vt:variant>
        <vt:i4>0</vt:i4>
      </vt:variant>
      <vt:variant>
        <vt:i4>5</vt:i4>
      </vt:variant>
      <vt:variant>
        <vt:lpwstr>https://parlinfo.aph.gov.au/parlInfo/search/display/display.w3p;query=Id%3A%22media%2Fpressrel%2F8530261%22;src1=sm1</vt:lpwstr>
      </vt:variant>
      <vt:variant>
        <vt:lpwstr/>
      </vt:variant>
      <vt:variant>
        <vt:i4>2359341</vt:i4>
      </vt:variant>
      <vt:variant>
        <vt:i4>402</vt:i4>
      </vt:variant>
      <vt:variant>
        <vt:i4>0</vt:i4>
      </vt:variant>
      <vt:variant>
        <vt:i4>5</vt:i4>
      </vt:variant>
      <vt:variant>
        <vt:lpwstr>https://www.cleanenergyregulator.gov.au/Infohub/Markets/Pages/qcmr/december-quarter-2022/State-of-Total-Renewables.aspx</vt:lpwstr>
      </vt:variant>
      <vt:variant>
        <vt:lpwstr/>
      </vt:variant>
      <vt:variant>
        <vt:i4>7340148</vt:i4>
      </vt:variant>
      <vt:variant>
        <vt:i4>399</vt:i4>
      </vt:variant>
      <vt:variant>
        <vt:i4>0</vt:i4>
      </vt:variant>
      <vt:variant>
        <vt:i4>5</vt:i4>
      </vt:variant>
      <vt:variant>
        <vt:lpwstr>https://www.sciencedirect.com/science/article/pii/S0360319923022930?via%3Dihub</vt:lpwstr>
      </vt:variant>
      <vt:variant>
        <vt:lpwstr/>
      </vt:variant>
      <vt:variant>
        <vt:i4>4063339</vt:i4>
      </vt:variant>
      <vt:variant>
        <vt:i4>396</vt:i4>
      </vt:variant>
      <vt:variant>
        <vt:i4>0</vt:i4>
      </vt:variant>
      <vt:variant>
        <vt:i4>5</vt:i4>
      </vt:variant>
      <vt:variant>
        <vt:lpwstr>https://www.energymining.sa.gov.au/home/news/latest/gfg-to-phase-out-coal-based-steelmaking-at-whyalla-with-$485-million-investment</vt:lpwstr>
      </vt:variant>
      <vt:variant>
        <vt:lpwstr>:~:text=Forms%20and%20templates-,GFG%20to%20phase%20out%20coal%2Dbased%20steelmaking,Whyalla%20with%20%24485%20million%20investment&amp;text=LIBERTY%20Steel%20has%20announced%20the,low%20carbon%20electric%20arc%20furnace.</vt:lpwstr>
      </vt:variant>
      <vt:variant>
        <vt:i4>6553701</vt:i4>
      </vt:variant>
      <vt:variant>
        <vt:i4>393</vt:i4>
      </vt:variant>
      <vt:variant>
        <vt:i4>0</vt:i4>
      </vt:variant>
      <vt:variant>
        <vt:i4>5</vt:i4>
      </vt:variant>
      <vt:variant>
        <vt:lpwstr>https://www.rmit.edu.au/research/centres-collaborations/multi-partner-collaborations/smartcrete-crc</vt:lpwstr>
      </vt:variant>
      <vt:variant>
        <vt:lpwstr/>
      </vt:variant>
      <vt:variant>
        <vt:i4>3604520</vt:i4>
      </vt:variant>
      <vt:variant>
        <vt:i4>390</vt:i4>
      </vt:variant>
      <vt:variant>
        <vt:i4>0</vt:i4>
      </vt:variant>
      <vt:variant>
        <vt:i4>5</vt:i4>
      </vt:variant>
      <vt:variant>
        <vt:lpwstr>https://cement.org.au/australias-cement-industry/about-cement/australias-cement-industry/</vt:lpwstr>
      </vt:variant>
      <vt:variant>
        <vt:lpwstr>:~:text=Production%20Statistics&amp;text=Cement%20production%20was%209.60%20million,cent%20higher%20over%20the%20decade</vt:lpwstr>
      </vt:variant>
      <vt:variant>
        <vt:i4>4915276</vt:i4>
      </vt:variant>
      <vt:variant>
        <vt:i4>387</vt:i4>
      </vt:variant>
      <vt:variant>
        <vt:i4>0</vt:i4>
      </vt:variant>
      <vt:variant>
        <vt:i4>5</vt:i4>
      </vt:variant>
      <vt:variant>
        <vt:lpwstr>https://cement.org.au/wp-content/uploads/2021/10/Decarbonisation_Pathways_Australian_Cement_and_Concrete_Sector.pdf</vt:lpwstr>
      </vt:variant>
      <vt:variant>
        <vt:lpwstr/>
      </vt:variant>
      <vt:variant>
        <vt:i4>6160393</vt:i4>
      </vt:variant>
      <vt:variant>
        <vt:i4>384</vt:i4>
      </vt:variant>
      <vt:variant>
        <vt:i4>0</vt:i4>
      </vt:variant>
      <vt:variant>
        <vt:i4>5</vt:i4>
      </vt:variant>
      <vt:variant>
        <vt:lpwstr>https://www.dcceew.gov.au/climate-change/publications/national-inventory-report-2021</vt:lpwstr>
      </vt:variant>
      <vt:variant>
        <vt:lpwstr/>
      </vt:variant>
      <vt:variant>
        <vt:i4>786433</vt:i4>
      </vt:variant>
      <vt:variant>
        <vt:i4>381</vt:i4>
      </vt:variant>
      <vt:variant>
        <vt:i4>0</vt:i4>
      </vt:variant>
      <vt:variant>
        <vt:i4>5</vt:i4>
      </vt:variant>
      <vt:variant>
        <vt:lpwstr>https://www.irena.org/Digital-Report/World-Energy-Transitions-Outlook-2022</vt:lpwstr>
      </vt:variant>
      <vt:variant>
        <vt:lpwstr>page-0</vt:lpwstr>
      </vt:variant>
      <vt:variant>
        <vt:i4>5963806</vt:i4>
      </vt:variant>
      <vt:variant>
        <vt:i4>378</vt:i4>
      </vt:variant>
      <vt:variant>
        <vt:i4>0</vt:i4>
      </vt:variant>
      <vt:variant>
        <vt:i4>5</vt:i4>
      </vt:variant>
      <vt:variant>
        <vt:lpwstr>https://unctad.org/news/decarbonizing-maritime-sector-mobilizing-coordinated-action-industry-using-ecosystems-approach</vt:lpwstr>
      </vt:variant>
      <vt:variant>
        <vt:lpwstr>:~:text=The%20commonality%20is%20decarbonizing%20shipping,redress%20today%27s%20increasingly%20fragmented%20world.</vt:lpwstr>
      </vt:variant>
      <vt:variant>
        <vt:i4>1835039</vt:i4>
      </vt:variant>
      <vt:variant>
        <vt:i4>375</vt:i4>
      </vt:variant>
      <vt:variant>
        <vt:i4>0</vt:i4>
      </vt:variant>
      <vt:variant>
        <vt:i4>5</vt:i4>
      </vt:variant>
      <vt:variant>
        <vt:lpwstr>https://www.globalmaritimeforum.org/publications/shippings-energy-transition-strategic-opportunities-in-south-africa</vt:lpwstr>
      </vt:variant>
      <vt:variant>
        <vt:lpwstr/>
      </vt:variant>
      <vt:variant>
        <vt:i4>917542</vt:i4>
      </vt:variant>
      <vt:variant>
        <vt:i4>372</vt:i4>
      </vt:variant>
      <vt:variant>
        <vt:i4>0</vt:i4>
      </vt:variant>
      <vt:variant>
        <vt:i4>5</vt:i4>
      </vt:variant>
      <vt:variant>
        <vt:lpwstr>https://www.oecd-ilibrary.org/transport/decarbonising-maritime-transport_b1a7632c-en</vt:lpwstr>
      </vt:variant>
      <vt:variant>
        <vt:lpwstr/>
      </vt:variant>
      <vt:variant>
        <vt:i4>4784146</vt:i4>
      </vt:variant>
      <vt:variant>
        <vt:i4>369</vt:i4>
      </vt:variant>
      <vt:variant>
        <vt:i4>0</vt:i4>
      </vt:variant>
      <vt:variant>
        <vt:i4>5</vt:i4>
      </vt:variant>
      <vt:variant>
        <vt:lpwstr>https://www.infrastructure.gov.au/department/media/publications/aviation-green-paper-towards-2050</vt:lpwstr>
      </vt:variant>
      <vt:variant>
        <vt:lpwstr/>
      </vt:variant>
      <vt:variant>
        <vt:i4>983040</vt:i4>
      </vt:variant>
      <vt:variant>
        <vt:i4>366</vt:i4>
      </vt:variant>
      <vt:variant>
        <vt:i4>0</vt:i4>
      </vt:variant>
      <vt:variant>
        <vt:i4>5</vt:i4>
      </vt:variant>
      <vt:variant>
        <vt:lpwstr>https://www.ieabioenergy.com/wp-content/uploads/2022/06/Turning-Circle-report.pdf</vt:lpwstr>
      </vt:variant>
      <vt:variant>
        <vt:lpwstr/>
      </vt:variant>
      <vt:variant>
        <vt:i4>2228263</vt:i4>
      </vt:variant>
      <vt:variant>
        <vt:i4>363</vt:i4>
      </vt:variant>
      <vt:variant>
        <vt:i4>0</vt:i4>
      </vt:variant>
      <vt:variant>
        <vt:i4>5</vt:i4>
      </vt:variant>
      <vt:variant>
        <vt:lpwstr>https://www.vivaenergy.com.au/media/news/2023/viva-energy-to-acquire-otr-group-transforming-viva-energy-s-convenience-and-mobility-retail-business</vt:lpwstr>
      </vt:variant>
      <vt:variant>
        <vt:lpwstr/>
      </vt:variant>
      <vt:variant>
        <vt:i4>5439558</vt:i4>
      </vt:variant>
      <vt:variant>
        <vt:i4>360</vt:i4>
      </vt:variant>
      <vt:variant>
        <vt:i4>0</vt:i4>
      </vt:variant>
      <vt:variant>
        <vt:i4>5</vt:i4>
      </vt:variant>
      <vt:variant>
        <vt:lpwstr>https://www.dcceew.gov.au/energy/transport/national-electric-vehicle-strategy</vt:lpwstr>
      </vt:variant>
      <vt:variant>
        <vt:lpwstr/>
      </vt:variant>
      <vt:variant>
        <vt:i4>2359333</vt:i4>
      </vt:variant>
      <vt:variant>
        <vt:i4>357</vt:i4>
      </vt:variant>
      <vt:variant>
        <vt:i4>0</vt:i4>
      </vt:variant>
      <vt:variant>
        <vt:i4>5</vt:i4>
      </vt:variant>
      <vt:variant>
        <vt:lpwstr>https://fbicrc.com.au/vocational-skills-gap-assessment-and-workforce-development-plan-officially-launched/</vt:lpwstr>
      </vt:variant>
      <vt:variant>
        <vt:lpwstr/>
      </vt:variant>
      <vt:variant>
        <vt:i4>5701703</vt:i4>
      </vt:variant>
      <vt:variant>
        <vt:i4>354</vt:i4>
      </vt:variant>
      <vt:variant>
        <vt:i4>0</vt:i4>
      </vt:variant>
      <vt:variant>
        <vt:i4>5</vt:i4>
      </vt:variant>
      <vt:variant>
        <vt:lpwstr>https://training.gov.au/Training/Details/AUR</vt:lpwstr>
      </vt:variant>
      <vt:variant>
        <vt:lpwstr/>
      </vt:variant>
      <vt:variant>
        <vt:i4>1704027</vt:i4>
      </vt:variant>
      <vt:variant>
        <vt:i4>351</vt:i4>
      </vt:variant>
      <vt:variant>
        <vt:i4>0</vt:i4>
      </vt:variant>
      <vt:variant>
        <vt:i4>5</vt:i4>
      </vt:variant>
      <vt:variant>
        <vt:lpwstr>https://www.mckinsey.com/capabilities/operations/our-insights/global-infrastructure-initiative/roundtables/sydney-2022-scaling-ev-infrastructure-to-meet-net-zero-targets</vt:lpwstr>
      </vt:variant>
      <vt:variant>
        <vt:lpwstr/>
      </vt:variant>
      <vt:variant>
        <vt:i4>8192110</vt:i4>
      </vt:variant>
      <vt:variant>
        <vt:i4>348</vt:i4>
      </vt:variant>
      <vt:variant>
        <vt:i4>0</vt:i4>
      </vt:variant>
      <vt:variant>
        <vt:i4>5</vt:i4>
      </vt:variant>
      <vt:variant>
        <vt:lpwstr>https://www.iea.org/reports/global-ev-outlook-2023</vt:lpwstr>
      </vt:variant>
      <vt:variant>
        <vt:lpwstr/>
      </vt:variant>
      <vt:variant>
        <vt:i4>7536753</vt:i4>
      </vt:variant>
      <vt:variant>
        <vt:i4>345</vt:i4>
      </vt:variant>
      <vt:variant>
        <vt:i4>0</vt:i4>
      </vt:variant>
      <vt:variant>
        <vt:i4>5</vt:i4>
      </vt:variant>
      <vt:variant>
        <vt:lpwstr>https://www.starofthesouth.com.au/worker-guide</vt:lpwstr>
      </vt:variant>
      <vt:variant>
        <vt:lpwstr/>
      </vt:variant>
      <vt:variant>
        <vt:i4>7536697</vt:i4>
      </vt:variant>
      <vt:variant>
        <vt:i4>342</vt:i4>
      </vt:variant>
      <vt:variant>
        <vt:i4>0</vt:i4>
      </vt:variant>
      <vt:variant>
        <vt:i4>5</vt:i4>
      </vt:variant>
      <vt:variant>
        <vt:lpwstr>https://www.dcceew.gov.au/sites/default/files/documents/oct-budget-2022-23-jobs-fs.pdf</vt:lpwstr>
      </vt:variant>
      <vt:variant>
        <vt:lpwstr/>
      </vt:variant>
      <vt:variant>
        <vt:i4>65558</vt:i4>
      </vt:variant>
      <vt:variant>
        <vt:i4>339</vt:i4>
      </vt:variant>
      <vt:variant>
        <vt:i4>0</vt:i4>
      </vt:variant>
      <vt:variant>
        <vt:i4>5</vt:i4>
      </vt:variant>
      <vt:variant>
        <vt:lpwstr>https://minister.dcceew.gov.au/bowen/media-releases/australia-joins-global-drive-boost-offshore-wind</vt:lpwstr>
      </vt:variant>
      <vt:variant>
        <vt:lpwstr/>
      </vt:variant>
      <vt:variant>
        <vt:i4>7536753</vt:i4>
      </vt:variant>
      <vt:variant>
        <vt:i4>336</vt:i4>
      </vt:variant>
      <vt:variant>
        <vt:i4>0</vt:i4>
      </vt:variant>
      <vt:variant>
        <vt:i4>5</vt:i4>
      </vt:variant>
      <vt:variant>
        <vt:lpwstr>https://www.starofthesouth.com.au/worker-guide</vt:lpwstr>
      </vt:variant>
      <vt:variant>
        <vt:lpwstr/>
      </vt:variant>
      <vt:variant>
        <vt:i4>5570565</vt:i4>
      </vt:variant>
      <vt:variant>
        <vt:i4>333</vt:i4>
      </vt:variant>
      <vt:variant>
        <vt:i4>0</vt:i4>
      </vt:variant>
      <vt:variant>
        <vt:i4>5</vt:i4>
      </vt:variant>
      <vt:variant>
        <vt:lpwstr>https://www.agc.org.au/wp-content/uploads/2023/01/Urgent-action-needed-to-stem-slump-in-geoscience-graduates.pdf</vt:lpwstr>
      </vt:variant>
      <vt:variant>
        <vt:lpwstr/>
      </vt:variant>
      <vt:variant>
        <vt:i4>1900561</vt:i4>
      </vt:variant>
      <vt:variant>
        <vt:i4>330</vt:i4>
      </vt:variant>
      <vt:variant>
        <vt:i4>0</vt:i4>
      </vt:variant>
      <vt:variant>
        <vt:i4>5</vt:i4>
      </vt:variant>
      <vt:variant>
        <vt:lpwstr>https://www.abs.gov.au/statistics/labour/employment-and-unemployment/employment-renewable-energy-activities-australia/latest-release</vt:lpwstr>
      </vt:variant>
      <vt:variant>
        <vt:lpwstr/>
      </vt:variant>
      <vt:variant>
        <vt:i4>6291498</vt:i4>
      </vt:variant>
      <vt:variant>
        <vt:i4>327</vt:i4>
      </vt:variant>
      <vt:variant>
        <vt:i4>0</vt:i4>
      </vt:variant>
      <vt:variant>
        <vt:i4>5</vt:i4>
      </vt:variant>
      <vt:variant>
        <vt:lpwstr>https://fbicrc.com.au/wp-content/uploads/2021/06/Future-Charge-Report-Final.pdf</vt:lpwstr>
      </vt:variant>
      <vt:variant>
        <vt:lpwstr/>
      </vt:variant>
      <vt:variant>
        <vt:i4>1966108</vt:i4>
      </vt:variant>
      <vt:variant>
        <vt:i4>324</vt:i4>
      </vt:variant>
      <vt:variant>
        <vt:i4>0</vt:i4>
      </vt:variant>
      <vt:variant>
        <vt:i4>5</vt:i4>
      </vt:variant>
      <vt:variant>
        <vt:lpwstr>https://arena.gov.au/knowledge-bank/australias-bioenergy-roadmap-report/</vt:lpwstr>
      </vt:variant>
      <vt:variant>
        <vt:lpwstr/>
      </vt:variant>
      <vt:variant>
        <vt:i4>4456513</vt:i4>
      </vt:variant>
      <vt:variant>
        <vt:i4>321</vt:i4>
      </vt:variant>
      <vt:variant>
        <vt:i4>0</vt:i4>
      </vt:variant>
      <vt:variant>
        <vt:i4>5</vt:i4>
      </vt:variant>
      <vt:variant>
        <vt:lpwstr>https://training.gov.au/Training/Details/MSM</vt:lpwstr>
      </vt:variant>
      <vt:variant>
        <vt:lpwstr/>
      </vt:variant>
      <vt:variant>
        <vt:i4>4390940</vt:i4>
      </vt:variant>
      <vt:variant>
        <vt:i4>318</vt:i4>
      </vt:variant>
      <vt:variant>
        <vt:i4>0</vt:i4>
      </vt:variant>
      <vt:variant>
        <vt:i4>5</vt:i4>
      </vt:variant>
      <vt:variant>
        <vt:lpwstr>https://www.agriculture.gov.au/about/news/snapshot-world-biofuels-dec-22</vt:lpwstr>
      </vt:variant>
      <vt:variant>
        <vt:lpwstr/>
      </vt:variant>
      <vt:variant>
        <vt:i4>1966108</vt:i4>
      </vt:variant>
      <vt:variant>
        <vt:i4>315</vt:i4>
      </vt:variant>
      <vt:variant>
        <vt:i4>0</vt:i4>
      </vt:variant>
      <vt:variant>
        <vt:i4>5</vt:i4>
      </vt:variant>
      <vt:variant>
        <vt:lpwstr>https://arena.gov.au/knowledge-bank/australias-bioenergy-roadmap-report/</vt:lpwstr>
      </vt:variant>
      <vt:variant>
        <vt:lpwstr/>
      </vt:variant>
      <vt:variant>
        <vt:i4>4390940</vt:i4>
      </vt:variant>
      <vt:variant>
        <vt:i4>312</vt:i4>
      </vt:variant>
      <vt:variant>
        <vt:i4>0</vt:i4>
      </vt:variant>
      <vt:variant>
        <vt:i4>5</vt:i4>
      </vt:variant>
      <vt:variant>
        <vt:lpwstr>https://www.agriculture.gov.au/about/news/snapshot-world-biofuels-dec-22</vt:lpwstr>
      </vt:variant>
      <vt:variant>
        <vt:lpwstr/>
      </vt:variant>
      <vt:variant>
        <vt:i4>4325455</vt:i4>
      </vt:variant>
      <vt:variant>
        <vt:i4>309</vt:i4>
      </vt:variant>
      <vt:variant>
        <vt:i4>0</vt:i4>
      </vt:variant>
      <vt:variant>
        <vt:i4>5</vt:i4>
      </vt:variant>
      <vt:variant>
        <vt:lpwstr>https://aemo.com.au/energy-systems/major-publications/integrated-system-plan-isp/2022-integrated-system-plan-isp</vt:lpwstr>
      </vt:variant>
      <vt:variant>
        <vt:lpwstr/>
      </vt:variant>
      <vt:variant>
        <vt:i4>5636183</vt:i4>
      </vt:variant>
      <vt:variant>
        <vt:i4>306</vt:i4>
      </vt:variant>
      <vt:variant>
        <vt:i4>0</vt:i4>
      </vt:variant>
      <vt:variant>
        <vt:i4>5</vt:i4>
      </vt:variant>
      <vt:variant>
        <vt:lpwstr>https://training.gov.au/Training/Details/UEG</vt:lpwstr>
      </vt:variant>
      <vt:variant>
        <vt:lpwstr/>
      </vt:variant>
      <vt:variant>
        <vt:i4>5439573</vt:i4>
      </vt:variant>
      <vt:variant>
        <vt:i4>303</vt:i4>
      </vt:variant>
      <vt:variant>
        <vt:i4>0</vt:i4>
      </vt:variant>
      <vt:variant>
        <vt:i4>5</vt:i4>
      </vt:variant>
      <vt:variant>
        <vt:lpwstr>https://www.dcceew.gov.au/energy/publications/state-of-hydrogen-2022</vt:lpwstr>
      </vt:variant>
      <vt:variant>
        <vt:lpwstr/>
      </vt:variant>
      <vt:variant>
        <vt:i4>3276837</vt:i4>
      </vt:variant>
      <vt:variant>
        <vt:i4>300</vt:i4>
      </vt:variant>
      <vt:variant>
        <vt:i4>0</vt:i4>
      </vt:variant>
      <vt:variant>
        <vt:i4>5</vt:i4>
      </vt:variant>
      <vt:variant>
        <vt:lpwstr>https://www.jobsandskills.gov.au/reports/skills-shortage-quarterly-report-June-2023</vt:lpwstr>
      </vt:variant>
      <vt:variant>
        <vt:lpwstr/>
      </vt:variant>
      <vt:variant>
        <vt:i4>7143521</vt:i4>
      </vt:variant>
      <vt:variant>
        <vt:i4>297</vt:i4>
      </vt:variant>
      <vt:variant>
        <vt:i4>0</vt:i4>
      </vt:variant>
      <vt:variant>
        <vt:i4>5</vt:i4>
      </vt:variant>
      <vt:variant>
        <vt:lpwstr>https://www.palmscheme.gov.au/sites/default/files/2022-12/PALM scheme reforms Budget announcements - factsheet.pdf</vt:lpwstr>
      </vt:variant>
      <vt:variant>
        <vt:lpwstr/>
      </vt:variant>
      <vt:variant>
        <vt:i4>7864368</vt:i4>
      </vt:variant>
      <vt:variant>
        <vt:i4>294</vt:i4>
      </vt:variant>
      <vt:variant>
        <vt:i4>0</vt:i4>
      </vt:variant>
      <vt:variant>
        <vt:i4>5</vt:i4>
      </vt:variant>
      <vt:variant>
        <vt:lpwstr>https://www.palmscheme.gov.au/</vt:lpwstr>
      </vt:variant>
      <vt:variant>
        <vt:lpwstr/>
      </vt:variant>
      <vt:variant>
        <vt:i4>4980765</vt:i4>
      </vt:variant>
      <vt:variant>
        <vt:i4>291</vt:i4>
      </vt:variant>
      <vt:variant>
        <vt:i4>0</vt:i4>
      </vt:variant>
      <vt:variant>
        <vt:i4>5</vt:i4>
      </vt:variant>
      <vt:variant>
        <vt:lpwstr>https://www.homeaffairs.gov.au/reports-and-publications/reviews-and-inquiries/departmental-reviews/migration-system-for-australias-future</vt:lpwstr>
      </vt:variant>
      <vt:variant>
        <vt:lpwstr/>
      </vt:variant>
      <vt:variant>
        <vt:i4>589835</vt:i4>
      </vt:variant>
      <vt:variant>
        <vt:i4>288</vt:i4>
      </vt:variant>
      <vt:variant>
        <vt:i4>0</vt:i4>
      </vt:variant>
      <vt:variant>
        <vt:i4>5</vt:i4>
      </vt:variant>
      <vt:variant>
        <vt:lpwstr>https://www.oecd.org/migration/talent-attractiveness/</vt:lpwstr>
      </vt:variant>
      <vt:variant>
        <vt:lpwstr/>
      </vt:variant>
      <vt:variant>
        <vt:i4>3473457</vt:i4>
      </vt:variant>
      <vt:variant>
        <vt:i4>285</vt:i4>
      </vt:variant>
      <vt:variant>
        <vt:i4>0</vt:i4>
      </vt:variant>
      <vt:variant>
        <vt:i4>5</vt:i4>
      </vt:variant>
      <vt:variant>
        <vt:lpwstr>https://www.oecd.org/migration/mig/Measuring-and-Assessing-Talent-Attractiveness-in-OECD-Countries.pdf</vt:lpwstr>
      </vt:variant>
      <vt:variant>
        <vt:lpwstr/>
      </vt:variant>
      <vt:variant>
        <vt:i4>5308498</vt:i4>
      </vt:variant>
      <vt:variant>
        <vt:i4>282</vt:i4>
      </vt:variant>
      <vt:variant>
        <vt:i4>0</vt:i4>
      </vt:variant>
      <vt:variant>
        <vt:i4>5</vt:i4>
      </vt:variant>
      <vt:variant>
        <vt:lpwstr>https://www.canada.ca/en/immigration-refugees-citizenship/services/immigrate-canada/express-entry/eligibility/skilled-trades.html</vt:lpwstr>
      </vt:variant>
      <vt:variant>
        <vt:lpwstr/>
      </vt:variant>
      <vt:variant>
        <vt:i4>3276847</vt:i4>
      </vt:variant>
      <vt:variant>
        <vt:i4>279</vt:i4>
      </vt:variant>
      <vt:variant>
        <vt:i4>0</vt:i4>
      </vt:variant>
      <vt:variant>
        <vt:i4>5</vt:i4>
      </vt:variant>
      <vt:variant>
        <vt:lpwstr>https://iea.blob.core.windows.net/assets/a0432c97-14af-4fc7-b3bf-c409fb7e4ab8/WorldEnergyEmployment.pdf</vt:lpwstr>
      </vt:variant>
      <vt:variant>
        <vt:lpwstr/>
      </vt:variant>
      <vt:variant>
        <vt:i4>589835</vt:i4>
      </vt:variant>
      <vt:variant>
        <vt:i4>276</vt:i4>
      </vt:variant>
      <vt:variant>
        <vt:i4>0</vt:i4>
      </vt:variant>
      <vt:variant>
        <vt:i4>5</vt:i4>
      </vt:variant>
      <vt:variant>
        <vt:lpwstr>https://www.oecd.org/migration/talent-attractiveness/</vt:lpwstr>
      </vt:variant>
      <vt:variant>
        <vt:lpwstr/>
      </vt:variant>
      <vt:variant>
        <vt:i4>6750258</vt:i4>
      </vt:variant>
      <vt:variant>
        <vt:i4>273</vt:i4>
      </vt:variant>
      <vt:variant>
        <vt:i4>0</vt:i4>
      </vt:variant>
      <vt:variant>
        <vt:i4>5</vt:i4>
      </vt:variant>
      <vt:variant>
        <vt:lpwstr>https://web-assets.bcg.com/cf/76/00bdede345b09397d1269119e6f1/bcg-decoding-global-talent-onsite-and-virtual-mar-2021-rr.pdf</vt:lpwstr>
      </vt:variant>
      <vt:variant>
        <vt:lpwstr/>
      </vt:variant>
      <vt:variant>
        <vt:i4>1179651</vt:i4>
      </vt:variant>
      <vt:variant>
        <vt:i4>270</vt:i4>
      </vt:variant>
      <vt:variant>
        <vt:i4>0</vt:i4>
      </vt:variant>
      <vt:variant>
        <vt:i4>5</vt:i4>
      </vt:variant>
      <vt:variant>
        <vt:lpwstr>https://minister.homeaffairs.gov.au/ClareONeil/Pages/transcript-jobs-skills-summit-migration-system-02092022.aspx</vt:lpwstr>
      </vt:variant>
      <vt:variant>
        <vt:lpwstr/>
      </vt:variant>
      <vt:variant>
        <vt:i4>4980765</vt:i4>
      </vt:variant>
      <vt:variant>
        <vt:i4>267</vt:i4>
      </vt:variant>
      <vt:variant>
        <vt:i4>0</vt:i4>
      </vt:variant>
      <vt:variant>
        <vt:i4>5</vt:i4>
      </vt:variant>
      <vt:variant>
        <vt:lpwstr>https://www.homeaffairs.gov.au/reports-and-publications/reviews-and-inquiries/departmental-reviews/migration-system-for-australias-future</vt:lpwstr>
      </vt:variant>
      <vt:variant>
        <vt:lpwstr/>
      </vt:variant>
      <vt:variant>
        <vt:i4>851975</vt:i4>
      </vt:variant>
      <vt:variant>
        <vt:i4>264</vt:i4>
      </vt:variant>
      <vt:variant>
        <vt:i4>0</vt:i4>
      </vt:variant>
      <vt:variant>
        <vt:i4>5</vt:i4>
      </vt:variant>
      <vt:variant>
        <vt:lpwstr>https://internationaleducation.gov.au/research/research-papers/Documents/IGOS Final Report_FINAL Amendment_030919.pdf</vt:lpwstr>
      </vt:variant>
      <vt:variant>
        <vt:lpwstr/>
      </vt:variant>
      <vt:variant>
        <vt:i4>131155</vt:i4>
      </vt:variant>
      <vt:variant>
        <vt:i4>261</vt:i4>
      </vt:variant>
      <vt:variant>
        <vt:i4>0</vt:i4>
      </vt:variant>
      <vt:variant>
        <vt:i4>5</vt:i4>
      </vt:variant>
      <vt:variant>
        <vt:lpwstr>https://cwur.org/2022-23.php</vt:lpwstr>
      </vt:variant>
      <vt:variant>
        <vt:lpwstr/>
      </vt:variant>
      <vt:variant>
        <vt:i4>3735676</vt:i4>
      </vt:variant>
      <vt:variant>
        <vt:i4>258</vt:i4>
      </vt:variant>
      <vt:variant>
        <vt:i4>0</vt:i4>
      </vt:variant>
      <vt:variant>
        <vt:i4>5</vt:i4>
      </vt:variant>
      <vt:variant>
        <vt:lpwstr>https://www.ceew.in/sites/default/files/Green-Jobs-Report-Jan27.pdf</vt:lpwstr>
      </vt:variant>
      <vt:variant>
        <vt:lpwstr/>
      </vt:variant>
      <vt:variant>
        <vt:i4>2162762</vt:i4>
      </vt:variant>
      <vt:variant>
        <vt:i4>255</vt:i4>
      </vt:variant>
      <vt:variant>
        <vt:i4>0</vt:i4>
      </vt:variant>
      <vt:variant>
        <vt:i4>5</vt:i4>
      </vt:variant>
      <vt:variant>
        <vt:lpwstr>https://www.ilo.org/wcmsp5/groups/public/---dgreports/---dcomm/documents/publication/wcms_856649.pdf</vt:lpwstr>
      </vt:variant>
      <vt:variant>
        <vt:lpwstr/>
      </vt:variant>
      <vt:variant>
        <vt:i4>3801194</vt:i4>
      </vt:variant>
      <vt:variant>
        <vt:i4>252</vt:i4>
      </vt:variant>
      <vt:variant>
        <vt:i4>0</vt:i4>
      </vt:variant>
      <vt:variant>
        <vt:i4>5</vt:i4>
      </vt:variant>
      <vt:variant>
        <vt:lpwstr>https://www.wave.org.au/wp-content/uploads/2020/11/Apprenticeships-should-work-for-women-too-published.pdf</vt:lpwstr>
      </vt:variant>
      <vt:variant>
        <vt:lpwstr/>
      </vt:variant>
      <vt:variant>
        <vt:i4>1245187</vt:i4>
      </vt:variant>
      <vt:variant>
        <vt:i4>249</vt:i4>
      </vt:variant>
      <vt:variant>
        <vt:i4>0</vt:i4>
      </vt:variant>
      <vt:variant>
        <vt:i4>5</vt:i4>
      </vt:variant>
      <vt:variant>
        <vt:lpwstr>https://view.officeapps.live.com/op/view.aspx?src=https%3A%2F%2Fwww.industry.gov.au%2Fsites%2Fdefault%2Ffiles%2F2022-08%2Fyouth-in-stem-report-2021.docx&amp;wdOrigin=BROWSELINK</vt:lpwstr>
      </vt:variant>
      <vt:variant>
        <vt:lpwstr/>
      </vt:variant>
      <vt:variant>
        <vt:i4>4980829</vt:i4>
      </vt:variant>
      <vt:variant>
        <vt:i4>246</vt:i4>
      </vt:variant>
      <vt:variant>
        <vt:i4>0</vt:i4>
      </vt:variant>
      <vt:variant>
        <vt:i4>5</vt:i4>
      </vt:variant>
      <vt:variant>
        <vt:lpwstr>https://www.industry.gov.au/publications/stem-equity-monitor</vt:lpwstr>
      </vt:variant>
      <vt:variant>
        <vt:lpwstr/>
      </vt:variant>
      <vt:variant>
        <vt:i4>6094862</vt:i4>
      </vt:variant>
      <vt:variant>
        <vt:i4>243</vt:i4>
      </vt:variant>
      <vt:variant>
        <vt:i4>0</vt:i4>
      </vt:variant>
      <vt:variant>
        <vt:i4>5</vt:i4>
      </vt:variant>
      <vt:variant>
        <vt:lpwstr>https://www.accenture.com/au-en/insights/strategy/youthquake-meets-green-economy</vt:lpwstr>
      </vt:variant>
      <vt:variant>
        <vt:lpwstr/>
      </vt:variant>
      <vt:variant>
        <vt:i4>4980829</vt:i4>
      </vt:variant>
      <vt:variant>
        <vt:i4>240</vt:i4>
      </vt:variant>
      <vt:variant>
        <vt:i4>0</vt:i4>
      </vt:variant>
      <vt:variant>
        <vt:i4>5</vt:i4>
      </vt:variant>
      <vt:variant>
        <vt:lpwstr>https://www.industry.gov.au/publications/stem-equity-monitor</vt:lpwstr>
      </vt:variant>
      <vt:variant>
        <vt:lpwstr/>
      </vt:variant>
      <vt:variant>
        <vt:i4>1638411</vt:i4>
      </vt:variant>
      <vt:variant>
        <vt:i4>237</vt:i4>
      </vt:variant>
      <vt:variant>
        <vt:i4>0</vt:i4>
      </vt:variant>
      <vt:variant>
        <vt:i4>5</vt:i4>
      </vt:variant>
      <vt:variant>
        <vt:lpwstr>https://www.aitsl.edu.au/research/australian-teacher-workforce-data/atwdreports/national-trends-teacher-workforce</vt:lpwstr>
      </vt:variant>
      <vt:variant>
        <vt:lpwstr/>
      </vt:variant>
      <vt:variant>
        <vt:i4>7209018</vt:i4>
      </vt:variant>
      <vt:variant>
        <vt:i4>234</vt:i4>
      </vt:variant>
      <vt:variant>
        <vt:i4>0</vt:i4>
      </vt:variant>
      <vt:variant>
        <vt:i4>5</vt:i4>
      </vt:variant>
      <vt:variant>
        <vt:lpwstr>https://www.uow.edu.au/media/2022/breakthrough-opens-door-to-low-cost-green-hydrogen.php</vt:lpwstr>
      </vt:variant>
      <vt:variant>
        <vt:lpwstr>:~:text=In%20a%20clean%20energy%20breakthrough,green%2C%20hydrogen%20closer%20to%20reality.</vt:lpwstr>
      </vt:variant>
      <vt:variant>
        <vt:i4>5439491</vt:i4>
      </vt:variant>
      <vt:variant>
        <vt:i4>231</vt:i4>
      </vt:variant>
      <vt:variant>
        <vt:i4>0</vt:i4>
      </vt:variant>
      <vt:variant>
        <vt:i4>5</vt:i4>
      </vt:variant>
      <vt:variant>
        <vt:lpwstr>https://arena.gov.au/projects/?project-value-start=0&amp;project-value-end=200000000</vt:lpwstr>
      </vt:variant>
      <vt:variant>
        <vt:lpwstr/>
      </vt:variant>
      <vt:variant>
        <vt:i4>7536753</vt:i4>
      </vt:variant>
      <vt:variant>
        <vt:i4>228</vt:i4>
      </vt:variant>
      <vt:variant>
        <vt:i4>0</vt:i4>
      </vt:variant>
      <vt:variant>
        <vt:i4>5</vt:i4>
      </vt:variant>
      <vt:variant>
        <vt:lpwstr>https://www.starofthesouth.com.au/worker-guide</vt:lpwstr>
      </vt:variant>
      <vt:variant>
        <vt:lpwstr/>
      </vt:variant>
      <vt:variant>
        <vt:i4>5308484</vt:i4>
      </vt:variant>
      <vt:variant>
        <vt:i4>225</vt:i4>
      </vt:variant>
      <vt:variant>
        <vt:i4>0</vt:i4>
      </vt:variant>
      <vt:variant>
        <vt:i4>5</vt:i4>
      </vt:variant>
      <vt:variant>
        <vt:lpwstr>https://www.education.gov.au/microcredentials-pilot-higher-education</vt:lpwstr>
      </vt:variant>
      <vt:variant>
        <vt:lpwstr/>
      </vt:variant>
      <vt:variant>
        <vt:i4>3276849</vt:i4>
      </vt:variant>
      <vt:variant>
        <vt:i4>222</vt:i4>
      </vt:variant>
      <vt:variant>
        <vt:i4>0</vt:i4>
      </vt:variant>
      <vt:variant>
        <vt:i4>5</vt:i4>
      </vt:variant>
      <vt:variant>
        <vt:lpwstr>https://education.ec.europa.eu/education-levels/higher-education/micro-credentials</vt:lpwstr>
      </vt:variant>
      <vt:variant>
        <vt:lpwstr/>
      </vt:variant>
      <vt:variant>
        <vt:i4>3801198</vt:i4>
      </vt:variant>
      <vt:variant>
        <vt:i4>219</vt:i4>
      </vt:variant>
      <vt:variant>
        <vt:i4>0</vt:i4>
      </vt:variant>
      <vt:variant>
        <vt:i4>5</vt:i4>
      </vt:variant>
      <vt:variant>
        <vt:lpwstr>https://www.rmit.edu.au/study-with-us/levels-of-study/undergraduate-study/honours-degrees/bachelor-of-environmental-sciencebachelor-of-engineering-environmental-engineering-honours-bh096</vt:lpwstr>
      </vt:variant>
      <vt:variant>
        <vt:lpwstr/>
      </vt:variant>
      <vt:variant>
        <vt:i4>5046350</vt:i4>
      </vt:variant>
      <vt:variant>
        <vt:i4>216</vt:i4>
      </vt:variant>
      <vt:variant>
        <vt:i4>0</vt:i4>
      </vt:variant>
      <vt:variant>
        <vt:i4>5</vt:i4>
      </vt:variant>
      <vt:variant>
        <vt:lpwstr>https://www.aigroup.com.au/education-training/centre-for-education-and-training/blog/degree-apprenticeships-are-coming-to-queensland/</vt:lpwstr>
      </vt:variant>
      <vt:variant>
        <vt:lpwstr/>
      </vt:variant>
      <vt:variant>
        <vt:i4>6291500</vt:i4>
      </vt:variant>
      <vt:variant>
        <vt:i4>213</vt:i4>
      </vt:variant>
      <vt:variant>
        <vt:i4>0</vt:i4>
      </vt:variant>
      <vt:variant>
        <vt:i4>5</vt:i4>
      </vt:variant>
      <vt:variant>
        <vt:lpwstr>https://www.education.gov.au/australian-universities-accord/resources/accord-interim-report</vt:lpwstr>
      </vt:variant>
      <vt:variant>
        <vt:lpwstr/>
      </vt:variant>
      <vt:variant>
        <vt:i4>7143471</vt:i4>
      </vt:variant>
      <vt:variant>
        <vt:i4>210</vt:i4>
      </vt:variant>
      <vt:variant>
        <vt:i4>0</vt:i4>
      </vt:variant>
      <vt:variant>
        <vt:i4>5</vt:i4>
      </vt:variant>
      <vt:variant>
        <vt:lpwstr>https://www.leadingedgeenergy.com.au/blog/timeline-for-coal-exit/</vt:lpwstr>
      </vt:variant>
      <vt:variant>
        <vt:lpwstr>:~:text=The%20AEMO%20report%20quotes%20various,two%20years%2C%20to%202040).</vt:lpwstr>
      </vt:variant>
      <vt:variant>
        <vt:i4>1966174</vt:i4>
      </vt:variant>
      <vt:variant>
        <vt:i4>207</vt:i4>
      </vt:variant>
      <vt:variant>
        <vt:i4>0</vt:i4>
      </vt:variant>
      <vt:variant>
        <vt:i4>5</vt:i4>
      </vt:variant>
      <vt:variant>
        <vt:lpwstr>https://www.energyaustralia.com.au/about-us/what-we-do/generating-energy</vt:lpwstr>
      </vt:variant>
      <vt:variant>
        <vt:lpwstr/>
      </vt:variant>
      <vt:variant>
        <vt:i4>1572876</vt:i4>
      </vt:variant>
      <vt:variant>
        <vt:i4>204</vt:i4>
      </vt:variant>
      <vt:variant>
        <vt:i4>0</vt:i4>
      </vt:variant>
      <vt:variant>
        <vt:i4>5</vt:i4>
      </vt:variant>
      <vt:variant>
        <vt:lpwstr>https://www.agl.com.au/about-agl/how-we-source-energy</vt:lpwstr>
      </vt:variant>
      <vt:variant>
        <vt:lpwstr/>
      </vt:variant>
      <vt:variant>
        <vt:i4>2752540</vt:i4>
      </vt:variant>
      <vt:variant>
        <vt:i4>201</vt:i4>
      </vt:variant>
      <vt:variant>
        <vt:i4>0</vt:i4>
      </vt:variant>
      <vt:variant>
        <vt:i4>5</vt:i4>
      </vt:variant>
      <vt:variant>
        <vt:lpwstr>https://www.bp.com/en_au/australia/home/media/press-releases/biorefinery-plans-new-milestone.html</vt:lpwstr>
      </vt:variant>
      <vt:variant>
        <vt:lpwstr/>
      </vt:variant>
      <vt:variant>
        <vt:i4>2424867</vt:i4>
      </vt:variant>
      <vt:variant>
        <vt:i4>198</vt:i4>
      </vt:variant>
      <vt:variant>
        <vt:i4>0</vt:i4>
      </vt:variant>
      <vt:variant>
        <vt:i4>5</vt:i4>
      </vt:variant>
      <vt:variant>
        <vt:lpwstr>https://arena.gov.au/projects/kwinana-waste-to-energy-project/</vt:lpwstr>
      </vt:variant>
      <vt:variant>
        <vt:lpwstr/>
      </vt:variant>
      <vt:variant>
        <vt:i4>7536698</vt:i4>
      </vt:variant>
      <vt:variant>
        <vt:i4>195</vt:i4>
      </vt:variant>
      <vt:variant>
        <vt:i4>0</vt:i4>
      </vt:variant>
      <vt:variant>
        <vt:i4>5</vt:i4>
      </vt:variant>
      <vt:variant>
        <vt:lpwstr>https://www.dcceew.gov.au/environment/protection/waste/national-waste-reports/2022</vt:lpwstr>
      </vt:variant>
      <vt:variant>
        <vt:lpwstr/>
      </vt:variant>
      <vt:variant>
        <vt:i4>1966102</vt:i4>
      </vt:variant>
      <vt:variant>
        <vt:i4>192</vt:i4>
      </vt:variant>
      <vt:variant>
        <vt:i4>0</vt:i4>
      </vt:variant>
      <vt:variant>
        <vt:i4>5</vt:i4>
      </vt:variant>
      <vt:variant>
        <vt:lpwstr>https://www.canberratimes.com.au/story/8052950/australia-to-make-electric-buses-go-round/</vt:lpwstr>
      </vt:variant>
      <vt:variant>
        <vt:lpwstr/>
      </vt:variant>
      <vt:variant>
        <vt:i4>2162808</vt:i4>
      </vt:variant>
      <vt:variant>
        <vt:i4>189</vt:i4>
      </vt:variant>
      <vt:variant>
        <vt:i4>0</vt:i4>
      </vt:variant>
      <vt:variant>
        <vt:i4>5</vt:i4>
      </vt:variant>
      <vt:variant>
        <vt:lpwstr>https://www.governmentnews.com.au/queensland-boosts-electric-bus-fleet/</vt:lpwstr>
      </vt:variant>
      <vt:variant>
        <vt:lpwstr/>
      </vt:variant>
      <vt:variant>
        <vt:i4>131166</vt:i4>
      </vt:variant>
      <vt:variant>
        <vt:i4>186</vt:i4>
      </vt:variant>
      <vt:variant>
        <vt:i4>0</vt:i4>
      </vt:variant>
      <vt:variant>
        <vt:i4>5</vt:i4>
      </vt:variant>
      <vt:variant>
        <vt:lpwstr>https://www.premier.vic.gov.au/wind-turbines-bring-manufacturing-jobs-geelong</vt:lpwstr>
      </vt:variant>
      <vt:variant>
        <vt:lpwstr/>
      </vt:variant>
      <vt:variant>
        <vt:i4>2031632</vt:i4>
      </vt:variant>
      <vt:variant>
        <vt:i4>183</vt:i4>
      </vt:variant>
      <vt:variant>
        <vt:i4>0</vt:i4>
      </vt:variant>
      <vt:variant>
        <vt:i4>5</vt:i4>
      </vt:variant>
      <vt:variant>
        <vt:lpwstr>https://www.industry.gov.au/sites/default/files/2023-07/resources-and-energy-quarterly-june-2023.pdf</vt:lpwstr>
      </vt:variant>
      <vt:variant>
        <vt:lpwstr/>
      </vt:variant>
      <vt:variant>
        <vt:i4>2031632</vt:i4>
      </vt:variant>
      <vt:variant>
        <vt:i4>180</vt:i4>
      </vt:variant>
      <vt:variant>
        <vt:i4>0</vt:i4>
      </vt:variant>
      <vt:variant>
        <vt:i4>5</vt:i4>
      </vt:variant>
      <vt:variant>
        <vt:lpwstr>https://www.industry.gov.au/sites/default/files/2023-07/resources-and-energy-quarterly-june-2023.pdf</vt:lpwstr>
      </vt:variant>
      <vt:variant>
        <vt:lpwstr/>
      </vt:variant>
      <vt:variant>
        <vt:i4>5898251</vt:i4>
      </vt:variant>
      <vt:variant>
        <vt:i4>177</vt:i4>
      </vt:variant>
      <vt:variant>
        <vt:i4>0</vt:i4>
      </vt:variant>
      <vt:variant>
        <vt:i4>5</vt:i4>
      </vt:variant>
      <vt:variant>
        <vt:lpwstr>https://www.globalaustralia.gov.au/industries/net-zero/critical-minerals/prospectus-2022</vt:lpwstr>
      </vt:variant>
      <vt:variant>
        <vt:lpwstr/>
      </vt:variant>
      <vt:variant>
        <vt:i4>5308421</vt:i4>
      </vt:variant>
      <vt:variant>
        <vt:i4>174</vt:i4>
      </vt:variant>
      <vt:variant>
        <vt:i4>0</vt:i4>
      </vt:variant>
      <vt:variant>
        <vt:i4>5</vt:i4>
      </vt:variant>
      <vt:variant>
        <vt:lpwstr>https://www.industry.gov.au/sites/default/files/2023-06/critical-minerals-strategy-2023-2030.pdf</vt:lpwstr>
      </vt:variant>
      <vt:variant>
        <vt:lpwstr/>
      </vt:variant>
      <vt:variant>
        <vt:i4>720964</vt:i4>
      </vt:variant>
      <vt:variant>
        <vt:i4>171</vt:i4>
      </vt:variant>
      <vt:variant>
        <vt:i4>0</vt:i4>
      </vt:variant>
      <vt:variant>
        <vt:i4>5</vt:i4>
      </vt:variant>
      <vt:variant>
        <vt:lpwstr>https://www.climateworkscentre.org/resource/net-zero-momentum-tracker-superannuation-sector/</vt:lpwstr>
      </vt:variant>
      <vt:variant>
        <vt:lpwstr/>
      </vt:variant>
      <vt:variant>
        <vt:i4>5701717</vt:i4>
      </vt:variant>
      <vt:variant>
        <vt:i4>168</vt:i4>
      </vt:variant>
      <vt:variant>
        <vt:i4>0</vt:i4>
      </vt:variant>
      <vt:variant>
        <vt:i4>5</vt:i4>
      </vt:variant>
      <vt:variant>
        <vt:lpwstr>https://www.climateworkscentre.org/resource/net-zero-momentum-tracker-banking-sector-report/</vt:lpwstr>
      </vt:variant>
      <vt:variant>
        <vt:lpwstr/>
      </vt:variant>
      <vt:variant>
        <vt:i4>3080319</vt:i4>
      </vt:variant>
      <vt:variant>
        <vt:i4>165</vt:i4>
      </vt:variant>
      <vt:variant>
        <vt:i4>0</vt:i4>
      </vt:variant>
      <vt:variant>
        <vt:i4>5</vt:i4>
      </vt:variant>
      <vt:variant>
        <vt:lpwstr>https://www.whichcar.com.au/advice/ev-servicing-costs-explained</vt:lpwstr>
      </vt:variant>
      <vt:variant>
        <vt:lpwstr/>
      </vt:variant>
      <vt:variant>
        <vt:i4>4980829</vt:i4>
      </vt:variant>
      <vt:variant>
        <vt:i4>162</vt:i4>
      </vt:variant>
      <vt:variant>
        <vt:i4>0</vt:i4>
      </vt:variant>
      <vt:variant>
        <vt:i4>5</vt:i4>
      </vt:variant>
      <vt:variant>
        <vt:lpwstr>https://afma.org.au/australian-new-car-sales-surge-in-june-2023/</vt:lpwstr>
      </vt:variant>
      <vt:variant>
        <vt:lpwstr/>
      </vt:variant>
      <vt:variant>
        <vt:i4>2162808</vt:i4>
      </vt:variant>
      <vt:variant>
        <vt:i4>159</vt:i4>
      </vt:variant>
      <vt:variant>
        <vt:i4>0</vt:i4>
      </vt:variant>
      <vt:variant>
        <vt:i4>5</vt:i4>
      </vt:variant>
      <vt:variant>
        <vt:lpwstr>https://www.governmentnews.com.au/queensland-boosts-electric-bus-fleet/</vt:lpwstr>
      </vt:variant>
      <vt:variant>
        <vt:lpwstr/>
      </vt:variant>
      <vt:variant>
        <vt:i4>7995432</vt:i4>
      </vt:variant>
      <vt:variant>
        <vt:i4>156</vt:i4>
      </vt:variant>
      <vt:variant>
        <vt:i4>0</vt:i4>
      </vt:variant>
      <vt:variant>
        <vt:i4>5</vt:i4>
      </vt:variant>
      <vt:variant>
        <vt:lpwstr>https://www.busnews.com.au/industry-news/2303/inside-the-state-of-the-current-australian-electric-bus-industry</vt:lpwstr>
      </vt:variant>
      <vt:variant>
        <vt:lpwstr/>
      </vt:variant>
      <vt:variant>
        <vt:i4>917516</vt:i4>
      </vt:variant>
      <vt:variant>
        <vt:i4>153</vt:i4>
      </vt:variant>
      <vt:variant>
        <vt:i4>0</vt:i4>
      </vt:variant>
      <vt:variant>
        <vt:i4>5</vt:i4>
      </vt:variant>
      <vt:variant>
        <vt:lpwstr>https://research.csiro.au/hyresource/central-queensland-hydrogen-project/</vt:lpwstr>
      </vt:variant>
      <vt:variant>
        <vt:lpwstr/>
      </vt:variant>
      <vt:variant>
        <vt:i4>917516</vt:i4>
      </vt:variant>
      <vt:variant>
        <vt:i4>150</vt:i4>
      </vt:variant>
      <vt:variant>
        <vt:i4>0</vt:i4>
      </vt:variant>
      <vt:variant>
        <vt:i4>5</vt:i4>
      </vt:variant>
      <vt:variant>
        <vt:lpwstr>https://research.csiro.au/hyresource/central-queensland-hydrogen-project/</vt:lpwstr>
      </vt:variant>
      <vt:variant>
        <vt:lpwstr/>
      </vt:variant>
      <vt:variant>
        <vt:i4>131146</vt:i4>
      </vt:variant>
      <vt:variant>
        <vt:i4>147</vt:i4>
      </vt:variant>
      <vt:variant>
        <vt:i4>0</vt:i4>
      </vt:variant>
      <vt:variant>
        <vt:i4>5</vt:i4>
      </vt:variant>
      <vt:variant>
        <vt:lpwstr>https://research.csiro.au/hyresource/hunter-hydrogen-hub/</vt:lpwstr>
      </vt:variant>
      <vt:variant>
        <vt:lpwstr/>
      </vt:variant>
      <vt:variant>
        <vt:i4>6815796</vt:i4>
      </vt:variant>
      <vt:variant>
        <vt:i4>144</vt:i4>
      </vt:variant>
      <vt:variant>
        <vt:i4>0</vt:i4>
      </vt:variant>
      <vt:variant>
        <vt:i4>5</vt:i4>
      </vt:variant>
      <vt:variant>
        <vt:lpwstr>https://www.csiro.au/en/maps/Hydrogen-storage-and-distribution</vt:lpwstr>
      </vt:variant>
      <vt:variant>
        <vt:lpwstr/>
      </vt:variant>
      <vt:variant>
        <vt:i4>917535</vt:i4>
      </vt:variant>
      <vt:variant>
        <vt:i4>141</vt:i4>
      </vt:variant>
      <vt:variant>
        <vt:i4>0</vt:i4>
      </vt:variant>
      <vt:variant>
        <vt:i4>5</vt:i4>
      </vt:variant>
      <vt:variant>
        <vt:lpwstr>https://www.squadronenergy.com/our-wind-projects</vt:lpwstr>
      </vt:variant>
      <vt:variant>
        <vt:lpwstr/>
      </vt:variant>
      <vt:variant>
        <vt:i4>8192032</vt:i4>
      </vt:variant>
      <vt:variant>
        <vt:i4>138</vt:i4>
      </vt:variant>
      <vt:variant>
        <vt:i4>0</vt:i4>
      </vt:variant>
      <vt:variant>
        <vt:i4>5</vt:i4>
      </vt:variant>
      <vt:variant>
        <vt:lpwstr>https://www.iberdrola.com.au/our-assets/asset-map/</vt:lpwstr>
      </vt:variant>
      <vt:variant>
        <vt:lpwstr/>
      </vt:variant>
      <vt:variant>
        <vt:i4>6029385</vt:i4>
      </vt:variant>
      <vt:variant>
        <vt:i4>135</vt:i4>
      </vt:variant>
      <vt:variant>
        <vt:i4>0</vt:i4>
      </vt:variant>
      <vt:variant>
        <vt:i4>5</vt:i4>
      </vt:variant>
      <vt:variant>
        <vt:lpwstr>https://www.iberdrola.com.au/</vt:lpwstr>
      </vt:variant>
      <vt:variant>
        <vt:lpwstr/>
      </vt:variant>
      <vt:variant>
        <vt:i4>1572876</vt:i4>
      </vt:variant>
      <vt:variant>
        <vt:i4>132</vt:i4>
      </vt:variant>
      <vt:variant>
        <vt:i4>0</vt:i4>
      </vt:variant>
      <vt:variant>
        <vt:i4>5</vt:i4>
      </vt:variant>
      <vt:variant>
        <vt:lpwstr>https://www.agl.com.au/about-agl/how-we-source-energy</vt:lpwstr>
      </vt:variant>
      <vt:variant>
        <vt:lpwstr/>
      </vt:variant>
      <vt:variant>
        <vt:i4>1572876</vt:i4>
      </vt:variant>
      <vt:variant>
        <vt:i4>129</vt:i4>
      </vt:variant>
      <vt:variant>
        <vt:i4>0</vt:i4>
      </vt:variant>
      <vt:variant>
        <vt:i4>5</vt:i4>
      </vt:variant>
      <vt:variant>
        <vt:lpwstr>https://www.agl.com.au/about-agl/how-we-source-energy</vt:lpwstr>
      </vt:variant>
      <vt:variant>
        <vt:lpwstr/>
      </vt:variant>
      <vt:variant>
        <vt:i4>2293886</vt:i4>
      </vt:variant>
      <vt:variant>
        <vt:i4>126</vt:i4>
      </vt:variant>
      <vt:variant>
        <vt:i4>0</vt:i4>
      </vt:variant>
      <vt:variant>
        <vt:i4>5</vt:i4>
      </vt:variant>
      <vt:variant>
        <vt:lpwstr>https://www.pv-magazine-australia.com/2022/07/25/enel-looks-to-sell-major-stake-in-australian-wind-solar-portfolio/</vt:lpwstr>
      </vt:variant>
      <vt:variant>
        <vt:lpwstr/>
      </vt:variant>
      <vt:variant>
        <vt:i4>2031687</vt:i4>
      </vt:variant>
      <vt:variant>
        <vt:i4>123</vt:i4>
      </vt:variant>
      <vt:variant>
        <vt:i4>0</vt:i4>
      </vt:variant>
      <vt:variant>
        <vt:i4>5</vt:i4>
      </vt:variant>
      <vt:variant>
        <vt:lpwstr>https://www.enel.com/media/explore/search-press-releases/press/2023/07/enel-signs-deal-to-sell-50-of-enel-green-power-australia-to-inpex-corporation</vt:lpwstr>
      </vt:variant>
      <vt:variant>
        <vt:lpwstr/>
      </vt:variant>
      <vt:variant>
        <vt:i4>1179742</vt:i4>
      </vt:variant>
      <vt:variant>
        <vt:i4>120</vt:i4>
      </vt:variant>
      <vt:variant>
        <vt:i4>0</vt:i4>
      </vt:variant>
      <vt:variant>
        <vt:i4>5</vt:i4>
      </vt:variant>
      <vt:variant>
        <vt:lpwstr>https://numurkahsolarfarm.com.au/</vt:lpwstr>
      </vt:variant>
      <vt:variant>
        <vt:lpwstr/>
      </vt:variant>
      <vt:variant>
        <vt:i4>262226</vt:i4>
      </vt:variant>
      <vt:variant>
        <vt:i4>117</vt:i4>
      </vt:variant>
      <vt:variant>
        <vt:i4>0</vt:i4>
      </vt:variant>
      <vt:variant>
        <vt:i4>5</vt:i4>
      </vt:variant>
      <vt:variant>
        <vt:lpwstr>https://griffithsolarfarm.com.au/</vt:lpwstr>
      </vt:variant>
      <vt:variant>
        <vt:lpwstr/>
      </vt:variant>
      <vt:variant>
        <vt:i4>6488106</vt:i4>
      </vt:variant>
      <vt:variant>
        <vt:i4>114</vt:i4>
      </vt:variant>
      <vt:variant>
        <vt:i4>0</vt:i4>
      </vt:variant>
      <vt:variant>
        <vt:i4>5</vt:i4>
      </vt:variant>
      <vt:variant>
        <vt:lpwstr>https://www.investment.nsw.gov.au/assets/Industry-sectors/Clean-economy/neoen-australia-case-study.pdf</vt:lpwstr>
      </vt:variant>
      <vt:variant>
        <vt:lpwstr/>
      </vt:variant>
      <vt:variant>
        <vt:i4>4259912</vt:i4>
      </vt:variant>
      <vt:variant>
        <vt:i4>111</vt:i4>
      </vt:variant>
      <vt:variant>
        <vt:i4>0</vt:i4>
      </vt:variant>
      <vt:variant>
        <vt:i4>5</vt:i4>
      </vt:variant>
      <vt:variant>
        <vt:lpwstr>https://www.pv-magazine.com/2021/10/29/neoen-connects-460-mw-solar-farm-to-grid-in-australia/</vt:lpwstr>
      </vt:variant>
      <vt:variant>
        <vt:lpwstr/>
      </vt:variant>
      <vt:variant>
        <vt:i4>5505050</vt:i4>
      </vt:variant>
      <vt:variant>
        <vt:i4>108</vt:i4>
      </vt:variant>
      <vt:variant>
        <vt:i4>0</vt:i4>
      </vt:variant>
      <vt:variant>
        <vt:i4>5</vt:i4>
      </vt:variant>
      <vt:variant>
        <vt:lpwstr>https://www.afr.com/companies/energy/neoen-starts-construction-of-fifth-big-battery-in-australia-20230105-p5camb</vt:lpwstr>
      </vt:variant>
      <vt:variant>
        <vt:lpwstr/>
      </vt:variant>
      <vt:variant>
        <vt:i4>1114180</vt:i4>
      </vt:variant>
      <vt:variant>
        <vt:i4>105</vt:i4>
      </vt:variant>
      <vt:variant>
        <vt:i4>0</vt:i4>
      </vt:variant>
      <vt:variant>
        <vt:i4>5</vt:i4>
      </vt:variant>
      <vt:variant>
        <vt:lpwstr>https://neoen.com/en/</vt:lpwstr>
      </vt:variant>
      <vt:variant>
        <vt:lpwstr/>
      </vt:variant>
      <vt:variant>
        <vt:i4>5832758</vt:i4>
      </vt:variant>
      <vt:variant>
        <vt:i4>102</vt:i4>
      </vt:variant>
      <vt:variant>
        <vt:i4>0</vt:i4>
      </vt:variant>
      <vt:variant>
        <vt:i4>5</vt:i4>
      </vt:variant>
      <vt:variant>
        <vt:lpwstr>https://www.pv-magazine.com/2015/04/08/abdul-latif-jameel-completes-frv-acquisition_100018962/</vt:lpwstr>
      </vt:variant>
      <vt:variant>
        <vt:lpwstr/>
      </vt:variant>
      <vt:variant>
        <vt:i4>2162721</vt:i4>
      </vt:variant>
      <vt:variant>
        <vt:i4>99</vt:i4>
      </vt:variant>
      <vt:variant>
        <vt:i4>0</vt:i4>
      </vt:variant>
      <vt:variant>
        <vt:i4>5</vt:i4>
      </vt:variant>
      <vt:variant>
        <vt:lpwstr>https://www.energy-transition-hub.org/partner/fotowatio-renewable-ventures-frv</vt:lpwstr>
      </vt:variant>
      <vt:variant>
        <vt:lpwstr/>
      </vt:variant>
      <vt:variant>
        <vt:i4>5570640</vt:i4>
      </vt:variant>
      <vt:variant>
        <vt:i4>96</vt:i4>
      </vt:variant>
      <vt:variant>
        <vt:i4>0</vt:i4>
      </vt:variant>
      <vt:variant>
        <vt:i4>5</vt:i4>
      </vt:variant>
      <vt:variant>
        <vt:lpwstr>https://www.cleanenergycouncil.org.au/resources/resources-hub/empowering-everyone-diversity-in-the-australian-clean-energy-sector</vt:lpwstr>
      </vt:variant>
      <vt:variant>
        <vt:lpwstr/>
      </vt:variant>
      <vt:variant>
        <vt:i4>2883600</vt:i4>
      </vt:variant>
      <vt:variant>
        <vt:i4>93</vt:i4>
      </vt:variant>
      <vt:variant>
        <vt:i4>0</vt:i4>
      </vt:variant>
      <vt:variant>
        <vt:i4>5</vt:i4>
      </vt:variant>
      <vt:variant>
        <vt:lpwstr>https://consult.abs.gov.au/standards-and-classifications/anzsco-targeted-update-2021-proposed-changes/supporting_documents/FAQs_Proposed Changes_Ver6.pdf</vt:lpwstr>
      </vt:variant>
      <vt:variant>
        <vt:lpwstr/>
      </vt:variant>
      <vt:variant>
        <vt:i4>4915220</vt:i4>
      </vt:variant>
      <vt:variant>
        <vt:i4>90</vt:i4>
      </vt:variant>
      <vt:variant>
        <vt:i4>0</vt:i4>
      </vt:variant>
      <vt:variant>
        <vt:i4>5</vt:i4>
      </vt:variant>
      <vt:variant>
        <vt:lpwstr>https://www.nationalskillscommission.gov.au/reports/emerging-occupations</vt:lpwstr>
      </vt:variant>
      <vt:variant>
        <vt:lpwstr/>
      </vt:variant>
      <vt:variant>
        <vt:i4>1245198</vt:i4>
      </vt:variant>
      <vt:variant>
        <vt:i4>87</vt:i4>
      </vt:variant>
      <vt:variant>
        <vt:i4>0</vt:i4>
      </vt:variant>
      <vt:variant>
        <vt:i4>5</vt:i4>
      </vt:variant>
      <vt:variant>
        <vt:lpwstr>https://www.abs.gov.au/statistics/industry/energy/energy-account-australia/latest-release</vt:lpwstr>
      </vt:variant>
      <vt:variant>
        <vt:lpwstr/>
      </vt:variant>
      <vt:variant>
        <vt:i4>2556016</vt:i4>
      </vt:variant>
      <vt:variant>
        <vt:i4>84</vt:i4>
      </vt:variant>
      <vt:variant>
        <vt:i4>0</vt:i4>
      </vt:variant>
      <vt:variant>
        <vt:i4>5</vt:i4>
      </vt:variant>
      <vt:variant>
        <vt:lpwstr>https://www.cleanenergyregulator.gov.au/NGER/National greenhouse and energy reporting data/a-closer-look-at-emissions-and-energy-data/australia%E2%80%99s-scope-1-emissions-by-industry-for-nger-reporters</vt:lpwstr>
      </vt:variant>
      <vt:variant>
        <vt:lpwstr/>
      </vt:variant>
      <vt:variant>
        <vt:i4>3211380</vt:i4>
      </vt:variant>
      <vt:variant>
        <vt:i4>81</vt:i4>
      </vt:variant>
      <vt:variant>
        <vt:i4>0</vt:i4>
      </vt:variant>
      <vt:variant>
        <vt:i4>5</vt:i4>
      </vt:variant>
      <vt:variant>
        <vt:lpwstr>https://www.csiro.au/en/research/environmental-impacts/emissions/carbon-sequestration-potential</vt:lpwstr>
      </vt:variant>
      <vt:variant>
        <vt:lpwstr/>
      </vt:variant>
      <vt:variant>
        <vt:i4>5111838</vt:i4>
      </vt:variant>
      <vt:variant>
        <vt:i4>78</vt:i4>
      </vt:variant>
      <vt:variant>
        <vt:i4>0</vt:i4>
      </vt:variant>
      <vt:variant>
        <vt:i4>5</vt:i4>
      </vt:variant>
      <vt:variant>
        <vt:lpwstr>https://minister.dcceew.gov.au/plibersek/speeches/speech-launch-national-clothing-product-stewardship-scheme</vt:lpwstr>
      </vt:variant>
      <vt:variant>
        <vt:lpwstr/>
      </vt:variant>
      <vt:variant>
        <vt:i4>6225925</vt:i4>
      </vt:variant>
      <vt:variant>
        <vt:i4>75</vt:i4>
      </vt:variant>
      <vt:variant>
        <vt:i4>0</vt:i4>
      </vt:variant>
      <vt:variant>
        <vt:i4>5</vt:i4>
      </vt:variant>
      <vt:variant>
        <vt:lpwstr>https://www.dcceew.gov.au/environment/protection/waste/publications/national-waste-policy-action-plan</vt:lpwstr>
      </vt:variant>
      <vt:variant>
        <vt:lpwstr/>
      </vt:variant>
      <vt:variant>
        <vt:i4>131166</vt:i4>
      </vt:variant>
      <vt:variant>
        <vt:i4>72</vt:i4>
      </vt:variant>
      <vt:variant>
        <vt:i4>0</vt:i4>
      </vt:variant>
      <vt:variant>
        <vt:i4>5</vt:i4>
      </vt:variant>
      <vt:variant>
        <vt:lpwstr>https://www.premier.vic.gov.au/wind-turbines-bring-manufacturing-jobs-geelong</vt:lpwstr>
      </vt:variant>
      <vt:variant>
        <vt:lpwstr/>
      </vt:variant>
      <vt:variant>
        <vt:i4>4849748</vt:i4>
      </vt:variant>
      <vt:variant>
        <vt:i4>69</vt:i4>
      </vt:variant>
      <vt:variant>
        <vt:i4>0</vt:i4>
      </vt:variant>
      <vt:variant>
        <vt:i4>5</vt:i4>
      </vt:variant>
      <vt:variant>
        <vt:lpwstr>https://www.apsc.gov.au/employment-data/aps-employment-data-31-december-2022</vt:lpwstr>
      </vt:variant>
      <vt:variant>
        <vt:lpwstr/>
      </vt:variant>
      <vt:variant>
        <vt:i4>720909</vt:i4>
      </vt:variant>
      <vt:variant>
        <vt:i4>66</vt:i4>
      </vt:variant>
      <vt:variant>
        <vt:i4>0</vt:i4>
      </vt:variant>
      <vt:variant>
        <vt:i4>5</vt:i4>
      </vt:variant>
      <vt:variant>
        <vt:lpwstr>https://www.uts.edu.au/sites/default/files/2020-07/CEC Report ETH webinar 25-6-20.pdf</vt:lpwstr>
      </vt:variant>
      <vt:variant>
        <vt:lpwstr/>
      </vt:variant>
      <vt:variant>
        <vt:i4>3276847</vt:i4>
      </vt:variant>
      <vt:variant>
        <vt:i4>63</vt:i4>
      </vt:variant>
      <vt:variant>
        <vt:i4>0</vt:i4>
      </vt:variant>
      <vt:variant>
        <vt:i4>5</vt:i4>
      </vt:variant>
      <vt:variant>
        <vt:lpwstr>https://iea.blob.core.windows.net/assets/a0432c97-14af-4fc7-b3bf-c409fb7e4ab8/WorldEnergyEmployment.pdf</vt:lpwstr>
      </vt:variant>
      <vt:variant>
        <vt:lpwstr/>
      </vt:variant>
      <vt:variant>
        <vt:i4>655389</vt:i4>
      </vt:variant>
      <vt:variant>
        <vt:i4>60</vt:i4>
      </vt:variant>
      <vt:variant>
        <vt:i4>0</vt:i4>
      </vt:variant>
      <vt:variant>
        <vt:i4>5</vt:i4>
      </vt:variant>
      <vt:variant>
        <vt:lpwstr>https://arena.gov.au/assets/2014/05/ARC-study.pdf.pdf</vt:lpwstr>
      </vt:variant>
      <vt:variant>
        <vt:lpwstr/>
      </vt:variant>
      <vt:variant>
        <vt:i4>4325463</vt:i4>
      </vt:variant>
      <vt:variant>
        <vt:i4>57</vt:i4>
      </vt:variant>
      <vt:variant>
        <vt:i4>0</vt:i4>
      </vt:variant>
      <vt:variant>
        <vt:i4>5</vt:i4>
      </vt:variant>
      <vt:variant>
        <vt:lpwstr>https://www.fcai.com.au/news/index/view/news/801</vt:lpwstr>
      </vt:variant>
      <vt:variant>
        <vt:lpwstr/>
      </vt:variant>
      <vt:variant>
        <vt:i4>7209065</vt:i4>
      </vt:variant>
      <vt:variant>
        <vt:i4>54</vt:i4>
      </vt:variant>
      <vt:variant>
        <vt:i4>0</vt:i4>
      </vt:variant>
      <vt:variant>
        <vt:i4>5</vt:i4>
      </vt:variant>
      <vt:variant>
        <vt:lpwstr>https://www.abs.gov.au/statistics/industry/building-and-construction/building-activity-australia/latest-release</vt:lpwstr>
      </vt:variant>
      <vt:variant>
        <vt:lpwstr/>
      </vt:variant>
      <vt:variant>
        <vt:i4>1900561</vt:i4>
      </vt:variant>
      <vt:variant>
        <vt:i4>51</vt:i4>
      </vt:variant>
      <vt:variant>
        <vt:i4>0</vt:i4>
      </vt:variant>
      <vt:variant>
        <vt:i4>5</vt:i4>
      </vt:variant>
      <vt:variant>
        <vt:lpwstr>https://www.abs.gov.au/statistics/labour/employment-and-unemployment/employment-renewable-energy-activities-australia/latest-release</vt:lpwstr>
      </vt:variant>
      <vt:variant>
        <vt:lpwstr/>
      </vt:variant>
      <vt:variant>
        <vt:i4>7667831</vt:i4>
      </vt:variant>
      <vt:variant>
        <vt:i4>48</vt:i4>
      </vt:variant>
      <vt:variant>
        <vt:i4>0</vt:i4>
      </vt:variant>
      <vt:variant>
        <vt:i4>5</vt:i4>
      </vt:variant>
      <vt:variant>
        <vt:lpwstr>https://aemo.com.au/-/media/files/major-publications/isp/2022/supporting-materials/the-australian-electricity-workforce-for-the-2022-isp.pdf?la=en</vt:lpwstr>
      </vt:variant>
      <vt:variant>
        <vt:lpwstr/>
      </vt:variant>
      <vt:variant>
        <vt:i4>1900561</vt:i4>
      </vt:variant>
      <vt:variant>
        <vt:i4>45</vt:i4>
      </vt:variant>
      <vt:variant>
        <vt:i4>0</vt:i4>
      </vt:variant>
      <vt:variant>
        <vt:i4>5</vt:i4>
      </vt:variant>
      <vt:variant>
        <vt:lpwstr>https://www.abs.gov.au/statistics/labour/employment-and-unemployment/employment-renewable-energy-activities-australia/latest-release</vt:lpwstr>
      </vt:variant>
      <vt:variant>
        <vt:lpwstr/>
      </vt:variant>
      <vt:variant>
        <vt:i4>1900561</vt:i4>
      </vt:variant>
      <vt:variant>
        <vt:i4>42</vt:i4>
      </vt:variant>
      <vt:variant>
        <vt:i4>0</vt:i4>
      </vt:variant>
      <vt:variant>
        <vt:i4>5</vt:i4>
      </vt:variant>
      <vt:variant>
        <vt:lpwstr>https://www.abs.gov.au/statistics/labour/employment-and-unemployment/employment-renewable-energy-activities-australia/latest-release</vt:lpwstr>
      </vt:variant>
      <vt:variant>
        <vt:lpwstr/>
      </vt:variant>
      <vt:variant>
        <vt:i4>8192036</vt:i4>
      </vt:variant>
      <vt:variant>
        <vt:i4>39</vt:i4>
      </vt:variant>
      <vt:variant>
        <vt:i4>0</vt:i4>
      </vt:variant>
      <vt:variant>
        <vt:i4>5</vt:i4>
      </vt:variant>
      <vt:variant>
        <vt:lpwstr>https://www.cleanenergycouncil.org.au/resources/resources-hub/clean-energy-australia-report</vt:lpwstr>
      </vt:variant>
      <vt:variant>
        <vt:lpwstr/>
      </vt:variant>
      <vt:variant>
        <vt:i4>3145801</vt:i4>
      </vt:variant>
      <vt:variant>
        <vt:i4>36</vt:i4>
      </vt:variant>
      <vt:variant>
        <vt:i4>0</vt:i4>
      </vt:variant>
      <vt:variant>
        <vt:i4>5</vt:i4>
      </vt:variant>
      <vt:variant>
        <vt:lpwstr>https://assets.cleanenergycouncil.org.au/documents/CEC_Skilling-the-Energy-Transition-2022.pdf</vt:lpwstr>
      </vt:variant>
      <vt:variant>
        <vt:lpwstr/>
      </vt:variant>
      <vt:variant>
        <vt:i4>7536680</vt:i4>
      </vt:variant>
      <vt:variant>
        <vt:i4>33</vt:i4>
      </vt:variant>
      <vt:variant>
        <vt:i4>0</vt:i4>
      </vt:variant>
      <vt:variant>
        <vt:i4>5</vt:i4>
      </vt:variant>
      <vt:variant>
        <vt:lpwstr>https://www.energy.gov.au/government-priorities/energy-and-climate-change-ministerial-council/priorities/national-energy-transformation-partnership</vt:lpwstr>
      </vt:variant>
      <vt:variant>
        <vt:lpwstr/>
      </vt:variant>
      <vt:variant>
        <vt:i4>3145801</vt:i4>
      </vt:variant>
      <vt:variant>
        <vt:i4>30</vt:i4>
      </vt:variant>
      <vt:variant>
        <vt:i4>0</vt:i4>
      </vt:variant>
      <vt:variant>
        <vt:i4>5</vt:i4>
      </vt:variant>
      <vt:variant>
        <vt:lpwstr>https://assets.cleanenergycouncil.org.au/documents/CEC_Skilling-the-Energy-Transition-2022.pdf</vt:lpwstr>
      </vt:variant>
      <vt:variant>
        <vt:lpwstr/>
      </vt:variant>
      <vt:variant>
        <vt:i4>7798826</vt:i4>
      </vt:variant>
      <vt:variant>
        <vt:i4>27</vt:i4>
      </vt:variant>
      <vt:variant>
        <vt:i4>0</vt:i4>
      </vt:variant>
      <vt:variant>
        <vt:i4>5</vt:i4>
      </vt:variant>
      <vt:variant>
        <vt:lpwstr>https://www.pm.gov.au/media/national-net-zero-authority</vt:lpwstr>
      </vt:variant>
      <vt:variant>
        <vt:lpwstr/>
      </vt:variant>
      <vt:variant>
        <vt:i4>6946884</vt:i4>
      </vt:variant>
      <vt:variant>
        <vt:i4>24</vt:i4>
      </vt:variant>
      <vt:variant>
        <vt:i4>0</vt:i4>
      </vt:variant>
      <vt:variant>
        <vt:i4>5</vt:i4>
      </vt:variant>
      <vt:variant>
        <vt:lpwstr>https://commission.europa.eu/strategy-and-policy/priorities-2019-2024/european-green-deal/green-deal-industrial-plan_en</vt:lpwstr>
      </vt:variant>
      <vt:variant>
        <vt:lpwstr/>
      </vt:variant>
      <vt:variant>
        <vt:i4>8192032</vt:i4>
      </vt:variant>
      <vt:variant>
        <vt:i4>21</vt:i4>
      </vt:variant>
      <vt:variant>
        <vt:i4>0</vt:i4>
      </vt:variant>
      <vt:variant>
        <vt:i4>5</vt:i4>
      </vt:variant>
      <vt:variant>
        <vt:lpwstr>https://www.airswift.com/geti/</vt:lpwstr>
      </vt:variant>
      <vt:variant>
        <vt:lpwstr/>
      </vt:variant>
      <vt:variant>
        <vt:i4>5439558</vt:i4>
      </vt:variant>
      <vt:variant>
        <vt:i4>18</vt:i4>
      </vt:variant>
      <vt:variant>
        <vt:i4>0</vt:i4>
      </vt:variant>
      <vt:variant>
        <vt:i4>5</vt:i4>
      </vt:variant>
      <vt:variant>
        <vt:lpwstr>https://www.dcceew.gov.au/energy/transport/national-electric-vehicle-strategy</vt:lpwstr>
      </vt:variant>
      <vt:variant>
        <vt:lpwstr/>
      </vt:variant>
      <vt:variant>
        <vt:i4>1769480</vt:i4>
      </vt:variant>
      <vt:variant>
        <vt:i4>15</vt:i4>
      </vt:variant>
      <vt:variant>
        <vt:i4>0</vt:i4>
      </vt:variant>
      <vt:variant>
        <vt:i4>5</vt:i4>
      </vt:variant>
      <vt:variant>
        <vt:lpwstr>https://www.energy.gov.au/sites/default/files/2022-08/National Energy Transformation Partnership.pdf</vt:lpwstr>
      </vt:variant>
      <vt:variant>
        <vt:lpwstr/>
      </vt:variant>
      <vt:variant>
        <vt:i4>3211376</vt:i4>
      </vt:variant>
      <vt:variant>
        <vt:i4>12</vt:i4>
      </vt:variant>
      <vt:variant>
        <vt:i4>0</vt:i4>
      </vt:variant>
      <vt:variant>
        <vt:i4>5</vt:i4>
      </vt:variant>
      <vt:variant>
        <vt:lpwstr>https://www.aemc.gov.au/regulation/national-governance</vt:lpwstr>
      </vt:variant>
      <vt:variant>
        <vt:lpwstr/>
      </vt:variant>
      <vt:variant>
        <vt:i4>1245268</vt:i4>
      </vt:variant>
      <vt:variant>
        <vt:i4>9</vt:i4>
      </vt:variant>
      <vt:variant>
        <vt:i4>0</vt:i4>
      </vt:variant>
      <vt:variant>
        <vt:i4>5</vt:i4>
      </vt:variant>
      <vt:variant>
        <vt:lpwstr>https://budget.gov.au/content/factsheets/download/factsheet_clean_energy-20230510.pdf</vt:lpwstr>
      </vt:variant>
      <vt:variant>
        <vt:lpwstr/>
      </vt:variant>
      <vt:variant>
        <vt:i4>3604604</vt:i4>
      </vt:variant>
      <vt:variant>
        <vt:i4>6</vt:i4>
      </vt:variant>
      <vt:variant>
        <vt:i4>0</vt:i4>
      </vt:variant>
      <vt:variant>
        <vt:i4>5</vt:i4>
      </vt:variant>
      <vt:variant>
        <vt:lpwstr>https://www.dcceew.gov.au/climate-change/strategies/annual-climate-change-statement</vt:lpwstr>
      </vt:variant>
      <vt:variant>
        <vt:lpwstr/>
      </vt:variant>
      <vt:variant>
        <vt:i4>1114185</vt:i4>
      </vt:variant>
      <vt:variant>
        <vt:i4>3</vt:i4>
      </vt:variant>
      <vt:variant>
        <vt:i4>0</vt:i4>
      </vt:variant>
      <vt:variant>
        <vt:i4>5</vt:i4>
      </vt:variant>
      <vt:variant>
        <vt:lpwstr>https://minister.dcceew.gov.au/bowen/transcripts/interview-patricia-karvelas-abc-radio-national-5</vt:lpwstr>
      </vt:variant>
      <vt:variant>
        <vt:lpwstr/>
      </vt:variant>
      <vt:variant>
        <vt:i4>3670055</vt:i4>
      </vt:variant>
      <vt:variant>
        <vt:i4>0</vt:i4>
      </vt:variant>
      <vt:variant>
        <vt:i4>0</vt:i4>
      </vt:variant>
      <vt:variant>
        <vt:i4>5</vt:i4>
      </vt:variant>
      <vt:variant>
        <vt:lpwstr>https://www.dewr.gov.au/nsc/resources/australias-current-emerging-and-future-workforce-skills-needs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2024-05-06T05:27:00Z</dcterms:created>
  <dcterms:modified xsi:type="dcterms:W3CDTF">2024-05-06T05:34:00Z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2024-05-06T05:27:40Z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366a0b58-3f0a-477f-adff-af1bcae9243c</vt:lpwstr>
  </property>
  <property fmtid="{D5CDD505-2E9C-101B-9397-08002B2CF9AE}" pid="8" name="MSIP_Label_79d889eb-932f-4752-8739-64d25806ef64_ContentBits">
    <vt:lpwstr>0</vt:lpwstr>
  </property>
</Properties>
</file>