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12292" w14:textId="77777777" w:rsidR="001F780F" w:rsidRPr="00E85606" w:rsidRDefault="001F780F" w:rsidP="001F780F">
      <w:r w:rsidRPr="007B237E">
        <w:rPr>
          <w:noProof/>
          <w:lang w:eastAsia="en-AU"/>
        </w:rPr>
        <w:drawing>
          <wp:anchor distT="0" distB="0" distL="114300" distR="114300" simplePos="0" relativeHeight="251665408" behindDoc="0" locked="0" layoutInCell="1" allowOverlap="1" wp14:anchorId="128E71A1" wp14:editId="73AFD083">
            <wp:simplePos x="0" y="0"/>
            <wp:positionH relativeFrom="margin">
              <wp:posOffset>-265176</wp:posOffset>
            </wp:positionH>
            <wp:positionV relativeFrom="page">
              <wp:posOffset>608965</wp:posOffset>
            </wp:positionV>
            <wp:extent cx="3234055" cy="859790"/>
            <wp:effectExtent l="0" t="0" r="4445" b="0"/>
            <wp:wrapTopAndBottom/>
            <wp:docPr id="10" name="Picture 10" descr="Australian Government, Jobs and Skills Australia. Februar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Jobs and Skills Australia. February 2023"/>
                    <pic:cNvPicPr/>
                  </pic:nvPicPr>
                  <pic:blipFill>
                    <a:blip r:embed="rId8">
                      <a:extLst>
                        <a:ext uri="{28A0092B-C50C-407E-A947-70E740481C1C}">
                          <a14:useLocalDpi xmlns:a14="http://schemas.microsoft.com/office/drawing/2010/main" val="0"/>
                        </a:ext>
                      </a:extLst>
                    </a:blip>
                    <a:stretch>
                      <a:fillRect/>
                    </a:stretch>
                  </pic:blipFill>
                  <pic:spPr>
                    <a:xfrm>
                      <a:off x="0" y="0"/>
                      <a:ext cx="3234055" cy="859790"/>
                    </a:xfrm>
                    <a:prstGeom prst="rect">
                      <a:avLst/>
                    </a:prstGeom>
                  </pic:spPr>
                </pic:pic>
              </a:graphicData>
            </a:graphic>
            <wp14:sizeRelH relativeFrom="margin">
              <wp14:pctWidth>0</wp14:pctWidth>
            </wp14:sizeRelH>
            <wp14:sizeRelV relativeFrom="margin">
              <wp14:pctHeight>0</wp14:pctHeight>
            </wp14:sizeRelV>
          </wp:anchor>
        </w:drawing>
      </w:r>
    </w:p>
    <w:p w14:paraId="31681E78" w14:textId="77777777" w:rsidR="001F780F" w:rsidRPr="00E85606" w:rsidRDefault="001F780F" w:rsidP="001F780F"/>
    <w:p w14:paraId="0265BCDC" w14:textId="77777777" w:rsidR="001F780F" w:rsidRPr="000C0905" w:rsidRDefault="001F780F" w:rsidP="001F780F">
      <w:pPr>
        <w:spacing w:line="720" w:lineRule="auto"/>
        <w:ind w:firstLine="142"/>
        <w:rPr>
          <w:color w:val="FFFFFF" w:themeColor="background1"/>
        </w:rPr>
      </w:pPr>
    </w:p>
    <w:p w14:paraId="140B008B" w14:textId="77777777" w:rsidR="001F780F" w:rsidRPr="000C0905" w:rsidRDefault="001F780F" w:rsidP="001F780F">
      <w:pPr>
        <w:pStyle w:val="Title"/>
        <w:spacing w:before="0" w:after="360"/>
        <w:ind w:left="-284"/>
        <w:rPr>
          <w:rFonts w:cs="Arial"/>
          <w:color w:val="FFFFFF" w:themeColor="background1"/>
          <w:sz w:val="96"/>
          <w:szCs w:val="96"/>
        </w:rPr>
      </w:pPr>
      <w:r w:rsidRPr="000C0905">
        <w:rPr>
          <w:rFonts w:cs="Arial"/>
          <w:color w:val="FFFFFF" w:themeColor="background1"/>
          <w:sz w:val="96"/>
          <w:szCs w:val="96"/>
        </w:rPr>
        <w:t>Labour Market</w:t>
      </w:r>
      <w:r>
        <w:rPr>
          <w:rFonts w:cs="Arial"/>
          <w:color w:val="FFFFFF" w:themeColor="background1"/>
          <w:sz w:val="96"/>
          <w:szCs w:val="96"/>
        </w:rPr>
        <w:br/>
      </w:r>
      <w:r w:rsidRPr="000C0905">
        <w:rPr>
          <w:rFonts w:cs="Arial"/>
          <w:color w:val="FFFFFF" w:themeColor="background1"/>
          <w:sz w:val="96"/>
          <w:szCs w:val="96"/>
        </w:rPr>
        <w:t>Update</w:t>
      </w:r>
    </w:p>
    <w:p w14:paraId="052085F4" w14:textId="5B189A62" w:rsidR="001F780F" w:rsidRPr="000C0905" w:rsidRDefault="001F780F" w:rsidP="001F780F">
      <w:pPr>
        <w:pStyle w:val="Heading1"/>
        <w:ind w:left="-284"/>
        <w:rPr>
          <w:rFonts w:cs="Arial"/>
          <w:color w:val="FFFFFF" w:themeColor="background1"/>
        </w:rPr>
      </w:pPr>
      <w:r w:rsidRPr="00DC6335">
        <w:rPr>
          <w:rFonts w:eastAsiaTheme="minorHAnsi" w:cs="Arial"/>
          <w:b w:val="0"/>
          <w:bCs/>
          <w:i/>
          <w:iCs/>
          <w:color w:val="FFFFFF" w:themeColor="background1"/>
          <w:sz w:val="24"/>
          <w:szCs w:val="24"/>
        </w:rPr>
        <w:t xml:space="preserve">The data in this document reflect the 2022-23 financial year, </w:t>
      </w:r>
      <w:r>
        <w:rPr>
          <w:rFonts w:eastAsiaTheme="minorHAnsi" w:cs="Arial"/>
          <w:b w:val="0"/>
          <w:bCs/>
          <w:i/>
          <w:iCs/>
          <w:color w:val="FFFFFF" w:themeColor="background1"/>
          <w:sz w:val="24"/>
          <w:szCs w:val="24"/>
        </w:rPr>
        <w:br/>
      </w:r>
      <w:r w:rsidRPr="00DC6335">
        <w:rPr>
          <w:rFonts w:eastAsiaTheme="minorHAnsi" w:cs="Arial"/>
          <w:b w:val="0"/>
          <w:bCs/>
          <w:i/>
          <w:iCs/>
          <w:color w:val="FFFFFF" w:themeColor="background1"/>
          <w:sz w:val="24"/>
          <w:szCs w:val="24"/>
        </w:rPr>
        <w:t>and were current as at 31 July</w:t>
      </w:r>
      <w:r w:rsidR="005A0FFD">
        <w:rPr>
          <w:rFonts w:eastAsiaTheme="minorHAnsi" w:cs="Arial"/>
          <w:b w:val="0"/>
          <w:bCs/>
          <w:i/>
          <w:iCs/>
          <w:color w:val="FFFFFF" w:themeColor="background1"/>
          <w:sz w:val="24"/>
          <w:szCs w:val="24"/>
        </w:rPr>
        <w:t xml:space="preserve"> 2023</w:t>
      </w:r>
      <w:r>
        <w:rPr>
          <w:rFonts w:eastAsiaTheme="minorHAnsi" w:cs="Arial"/>
          <w:b w:val="0"/>
          <w:bCs/>
          <w:i/>
          <w:iCs/>
          <w:color w:val="FFFFFF" w:themeColor="background1"/>
          <w:sz w:val="24"/>
          <w:szCs w:val="24"/>
        </w:rPr>
        <w:t>.</w:t>
      </w:r>
    </w:p>
    <w:p w14:paraId="3440EA55" w14:textId="60F797F8" w:rsidR="00E570C0" w:rsidRPr="001F780F" w:rsidRDefault="001F780F" w:rsidP="001F780F">
      <w:pPr>
        <w:ind w:left="-284"/>
        <w:rPr>
          <w:rFonts w:cs="Arial"/>
          <w:color w:val="FFFFFF" w:themeColor="background1"/>
        </w:rPr>
      </w:pPr>
      <w:r w:rsidRPr="000C0905">
        <w:rPr>
          <w:rFonts w:cs="Arial"/>
          <w:color w:val="FFFFFF" w:themeColor="background1"/>
        </w:rPr>
        <w:br w:type="page"/>
      </w:r>
      <w:r w:rsidRPr="000C0905">
        <w:rPr>
          <w:noProof/>
          <w:color w:val="FFFFFF" w:themeColor="background1"/>
          <w:lang w:eastAsia="en-AU"/>
        </w:rPr>
        <w:drawing>
          <wp:anchor distT="0" distB="0" distL="114300" distR="114300" simplePos="0" relativeHeight="251664384" behindDoc="1" locked="1" layoutInCell="1" allowOverlap="1" wp14:anchorId="7BC5F744" wp14:editId="74ABEA67">
            <wp:simplePos x="0" y="0"/>
            <wp:positionH relativeFrom="page">
              <wp:posOffset>0</wp:posOffset>
            </wp:positionH>
            <wp:positionV relativeFrom="page">
              <wp:posOffset>-15240</wp:posOffset>
            </wp:positionV>
            <wp:extent cx="7623175" cy="10778490"/>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623175" cy="107784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eastAsiaTheme="minorHAnsi" w:cstheme="minorBidi"/>
          <w:b w:val="0"/>
          <w:color w:val="000000" w:themeColor="text1"/>
          <w:sz w:val="22"/>
          <w:szCs w:val="22"/>
          <w:lang w:val="en-AU"/>
        </w:rPr>
        <w:id w:val="-174182991"/>
        <w:docPartObj>
          <w:docPartGallery w:val="Table of Contents"/>
          <w:docPartUnique/>
        </w:docPartObj>
      </w:sdtPr>
      <w:sdtEndPr>
        <w:rPr>
          <w:bCs/>
          <w:noProof/>
        </w:rPr>
      </w:sdtEndPr>
      <w:sdtContent>
        <w:p w14:paraId="720A003E" w14:textId="63A98E96" w:rsidR="00E570C0" w:rsidRDefault="00E570C0">
          <w:pPr>
            <w:pStyle w:val="TOCHeading"/>
          </w:pPr>
          <w:r>
            <w:t>Contents</w:t>
          </w:r>
        </w:p>
        <w:p w14:paraId="6407FBB0" w14:textId="200CDF0D" w:rsidR="005A6549" w:rsidRDefault="00E570C0">
          <w:pPr>
            <w:pStyle w:val="TOC1"/>
            <w:tabs>
              <w:tab w:val="right" w:leader="dot" w:pos="9016"/>
            </w:tabs>
            <w:rPr>
              <w:rFonts w:asciiTheme="minorHAnsi" w:eastAsiaTheme="minorEastAsia" w:hAnsiTheme="minorHAnsi"/>
              <w:b w:val="0"/>
              <w:noProof/>
              <w:color w:val="auto"/>
              <w:kern w:val="2"/>
              <w:lang w:eastAsia="en-AU"/>
              <w14:ligatures w14:val="standardContextual"/>
            </w:rPr>
          </w:pPr>
          <w:r>
            <w:fldChar w:fldCharType="begin"/>
          </w:r>
          <w:r>
            <w:instrText xml:space="preserve"> TOC \o "1-3" \h \z \u </w:instrText>
          </w:r>
          <w:r>
            <w:fldChar w:fldCharType="separate"/>
          </w:r>
          <w:hyperlink w:anchor="_Toc144992569" w:history="1">
            <w:r w:rsidR="005A6549" w:rsidRPr="0078720B">
              <w:rPr>
                <w:rStyle w:val="Hyperlink"/>
                <w:noProof/>
              </w:rPr>
              <w:t>Executive summary</w:t>
            </w:r>
            <w:r w:rsidR="005A6549">
              <w:rPr>
                <w:noProof/>
                <w:webHidden/>
              </w:rPr>
              <w:tab/>
            </w:r>
            <w:r w:rsidR="005A6549">
              <w:rPr>
                <w:noProof/>
                <w:webHidden/>
              </w:rPr>
              <w:fldChar w:fldCharType="begin"/>
            </w:r>
            <w:r w:rsidR="005A6549">
              <w:rPr>
                <w:noProof/>
                <w:webHidden/>
              </w:rPr>
              <w:instrText xml:space="preserve"> PAGEREF _Toc144992569 \h </w:instrText>
            </w:r>
            <w:r w:rsidR="005A6549">
              <w:rPr>
                <w:noProof/>
                <w:webHidden/>
              </w:rPr>
            </w:r>
            <w:r w:rsidR="005A6549">
              <w:rPr>
                <w:noProof/>
                <w:webHidden/>
              </w:rPr>
              <w:fldChar w:fldCharType="separate"/>
            </w:r>
            <w:r w:rsidR="00931793">
              <w:rPr>
                <w:noProof/>
                <w:webHidden/>
              </w:rPr>
              <w:t>2</w:t>
            </w:r>
            <w:r w:rsidR="005A6549">
              <w:rPr>
                <w:noProof/>
                <w:webHidden/>
              </w:rPr>
              <w:fldChar w:fldCharType="end"/>
            </w:r>
          </w:hyperlink>
        </w:p>
        <w:p w14:paraId="214F6901" w14:textId="6AD85C6D" w:rsidR="005A6549"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44992570" w:history="1">
            <w:r w:rsidR="005A6549" w:rsidRPr="0078720B">
              <w:rPr>
                <w:rStyle w:val="Hyperlink"/>
                <w:noProof/>
              </w:rPr>
              <w:t>Recent labour market outcomes</w:t>
            </w:r>
            <w:r w:rsidR="005A6549">
              <w:rPr>
                <w:noProof/>
                <w:webHidden/>
              </w:rPr>
              <w:tab/>
            </w:r>
            <w:r w:rsidR="005A6549">
              <w:rPr>
                <w:noProof/>
                <w:webHidden/>
              </w:rPr>
              <w:fldChar w:fldCharType="begin"/>
            </w:r>
            <w:r w:rsidR="005A6549">
              <w:rPr>
                <w:noProof/>
                <w:webHidden/>
              </w:rPr>
              <w:instrText xml:space="preserve"> PAGEREF _Toc144992570 \h </w:instrText>
            </w:r>
            <w:r w:rsidR="005A6549">
              <w:rPr>
                <w:noProof/>
                <w:webHidden/>
              </w:rPr>
            </w:r>
            <w:r w:rsidR="005A6549">
              <w:rPr>
                <w:noProof/>
                <w:webHidden/>
              </w:rPr>
              <w:fldChar w:fldCharType="separate"/>
            </w:r>
            <w:r w:rsidR="00931793">
              <w:rPr>
                <w:noProof/>
                <w:webHidden/>
              </w:rPr>
              <w:t>3</w:t>
            </w:r>
            <w:r w:rsidR="005A6549">
              <w:rPr>
                <w:noProof/>
                <w:webHidden/>
              </w:rPr>
              <w:fldChar w:fldCharType="end"/>
            </w:r>
          </w:hyperlink>
        </w:p>
        <w:p w14:paraId="7E7C0B93" w14:textId="0E444070" w:rsidR="005A6549" w:rsidRDefault="00000000">
          <w:pPr>
            <w:pStyle w:val="TOC2"/>
            <w:tabs>
              <w:tab w:val="right" w:leader="dot" w:pos="9016"/>
            </w:tabs>
            <w:rPr>
              <w:rFonts w:asciiTheme="minorHAnsi" w:eastAsiaTheme="minorEastAsia" w:hAnsiTheme="minorHAnsi"/>
              <w:noProof/>
              <w:color w:val="auto"/>
              <w:kern w:val="2"/>
              <w:lang w:eastAsia="en-AU"/>
              <w14:ligatures w14:val="standardContextual"/>
            </w:rPr>
          </w:pPr>
          <w:hyperlink w:anchor="_Toc144992571" w:history="1">
            <w:r w:rsidR="005A6549" w:rsidRPr="0078720B">
              <w:rPr>
                <w:rStyle w:val="Hyperlink"/>
                <w:noProof/>
              </w:rPr>
              <w:t>The national backdrop</w:t>
            </w:r>
            <w:r w:rsidR="005A6549">
              <w:rPr>
                <w:noProof/>
                <w:webHidden/>
              </w:rPr>
              <w:tab/>
            </w:r>
            <w:r w:rsidR="005A6549">
              <w:rPr>
                <w:noProof/>
                <w:webHidden/>
              </w:rPr>
              <w:fldChar w:fldCharType="begin"/>
            </w:r>
            <w:r w:rsidR="005A6549">
              <w:rPr>
                <w:noProof/>
                <w:webHidden/>
              </w:rPr>
              <w:instrText xml:space="preserve"> PAGEREF _Toc144992571 \h </w:instrText>
            </w:r>
            <w:r w:rsidR="005A6549">
              <w:rPr>
                <w:noProof/>
                <w:webHidden/>
              </w:rPr>
            </w:r>
            <w:r w:rsidR="005A6549">
              <w:rPr>
                <w:noProof/>
                <w:webHidden/>
              </w:rPr>
              <w:fldChar w:fldCharType="separate"/>
            </w:r>
            <w:r w:rsidR="00931793">
              <w:rPr>
                <w:noProof/>
                <w:webHidden/>
              </w:rPr>
              <w:t>3</w:t>
            </w:r>
            <w:r w:rsidR="005A6549">
              <w:rPr>
                <w:noProof/>
                <w:webHidden/>
              </w:rPr>
              <w:fldChar w:fldCharType="end"/>
            </w:r>
          </w:hyperlink>
        </w:p>
        <w:p w14:paraId="77D4F9CA" w14:textId="2F5762C8" w:rsidR="005A6549" w:rsidRDefault="00000000">
          <w:pPr>
            <w:pStyle w:val="TOC2"/>
            <w:tabs>
              <w:tab w:val="right" w:leader="dot" w:pos="9016"/>
            </w:tabs>
            <w:rPr>
              <w:rFonts w:asciiTheme="minorHAnsi" w:eastAsiaTheme="minorEastAsia" w:hAnsiTheme="minorHAnsi"/>
              <w:noProof/>
              <w:color w:val="auto"/>
              <w:kern w:val="2"/>
              <w:lang w:eastAsia="en-AU"/>
              <w14:ligatures w14:val="standardContextual"/>
            </w:rPr>
          </w:pPr>
          <w:hyperlink w:anchor="_Toc144992572" w:history="1">
            <w:r w:rsidR="005A6549" w:rsidRPr="0078720B">
              <w:rPr>
                <w:rStyle w:val="Hyperlink"/>
                <w:noProof/>
              </w:rPr>
              <w:t>Labour market conditions by sex</w:t>
            </w:r>
            <w:r w:rsidR="005A6549">
              <w:rPr>
                <w:noProof/>
                <w:webHidden/>
              </w:rPr>
              <w:tab/>
            </w:r>
            <w:r w:rsidR="005A6549">
              <w:rPr>
                <w:noProof/>
                <w:webHidden/>
              </w:rPr>
              <w:fldChar w:fldCharType="begin"/>
            </w:r>
            <w:r w:rsidR="005A6549">
              <w:rPr>
                <w:noProof/>
                <w:webHidden/>
              </w:rPr>
              <w:instrText xml:space="preserve"> PAGEREF _Toc144992572 \h </w:instrText>
            </w:r>
            <w:r w:rsidR="005A6549">
              <w:rPr>
                <w:noProof/>
                <w:webHidden/>
              </w:rPr>
            </w:r>
            <w:r w:rsidR="005A6549">
              <w:rPr>
                <w:noProof/>
                <w:webHidden/>
              </w:rPr>
              <w:fldChar w:fldCharType="separate"/>
            </w:r>
            <w:r w:rsidR="00931793">
              <w:rPr>
                <w:noProof/>
                <w:webHidden/>
              </w:rPr>
              <w:t>4</w:t>
            </w:r>
            <w:r w:rsidR="005A6549">
              <w:rPr>
                <w:noProof/>
                <w:webHidden/>
              </w:rPr>
              <w:fldChar w:fldCharType="end"/>
            </w:r>
          </w:hyperlink>
        </w:p>
        <w:p w14:paraId="407FB018" w14:textId="1DCB041C" w:rsidR="005A6549"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44992573" w:history="1">
            <w:r w:rsidR="005A6549" w:rsidRPr="0078720B">
              <w:rPr>
                <w:rStyle w:val="Hyperlink"/>
                <w:noProof/>
              </w:rPr>
              <w:t>Employment growth across skill levels, occupations and industries</w:t>
            </w:r>
            <w:r w:rsidR="005A6549">
              <w:rPr>
                <w:noProof/>
                <w:webHidden/>
              </w:rPr>
              <w:tab/>
            </w:r>
            <w:r w:rsidR="005A6549">
              <w:rPr>
                <w:noProof/>
                <w:webHidden/>
              </w:rPr>
              <w:fldChar w:fldCharType="begin"/>
            </w:r>
            <w:r w:rsidR="005A6549">
              <w:rPr>
                <w:noProof/>
                <w:webHidden/>
              </w:rPr>
              <w:instrText xml:space="preserve"> PAGEREF _Toc144992573 \h </w:instrText>
            </w:r>
            <w:r w:rsidR="005A6549">
              <w:rPr>
                <w:noProof/>
                <w:webHidden/>
              </w:rPr>
            </w:r>
            <w:r w:rsidR="005A6549">
              <w:rPr>
                <w:noProof/>
                <w:webHidden/>
              </w:rPr>
              <w:fldChar w:fldCharType="separate"/>
            </w:r>
            <w:r w:rsidR="00931793">
              <w:rPr>
                <w:noProof/>
                <w:webHidden/>
              </w:rPr>
              <w:t>12</w:t>
            </w:r>
            <w:r w:rsidR="005A6549">
              <w:rPr>
                <w:noProof/>
                <w:webHidden/>
              </w:rPr>
              <w:fldChar w:fldCharType="end"/>
            </w:r>
          </w:hyperlink>
        </w:p>
        <w:p w14:paraId="7D937057" w14:textId="3730697E" w:rsidR="005A6549" w:rsidRDefault="00000000">
          <w:pPr>
            <w:pStyle w:val="TOC2"/>
            <w:tabs>
              <w:tab w:val="right" w:leader="dot" w:pos="9016"/>
            </w:tabs>
            <w:rPr>
              <w:rFonts w:asciiTheme="minorHAnsi" w:eastAsiaTheme="minorEastAsia" w:hAnsiTheme="minorHAnsi"/>
              <w:noProof/>
              <w:color w:val="auto"/>
              <w:kern w:val="2"/>
              <w:lang w:eastAsia="en-AU"/>
              <w14:ligatures w14:val="standardContextual"/>
            </w:rPr>
          </w:pPr>
          <w:hyperlink w:anchor="_Toc144992574" w:history="1">
            <w:r w:rsidR="005A6549" w:rsidRPr="0078720B">
              <w:rPr>
                <w:rStyle w:val="Hyperlink"/>
                <w:noProof/>
              </w:rPr>
              <w:t>Employment has increased across skill levels and occupations</w:t>
            </w:r>
            <w:r w:rsidR="005A6549">
              <w:rPr>
                <w:noProof/>
                <w:webHidden/>
              </w:rPr>
              <w:tab/>
            </w:r>
            <w:r w:rsidR="005A6549">
              <w:rPr>
                <w:noProof/>
                <w:webHidden/>
              </w:rPr>
              <w:fldChar w:fldCharType="begin"/>
            </w:r>
            <w:r w:rsidR="005A6549">
              <w:rPr>
                <w:noProof/>
                <w:webHidden/>
              </w:rPr>
              <w:instrText xml:space="preserve"> PAGEREF _Toc144992574 \h </w:instrText>
            </w:r>
            <w:r w:rsidR="005A6549">
              <w:rPr>
                <w:noProof/>
                <w:webHidden/>
              </w:rPr>
            </w:r>
            <w:r w:rsidR="005A6549">
              <w:rPr>
                <w:noProof/>
                <w:webHidden/>
              </w:rPr>
              <w:fldChar w:fldCharType="separate"/>
            </w:r>
            <w:r w:rsidR="00931793">
              <w:rPr>
                <w:noProof/>
                <w:webHidden/>
              </w:rPr>
              <w:t>16</w:t>
            </w:r>
            <w:r w:rsidR="005A6549">
              <w:rPr>
                <w:noProof/>
                <w:webHidden/>
              </w:rPr>
              <w:fldChar w:fldCharType="end"/>
            </w:r>
          </w:hyperlink>
        </w:p>
        <w:p w14:paraId="1C49C1D4" w14:textId="120F1A14" w:rsidR="005A6549" w:rsidRDefault="00000000">
          <w:pPr>
            <w:pStyle w:val="TOC2"/>
            <w:tabs>
              <w:tab w:val="right" w:leader="dot" w:pos="9016"/>
            </w:tabs>
            <w:rPr>
              <w:rFonts w:asciiTheme="minorHAnsi" w:eastAsiaTheme="minorEastAsia" w:hAnsiTheme="minorHAnsi"/>
              <w:noProof/>
              <w:color w:val="auto"/>
              <w:kern w:val="2"/>
              <w:lang w:eastAsia="en-AU"/>
              <w14:ligatures w14:val="standardContextual"/>
            </w:rPr>
          </w:pPr>
          <w:hyperlink w:anchor="_Toc144992575" w:history="1">
            <w:r w:rsidR="005A6549" w:rsidRPr="0078720B">
              <w:rPr>
                <w:rStyle w:val="Hyperlink"/>
                <w:noProof/>
              </w:rPr>
              <w:t>Recruitment difficulty by selected industries and occupations</w:t>
            </w:r>
            <w:r w:rsidR="005A6549">
              <w:rPr>
                <w:noProof/>
                <w:webHidden/>
              </w:rPr>
              <w:tab/>
            </w:r>
            <w:r w:rsidR="005A6549">
              <w:rPr>
                <w:noProof/>
                <w:webHidden/>
              </w:rPr>
              <w:fldChar w:fldCharType="begin"/>
            </w:r>
            <w:r w:rsidR="005A6549">
              <w:rPr>
                <w:noProof/>
                <w:webHidden/>
              </w:rPr>
              <w:instrText xml:space="preserve"> PAGEREF _Toc144992575 \h </w:instrText>
            </w:r>
            <w:r w:rsidR="005A6549">
              <w:rPr>
                <w:noProof/>
                <w:webHidden/>
              </w:rPr>
            </w:r>
            <w:r w:rsidR="005A6549">
              <w:rPr>
                <w:noProof/>
                <w:webHidden/>
              </w:rPr>
              <w:fldChar w:fldCharType="separate"/>
            </w:r>
            <w:r w:rsidR="00931793">
              <w:rPr>
                <w:noProof/>
                <w:webHidden/>
              </w:rPr>
              <w:t>18</w:t>
            </w:r>
            <w:r w:rsidR="005A6549">
              <w:rPr>
                <w:noProof/>
                <w:webHidden/>
              </w:rPr>
              <w:fldChar w:fldCharType="end"/>
            </w:r>
          </w:hyperlink>
        </w:p>
        <w:p w14:paraId="549D9E2F" w14:textId="7CA17259" w:rsidR="005A6549"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44992576" w:history="1">
            <w:r w:rsidR="005A6549" w:rsidRPr="0078720B">
              <w:rPr>
                <w:rStyle w:val="Hyperlink"/>
                <w:noProof/>
              </w:rPr>
              <w:t>Signs of labour market softening</w:t>
            </w:r>
            <w:r w:rsidR="005A6549">
              <w:rPr>
                <w:noProof/>
                <w:webHidden/>
              </w:rPr>
              <w:tab/>
            </w:r>
            <w:r w:rsidR="005A6549">
              <w:rPr>
                <w:noProof/>
                <w:webHidden/>
              </w:rPr>
              <w:fldChar w:fldCharType="begin"/>
            </w:r>
            <w:r w:rsidR="005A6549">
              <w:rPr>
                <w:noProof/>
                <w:webHidden/>
              </w:rPr>
              <w:instrText xml:space="preserve"> PAGEREF _Toc144992576 \h </w:instrText>
            </w:r>
            <w:r w:rsidR="005A6549">
              <w:rPr>
                <w:noProof/>
                <w:webHidden/>
              </w:rPr>
            </w:r>
            <w:r w:rsidR="005A6549">
              <w:rPr>
                <w:noProof/>
                <w:webHidden/>
              </w:rPr>
              <w:fldChar w:fldCharType="separate"/>
            </w:r>
            <w:r w:rsidR="00931793">
              <w:rPr>
                <w:noProof/>
                <w:webHidden/>
              </w:rPr>
              <w:t>20</w:t>
            </w:r>
            <w:r w:rsidR="005A6549">
              <w:rPr>
                <w:noProof/>
                <w:webHidden/>
              </w:rPr>
              <w:fldChar w:fldCharType="end"/>
            </w:r>
          </w:hyperlink>
        </w:p>
        <w:p w14:paraId="3DCA4572" w14:textId="7834C490" w:rsidR="005A6549" w:rsidRDefault="00000000">
          <w:pPr>
            <w:pStyle w:val="TOC2"/>
            <w:tabs>
              <w:tab w:val="right" w:leader="dot" w:pos="9016"/>
            </w:tabs>
            <w:rPr>
              <w:rFonts w:asciiTheme="minorHAnsi" w:eastAsiaTheme="minorEastAsia" w:hAnsiTheme="minorHAnsi"/>
              <w:noProof/>
              <w:color w:val="auto"/>
              <w:kern w:val="2"/>
              <w:lang w:eastAsia="en-AU"/>
              <w14:ligatures w14:val="standardContextual"/>
            </w:rPr>
          </w:pPr>
          <w:hyperlink w:anchor="_Toc144992577" w:history="1">
            <w:r w:rsidR="005A6549" w:rsidRPr="0078720B">
              <w:rPr>
                <w:rStyle w:val="Hyperlink"/>
                <w:noProof/>
              </w:rPr>
              <w:t>Update from the recruitment surveys</w:t>
            </w:r>
            <w:r w:rsidR="005A6549">
              <w:rPr>
                <w:noProof/>
                <w:webHidden/>
              </w:rPr>
              <w:tab/>
            </w:r>
            <w:r w:rsidR="005A6549">
              <w:rPr>
                <w:noProof/>
                <w:webHidden/>
              </w:rPr>
              <w:fldChar w:fldCharType="begin"/>
            </w:r>
            <w:r w:rsidR="005A6549">
              <w:rPr>
                <w:noProof/>
                <w:webHidden/>
              </w:rPr>
              <w:instrText xml:space="preserve"> PAGEREF _Toc144992577 \h </w:instrText>
            </w:r>
            <w:r w:rsidR="005A6549">
              <w:rPr>
                <w:noProof/>
                <w:webHidden/>
              </w:rPr>
            </w:r>
            <w:r w:rsidR="005A6549">
              <w:rPr>
                <w:noProof/>
                <w:webHidden/>
              </w:rPr>
              <w:fldChar w:fldCharType="separate"/>
            </w:r>
            <w:r w:rsidR="00931793">
              <w:rPr>
                <w:noProof/>
                <w:webHidden/>
              </w:rPr>
              <w:t>20</w:t>
            </w:r>
            <w:r w:rsidR="005A6549">
              <w:rPr>
                <w:noProof/>
                <w:webHidden/>
              </w:rPr>
              <w:fldChar w:fldCharType="end"/>
            </w:r>
          </w:hyperlink>
        </w:p>
        <w:p w14:paraId="13D6EE20" w14:textId="29743104" w:rsidR="005A6549"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44992578" w:history="1">
            <w:r w:rsidR="005A6549" w:rsidRPr="0078720B">
              <w:rPr>
                <w:rStyle w:val="Hyperlink"/>
                <w:noProof/>
              </w:rPr>
              <w:t>Wages: variability in annual growth between different indicators</w:t>
            </w:r>
            <w:r w:rsidR="005A6549">
              <w:rPr>
                <w:noProof/>
                <w:webHidden/>
              </w:rPr>
              <w:tab/>
            </w:r>
            <w:r w:rsidR="005A6549">
              <w:rPr>
                <w:noProof/>
                <w:webHidden/>
              </w:rPr>
              <w:fldChar w:fldCharType="begin"/>
            </w:r>
            <w:r w:rsidR="005A6549">
              <w:rPr>
                <w:noProof/>
                <w:webHidden/>
              </w:rPr>
              <w:instrText xml:space="preserve"> PAGEREF _Toc144992578 \h </w:instrText>
            </w:r>
            <w:r w:rsidR="005A6549">
              <w:rPr>
                <w:noProof/>
                <w:webHidden/>
              </w:rPr>
            </w:r>
            <w:r w:rsidR="005A6549">
              <w:rPr>
                <w:noProof/>
                <w:webHidden/>
              </w:rPr>
              <w:fldChar w:fldCharType="separate"/>
            </w:r>
            <w:r w:rsidR="00931793">
              <w:rPr>
                <w:noProof/>
                <w:webHidden/>
              </w:rPr>
              <w:t>25</w:t>
            </w:r>
            <w:r w:rsidR="005A6549">
              <w:rPr>
                <w:noProof/>
                <w:webHidden/>
              </w:rPr>
              <w:fldChar w:fldCharType="end"/>
            </w:r>
          </w:hyperlink>
        </w:p>
        <w:p w14:paraId="3779EE95" w14:textId="5023FE0C" w:rsidR="005A6549"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44992579" w:history="1">
            <w:r w:rsidR="005A6549" w:rsidRPr="0078720B">
              <w:rPr>
                <w:rStyle w:val="Hyperlink"/>
                <w:noProof/>
              </w:rPr>
              <w:t>Trends in recruitment activity in capital cities and regional areas</w:t>
            </w:r>
            <w:r w:rsidR="005A6549">
              <w:rPr>
                <w:noProof/>
                <w:webHidden/>
              </w:rPr>
              <w:tab/>
            </w:r>
            <w:r w:rsidR="005A6549">
              <w:rPr>
                <w:noProof/>
                <w:webHidden/>
              </w:rPr>
              <w:fldChar w:fldCharType="begin"/>
            </w:r>
            <w:r w:rsidR="005A6549">
              <w:rPr>
                <w:noProof/>
                <w:webHidden/>
              </w:rPr>
              <w:instrText xml:space="preserve"> PAGEREF _Toc144992579 \h </w:instrText>
            </w:r>
            <w:r w:rsidR="005A6549">
              <w:rPr>
                <w:noProof/>
                <w:webHidden/>
              </w:rPr>
            </w:r>
            <w:r w:rsidR="005A6549">
              <w:rPr>
                <w:noProof/>
                <w:webHidden/>
              </w:rPr>
              <w:fldChar w:fldCharType="separate"/>
            </w:r>
            <w:r w:rsidR="00931793">
              <w:rPr>
                <w:noProof/>
                <w:webHidden/>
              </w:rPr>
              <w:t>26</w:t>
            </w:r>
            <w:r w:rsidR="005A6549">
              <w:rPr>
                <w:noProof/>
                <w:webHidden/>
              </w:rPr>
              <w:fldChar w:fldCharType="end"/>
            </w:r>
          </w:hyperlink>
        </w:p>
        <w:p w14:paraId="5BC2A35E" w14:textId="20066D58" w:rsidR="005A6549" w:rsidRDefault="00000000">
          <w:pPr>
            <w:pStyle w:val="TOC1"/>
            <w:tabs>
              <w:tab w:val="right" w:leader="dot" w:pos="9016"/>
            </w:tabs>
            <w:rPr>
              <w:rFonts w:asciiTheme="minorHAnsi" w:eastAsiaTheme="minorEastAsia" w:hAnsiTheme="minorHAnsi"/>
              <w:b w:val="0"/>
              <w:noProof/>
              <w:color w:val="auto"/>
              <w:kern w:val="2"/>
              <w:lang w:eastAsia="en-AU"/>
              <w14:ligatures w14:val="standardContextual"/>
            </w:rPr>
          </w:pPr>
          <w:hyperlink w:anchor="_Toc144992580" w:history="1">
            <w:r w:rsidR="005A6549" w:rsidRPr="0078720B">
              <w:rPr>
                <w:rStyle w:val="Hyperlink"/>
                <w:noProof/>
              </w:rPr>
              <w:t>Regional skills pressure case study: Electricians</w:t>
            </w:r>
            <w:r w:rsidR="005A6549">
              <w:rPr>
                <w:noProof/>
                <w:webHidden/>
              </w:rPr>
              <w:tab/>
            </w:r>
            <w:r w:rsidR="005A6549">
              <w:rPr>
                <w:noProof/>
                <w:webHidden/>
              </w:rPr>
              <w:fldChar w:fldCharType="begin"/>
            </w:r>
            <w:r w:rsidR="005A6549">
              <w:rPr>
                <w:noProof/>
                <w:webHidden/>
              </w:rPr>
              <w:instrText xml:space="preserve"> PAGEREF _Toc144992580 \h </w:instrText>
            </w:r>
            <w:r w:rsidR="005A6549">
              <w:rPr>
                <w:noProof/>
                <w:webHidden/>
              </w:rPr>
            </w:r>
            <w:r w:rsidR="005A6549">
              <w:rPr>
                <w:noProof/>
                <w:webHidden/>
              </w:rPr>
              <w:fldChar w:fldCharType="separate"/>
            </w:r>
            <w:r w:rsidR="00931793">
              <w:rPr>
                <w:noProof/>
                <w:webHidden/>
              </w:rPr>
              <w:t>29</w:t>
            </w:r>
            <w:r w:rsidR="005A6549">
              <w:rPr>
                <w:noProof/>
                <w:webHidden/>
              </w:rPr>
              <w:fldChar w:fldCharType="end"/>
            </w:r>
          </w:hyperlink>
        </w:p>
        <w:p w14:paraId="04B83C7E" w14:textId="550233CD" w:rsidR="00E570C0" w:rsidRDefault="00E570C0">
          <w:r>
            <w:rPr>
              <w:b/>
              <w:bCs/>
              <w:noProof/>
            </w:rPr>
            <w:fldChar w:fldCharType="end"/>
          </w:r>
        </w:p>
      </w:sdtContent>
    </w:sdt>
    <w:p w14:paraId="788941E6" w14:textId="2B5510E2" w:rsidR="00E148F7" w:rsidRPr="00754AB9" w:rsidRDefault="00E148F7" w:rsidP="00E570C0"/>
    <w:p w14:paraId="41D27D6F" w14:textId="4322DE45" w:rsidR="007A3F61" w:rsidRPr="00E85606" w:rsidRDefault="007A3F61" w:rsidP="000D6745">
      <w:pPr>
        <w:rPr>
          <w:lang w:val="en-US"/>
        </w:rPr>
      </w:pPr>
    </w:p>
    <w:p w14:paraId="2BB5D9D4" w14:textId="7A726EE8" w:rsidR="007A3F61" w:rsidRPr="00E85606" w:rsidRDefault="007A3F61" w:rsidP="000D6745">
      <w:pPr>
        <w:rPr>
          <w:lang w:val="en-US"/>
        </w:rPr>
      </w:pPr>
    </w:p>
    <w:p w14:paraId="1315B2C5" w14:textId="4277E60A" w:rsidR="007A3F61" w:rsidRPr="00E85606" w:rsidRDefault="007A3F61" w:rsidP="000D6745">
      <w:pPr>
        <w:rPr>
          <w:lang w:val="en-US"/>
        </w:rPr>
      </w:pPr>
    </w:p>
    <w:p w14:paraId="0CC0E980" w14:textId="5FCA7B23" w:rsidR="007A3F61" w:rsidRPr="00E85606" w:rsidRDefault="007A3F61" w:rsidP="000D6745">
      <w:pPr>
        <w:rPr>
          <w:lang w:val="en-US"/>
        </w:rPr>
      </w:pPr>
    </w:p>
    <w:p w14:paraId="5D89AE85" w14:textId="05F90A5F" w:rsidR="007A3F61" w:rsidRPr="00E85606" w:rsidRDefault="007A3F61" w:rsidP="000D6745">
      <w:pPr>
        <w:rPr>
          <w:lang w:val="en-US"/>
        </w:rPr>
      </w:pPr>
    </w:p>
    <w:p w14:paraId="3E0FA120" w14:textId="78A50E74" w:rsidR="007A3F61" w:rsidRPr="00E85606" w:rsidRDefault="007A3F61" w:rsidP="000D6745">
      <w:pPr>
        <w:rPr>
          <w:lang w:val="en-US"/>
        </w:rPr>
      </w:pPr>
    </w:p>
    <w:p w14:paraId="6F28836E" w14:textId="00470694" w:rsidR="007A3F61" w:rsidRPr="00E85606" w:rsidRDefault="007A3F61" w:rsidP="000D6745">
      <w:pPr>
        <w:rPr>
          <w:lang w:val="en-US"/>
        </w:rPr>
      </w:pPr>
    </w:p>
    <w:p w14:paraId="3FD419BB" w14:textId="46EBFD17" w:rsidR="007A3F61" w:rsidRPr="00E85606" w:rsidRDefault="007A3F61" w:rsidP="000D6745">
      <w:pPr>
        <w:rPr>
          <w:lang w:val="en-US"/>
        </w:rPr>
      </w:pPr>
    </w:p>
    <w:p w14:paraId="665941A1" w14:textId="0937BB5F" w:rsidR="007A3F61" w:rsidRPr="00E85606" w:rsidRDefault="007A3F61" w:rsidP="000D6745">
      <w:pPr>
        <w:rPr>
          <w:lang w:val="en-US"/>
        </w:rPr>
      </w:pPr>
    </w:p>
    <w:p w14:paraId="3A1BE4FB" w14:textId="5B2C573C" w:rsidR="007A3F61" w:rsidRPr="00E85606" w:rsidRDefault="007A3F61" w:rsidP="000D6745">
      <w:pPr>
        <w:rPr>
          <w:lang w:val="en-US"/>
        </w:rPr>
      </w:pPr>
    </w:p>
    <w:p w14:paraId="4F1B81C5" w14:textId="6D4E4EC3" w:rsidR="007A3F61" w:rsidRPr="00E85606" w:rsidRDefault="007A3F61" w:rsidP="000D6745">
      <w:pPr>
        <w:rPr>
          <w:lang w:val="en-US"/>
        </w:rPr>
      </w:pPr>
    </w:p>
    <w:p w14:paraId="703073C4" w14:textId="0DD619D2" w:rsidR="007A3F61" w:rsidRPr="00E85606" w:rsidRDefault="007A3F61" w:rsidP="000D6745">
      <w:pPr>
        <w:rPr>
          <w:lang w:val="en-US"/>
        </w:rPr>
      </w:pPr>
    </w:p>
    <w:p w14:paraId="5C9A416B" w14:textId="77777777" w:rsidR="00A4461A" w:rsidRDefault="00A4461A" w:rsidP="000D6745">
      <w:pPr>
        <w:rPr>
          <w:rFonts w:cs="Arial"/>
          <w:color w:val="441170"/>
          <w:sz w:val="60"/>
          <w:szCs w:val="60"/>
          <w:lang w:val="en-US"/>
        </w:rPr>
      </w:pPr>
      <w:r>
        <w:br w:type="page"/>
      </w:r>
    </w:p>
    <w:p w14:paraId="001052AD" w14:textId="6DD69B2D" w:rsidR="00513C8F" w:rsidRDefault="00591554" w:rsidP="000D6745">
      <w:pPr>
        <w:pStyle w:val="Heading1"/>
      </w:pPr>
      <w:bookmarkStart w:id="0" w:name="_Toc144992569"/>
      <w:r>
        <w:lastRenderedPageBreak/>
        <w:t>Executive summary</w:t>
      </w:r>
      <w:bookmarkEnd w:id="0"/>
    </w:p>
    <w:p w14:paraId="207A5B24" w14:textId="77777777" w:rsidR="00591554" w:rsidRDefault="00591554" w:rsidP="00591554">
      <w:pPr>
        <w:pStyle w:val="Bodycopy"/>
      </w:pPr>
      <w:r>
        <w:t xml:space="preserve">Labour market conditions have been strong over 2022-23, with continuing strong demand from employers and growth in total labour supply, although some softening in labour market activity was evident in the most recent data for July 2023. </w:t>
      </w:r>
    </w:p>
    <w:p w14:paraId="11073B7D" w14:textId="77777777" w:rsidR="00591554" w:rsidRDefault="00591554" w:rsidP="00591554">
      <w:pPr>
        <w:pStyle w:val="Bodycopy"/>
      </w:pPr>
      <w:r>
        <w:t>Total employment continued to expand over the year to June 2023, with the vast majority of growth being in full-time jobs. Women recorded particularly strong growth in full-time employment (up by 6.0%) over the year to June 2023, more than double the growth rate (of 2.7%) for men.</w:t>
      </w:r>
    </w:p>
    <w:p w14:paraId="5D81E1DB" w14:textId="0A0CA92B" w:rsidR="00591554" w:rsidRDefault="00591554" w:rsidP="00591554">
      <w:pPr>
        <w:pStyle w:val="Bodycopy"/>
      </w:pPr>
      <w:r>
        <w:t xml:space="preserve">Compositionally, employment continues to shift towards jobs that are commensurate with some level of post-secondary school qualification (skill level 1 to 4 jobs) and away from jobs that do not typically require such a qualification (skill level 5 jobs). Over the year to May 2023, around 91% of total employment growth was in occupations that typically require post-school qualifications, reflecting the importance of both the higher education and </w:t>
      </w:r>
      <w:r w:rsidR="004A05E9">
        <w:t>Vocational Education and Training (</w:t>
      </w:r>
      <w:r>
        <w:t>VET</w:t>
      </w:r>
      <w:r w:rsidR="004A05E9">
        <w:t>)</w:t>
      </w:r>
      <w:r>
        <w:t xml:space="preserve"> systems to growing a high-skilled Australian workforce. Just over half of total employment growth over this period was in Skill Level 2 to Skill Level 4 occupations (where VET qualifications are the primary pathway).</w:t>
      </w:r>
    </w:p>
    <w:p w14:paraId="5AC27848" w14:textId="77777777" w:rsidR="00591554" w:rsidRDefault="00591554" w:rsidP="00591554">
      <w:pPr>
        <w:pStyle w:val="Bodycopy"/>
      </w:pPr>
      <w:r>
        <w:t>In addition, the three occupations with the largest growth in employment over the year to May 2023 were all caring occupations (Aged and Disabled Carers; Registered Nurses; and Child Carers), underscoring the continued need for the range of skills required to provide affordable, efficient and equitable access to care.</w:t>
      </w:r>
    </w:p>
    <w:p w14:paraId="718D474F" w14:textId="1A7D4A6E" w:rsidR="00591554" w:rsidRDefault="00591554" w:rsidP="00591554">
      <w:pPr>
        <w:pStyle w:val="Bodycopy"/>
      </w:pPr>
      <w:r>
        <w:t xml:space="preserve">While labour market conditions in Australia over the last year have been reasonably strong, weaker economic growth, together with movements in a number of partial forward indicators, suggests that the labour market is likely to soften over the period ahead. Data from </w:t>
      </w:r>
      <w:r w:rsidR="00DE5C1B">
        <w:t>Jobs and Skills Australia’s (JSA’s)</w:t>
      </w:r>
      <w:r>
        <w:t xml:space="preserve"> Internet Vacancy Index (IVI) and Recruitment Experiences and Outlook Survey (REOS) both indicate some recent softening in labour demand, albeit demand remains high by historical standards.</w:t>
      </w:r>
    </w:p>
    <w:p w14:paraId="53F583C8" w14:textId="77777777" w:rsidR="00591554" w:rsidRDefault="00591554" w:rsidP="00591554">
      <w:pPr>
        <w:pStyle w:val="Bodycopy"/>
      </w:pPr>
      <w:r>
        <w:t>As employment has continued to grow while recruitment activity has stabilised, levels of recruitment difficulty experienced by employers have declined, while the likelihood of filling an advertised role has increased slightly - albeit still below the levels recorded in previous years. The likelihood of filling an advertised role is a key element of Jobs and Skills Australia’s assessment of skills shortages. Improved fill rates suggest that, on average at least, skills shortages may have eased slightly in recent months, after an extended period of significant challenges on this front.</w:t>
      </w:r>
    </w:p>
    <w:p w14:paraId="0CCD60A8" w14:textId="77777777" w:rsidR="00591554" w:rsidRDefault="00591554" w:rsidP="00591554">
      <w:pPr>
        <w:pStyle w:val="Bodycopy"/>
      </w:pPr>
      <w:r>
        <w:t>Measures of wages growth are also showing promising recent signs. The most recent wage price index result (for June 2023) recorded its strongest quarterly growth rate since 2012, while alternate measures of wages that reflect job mobility or newly advertised jobs are currently recording annual wage growth rates of well above 4%. The higher recorded levels of wage growth for measures that include the effects of job mobility are consistent with the workforce continuing to shift towards higher-skilled jobs.</w:t>
      </w:r>
    </w:p>
    <w:p w14:paraId="3E01CE12" w14:textId="77777777" w:rsidR="00591554" w:rsidRDefault="00591554" w:rsidP="00591554">
      <w:pPr>
        <w:pStyle w:val="Bodycopy"/>
      </w:pPr>
      <w:r>
        <w:t xml:space="preserve">While many of the macro indicators are positive, some more specific issues of concern remain - particularly with respect to key skills needs in regional areas, where shortages have </w:t>
      </w:r>
      <w:r>
        <w:lastRenderedPageBreak/>
        <w:t xml:space="preserve">been pronounced. Employers in regional areas have consistently reported a lower likelihood of filling vacancies and fewer applicants per vacancy than those in capital cities. </w:t>
      </w:r>
    </w:p>
    <w:p w14:paraId="385D1239" w14:textId="664B557D" w:rsidR="00591554" w:rsidRDefault="00591554" w:rsidP="00591554">
      <w:pPr>
        <w:pStyle w:val="Bodycopy"/>
      </w:pPr>
      <w:r>
        <w:t>Some regional areas also continue to face skills pressures for critical roles. For example, JSA analysis shows that current labour demand pressure for Electricians is particularly acute in regional Western Australia and regional Queensland, with such demand likely to be increased in the future by Australia’s clean energy transformation.</w:t>
      </w:r>
    </w:p>
    <w:p w14:paraId="15E7B074" w14:textId="77777777" w:rsidR="00591554" w:rsidRDefault="00591554" w:rsidP="00591554">
      <w:pPr>
        <w:pStyle w:val="Bodycopy"/>
      </w:pPr>
    </w:p>
    <w:p w14:paraId="0D9781D8" w14:textId="694CE9F8" w:rsidR="00591554" w:rsidRDefault="00591554" w:rsidP="00591554">
      <w:pPr>
        <w:pStyle w:val="Heading1"/>
      </w:pPr>
      <w:bookmarkStart w:id="1" w:name="_Toc144992570"/>
      <w:r>
        <w:t>Recent labour market outcomes</w:t>
      </w:r>
      <w:bookmarkEnd w:id="1"/>
    </w:p>
    <w:p w14:paraId="767A241C" w14:textId="65B65787" w:rsidR="00591554" w:rsidRDefault="00C62CB9" w:rsidP="00591554">
      <w:pPr>
        <w:pStyle w:val="Bodycopy"/>
      </w:pPr>
      <w:r w:rsidRPr="00C62CB9">
        <w:t xml:space="preserve">Labour market conditions remain strong in Australia, despite some softening evident in the most recent data for July 2023, with employment falling and the unemployment rate rising over the month. The analysis presented </w:t>
      </w:r>
      <w:r w:rsidR="00B45964">
        <w:t xml:space="preserve">in Table 1 </w:t>
      </w:r>
      <w:r w:rsidRPr="00C62CB9">
        <w:t>below, however, refers to labour market developments that have occurred over the year to June 2023.</w:t>
      </w:r>
    </w:p>
    <w:p w14:paraId="79B9CA64" w14:textId="04C7D544" w:rsidR="001241DD" w:rsidRDefault="002F3BE9" w:rsidP="001241DD">
      <w:pPr>
        <w:pStyle w:val="ChartandTablelabel"/>
      </w:pPr>
      <w:r w:rsidRPr="002F3BE9">
        <w:t xml:space="preserve">Table 1: Key </w:t>
      </w:r>
      <w:proofErr w:type="spellStart"/>
      <w:r w:rsidRPr="002F3BE9">
        <w:t>labour</w:t>
      </w:r>
      <w:proofErr w:type="spellEnd"/>
      <w:r w:rsidRPr="002F3BE9">
        <w:t xml:space="preserve"> market indicators, June 2023 and change since June 2022</w:t>
      </w:r>
    </w:p>
    <w:tbl>
      <w:tblPr>
        <w:tblStyle w:val="GridTable4-Accent1"/>
        <w:tblW w:w="4714" w:type="pct"/>
        <w:tblLayout w:type="fixed"/>
        <w:tblLook w:val="04A0" w:firstRow="1" w:lastRow="0" w:firstColumn="1" w:lastColumn="0" w:noHBand="0" w:noVBand="1"/>
      </w:tblPr>
      <w:tblGrid>
        <w:gridCol w:w="1696"/>
        <w:gridCol w:w="1561"/>
        <w:gridCol w:w="1557"/>
        <w:gridCol w:w="1843"/>
        <w:gridCol w:w="1843"/>
      </w:tblGrid>
      <w:tr w:rsidR="00A46B65" w:rsidRPr="00B156E7" w14:paraId="355A0A99" w14:textId="77777777" w:rsidTr="00A46B65">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998" w:type="pct"/>
            <w:shd w:val="clear" w:color="auto" w:fill="441170"/>
          </w:tcPr>
          <w:p w14:paraId="5905AC92" w14:textId="77777777" w:rsidR="00A46B65" w:rsidRPr="00360D5E" w:rsidRDefault="00A46B65" w:rsidP="00360D5E">
            <w:pPr>
              <w:pStyle w:val="Tableheader"/>
              <w:rPr>
                <w:b/>
                <w:bCs w:val="0"/>
              </w:rPr>
            </w:pPr>
            <w:r w:rsidRPr="00360D5E">
              <w:rPr>
                <w:b/>
                <w:bCs w:val="0"/>
              </w:rPr>
              <w:t>Employment</w:t>
            </w:r>
          </w:p>
        </w:tc>
        <w:tc>
          <w:tcPr>
            <w:tcW w:w="918" w:type="pct"/>
            <w:shd w:val="clear" w:color="auto" w:fill="441170"/>
          </w:tcPr>
          <w:p w14:paraId="49BA3CF2" w14:textId="77777777" w:rsidR="00A46B65" w:rsidRPr="00360D5E" w:rsidDel="00686F2E" w:rsidRDefault="00A46B65" w:rsidP="00360D5E">
            <w:pPr>
              <w:pStyle w:val="Tableheader"/>
              <w:cnfStyle w:val="100000000000" w:firstRow="1" w:lastRow="0" w:firstColumn="0" w:lastColumn="0" w:oddVBand="0" w:evenVBand="0" w:oddHBand="0" w:evenHBand="0" w:firstRowFirstColumn="0" w:firstRowLastColumn="0" w:lastRowFirstColumn="0" w:lastRowLastColumn="0"/>
              <w:rPr>
                <w:b/>
                <w:bCs w:val="0"/>
              </w:rPr>
            </w:pPr>
            <w:r w:rsidRPr="00360D5E">
              <w:rPr>
                <w:b/>
                <w:bCs w:val="0"/>
              </w:rPr>
              <w:t>Full-time employment</w:t>
            </w:r>
          </w:p>
        </w:tc>
        <w:tc>
          <w:tcPr>
            <w:tcW w:w="916" w:type="pct"/>
            <w:shd w:val="clear" w:color="auto" w:fill="441170"/>
          </w:tcPr>
          <w:p w14:paraId="08C0FCF0" w14:textId="77777777" w:rsidR="00A46B65" w:rsidRPr="00360D5E" w:rsidRDefault="00A46B65" w:rsidP="00360D5E">
            <w:pPr>
              <w:pStyle w:val="Tableheader"/>
              <w:cnfStyle w:val="100000000000" w:firstRow="1" w:lastRow="0" w:firstColumn="0" w:lastColumn="0" w:oddVBand="0" w:evenVBand="0" w:oddHBand="0" w:evenHBand="0" w:firstRowFirstColumn="0" w:firstRowLastColumn="0" w:lastRowFirstColumn="0" w:lastRowLastColumn="0"/>
              <w:rPr>
                <w:b/>
                <w:bCs w:val="0"/>
              </w:rPr>
            </w:pPr>
            <w:r w:rsidRPr="00360D5E">
              <w:rPr>
                <w:b/>
                <w:bCs w:val="0"/>
              </w:rPr>
              <w:t>Part-time employment</w:t>
            </w:r>
          </w:p>
        </w:tc>
        <w:tc>
          <w:tcPr>
            <w:tcW w:w="1084" w:type="pct"/>
            <w:shd w:val="clear" w:color="auto" w:fill="441170"/>
          </w:tcPr>
          <w:p w14:paraId="6EB441AD" w14:textId="77777777" w:rsidR="00A46B65" w:rsidRPr="00360D5E" w:rsidRDefault="00A46B65" w:rsidP="00360D5E">
            <w:pPr>
              <w:pStyle w:val="Tableheader"/>
              <w:cnfStyle w:val="100000000000" w:firstRow="1" w:lastRow="0" w:firstColumn="0" w:lastColumn="0" w:oddVBand="0" w:evenVBand="0" w:oddHBand="0" w:evenHBand="0" w:firstRowFirstColumn="0" w:firstRowLastColumn="0" w:lastRowFirstColumn="0" w:lastRowLastColumn="0"/>
              <w:rPr>
                <w:b/>
                <w:bCs w:val="0"/>
              </w:rPr>
            </w:pPr>
            <w:r w:rsidRPr="00360D5E">
              <w:rPr>
                <w:b/>
                <w:bCs w:val="0"/>
              </w:rPr>
              <w:t>Unemployment rate</w:t>
            </w:r>
          </w:p>
        </w:tc>
        <w:tc>
          <w:tcPr>
            <w:tcW w:w="1084" w:type="pct"/>
            <w:shd w:val="clear" w:color="auto" w:fill="441170"/>
          </w:tcPr>
          <w:p w14:paraId="1448766C" w14:textId="77777777" w:rsidR="00A46B65" w:rsidRPr="00360D5E" w:rsidRDefault="00A46B65" w:rsidP="00360D5E">
            <w:pPr>
              <w:pStyle w:val="Tableheader"/>
              <w:cnfStyle w:val="100000000000" w:firstRow="1" w:lastRow="0" w:firstColumn="0" w:lastColumn="0" w:oddVBand="0" w:evenVBand="0" w:oddHBand="0" w:evenHBand="0" w:firstRowFirstColumn="0" w:firstRowLastColumn="0" w:lastRowFirstColumn="0" w:lastRowLastColumn="0"/>
              <w:rPr>
                <w:b/>
                <w:bCs w:val="0"/>
              </w:rPr>
            </w:pPr>
            <w:r w:rsidRPr="00360D5E">
              <w:rPr>
                <w:b/>
                <w:bCs w:val="0"/>
              </w:rPr>
              <w:t>Participation rate</w:t>
            </w:r>
          </w:p>
        </w:tc>
      </w:tr>
      <w:tr w:rsidR="00A46B65" w:rsidRPr="00B156E7" w14:paraId="42DA10B8" w14:textId="77777777" w:rsidTr="00A46B6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8" w:type="pct"/>
            <w:shd w:val="clear" w:color="auto" w:fill="FFFFFF" w:themeFill="background1"/>
          </w:tcPr>
          <w:p w14:paraId="5A556A9E" w14:textId="77777777" w:rsidR="00A46B65" w:rsidRPr="00B156E7" w:rsidRDefault="00A46B65" w:rsidP="00B61A93">
            <w:pPr>
              <w:spacing w:after="120" w:line="276" w:lineRule="auto"/>
              <w:jc w:val="center"/>
              <w:rPr>
                <w:rFonts w:cs="Arial"/>
                <w:b w:val="0"/>
                <w:bCs w:val="0"/>
              </w:rPr>
            </w:pPr>
            <w:r w:rsidRPr="00B156E7">
              <w:rPr>
                <w:rFonts w:ascii="Wingdings" w:eastAsia="Wingdings" w:hAnsi="Wingdings" w:cs="Wingdings"/>
                <w:b w:val="0"/>
                <w:bCs w:val="0"/>
              </w:rPr>
              <w:t>á</w:t>
            </w:r>
            <w:r w:rsidRPr="00B156E7">
              <w:rPr>
                <w:rFonts w:cs="Arial"/>
                <w:b w:val="0"/>
                <w:bCs w:val="0"/>
              </w:rPr>
              <w:t xml:space="preserve"> 3.0%</w:t>
            </w:r>
          </w:p>
          <w:p w14:paraId="19E823D7" w14:textId="77777777" w:rsidR="00A46B65" w:rsidRPr="00B156E7" w:rsidRDefault="00A46B65" w:rsidP="00B61A93">
            <w:pPr>
              <w:spacing w:after="120" w:line="276" w:lineRule="auto"/>
              <w:jc w:val="center"/>
              <w:rPr>
                <w:rFonts w:cs="Arial"/>
              </w:rPr>
            </w:pPr>
            <w:r w:rsidRPr="00B156E7">
              <w:rPr>
                <w:rFonts w:cs="Arial"/>
                <w:b w:val="0"/>
                <w:bCs w:val="0"/>
              </w:rPr>
              <w:t xml:space="preserve"> 14,046,100</w:t>
            </w:r>
          </w:p>
        </w:tc>
        <w:tc>
          <w:tcPr>
            <w:tcW w:w="918" w:type="pct"/>
            <w:shd w:val="clear" w:color="auto" w:fill="FFFFFF" w:themeFill="background1"/>
          </w:tcPr>
          <w:p w14:paraId="79B3ACEB" w14:textId="77777777" w:rsidR="00A46B65" w:rsidRPr="00B156E7" w:rsidRDefault="00A46B65" w:rsidP="00B61A93">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B156E7">
              <w:rPr>
                <w:rFonts w:ascii="Wingdings" w:eastAsia="Wingdings" w:hAnsi="Wingdings" w:cs="Wingdings"/>
              </w:rPr>
              <w:t>á</w:t>
            </w:r>
            <w:r w:rsidRPr="00B156E7">
              <w:rPr>
                <w:rFonts w:cs="Arial"/>
              </w:rPr>
              <w:t>4.0%</w:t>
            </w:r>
          </w:p>
          <w:p w14:paraId="7CFDADF3" w14:textId="77777777" w:rsidR="00A46B65" w:rsidRPr="00B156E7" w:rsidRDefault="00A46B65" w:rsidP="00B61A93">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B156E7">
              <w:rPr>
                <w:rFonts w:cs="Arial"/>
              </w:rPr>
              <w:t>9,868,900</w:t>
            </w:r>
          </w:p>
        </w:tc>
        <w:tc>
          <w:tcPr>
            <w:tcW w:w="916" w:type="pct"/>
            <w:shd w:val="clear" w:color="auto" w:fill="FFFFFF" w:themeFill="background1"/>
          </w:tcPr>
          <w:p w14:paraId="2B0749C6" w14:textId="77777777" w:rsidR="00A46B65" w:rsidRPr="00B156E7" w:rsidRDefault="00A46B65" w:rsidP="00B61A93">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B156E7">
              <w:rPr>
                <w:rFonts w:ascii="Wingdings" w:eastAsia="Wingdings" w:hAnsi="Wingdings" w:cs="Wingdings"/>
              </w:rPr>
              <w:t>á</w:t>
            </w:r>
            <w:r w:rsidRPr="00B156E7">
              <w:rPr>
                <w:rFonts w:cs="Arial"/>
              </w:rPr>
              <w:t xml:space="preserve"> 0.7% </w:t>
            </w:r>
          </w:p>
          <w:p w14:paraId="51A60C91" w14:textId="77777777" w:rsidR="00A46B65" w:rsidRPr="00B156E7" w:rsidRDefault="00A46B65" w:rsidP="00B61A93">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B156E7">
              <w:rPr>
                <w:rFonts w:cs="Arial"/>
              </w:rPr>
              <w:t>4,177,100</w:t>
            </w:r>
          </w:p>
        </w:tc>
        <w:tc>
          <w:tcPr>
            <w:tcW w:w="1084" w:type="pct"/>
            <w:shd w:val="clear" w:color="auto" w:fill="FFFFFF" w:themeFill="background1"/>
          </w:tcPr>
          <w:p w14:paraId="6A3CF622" w14:textId="77777777" w:rsidR="00A46B65" w:rsidRPr="00B156E7" w:rsidRDefault="00A46B65" w:rsidP="00B61A93">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B156E7">
              <w:rPr>
                <w:rFonts w:ascii="Wingdings" w:eastAsia="Wingdings" w:hAnsi="Wingdings" w:cs="Wingdings"/>
              </w:rPr>
              <w:t>â</w:t>
            </w:r>
            <w:r w:rsidRPr="00B156E7">
              <w:rPr>
                <w:rFonts w:cs="Arial"/>
              </w:rPr>
              <w:t xml:space="preserve"> 0.1% pts</w:t>
            </w:r>
          </w:p>
          <w:p w14:paraId="3FBB5FED" w14:textId="77777777" w:rsidR="00A46B65" w:rsidRPr="00B156E7" w:rsidRDefault="00A46B65" w:rsidP="00B61A93">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B156E7">
              <w:rPr>
                <w:rFonts w:cs="Arial"/>
              </w:rPr>
              <w:t>3.5%</w:t>
            </w:r>
          </w:p>
        </w:tc>
        <w:tc>
          <w:tcPr>
            <w:tcW w:w="1084" w:type="pct"/>
            <w:shd w:val="clear" w:color="auto" w:fill="FFFFFF" w:themeFill="background1"/>
          </w:tcPr>
          <w:p w14:paraId="125BDE51" w14:textId="77777777" w:rsidR="00A46B65" w:rsidRPr="00B156E7" w:rsidRDefault="00A46B65" w:rsidP="00B61A93">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B156E7">
              <w:rPr>
                <w:rFonts w:ascii="Wingdings" w:eastAsia="Wingdings" w:hAnsi="Wingdings" w:cs="Wingdings"/>
              </w:rPr>
              <w:t>á</w:t>
            </w:r>
            <w:r w:rsidRPr="00B156E7">
              <w:rPr>
                <w:rFonts w:cs="Arial"/>
              </w:rPr>
              <w:t xml:space="preserve"> 0.1% pts</w:t>
            </w:r>
          </w:p>
          <w:p w14:paraId="696C8D62" w14:textId="77777777" w:rsidR="00A46B65" w:rsidRPr="00B156E7" w:rsidRDefault="00A46B65" w:rsidP="00B61A93">
            <w:pPr>
              <w:spacing w:after="120" w:line="276"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B156E7">
              <w:rPr>
                <w:rFonts w:cs="Arial"/>
              </w:rPr>
              <w:t>66.8%</w:t>
            </w:r>
          </w:p>
        </w:tc>
      </w:tr>
    </w:tbl>
    <w:p w14:paraId="42C04D78" w14:textId="409236AD" w:rsidR="001214E9" w:rsidRPr="00B156E7" w:rsidRDefault="001214E9" w:rsidP="00DE5C1B">
      <w:pPr>
        <w:pStyle w:val="Source"/>
        <w:ind w:left="510"/>
        <w:rPr>
          <w:rFonts w:ascii="Arial" w:hAnsi="Arial" w:cs="Arial"/>
          <w:i w:val="0"/>
          <w:iCs/>
        </w:rPr>
      </w:pPr>
      <w:r w:rsidRPr="00B156E7">
        <w:rPr>
          <w:rFonts w:ascii="Arial" w:hAnsi="Arial" w:cs="Arial"/>
          <w:i w:val="0"/>
          <w:iCs/>
        </w:rPr>
        <w:t>A</w:t>
      </w:r>
      <w:r w:rsidR="00DE5C1B">
        <w:rPr>
          <w:rFonts w:ascii="Arial" w:hAnsi="Arial" w:cs="Arial"/>
          <w:i w:val="0"/>
          <w:iCs/>
        </w:rPr>
        <w:t>ustralian Bureau of Statistics (A</w:t>
      </w:r>
      <w:r w:rsidRPr="00B156E7">
        <w:rPr>
          <w:rFonts w:ascii="Arial" w:hAnsi="Arial" w:cs="Arial"/>
          <w:i w:val="0"/>
          <w:iCs/>
        </w:rPr>
        <w:t>BS</w:t>
      </w:r>
      <w:r w:rsidR="00DE5C1B">
        <w:rPr>
          <w:rFonts w:ascii="Arial" w:hAnsi="Arial" w:cs="Arial"/>
          <w:i w:val="0"/>
          <w:iCs/>
        </w:rPr>
        <w:t>)</w:t>
      </w:r>
      <w:r w:rsidRPr="00B156E7">
        <w:rPr>
          <w:rFonts w:ascii="Arial" w:hAnsi="Arial" w:cs="Arial"/>
          <w:i w:val="0"/>
          <w:iCs/>
        </w:rPr>
        <w:t xml:space="preserve">, </w:t>
      </w:r>
      <w:r w:rsidRPr="00B156E7">
        <w:rPr>
          <w:rFonts w:ascii="Arial" w:hAnsi="Arial" w:cs="Arial"/>
        </w:rPr>
        <w:t>Labour Force, Australia,</w:t>
      </w:r>
      <w:r w:rsidRPr="00B156E7">
        <w:rPr>
          <w:rFonts w:ascii="Arial" w:hAnsi="Arial" w:cs="Arial"/>
          <w:i w:val="0"/>
          <w:iCs/>
        </w:rPr>
        <w:t xml:space="preserve"> June 2023, </w:t>
      </w:r>
      <w:r w:rsidRPr="00B156E7">
        <w:rPr>
          <w:rFonts w:ascii="Arial" w:hAnsi="Arial" w:cs="Arial"/>
        </w:rPr>
        <w:t>seasonally adjusted</w:t>
      </w:r>
      <w:r w:rsidRPr="00B156E7">
        <w:rPr>
          <w:rFonts w:ascii="Arial" w:hAnsi="Arial" w:cs="Arial"/>
          <w:i w:val="0"/>
          <w:iCs/>
        </w:rPr>
        <w:t xml:space="preserve"> </w:t>
      </w:r>
      <w:r w:rsidRPr="00B156E7">
        <w:rPr>
          <w:rFonts w:ascii="Arial" w:hAnsi="Arial" w:cs="Arial"/>
        </w:rPr>
        <w:t>data</w:t>
      </w:r>
      <w:r w:rsidRPr="00B156E7">
        <w:rPr>
          <w:rFonts w:ascii="Arial" w:hAnsi="Arial" w:cs="Arial"/>
          <w:i w:val="0"/>
          <w:iCs/>
        </w:rPr>
        <w:t>.</w:t>
      </w:r>
    </w:p>
    <w:p w14:paraId="07FC48C7" w14:textId="0AEB7073" w:rsidR="00C20F36" w:rsidRDefault="00C20F36" w:rsidP="00C20F36">
      <w:pPr>
        <w:pStyle w:val="Heading2"/>
      </w:pPr>
      <w:bookmarkStart w:id="2" w:name="_Toc144992571"/>
      <w:r>
        <w:t>The national backdrop</w:t>
      </w:r>
      <w:bookmarkEnd w:id="2"/>
    </w:p>
    <w:p w14:paraId="0E4C9C7A" w14:textId="77777777" w:rsidR="00FE7E0D" w:rsidRPr="00196835" w:rsidRDefault="00FE7E0D" w:rsidP="00FE7E0D">
      <w:pPr>
        <w:pStyle w:val="Bodycopy"/>
      </w:pPr>
      <w:r w:rsidRPr="00196835">
        <w:t xml:space="preserve">The level of seasonally adjusted </w:t>
      </w:r>
      <w:r w:rsidRPr="00196835">
        <w:rPr>
          <w:rStyle w:val="Strong"/>
        </w:rPr>
        <w:t>employment</w:t>
      </w:r>
      <w:r w:rsidRPr="00196835">
        <w:t xml:space="preserve"> increased strongly over the year, by 409,900 (or 3.0</w:t>
      </w:r>
      <w:r>
        <w:t>%</w:t>
      </w:r>
      <w:r w:rsidRPr="00196835">
        <w:t>), to stand at a record high of 14,046,100 in June 2023, well above the decade annual average growth rate (of 2.0</w:t>
      </w:r>
      <w:r>
        <w:t>%</w:t>
      </w:r>
      <w:r w:rsidRPr="00196835">
        <w:t xml:space="preserve">).   </w:t>
      </w:r>
    </w:p>
    <w:p w14:paraId="2C1BB24A" w14:textId="77777777" w:rsidR="00FE7E0D" w:rsidRPr="00B05E44" w:rsidRDefault="00FE7E0D" w:rsidP="00FE7E0D">
      <w:pPr>
        <w:pStyle w:val="Bodycopy"/>
      </w:pPr>
      <w:r w:rsidRPr="00B05E44">
        <w:t>Encouragingly, full-time employment accounted for the vast majority (92.6</w:t>
      </w:r>
      <w:r>
        <w:t>%</w:t>
      </w:r>
      <w:r w:rsidRPr="00B05E44">
        <w:t>) of the rise in employment over the year and is now 379,700 (or 4.0</w:t>
      </w:r>
      <w:r>
        <w:t>%</w:t>
      </w:r>
      <w:r w:rsidRPr="00B05E44">
        <w:t>) above the level recorded in June 2022. By contrast, part-time employment increased by 30,200 (or 0.7</w:t>
      </w:r>
      <w:r>
        <w:t>%</w:t>
      </w:r>
      <w:r w:rsidRPr="00B05E44">
        <w:t>) over the period.</w:t>
      </w:r>
    </w:p>
    <w:p w14:paraId="3D937CAD" w14:textId="77777777" w:rsidR="00FE7E0D" w:rsidRPr="00196835" w:rsidRDefault="00FE7E0D" w:rsidP="00FE7E0D">
      <w:pPr>
        <w:pStyle w:val="Bodycopy"/>
      </w:pPr>
      <w:r w:rsidRPr="00196835">
        <w:t xml:space="preserve">Against the backdrop of strong labour market activity, the </w:t>
      </w:r>
      <w:r w:rsidRPr="00196835">
        <w:rPr>
          <w:rStyle w:val="Strong"/>
        </w:rPr>
        <w:t>unemployment rate</w:t>
      </w:r>
      <w:r w:rsidRPr="00196835">
        <w:t xml:space="preserve"> fell slightly, from 3.6</w:t>
      </w:r>
      <w:r>
        <w:t>%</w:t>
      </w:r>
      <w:r w:rsidRPr="00196835">
        <w:t xml:space="preserve"> in June 2022, to 3.5</w:t>
      </w:r>
      <w:r>
        <w:t>%</w:t>
      </w:r>
      <w:r w:rsidRPr="00196835">
        <w:t xml:space="preserve"> in June 2023. Over the same period, the </w:t>
      </w:r>
      <w:r w:rsidRPr="00196835">
        <w:rPr>
          <w:rStyle w:val="Strong"/>
        </w:rPr>
        <w:t>participation rate</w:t>
      </w:r>
      <w:r w:rsidRPr="00196835">
        <w:t xml:space="preserve"> rose by 0.1 percentage points, to 66.8</w:t>
      </w:r>
      <w:r>
        <w:t>%</w:t>
      </w:r>
      <w:r w:rsidRPr="00196835">
        <w:t xml:space="preserve"> in June 2023, and is close to its record high of 66.9</w:t>
      </w:r>
      <w:r>
        <w:t>%</w:t>
      </w:r>
      <w:r w:rsidRPr="00196835">
        <w:t xml:space="preserve"> in May 2023.</w:t>
      </w:r>
    </w:p>
    <w:p w14:paraId="5E22D0BD" w14:textId="77777777" w:rsidR="00FE7E0D" w:rsidRPr="00B05E44" w:rsidRDefault="00FE7E0D" w:rsidP="00FE7E0D">
      <w:pPr>
        <w:pStyle w:val="Bodycopy"/>
      </w:pPr>
      <w:r w:rsidRPr="00B05E44">
        <w:t xml:space="preserve">While the </w:t>
      </w:r>
      <w:r w:rsidRPr="00B05E44">
        <w:rPr>
          <w:rStyle w:val="Strong"/>
        </w:rPr>
        <w:t>underemployment rate</w:t>
      </w:r>
      <w:r w:rsidRPr="00B05E44">
        <w:t xml:space="preserve"> rose by 0.3 percentage points over the year, to 6.4</w:t>
      </w:r>
      <w:r>
        <w:t>%</w:t>
      </w:r>
      <w:r w:rsidRPr="00B05E44">
        <w:t xml:space="preserve"> in June 2023, it remains well below the 8.7</w:t>
      </w:r>
      <w:r>
        <w:t>%</w:t>
      </w:r>
      <w:r w:rsidRPr="00B05E44">
        <w:t xml:space="preserve"> recorded at the onset of the pandemic in March 2020. The rise in the underemployment rate over the year means that there are now 69,900 more people (or 8.1</w:t>
      </w:r>
      <w:r>
        <w:t>%</w:t>
      </w:r>
      <w:r w:rsidRPr="00B05E44">
        <w:t>) who report being underemployed than in June 2022. That said, there are 262,500 (or 21.9</w:t>
      </w:r>
      <w:r>
        <w:t>%</w:t>
      </w:r>
      <w:r w:rsidRPr="00B05E44">
        <w:t>) fewer underemployed people than there were in March 2020.</w:t>
      </w:r>
    </w:p>
    <w:p w14:paraId="450027D6" w14:textId="77777777" w:rsidR="00C62CB9" w:rsidRDefault="00C62CB9" w:rsidP="00591554">
      <w:pPr>
        <w:pStyle w:val="Bodycopy"/>
      </w:pPr>
    </w:p>
    <w:p w14:paraId="5A13B391" w14:textId="77777777" w:rsidR="00C20F36" w:rsidRDefault="00C20F36" w:rsidP="00591554">
      <w:pPr>
        <w:pStyle w:val="Bodycopy"/>
      </w:pPr>
    </w:p>
    <w:p w14:paraId="136B1BD5" w14:textId="2B6A4D2B" w:rsidR="00FE7E0D" w:rsidRDefault="00712DFD" w:rsidP="00FE7E0D">
      <w:pPr>
        <w:pStyle w:val="Heading2"/>
      </w:pPr>
      <w:bookmarkStart w:id="3" w:name="_Toc144992572"/>
      <w:r>
        <w:lastRenderedPageBreak/>
        <w:t>Labour market conditions by sex</w:t>
      </w:r>
      <w:bookmarkEnd w:id="3"/>
    </w:p>
    <w:p w14:paraId="70499BD6" w14:textId="77777777" w:rsidR="000B4E84" w:rsidRPr="00B05E44" w:rsidRDefault="000B4E84" w:rsidP="00AD383B">
      <w:pPr>
        <w:pStyle w:val="Bodycopy"/>
      </w:pPr>
      <w:r w:rsidRPr="00B05E44">
        <w:t>Employment for males and females rose strongly over the year (both up by 3.0</w:t>
      </w:r>
      <w:r>
        <w:t>%</w:t>
      </w:r>
      <w:r w:rsidRPr="00B05E44">
        <w:t xml:space="preserve">), to stand at record highs of 7,359,200 and 6,686,800, respectively in June 2023. Significantly, </w:t>
      </w:r>
      <w:r w:rsidRPr="00B05E44">
        <w:rPr>
          <w:rStyle w:val="Emphasis"/>
        </w:rPr>
        <w:t>full-time</w:t>
      </w:r>
      <w:r w:rsidRPr="00B05E44">
        <w:t xml:space="preserve"> employment for women increased by a robust 219,500 (or 6.0</w:t>
      </w:r>
      <w:r>
        <w:t>%</w:t>
      </w:r>
      <w:r w:rsidRPr="00B05E44">
        <w:t>) over the year to June 2023, compared with a rise of 160,100 (or 2.7</w:t>
      </w:r>
      <w:r>
        <w:t>%</w:t>
      </w:r>
      <w:r w:rsidRPr="00B05E44">
        <w:t>) for men.</w:t>
      </w:r>
    </w:p>
    <w:p w14:paraId="52EC563B" w14:textId="1BCDD629" w:rsidR="000B4E84" w:rsidRPr="00B05E44" w:rsidRDefault="000B4E84" w:rsidP="00AD383B">
      <w:pPr>
        <w:pStyle w:val="Bodycopy"/>
      </w:pPr>
      <w:r w:rsidRPr="00971BAA">
        <w:rPr>
          <w:b/>
          <w:bCs/>
        </w:rPr>
        <w:t>The surge in full-time employment for women has been particularly pronounced since the onset of the pandemic</w:t>
      </w:r>
      <w:r w:rsidRPr="00B05E44">
        <w:t>, with 57.9</w:t>
      </w:r>
      <w:r>
        <w:t>%</w:t>
      </w:r>
      <w:r w:rsidRPr="00B05E44">
        <w:t xml:space="preserve"> of employed women working full-time in June 2023, the highest share recorded since September 1996 and well above the 54.2</w:t>
      </w:r>
      <w:r>
        <w:t>%</w:t>
      </w:r>
      <w:r w:rsidRPr="00B05E44">
        <w:t xml:space="preserve"> recorded in March 2020. The share of employed men working full-time increased from 80.9</w:t>
      </w:r>
      <w:r>
        <w:t>%</w:t>
      </w:r>
      <w:r w:rsidRPr="00B05E44">
        <w:t xml:space="preserve"> in March 2020, to 81.5</w:t>
      </w:r>
      <w:r>
        <w:t>%</w:t>
      </w:r>
      <w:r w:rsidRPr="00B05E44">
        <w:t xml:space="preserve"> in June 2023</w:t>
      </w:r>
      <w:r w:rsidR="00B706BE">
        <w:t xml:space="preserve"> (Figure 1)</w:t>
      </w:r>
      <w:r w:rsidRPr="00B05E44">
        <w:t>.</w:t>
      </w:r>
    </w:p>
    <w:p w14:paraId="6BA27CC3" w14:textId="09993A86" w:rsidR="000B4E84" w:rsidRPr="00B72A6C" w:rsidRDefault="000B4E84" w:rsidP="000B4E84">
      <w:pPr>
        <w:pStyle w:val="ChartandTablelabel"/>
      </w:pPr>
      <w:r w:rsidRPr="00B72A6C">
        <w:t xml:space="preserve">Figure 1: </w:t>
      </w:r>
      <w:r w:rsidR="0033672A" w:rsidRPr="0033672A">
        <w:t>Proportion of employed women and men working full-time, June 2003 to June 2023</w:t>
      </w:r>
    </w:p>
    <w:p w14:paraId="3B516BAB" w14:textId="411159E5" w:rsidR="00C20F36" w:rsidRDefault="005B14D4" w:rsidP="00591554">
      <w:pPr>
        <w:pStyle w:val="Bodycopy"/>
      </w:pPr>
      <w:r w:rsidRPr="00B05E44">
        <w:rPr>
          <w:noProof/>
        </w:rPr>
        <w:drawing>
          <wp:inline distT="0" distB="0" distL="0" distR="0" wp14:anchorId="51B277B6" wp14:editId="46A772EF">
            <wp:extent cx="5656580" cy="2961777"/>
            <wp:effectExtent l="0" t="0" r="1270" b="0"/>
            <wp:docPr id="418593042" name="Chart 418593042" descr="Figure 1 is a line chart mapping the proportion of employed men and women working full-time over the 20 years to June 2023. It shows that growth in full-time employment for women has been particularly pronounced since early 2020, with 57.9 per cent of employed women working full-time in June 2023, the highest share recorded since September 1996. ">
              <a:extLst xmlns:a="http://schemas.openxmlformats.org/drawingml/2006/main">
                <a:ext uri="{FF2B5EF4-FFF2-40B4-BE49-F238E27FC236}">
                  <a16:creationId xmlns:a16="http://schemas.microsoft.com/office/drawing/2014/main" id="{FADEC87E-CA89-46C9-9177-BA09871FE7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76B24D4" w14:textId="026D24DC" w:rsidR="000B4E84" w:rsidRDefault="00175559" w:rsidP="008D7BFA">
      <w:pPr>
        <w:pStyle w:val="Source"/>
        <w:ind w:left="510"/>
      </w:pPr>
      <w:r w:rsidRPr="00B05E44">
        <w:t>ABS, Labour Force, Australia, June 2023, seasonally adjusted data.</w:t>
      </w:r>
    </w:p>
    <w:p w14:paraId="089B20BE" w14:textId="77777777" w:rsidR="008D7BFA" w:rsidRPr="00B05E44" w:rsidRDefault="008D7BFA" w:rsidP="00AD383B">
      <w:pPr>
        <w:pStyle w:val="Bodycopy"/>
        <w:rPr>
          <w:highlight w:val="yellow"/>
        </w:rPr>
      </w:pPr>
      <w:r w:rsidRPr="00B05E44">
        <w:t>Reflecting the underlying strength of labour market activity, the female unemployment rate declined over the year, from 3.5</w:t>
      </w:r>
      <w:r>
        <w:t>%</w:t>
      </w:r>
      <w:r w:rsidRPr="00B05E44">
        <w:t xml:space="preserve"> in June 2022, to 3.4</w:t>
      </w:r>
      <w:r>
        <w:t>%</w:t>
      </w:r>
      <w:r w:rsidRPr="00B05E44">
        <w:t xml:space="preserve"> in June 2023, close to the recent low of 3.3</w:t>
      </w:r>
      <w:r>
        <w:t>%</w:t>
      </w:r>
      <w:r w:rsidRPr="00B05E44">
        <w:t xml:space="preserve"> recorded in April 2023 and below the 3.6</w:t>
      </w:r>
      <w:r>
        <w:t>%</w:t>
      </w:r>
      <w:r w:rsidRPr="00B05E44">
        <w:t xml:space="preserve"> for males in June 2023.</w:t>
      </w:r>
      <w:r w:rsidRPr="00B05E44">
        <w:rPr>
          <w:highlight w:val="yellow"/>
        </w:rPr>
        <w:t xml:space="preserve"> </w:t>
      </w:r>
    </w:p>
    <w:p w14:paraId="236F58D8" w14:textId="79545D6A" w:rsidR="0056449D" w:rsidRDefault="008D7BFA" w:rsidP="00AD383B">
      <w:pPr>
        <w:pStyle w:val="Bodycopy"/>
      </w:pPr>
      <w:r w:rsidRPr="00B05E44">
        <w:t>The participation rate for women was steady over the year, at 62.5</w:t>
      </w:r>
      <w:r>
        <w:t>%</w:t>
      </w:r>
      <w:r w:rsidRPr="00B05E44">
        <w:t xml:space="preserve"> in June 2023, and remains close to the record high of 62.7</w:t>
      </w:r>
      <w:r>
        <w:t>%</w:t>
      </w:r>
      <w:r w:rsidRPr="00B05E44">
        <w:t xml:space="preserve"> in May 2023 but well below the 71.1</w:t>
      </w:r>
      <w:r>
        <w:t>%</w:t>
      </w:r>
      <w:r w:rsidRPr="00B05E44">
        <w:t xml:space="preserve"> recorded for men.</w:t>
      </w:r>
    </w:p>
    <w:p w14:paraId="1E45B7E2" w14:textId="77777777" w:rsidR="00AC00D7" w:rsidRDefault="00AC00D7" w:rsidP="008D7BFA">
      <w:pPr>
        <w:rPr>
          <w:rFonts w:eastAsiaTheme="majorEastAsia" w:cstheme="majorBidi"/>
          <w:b/>
          <w:sz w:val="32"/>
          <w:szCs w:val="26"/>
        </w:rPr>
      </w:pPr>
      <w:r w:rsidRPr="00AC00D7">
        <w:rPr>
          <w:rFonts w:eastAsiaTheme="majorEastAsia" w:cstheme="majorBidi"/>
          <w:b/>
          <w:sz w:val="32"/>
          <w:szCs w:val="26"/>
        </w:rPr>
        <w:t>The youth (15-24 years) labour market</w:t>
      </w:r>
    </w:p>
    <w:p w14:paraId="481928DE" w14:textId="77777777" w:rsidR="00295B33" w:rsidRPr="00B05E44" w:rsidRDefault="00295B33" w:rsidP="00AD383B">
      <w:pPr>
        <w:pStyle w:val="Bodycopy"/>
        <w:rPr>
          <w:highlight w:val="yellow"/>
        </w:rPr>
      </w:pPr>
      <w:r w:rsidRPr="00B05E44">
        <w:t>Youth employment increased by 91,800 (or 4.4</w:t>
      </w:r>
      <w:r>
        <w:t>%</w:t>
      </w:r>
      <w:r w:rsidRPr="00B05E44">
        <w:t>) over the year, to stand at a record high of 2,182,900 in June 2023, well above its decade annual average growth rate of 1.8</w:t>
      </w:r>
      <w:r>
        <w:t>% (Figure 2)</w:t>
      </w:r>
      <w:r w:rsidRPr="00B05E44">
        <w:t>. The rise in youth employment over the period was due, in large part, to a strong increase in full-time employment, up by 80,100 (or 8.4</w:t>
      </w:r>
      <w:r>
        <w:t>%</w:t>
      </w:r>
      <w:r w:rsidRPr="00B05E44">
        <w:t>), to 1,033,200 in June 2023.</w:t>
      </w:r>
      <w:r w:rsidRPr="00B05E44">
        <w:rPr>
          <w:highlight w:val="yellow"/>
        </w:rPr>
        <w:t xml:space="preserve"> </w:t>
      </w:r>
    </w:p>
    <w:p w14:paraId="08419F4C" w14:textId="77777777" w:rsidR="00295B33" w:rsidRPr="00B05E44" w:rsidRDefault="00295B33" w:rsidP="00AD383B">
      <w:pPr>
        <w:pStyle w:val="Bodycopy"/>
      </w:pPr>
      <w:r w:rsidRPr="00B05E44">
        <w:t>The youth unemployment rate fell by 0.2 percentage points over the year, to 7.8</w:t>
      </w:r>
      <w:r>
        <w:t>%</w:t>
      </w:r>
      <w:r w:rsidRPr="00B05E44">
        <w:t xml:space="preserve"> in June 2023, although it remains more than double the rate recorded for all persons (of 3.5</w:t>
      </w:r>
      <w:r>
        <w:t>%</w:t>
      </w:r>
      <w:r w:rsidRPr="00B05E44">
        <w:t>).</w:t>
      </w:r>
    </w:p>
    <w:p w14:paraId="5888E77F" w14:textId="77777777" w:rsidR="00295B33" w:rsidRDefault="00295B33" w:rsidP="00AD383B">
      <w:pPr>
        <w:pStyle w:val="Bodycopy"/>
      </w:pPr>
      <w:r w:rsidRPr="00B05E44">
        <w:lastRenderedPageBreak/>
        <w:t>The fall in the youth unemployment rate, however, occurred in conjunction with a 0.8 percentage point decrease in the youth participation rate, which fell to 71.1</w:t>
      </w:r>
      <w:r>
        <w:t>%</w:t>
      </w:r>
      <w:r w:rsidRPr="00B05E44">
        <w:t xml:space="preserve"> in June 2023, although it remains well above the 68.1</w:t>
      </w:r>
      <w:r>
        <w:t>%</w:t>
      </w:r>
      <w:r w:rsidRPr="00B05E44">
        <w:t xml:space="preserve"> recorded in March 2020.</w:t>
      </w:r>
    </w:p>
    <w:p w14:paraId="57009B93" w14:textId="6A81CC5A" w:rsidR="00295B33" w:rsidRDefault="009777FB" w:rsidP="00295B33">
      <w:pPr>
        <w:rPr>
          <w:b/>
          <w:sz w:val="20"/>
          <w:lang w:val="en-US"/>
        </w:rPr>
      </w:pPr>
      <w:r w:rsidRPr="009777FB">
        <w:rPr>
          <w:b/>
          <w:sz w:val="20"/>
          <w:lang w:val="en-US"/>
        </w:rPr>
        <w:t>Figure 2: Annual youth employment growth and youth unemployment rate, June 2003 to June 2023</w:t>
      </w:r>
    </w:p>
    <w:p w14:paraId="05DBCDD9" w14:textId="264138DF" w:rsidR="009777FB" w:rsidRPr="00B05E44" w:rsidRDefault="000562F9" w:rsidP="00295B33">
      <w:r w:rsidRPr="00B05E44">
        <w:rPr>
          <w:noProof/>
        </w:rPr>
        <w:drawing>
          <wp:inline distT="0" distB="0" distL="0" distR="0" wp14:anchorId="2F2F95F5" wp14:editId="4F98B4C4">
            <wp:extent cx="5656580" cy="2849598"/>
            <wp:effectExtent l="0" t="0" r="1270" b="8255"/>
            <wp:docPr id="418593044" name="Chart 418593044" descr="Figure 2 is a combination chart with bars for annual youth employment growth as a percentage on the left hand-side and a line chart for the youth unemployment rate percentage on the right hand side, each series covering the 20 years to June 2023. The chart shows that the youth unemployment rate is near its lowest levels in the past 20 years, with annual growth in employment for youth having been stronger in the past two years than at any other point dating back to 2003.">
              <a:extLst xmlns:a="http://schemas.openxmlformats.org/drawingml/2006/main">
                <a:ext uri="{FF2B5EF4-FFF2-40B4-BE49-F238E27FC236}">
                  <a16:creationId xmlns:a16="http://schemas.microsoft.com/office/drawing/2014/main" id="{085DA27B-4C17-4D46-B3E8-2B01FD72A4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3551C5" w14:textId="77777777" w:rsidR="000E202A" w:rsidRPr="000E202A" w:rsidRDefault="000E202A" w:rsidP="000E202A">
      <w:pPr>
        <w:pStyle w:val="Source"/>
        <w:ind w:left="510"/>
      </w:pPr>
      <w:r w:rsidRPr="000E202A">
        <w:t>ABS, Labour Force, Australia, June 2023, seasonally adjusted data.</w:t>
      </w:r>
    </w:p>
    <w:p w14:paraId="473E4DE1" w14:textId="50CCD6B3" w:rsidR="008D7BFA" w:rsidRPr="00AD383B" w:rsidRDefault="008766D5" w:rsidP="00AD383B">
      <w:pPr>
        <w:pStyle w:val="Bodycopy"/>
      </w:pPr>
      <w:r w:rsidRPr="00AD383B">
        <w:t>While it is encouraging that labour market conditions for the youth cohort, while softening, have remained reasonably strong over the last year, it is important to bear in mind that young people are particularly vulnerable during economic downturns, as they tend to have fewer skills and less experience than their older counterparts and are often the first to be retrenched by employers in times of economic difficulty.</w:t>
      </w:r>
    </w:p>
    <w:p w14:paraId="0A9275E2" w14:textId="25F532EF" w:rsidR="008766D5" w:rsidRDefault="001C5A88" w:rsidP="008766D5">
      <w:pPr>
        <w:rPr>
          <w:rFonts w:eastAsiaTheme="majorEastAsia" w:cstheme="majorBidi"/>
          <w:b/>
          <w:sz w:val="32"/>
          <w:szCs w:val="26"/>
        </w:rPr>
      </w:pPr>
      <w:r w:rsidRPr="001C5A88">
        <w:rPr>
          <w:rFonts w:eastAsiaTheme="majorEastAsia" w:cstheme="majorBidi"/>
          <w:b/>
          <w:sz w:val="32"/>
          <w:szCs w:val="26"/>
        </w:rPr>
        <w:t>Long-term unemployment</w:t>
      </w:r>
    </w:p>
    <w:p w14:paraId="14B37EB9" w14:textId="77777777" w:rsidR="00BA25BD" w:rsidRPr="00B05E44" w:rsidRDefault="00BA25BD" w:rsidP="00AD383B">
      <w:pPr>
        <w:pStyle w:val="Bodycopy"/>
      </w:pPr>
      <w:r w:rsidRPr="00B05E44">
        <w:t xml:space="preserve">As could be expected during a sustained period of strong employment growth, </w:t>
      </w:r>
      <w:r w:rsidRPr="008B2750">
        <w:rPr>
          <w:b/>
          <w:bCs/>
        </w:rPr>
        <w:t>the level of long-term unemployment has declined considerably over the year</w:t>
      </w:r>
      <w:r w:rsidRPr="00B05E44">
        <w:t>, by 29,500 (or 22.7</w:t>
      </w:r>
      <w:r>
        <w:t>%</w:t>
      </w:r>
      <w:r w:rsidRPr="00B05E44">
        <w:t xml:space="preserve">), to stand at 100,400 in June 2023 </w:t>
      </w:r>
      <w:r>
        <w:t>(</w:t>
      </w:r>
      <w:r w:rsidRPr="0013697F">
        <w:t>Figure 3</w:t>
      </w:r>
      <w:r>
        <w:t>)</w:t>
      </w:r>
      <w:r w:rsidRPr="0013697F">
        <w:t>.</w:t>
      </w:r>
    </w:p>
    <w:p w14:paraId="45113634" w14:textId="77777777" w:rsidR="00BA25BD" w:rsidRPr="00B05E44" w:rsidRDefault="00BA25BD" w:rsidP="00AD383B">
      <w:pPr>
        <w:pStyle w:val="Bodycopy"/>
        <w:rPr>
          <w:highlight w:val="yellow"/>
        </w:rPr>
      </w:pPr>
      <w:r w:rsidRPr="00B05E44">
        <w:t>In terms of a cohort breakdown, the level of youth long-term unemployment fell significantly over the year, by 16,400 (or 40.7</w:t>
      </w:r>
      <w:r>
        <w:t>%</w:t>
      </w:r>
      <w:r w:rsidRPr="00B05E44">
        <w:t>), to stand at 23,900 in June 2023, and is now at its lowest level since January 2010. Youth comprised 22.2</w:t>
      </w:r>
      <w:r>
        <w:t>%</w:t>
      </w:r>
      <w:r w:rsidRPr="00B05E44">
        <w:t xml:space="preserve"> of the total long-term unemployment pool in June 2023, compared with their 16.3</w:t>
      </w:r>
      <w:r>
        <w:t>%</w:t>
      </w:r>
      <w:r w:rsidRPr="00B05E44">
        <w:t xml:space="preserve"> share of the labour force aged 15 years and over. This proportion is below 25.3</w:t>
      </w:r>
      <w:r>
        <w:t>%</w:t>
      </w:r>
      <w:r w:rsidRPr="00B05E44">
        <w:t xml:space="preserve"> recorded a year ago and the 22.6</w:t>
      </w:r>
      <w:r>
        <w:t>%</w:t>
      </w:r>
      <w:r w:rsidRPr="00B05E44">
        <w:t xml:space="preserve"> recorded in September 2008 (at the onset of the Global Financial Crisis).</w:t>
      </w:r>
    </w:p>
    <w:p w14:paraId="40594F2B" w14:textId="77777777" w:rsidR="00BA25BD" w:rsidRPr="00B05E44" w:rsidRDefault="00BA25BD" w:rsidP="00AD383B">
      <w:pPr>
        <w:pStyle w:val="Bodycopy"/>
      </w:pPr>
      <w:r w:rsidRPr="00B05E44">
        <w:t>The level of mature age long-term unemployment also decreased over the year, by 6,800 (or 20.5</w:t>
      </w:r>
      <w:r>
        <w:t>%</w:t>
      </w:r>
      <w:r w:rsidRPr="00B05E44">
        <w:t>), to 26,400 in June 2023, the lowest level recorded since January 2015. That said, the mature age share of long-term unemployment has risen markedly over the last year, from 20.8</w:t>
      </w:r>
      <w:r>
        <w:t>%</w:t>
      </w:r>
      <w:r w:rsidRPr="00B05E44">
        <w:t xml:space="preserve"> in June 2022, to 24.4</w:t>
      </w:r>
      <w:r>
        <w:t>%</w:t>
      </w:r>
      <w:r w:rsidRPr="00B05E44">
        <w:t xml:space="preserve"> in June 2023 – the highest proportion recorded since the </w:t>
      </w:r>
      <w:r w:rsidRPr="00B05E44">
        <w:lastRenderedPageBreak/>
        <w:t>beginning of the series in December 1991</w:t>
      </w:r>
      <w:r w:rsidRPr="00B05E44">
        <w:rPr>
          <w:rStyle w:val="FootnoteReference"/>
        </w:rPr>
        <w:footnoteReference w:id="1"/>
      </w:r>
      <w:r w:rsidRPr="00B05E44">
        <w:t xml:space="preserve"> and well above the 16.5</w:t>
      </w:r>
      <w:r>
        <w:t>%</w:t>
      </w:r>
      <w:r w:rsidRPr="00B05E44">
        <w:t xml:space="preserve"> recorded in September 2008.</w:t>
      </w:r>
    </w:p>
    <w:p w14:paraId="3D3EFC23" w14:textId="77777777" w:rsidR="00BA25BD" w:rsidRPr="00B05E44" w:rsidRDefault="00BA25BD" w:rsidP="00AD383B">
      <w:pPr>
        <w:pStyle w:val="Bodycopy"/>
      </w:pPr>
      <w:r w:rsidRPr="00B05E44">
        <w:t>It is worth noting that the pace of employment growth is forecast to slow in 2023-24 which, after a lag, is likely to place upward pressure on long-term unemployment going forward.</w:t>
      </w:r>
    </w:p>
    <w:p w14:paraId="7BF94129" w14:textId="57F92321" w:rsidR="008766D5" w:rsidRDefault="00AB442A" w:rsidP="008766D5">
      <w:pPr>
        <w:pStyle w:val="Bodycopy"/>
      </w:pPr>
      <w:r w:rsidRPr="00AB442A">
        <w:rPr>
          <w:b/>
          <w:sz w:val="20"/>
          <w:lang w:val="en-US"/>
        </w:rPr>
        <w:t>Figure 3:  Long-term unemployment and annual employment growth, June 2003 to June 2023</w:t>
      </w:r>
    </w:p>
    <w:p w14:paraId="1A04DE73" w14:textId="77777777" w:rsidR="00F97BEE" w:rsidRPr="00B05E44" w:rsidRDefault="00F97BEE" w:rsidP="00F97BEE">
      <w:pPr>
        <w:pStyle w:val="Caption"/>
      </w:pPr>
      <w:r w:rsidRPr="00B05E44">
        <w:rPr>
          <w:noProof/>
        </w:rPr>
        <w:drawing>
          <wp:inline distT="0" distB="0" distL="0" distR="0" wp14:anchorId="0E22F08C" wp14:editId="6D72E620">
            <wp:extent cx="5656580" cy="3113438"/>
            <wp:effectExtent l="0" t="0" r="1270" b="0"/>
            <wp:docPr id="418593045" name="Chart 418593045" descr="Figure 3 is a combination chart with bars for annual employment growth as a percentage on the left hand-side and a line chart for long term unemployment (LTU) in thousands on the right hand side, each series covering the 20 years to June 2023. The chart shows that from September 2002, long term unemployment followed a downward trend bottoming out at around 65,000 in mid-2008. As employment growth slowed with the Global Financial Crisis, the numbers of long term unemployed then began to steadily rise, following an upward trend until mid-2015, when the numbers levelled off at between 150,000 to 180,000 for the next 4½ years. With the onset of COVID-19, the number of long term unemployed increased sharply, reaching a high of 246,200 in April 2021, but has since fallen sharply with the strong pace of employment growth that has followed the end of the Delta lockdowns, the number of long term unemployed dropping to 100,400 in June 2023.">
              <a:extLst xmlns:a="http://schemas.openxmlformats.org/drawingml/2006/main">
                <a:ext uri="{FF2B5EF4-FFF2-40B4-BE49-F238E27FC236}">
                  <a16:creationId xmlns:a16="http://schemas.microsoft.com/office/drawing/2014/main" id="{717B5DF2-BC48-402B-AB1C-0FDD94A27E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7D6951A" w14:textId="77777777" w:rsidR="00F97BEE" w:rsidRPr="00B05E44" w:rsidRDefault="00F97BEE" w:rsidP="00F97BEE">
      <w:pPr>
        <w:pStyle w:val="Source"/>
        <w:ind w:left="510"/>
      </w:pPr>
      <w:r w:rsidRPr="00B05E44">
        <w:t>ABS, Labour Force, Australia, Detailed, June 2023, seasonally adjusted data for long-term unemployment and ABS, Labour Force, Australia, June 2023, seasonally adjusted data for annual employment growth.</w:t>
      </w:r>
    </w:p>
    <w:p w14:paraId="33F115CB" w14:textId="77777777" w:rsidR="008766D5" w:rsidRPr="008766D5" w:rsidRDefault="008766D5" w:rsidP="008766D5">
      <w:pPr>
        <w:pStyle w:val="Bodycopy"/>
      </w:pPr>
    </w:p>
    <w:p w14:paraId="08233E62" w14:textId="7909BE84" w:rsidR="00D45447" w:rsidRDefault="00D45447" w:rsidP="00D45447">
      <w:pPr>
        <w:rPr>
          <w:rFonts w:eastAsiaTheme="majorEastAsia" w:cstheme="majorBidi"/>
          <w:b/>
          <w:sz w:val="32"/>
          <w:szCs w:val="26"/>
        </w:rPr>
      </w:pPr>
      <w:bookmarkStart w:id="4" w:name="_Toc118443203"/>
      <w:r>
        <w:rPr>
          <w:rFonts w:eastAsiaTheme="majorEastAsia" w:cstheme="majorBidi"/>
          <w:b/>
          <w:sz w:val="32"/>
          <w:szCs w:val="26"/>
        </w:rPr>
        <w:t>States and territories</w:t>
      </w:r>
    </w:p>
    <w:p w14:paraId="5F670E3C" w14:textId="77777777" w:rsidR="001F723D" w:rsidRPr="00B05E44" w:rsidRDefault="001F723D" w:rsidP="00AD383B">
      <w:pPr>
        <w:pStyle w:val="Bodycopy"/>
      </w:pPr>
      <w:r w:rsidRPr="00683A38">
        <w:rPr>
          <w:b/>
          <w:bCs/>
        </w:rPr>
        <w:t>Labour market activity in Australia has been strong over the last year and conditions remain tight across all jurisdictions.</w:t>
      </w:r>
      <w:r w:rsidRPr="00B05E44">
        <w:t xml:space="preserve"> For instance, employment rose in all the states and territories over the year to June 2023. The most populous states of New South Wales (up by 140,700 or 3.3</w:t>
      </w:r>
      <w:r>
        <w:t>%</w:t>
      </w:r>
      <w:r w:rsidRPr="00B05E44">
        <w:t>) and Victoria (up by 123,600 or 3.5</w:t>
      </w:r>
      <w:r>
        <w:t>%</w:t>
      </w:r>
      <w:r w:rsidRPr="00B05E44">
        <w:t>) recorded the largest increases in the level of employment over the period (</w:t>
      </w:r>
      <w:r>
        <w:t>Table 2</w:t>
      </w:r>
      <w:r w:rsidRPr="00B05E44">
        <w:t>).</w:t>
      </w:r>
    </w:p>
    <w:p w14:paraId="0F99FF2C" w14:textId="77777777" w:rsidR="001F723D" w:rsidRDefault="001F723D" w:rsidP="00AD383B">
      <w:pPr>
        <w:pStyle w:val="Bodycopy"/>
      </w:pPr>
      <w:r w:rsidRPr="00B05E44">
        <w:t>All jurisdictions, except for South Australia, recorded an unemployment rate below 4.0</w:t>
      </w:r>
      <w:r>
        <w:t>%</w:t>
      </w:r>
      <w:r w:rsidRPr="00B05E44">
        <w:t xml:space="preserve"> in June 2023. South Australia recorded the highest unemployment rate (of 4.2</w:t>
      </w:r>
      <w:r>
        <w:t>%</w:t>
      </w:r>
      <w:r w:rsidRPr="00B05E44">
        <w:t>), while New South Wales recorded the lowest rate, of 2.9</w:t>
      </w:r>
      <w:r>
        <w:t>%</w:t>
      </w:r>
      <w:r w:rsidRPr="00B05E44">
        <w:t xml:space="preserve"> in June 2023, the lowest rate recorded in the state since the inception of the monthly series in February 1978.</w:t>
      </w:r>
    </w:p>
    <w:p w14:paraId="7BBB0E16" w14:textId="77777777" w:rsidR="007B606A" w:rsidRDefault="007B606A" w:rsidP="00FF5DEF">
      <w:pPr>
        <w:pStyle w:val="ChartandTablelabel"/>
      </w:pPr>
      <w:r>
        <w:br w:type="page"/>
      </w:r>
    </w:p>
    <w:p w14:paraId="1E7EB5F3" w14:textId="5C4FC811" w:rsidR="00FF5DEF" w:rsidRDefault="00FF5DEF" w:rsidP="00FF5DEF">
      <w:pPr>
        <w:pStyle w:val="ChartandTablelabel"/>
      </w:pPr>
      <w:r w:rsidRPr="00E85606">
        <w:lastRenderedPageBreak/>
        <w:t>Table 2</w:t>
      </w:r>
      <w:r w:rsidR="00E521BB">
        <w:t xml:space="preserve">: </w:t>
      </w:r>
      <w:r w:rsidR="00E521BB" w:rsidRPr="00E521BB">
        <w:t xml:space="preserve">Key </w:t>
      </w:r>
      <w:proofErr w:type="spellStart"/>
      <w:r w:rsidR="00E521BB" w:rsidRPr="00E521BB">
        <w:t>labour</w:t>
      </w:r>
      <w:proofErr w:type="spellEnd"/>
      <w:r w:rsidR="00E521BB" w:rsidRPr="00E521BB">
        <w:t xml:space="preserve"> market indicators by state and territory, June 2023</w:t>
      </w:r>
    </w:p>
    <w:tbl>
      <w:tblPr>
        <w:tblW w:w="9908" w:type="dxa"/>
        <w:tblLook w:val="04A0" w:firstRow="1" w:lastRow="0" w:firstColumn="1" w:lastColumn="0" w:noHBand="0" w:noVBand="1"/>
      </w:tblPr>
      <w:tblGrid>
        <w:gridCol w:w="2835"/>
        <w:gridCol w:w="1073"/>
        <w:gridCol w:w="1000"/>
        <w:gridCol w:w="1000"/>
        <w:gridCol w:w="1000"/>
        <w:gridCol w:w="1000"/>
        <w:gridCol w:w="1000"/>
        <w:gridCol w:w="1000"/>
      </w:tblGrid>
      <w:tr w:rsidR="00FE5535" w:rsidRPr="009D317C" w14:paraId="076C92AB" w14:textId="77777777" w:rsidTr="00B61A93">
        <w:trPr>
          <w:trHeight w:val="649"/>
        </w:trPr>
        <w:tc>
          <w:tcPr>
            <w:tcW w:w="2835" w:type="dxa"/>
            <w:vMerge w:val="restart"/>
            <w:tcBorders>
              <w:top w:val="nil"/>
              <w:left w:val="nil"/>
              <w:bottom w:val="nil"/>
              <w:right w:val="nil"/>
            </w:tcBorders>
            <w:shd w:val="clear" w:color="auto" w:fill="441170" w:themeFill="text2"/>
            <w:noWrap/>
            <w:vAlign w:val="center"/>
            <w:hideMark/>
          </w:tcPr>
          <w:p w14:paraId="0C6BAE8A" w14:textId="77777777" w:rsidR="00FE5535" w:rsidRPr="009D317C" w:rsidRDefault="00FE5535" w:rsidP="00073193">
            <w:pPr>
              <w:spacing w:before="120" w:after="120" w:line="240" w:lineRule="auto"/>
              <w:rPr>
                <w:color w:val="FFFFFF" w:themeColor="background1"/>
              </w:rPr>
            </w:pPr>
            <w:r w:rsidRPr="009D317C">
              <w:rPr>
                <w:color w:val="FFFFFF" w:themeColor="background1"/>
              </w:rPr>
              <w:t> </w:t>
            </w:r>
          </w:p>
        </w:tc>
        <w:tc>
          <w:tcPr>
            <w:tcW w:w="3073" w:type="dxa"/>
            <w:gridSpan w:val="3"/>
            <w:tcBorders>
              <w:top w:val="nil"/>
              <w:left w:val="nil"/>
              <w:bottom w:val="nil"/>
              <w:right w:val="nil"/>
            </w:tcBorders>
            <w:shd w:val="clear" w:color="auto" w:fill="441170" w:themeFill="text2"/>
            <w:vAlign w:val="center"/>
            <w:hideMark/>
          </w:tcPr>
          <w:p w14:paraId="1A13A9AB" w14:textId="194D5EB6" w:rsidR="00FE5535" w:rsidRPr="00FE5535" w:rsidRDefault="00FE5535" w:rsidP="00360D5E">
            <w:pPr>
              <w:pStyle w:val="Tableheader"/>
            </w:pPr>
            <w:r w:rsidRPr="00FE5535">
              <w:t>Employment ('000)</w:t>
            </w:r>
          </w:p>
        </w:tc>
        <w:tc>
          <w:tcPr>
            <w:tcW w:w="2000" w:type="dxa"/>
            <w:gridSpan w:val="2"/>
            <w:tcBorders>
              <w:top w:val="nil"/>
              <w:left w:val="nil"/>
              <w:bottom w:val="nil"/>
              <w:right w:val="nil"/>
            </w:tcBorders>
            <w:shd w:val="clear" w:color="auto" w:fill="441170" w:themeFill="text2"/>
            <w:vAlign w:val="center"/>
            <w:hideMark/>
          </w:tcPr>
          <w:p w14:paraId="7F60CE2C" w14:textId="77777777" w:rsidR="00FE5535" w:rsidRPr="00FE5535" w:rsidRDefault="00FE5535" w:rsidP="00360D5E">
            <w:pPr>
              <w:pStyle w:val="Tableheader"/>
            </w:pPr>
            <w:r w:rsidRPr="00FE5535">
              <w:t>Unemployment rate (%)</w:t>
            </w:r>
          </w:p>
        </w:tc>
        <w:tc>
          <w:tcPr>
            <w:tcW w:w="2000" w:type="dxa"/>
            <w:gridSpan w:val="2"/>
            <w:tcBorders>
              <w:top w:val="nil"/>
              <w:left w:val="nil"/>
              <w:bottom w:val="nil"/>
              <w:right w:val="nil"/>
            </w:tcBorders>
            <w:shd w:val="clear" w:color="auto" w:fill="441170" w:themeFill="text2"/>
            <w:vAlign w:val="center"/>
            <w:hideMark/>
          </w:tcPr>
          <w:p w14:paraId="3FD27202" w14:textId="77777777" w:rsidR="00FE5535" w:rsidRPr="00FE5535" w:rsidRDefault="00FE5535" w:rsidP="00360D5E">
            <w:pPr>
              <w:pStyle w:val="Tableheader"/>
            </w:pPr>
            <w:r w:rsidRPr="00FE5535">
              <w:t xml:space="preserve">Participation </w:t>
            </w:r>
            <w:r w:rsidRPr="00FE5535">
              <w:br/>
              <w:t>rate (%)</w:t>
            </w:r>
          </w:p>
        </w:tc>
      </w:tr>
      <w:tr w:rsidR="00FE5535" w:rsidRPr="009D317C" w14:paraId="77446CDC" w14:textId="77777777" w:rsidTr="00B61A93">
        <w:trPr>
          <w:trHeight w:val="300"/>
        </w:trPr>
        <w:tc>
          <w:tcPr>
            <w:tcW w:w="2835" w:type="dxa"/>
            <w:vMerge/>
            <w:vAlign w:val="center"/>
            <w:hideMark/>
          </w:tcPr>
          <w:p w14:paraId="6B4358B9" w14:textId="77777777" w:rsidR="00FE5535" w:rsidRPr="009D317C" w:rsidRDefault="00FE5535" w:rsidP="00073193">
            <w:pPr>
              <w:spacing w:before="120" w:after="120" w:line="240" w:lineRule="auto"/>
              <w:rPr>
                <w:color w:val="FFFFFF" w:themeColor="background1"/>
              </w:rPr>
            </w:pPr>
          </w:p>
        </w:tc>
        <w:tc>
          <w:tcPr>
            <w:tcW w:w="1073" w:type="dxa"/>
            <w:vMerge w:val="restart"/>
            <w:tcBorders>
              <w:top w:val="nil"/>
              <w:left w:val="nil"/>
              <w:bottom w:val="nil"/>
              <w:right w:val="nil"/>
            </w:tcBorders>
            <w:shd w:val="clear" w:color="auto" w:fill="441170" w:themeFill="text2"/>
            <w:vAlign w:val="center"/>
            <w:hideMark/>
          </w:tcPr>
          <w:p w14:paraId="11AFB0AA" w14:textId="77777777" w:rsidR="00FE5535" w:rsidRPr="00FE5535" w:rsidRDefault="00FE5535" w:rsidP="00360D5E">
            <w:pPr>
              <w:pStyle w:val="Tableheader"/>
            </w:pPr>
            <w:r w:rsidRPr="00FE5535">
              <w:t>Jun-23</w:t>
            </w:r>
          </w:p>
        </w:tc>
        <w:tc>
          <w:tcPr>
            <w:tcW w:w="2000" w:type="dxa"/>
            <w:gridSpan w:val="2"/>
            <w:tcBorders>
              <w:top w:val="nil"/>
              <w:left w:val="nil"/>
              <w:bottom w:val="nil"/>
              <w:right w:val="nil"/>
            </w:tcBorders>
            <w:shd w:val="clear" w:color="auto" w:fill="441170" w:themeFill="text2"/>
            <w:vAlign w:val="center"/>
            <w:hideMark/>
          </w:tcPr>
          <w:p w14:paraId="1C191C30" w14:textId="77777777" w:rsidR="00FE5535" w:rsidRPr="00FE5535" w:rsidRDefault="00FE5535" w:rsidP="00360D5E">
            <w:pPr>
              <w:pStyle w:val="Tableheader"/>
            </w:pPr>
            <w:r w:rsidRPr="00FE5535">
              <w:t>Annual change</w:t>
            </w:r>
          </w:p>
        </w:tc>
        <w:tc>
          <w:tcPr>
            <w:tcW w:w="1000" w:type="dxa"/>
            <w:vMerge w:val="restart"/>
            <w:tcBorders>
              <w:top w:val="nil"/>
              <w:left w:val="nil"/>
              <w:bottom w:val="nil"/>
              <w:right w:val="nil"/>
            </w:tcBorders>
            <w:shd w:val="clear" w:color="auto" w:fill="441170" w:themeFill="text2"/>
            <w:vAlign w:val="center"/>
            <w:hideMark/>
          </w:tcPr>
          <w:p w14:paraId="0A5B1A48" w14:textId="77777777" w:rsidR="00FE5535" w:rsidRPr="00FE5535" w:rsidRDefault="00FE5535" w:rsidP="00360D5E">
            <w:pPr>
              <w:pStyle w:val="Tableheader"/>
            </w:pPr>
            <w:r w:rsidRPr="00FE5535">
              <w:t>Jun-23</w:t>
            </w:r>
          </w:p>
        </w:tc>
        <w:tc>
          <w:tcPr>
            <w:tcW w:w="1000" w:type="dxa"/>
            <w:vMerge w:val="restart"/>
            <w:tcBorders>
              <w:top w:val="nil"/>
              <w:left w:val="nil"/>
              <w:bottom w:val="nil"/>
              <w:right w:val="nil"/>
            </w:tcBorders>
            <w:shd w:val="clear" w:color="auto" w:fill="441170" w:themeFill="text2"/>
            <w:vAlign w:val="center"/>
            <w:hideMark/>
          </w:tcPr>
          <w:p w14:paraId="640C0283" w14:textId="77777777" w:rsidR="00FE5535" w:rsidRPr="00FE5535" w:rsidRDefault="00FE5535" w:rsidP="00360D5E">
            <w:pPr>
              <w:pStyle w:val="Tableheader"/>
            </w:pPr>
            <w:r w:rsidRPr="00FE5535">
              <w:t xml:space="preserve">Annual change </w:t>
            </w:r>
            <w:r w:rsidRPr="00FE5535">
              <w:br/>
              <w:t>(% pts)</w:t>
            </w:r>
          </w:p>
        </w:tc>
        <w:tc>
          <w:tcPr>
            <w:tcW w:w="1000" w:type="dxa"/>
            <w:vMerge w:val="restart"/>
            <w:tcBorders>
              <w:top w:val="nil"/>
              <w:left w:val="nil"/>
              <w:bottom w:val="nil"/>
              <w:right w:val="nil"/>
            </w:tcBorders>
            <w:shd w:val="clear" w:color="auto" w:fill="441170" w:themeFill="text2"/>
            <w:vAlign w:val="center"/>
            <w:hideMark/>
          </w:tcPr>
          <w:p w14:paraId="3BC94AEF" w14:textId="77777777" w:rsidR="00FE5535" w:rsidRPr="00FE5535" w:rsidRDefault="00FE5535" w:rsidP="00360D5E">
            <w:pPr>
              <w:pStyle w:val="Tableheader"/>
            </w:pPr>
            <w:r w:rsidRPr="00FE5535">
              <w:t>Jun-23</w:t>
            </w:r>
          </w:p>
        </w:tc>
        <w:tc>
          <w:tcPr>
            <w:tcW w:w="1000" w:type="dxa"/>
            <w:vMerge w:val="restart"/>
            <w:tcBorders>
              <w:top w:val="nil"/>
              <w:left w:val="nil"/>
              <w:bottom w:val="nil"/>
              <w:right w:val="nil"/>
            </w:tcBorders>
            <w:shd w:val="clear" w:color="auto" w:fill="441170" w:themeFill="text2"/>
            <w:vAlign w:val="center"/>
            <w:hideMark/>
          </w:tcPr>
          <w:p w14:paraId="344C8984" w14:textId="77777777" w:rsidR="00FE5535" w:rsidRPr="00FE5535" w:rsidRDefault="00FE5535" w:rsidP="00360D5E">
            <w:pPr>
              <w:pStyle w:val="Tableheader"/>
            </w:pPr>
            <w:r w:rsidRPr="00FE5535">
              <w:t xml:space="preserve">Annual change </w:t>
            </w:r>
            <w:r w:rsidRPr="00FE5535">
              <w:br/>
              <w:t>(% pts)</w:t>
            </w:r>
          </w:p>
        </w:tc>
      </w:tr>
      <w:tr w:rsidR="00FE5535" w:rsidRPr="00B05E44" w14:paraId="61216D3A" w14:textId="77777777" w:rsidTr="00B61A93">
        <w:trPr>
          <w:trHeight w:val="502"/>
        </w:trPr>
        <w:tc>
          <w:tcPr>
            <w:tcW w:w="2835" w:type="dxa"/>
            <w:vMerge/>
            <w:vAlign w:val="center"/>
            <w:hideMark/>
          </w:tcPr>
          <w:p w14:paraId="171120F2" w14:textId="77777777" w:rsidR="00FE5535" w:rsidRPr="00B05E44" w:rsidRDefault="00FE5535" w:rsidP="00073193">
            <w:pPr>
              <w:spacing w:before="120" w:after="120" w:line="240" w:lineRule="auto"/>
            </w:pPr>
          </w:p>
        </w:tc>
        <w:tc>
          <w:tcPr>
            <w:tcW w:w="1073" w:type="dxa"/>
            <w:vMerge/>
            <w:vAlign w:val="center"/>
            <w:hideMark/>
          </w:tcPr>
          <w:p w14:paraId="0729A27C" w14:textId="77777777" w:rsidR="00FE5535" w:rsidRPr="00B05E44" w:rsidRDefault="00FE5535" w:rsidP="00073193">
            <w:pPr>
              <w:spacing w:before="120" w:after="120" w:line="240" w:lineRule="auto"/>
              <w:jc w:val="center"/>
            </w:pPr>
          </w:p>
        </w:tc>
        <w:tc>
          <w:tcPr>
            <w:tcW w:w="1000" w:type="dxa"/>
            <w:tcBorders>
              <w:top w:val="nil"/>
              <w:left w:val="nil"/>
              <w:bottom w:val="nil"/>
              <w:right w:val="nil"/>
            </w:tcBorders>
            <w:shd w:val="clear" w:color="auto" w:fill="441170" w:themeFill="text2"/>
            <w:vAlign w:val="center"/>
            <w:hideMark/>
          </w:tcPr>
          <w:p w14:paraId="634B15DC" w14:textId="77777777" w:rsidR="00FE5535" w:rsidRPr="009D317C" w:rsidRDefault="00FE5535" w:rsidP="00073193">
            <w:pPr>
              <w:spacing w:before="120" w:after="120" w:line="240" w:lineRule="auto"/>
              <w:jc w:val="center"/>
              <w:rPr>
                <w:color w:val="FFFFFF" w:themeColor="background1"/>
              </w:rPr>
            </w:pPr>
            <w:r w:rsidRPr="009D317C">
              <w:rPr>
                <w:color w:val="FFFFFF" w:themeColor="background1"/>
              </w:rPr>
              <w:t>('000)</w:t>
            </w:r>
          </w:p>
        </w:tc>
        <w:tc>
          <w:tcPr>
            <w:tcW w:w="1000" w:type="dxa"/>
            <w:tcBorders>
              <w:top w:val="nil"/>
              <w:left w:val="nil"/>
              <w:bottom w:val="nil"/>
              <w:right w:val="nil"/>
            </w:tcBorders>
            <w:shd w:val="clear" w:color="auto" w:fill="441170" w:themeFill="text2"/>
            <w:vAlign w:val="center"/>
            <w:hideMark/>
          </w:tcPr>
          <w:p w14:paraId="52927635" w14:textId="77777777" w:rsidR="00FE5535" w:rsidRPr="009D317C" w:rsidRDefault="00FE5535" w:rsidP="00073193">
            <w:pPr>
              <w:spacing w:before="120" w:after="120" w:line="240" w:lineRule="auto"/>
              <w:jc w:val="center"/>
              <w:rPr>
                <w:color w:val="FFFFFF" w:themeColor="background1"/>
              </w:rPr>
            </w:pPr>
            <w:r w:rsidRPr="009D317C">
              <w:rPr>
                <w:color w:val="FFFFFF" w:themeColor="background1"/>
              </w:rPr>
              <w:t>(%)</w:t>
            </w:r>
          </w:p>
        </w:tc>
        <w:tc>
          <w:tcPr>
            <w:tcW w:w="1000" w:type="dxa"/>
            <w:vMerge/>
            <w:vAlign w:val="center"/>
            <w:hideMark/>
          </w:tcPr>
          <w:p w14:paraId="57CDAE90" w14:textId="77777777" w:rsidR="00FE5535" w:rsidRPr="00B05E44" w:rsidRDefault="00FE5535" w:rsidP="00073193">
            <w:pPr>
              <w:spacing w:before="120" w:after="120" w:line="240" w:lineRule="auto"/>
              <w:jc w:val="center"/>
            </w:pPr>
          </w:p>
        </w:tc>
        <w:tc>
          <w:tcPr>
            <w:tcW w:w="1000" w:type="dxa"/>
            <w:vMerge/>
            <w:vAlign w:val="center"/>
            <w:hideMark/>
          </w:tcPr>
          <w:p w14:paraId="08AEA5F4" w14:textId="77777777" w:rsidR="00FE5535" w:rsidRPr="00B05E44" w:rsidRDefault="00FE5535" w:rsidP="00073193">
            <w:pPr>
              <w:spacing w:before="120" w:after="120" w:line="240" w:lineRule="auto"/>
              <w:jc w:val="center"/>
            </w:pPr>
          </w:p>
        </w:tc>
        <w:tc>
          <w:tcPr>
            <w:tcW w:w="1000" w:type="dxa"/>
            <w:vMerge/>
            <w:vAlign w:val="center"/>
            <w:hideMark/>
          </w:tcPr>
          <w:p w14:paraId="2F213ABD" w14:textId="77777777" w:rsidR="00FE5535" w:rsidRPr="00B05E44" w:rsidRDefault="00FE5535" w:rsidP="00073193">
            <w:pPr>
              <w:spacing w:before="120" w:after="120" w:line="240" w:lineRule="auto"/>
              <w:jc w:val="center"/>
            </w:pPr>
          </w:p>
        </w:tc>
        <w:tc>
          <w:tcPr>
            <w:tcW w:w="1000" w:type="dxa"/>
            <w:vMerge/>
            <w:vAlign w:val="center"/>
            <w:hideMark/>
          </w:tcPr>
          <w:p w14:paraId="28D727DF" w14:textId="77777777" w:rsidR="00FE5535" w:rsidRPr="00B05E44" w:rsidRDefault="00FE5535" w:rsidP="00073193">
            <w:pPr>
              <w:spacing w:before="120" w:after="120" w:line="240" w:lineRule="auto"/>
              <w:jc w:val="center"/>
            </w:pPr>
          </w:p>
        </w:tc>
      </w:tr>
      <w:tr w:rsidR="00FE5535" w:rsidRPr="00B05E44" w14:paraId="4AAC6D7B" w14:textId="77777777" w:rsidTr="00B61A93">
        <w:trPr>
          <w:trHeight w:val="360"/>
        </w:trPr>
        <w:tc>
          <w:tcPr>
            <w:tcW w:w="2835" w:type="dxa"/>
            <w:tcBorders>
              <w:top w:val="nil"/>
              <w:left w:val="nil"/>
              <w:bottom w:val="nil"/>
              <w:right w:val="nil"/>
            </w:tcBorders>
            <w:shd w:val="clear" w:color="auto" w:fill="D9D9D9" w:themeFill="background1" w:themeFillShade="D9"/>
            <w:noWrap/>
            <w:vAlign w:val="center"/>
            <w:hideMark/>
          </w:tcPr>
          <w:p w14:paraId="5A683464" w14:textId="77777777" w:rsidR="00FE5535" w:rsidRPr="00B05E44" w:rsidRDefault="00FE5535" w:rsidP="006A2FE4">
            <w:pPr>
              <w:pStyle w:val="Tablebodycopy"/>
            </w:pPr>
            <w:r w:rsidRPr="00B05E44">
              <w:t>New South Wales</w:t>
            </w:r>
          </w:p>
        </w:tc>
        <w:tc>
          <w:tcPr>
            <w:tcW w:w="1073" w:type="dxa"/>
            <w:tcBorders>
              <w:top w:val="nil"/>
              <w:left w:val="nil"/>
              <w:bottom w:val="nil"/>
              <w:right w:val="nil"/>
            </w:tcBorders>
            <w:shd w:val="clear" w:color="auto" w:fill="D9D9D9" w:themeFill="background1" w:themeFillShade="D9"/>
            <w:noWrap/>
            <w:vAlign w:val="center"/>
            <w:hideMark/>
          </w:tcPr>
          <w:p w14:paraId="6AAED6DD" w14:textId="77777777" w:rsidR="00FE5535" w:rsidRPr="00B05E44" w:rsidRDefault="00FE5535" w:rsidP="006A2FE4">
            <w:pPr>
              <w:pStyle w:val="Tablebodycopy"/>
            </w:pPr>
            <w:r w:rsidRPr="00B05E44">
              <w:t>4,373.8</w:t>
            </w:r>
          </w:p>
        </w:tc>
        <w:tc>
          <w:tcPr>
            <w:tcW w:w="1000" w:type="dxa"/>
            <w:tcBorders>
              <w:top w:val="nil"/>
              <w:left w:val="nil"/>
              <w:bottom w:val="nil"/>
              <w:right w:val="nil"/>
            </w:tcBorders>
            <w:shd w:val="clear" w:color="auto" w:fill="D9D9D9" w:themeFill="background1" w:themeFillShade="D9"/>
            <w:noWrap/>
            <w:vAlign w:val="center"/>
            <w:hideMark/>
          </w:tcPr>
          <w:p w14:paraId="5075C3C3" w14:textId="77777777" w:rsidR="00FE5535" w:rsidRPr="00B05E44" w:rsidRDefault="00FE5535" w:rsidP="006A2FE4">
            <w:pPr>
              <w:pStyle w:val="Tablebodycopy"/>
            </w:pPr>
            <w:r w:rsidRPr="00B05E44">
              <w:t>140.7</w:t>
            </w:r>
          </w:p>
        </w:tc>
        <w:tc>
          <w:tcPr>
            <w:tcW w:w="1000" w:type="dxa"/>
            <w:tcBorders>
              <w:top w:val="nil"/>
              <w:left w:val="nil"/>
              <w:bottom w:val="nil"/>
              <w:right w:val="nil"/>
            </w:tcBorders>
            <w:shd w:val="clear" w:color="auto" w:fill="D9D9D9" w:themeFill="background1" w:themeFillShade="D9"/>
            <w:noWrap/>
            <w:vAlign w:val="center"/>
            <w:hideMark/>
          </w:tcPr>
          <w:p w14:paraId="50E3E3C2" w14:textId="77777777" w:rsidR="00FE5535" w:rsidRPr="00B05E44" w:rsidRDefault="00FE5535" w:rsidP="006A2FE4">
            <w:pPr>
              <w:pStyle w:val="Tablebodycopy"/>
            </w:pPr>
            <w:r w:rsidRPr="00B05E44">
              <w:t>3.3</w:t>
            </w:r>
          </w:p>
        </w:tc>
        <w:tc>
          <w:tcPr>
            <w:tcW w:w="1000" w:type="dxa"/>
            <w:tcBorders>
              <w:top w:val="nil"/>
              <w:left w:val="nil"/>
              <w:bottom w:val="nil"/>
              <w:right w:val="nil"/>
            </w:tcBorders>
            <w:shd w:val="clear" w:color="auto" w:fill="D9D9D9" w:themeFill="background1" w:themeFillShade="D9"/>
            <w:noWrap/>
            <w:vAlign w:val="center"/>
            <w:hideMark/>
          </w:tcPr>
          <w:p w14:paraId="51A57419" w14:textId="77777777" w:rsidR="00FE5535" w:rsidRPr="00B05E44" w:rsidRDefault="00FE5535" w:rsidP="006A2FE4">
            <w:pPr>
              <w:pStyle w:val="Tablebodycopy"/>
            </w:pPr>
            <w:r w:rsidRPr="00B05E44">
              <w:t>2.9</w:t>
            </w:r>
          </w:p>
        </w:tc>
        <w:tc>
          <w:tcPr>
            <w:tcW w:w="1000" w:type="dxa"/>
            <w:tcBorders>
              <w:top w:val="nil"/>
              <w:left w:val="nil"/>
              <w:bottom w:val="nil"/>
              <w:right w:val="nil"/>
            </w:tcBorders>
            <w:shd w:val="clear" w:color="auto" w:fill="D9D9D9" w:themeFill="background1" w:themeFillShade="D9"/>
            <w:noWrap/>
            <w:vAlign w:val="center"/>
            <w:hideMark/>
          </w:tcPr>
          <w:p w14:paraId="5363CF21" w14:textId="77777777" w:rsidR="00FE5535" w:rsidRPr="00B05E44" w:rsidRDefault="00FE5535" w:rsidP="006A2FE4">
            <w:pPr>
              <w:pStyle w:val="Tablebodycopy"/>
            </w:pPr>
            <w:r w:rsidRPr="00B05E44">
              <w:t>-0.5</w:t>
            </w:r>
          </w:p>
        </w:tc>
        <w:tc>
          <w:tcPr>
            <w:tcW w:w="1000" w:type="dxa"/>
            <w:tcBorders>
              <w:top w:val="nil"/>
              <w:left w:val="nil"/>
              <w:bottom w:val="nil"/>
              <w:right w:val="nil"/>
            </w:tcBorders>
            <w:shd w:val="clear" w:color="auto" w:fill="D9D9D9" w:themeFill="background1" w:themeFillShade="D9"/>
            <w:noWrap/>
            <w:vAlign w:val="center"/>
            <w:hideMark/>
          </w:tcPr>
          <w:p w14:paraId="370DFBFB" w14:textId="77777777" w:rsidR="00FE5535" w:rsidRPr="00B05E44" w:rsidRDefault="00FE5535" w:rsidP="006A2FE4">
            <w:pPr>
              <w:pStyle w:val="Tablebodycopy"/>
            </w:pPr>
            <w:r w:rsidRPr="00B05E44">
              <w:t>66.1</w:t>
            </w:r>
          </w:p>
        </w:tc>
        <w:tc>
          <w:tcPr>
            <w:tcW w:w="1000" w:type="dxa"/>
            <w:tcBorders>
              <w:top w:val="nil"/>
              <w:left w:val="nil"/>
              <w:bottom w:val="nil"/>
              <w:right w:val="nil"/>
            </w:tcBorders>
            <w:shd w:val="clear" w:color="auto" w:fill="D9D9D9" w:themeFill="background1" w:themeFillShade="D9"/>
            <w:noWrap/>
            <w:vAlign w:val="center"/>
            <w:hideMark/>
          </w:tcPr>
          <w:p w14:paraId="2E88A19A" w14:textId="77777777" w:rsidR="00FE5535" w:rsidRPr="00B05E44" w:rsidRDefault="00FE5535" w:rsidP="006A2FE4">
            <w:pPr>
              <w:pStyle w:val="Tablebodycopy"/>
            </w:pPr>
            <w:r w:rsidRPr="00B05E44">
              <w:t>0.2</w:t>
            </w:r>
          </w:p>
        </w:tc>
      </w:tr>
      <w:tr w:rsidR="00FE5535" w:rsidRPr="00B05E44" w14:paraId="039A4959" w14:textId="77777777" w:rsidTr="00B61A93">
        <w:trPr>
          <w:trHeight w:val="360"/>
        </w:trPr>
        <w:tc>
          <w:tcPr>
            <w:tcW w:w="2835" w:type="dxa"/>
            <w:tcBorders>
              <w:top w:val="nil"/>
              <w:left w:val="nil"/>
              <w:bottom w:val="nil"/>
              <w:right w:val="nil"/>
            </w:tcBorders>
            <w:shd w:val="clear" w:color="auto" w:fill="FFFFFF" w:themeFill="background1"/>
            <w:noWrap/>
            <w:vAlign w:val="center"/>
            <w:hideMark/>
          </w:tcPr>
          <w:p w14:paraId="53F0EE09" w14:textId="77777777" w:rsidR="00FE5535" w:rsidRPr="00B05E44" w:rsidRDefault="00FE5535" w:rsidP="006A2FE4">
            <w:pPr>
              <w:pStyle w:val="Tablebodycopy"/>
            </w:pPr>
            <w:r w:rsidRPr="00B05E44">
              <w:t>Victoria</w:t>
            </w:r>
          </w:p>
        </w:tc>
        <w:tc>
          <w:tcPr>
            <w:tcW w:w="1073" w:type="dxa"/>
            <w:tcBorders>
              <w:top w:val="nil"/>
              <w:left w:val="nil"/>
              <w:bottom w:val="nil"/>
              <w:right w:val="nil"/>
            </w:tcBorders>
            <w:shd w:val="clear" w:color="auto" w:fill="FFFFFF" w:themeFill="background1"/>
            <w:noWrap/>
            <w:vAlign w:val="center"/>
            <w:hideMark/>
          </w:tcPr>
          <w:p w14:paraId="5CE8ADC1" w14:textId="77777777" w:rsidR="00FE5535" w:rsidRPr="00B05E44" w:rsidRDefault="00FE5535" w:rsidP="006A2FE4">
            <w:pPr>
              <w:pStyle w:val="Tablebodycopy"/>
            </w:pPr>
            <w:r w:rsidRPr="00B05E44">
              <w:t>3,636.1</w:t>
            </w:r>
          </w:p>
        </w:tc>
        <w:tc>
          <w:tcPr>
            <w:tcW w:w="1000" w:type="dxa"/>
            <w:tcBorders>
              <w:top w:val="nil"/>
              <w:left w:val="nil"/>
              <w:bottom w:val="nil"/>
              <w:right w:val="nil"/>
            </w:tcBorders>
            <w:shd w:val="clear" w:color="auto" w:fill="FFFFFF" w:themeFill="background1"/>
            <w:noWrap/>
            <w:vAlign w:val="center"/>
            <w:hideMark/>
          </w:tcPr>
          <w:p w14:paraId="655EA0D3" w14:textId="77777777" w:rsidR="00FE5535" w:rsidRPr="00B05E44" w:rsidRDefault="00FE5535" w:rsidP="006A2FE4">
            <w:pPr>
              <w:pStyle w:val="Tablebodycopy"/>
            </w:pPr>
            <w:r w:rsidRPr="00B05E44">
              <w:t>123.6</w:t>
            </w:r>
          </w:p>
        </w:tc>
        <w:tc>
          <w:tcPr>
            <w:tcW w:w="1000" w:type="dxa"/>
            <w:tcBorders>
              <w:top w:val="nil"/>
              <w:left w:val="nil"/>
              <w:bottom w:val="nil"/>
              <w:right w:val="nil"/>
            </w:tcBorders>
            <w:shd w:val="clear" w:color="auto" w:fill="FFFFFF" w:themeFill="background1"/>
            <w:noWrap/>
            <w:vAlign w:val="center"/>
            <w:hideMark/>
          </w:tcPr>
          <w:p w14:paraId="7A4CA513" w14:textId="77777777" w:rsidR="00FE5535" w:rsidRPr="00B05E44" w:rsidRDefault="00FE5535" w:rsidP="006A2FE4">
            <w:pPr>
              <w:pStyle w:val="Tablebodycopy"/>
            </w:pPr>
            <w:r w:rsidRPr="00B05E44">
              <w:t>3.5</w:t>
            </w:r>
          </w:p>
        </w:tc>
        <w:tc>
          <w:tcPr>
            <w:tcW w:w="1000" w:type="dxa"/>
            <w:tcBorders>
              <w:top w:val="nil"/>
              <w:left w:val="nil"/>
              <w:bottom w:val="nil"/>
              <w:right w:val="nil"/>
            </w:tcBorders>
            <w:shd w:val="clear" w:color="auto" w:fill="FFFFFF" w:themeFill="background1"/>
            <w:noWrap/>
            <w:vAlign w:val="center"/>
            <w:hideMark/>
          </w:tcPr>
          <w:p w14:paraId="6965D5B7" w14:textId="77777777" w:rsidR="00FE5535" w:rsidRPr="00B05E44" w:rsidRDefault="00FE5535" w:rsidP="006A2FE4">
            <w:pPr>
              <w:pStyle w:val="Tablebodycopy"/>
            </w:pPr>
            <w:r w:rsidRPr="00B05E44">
              <w:t>3.7</w:t>
            </w:r>
          </w:p>
        </w:tc>
        <w:tc>
          <w:tcPr>
            <w:tcW w:w="1000" w:type="dxa"/>
            <w:tcBorders>
              <w:top w:val="nil"/>
              <w:left w:val="nil"/>
              <w:bottom w:val="nil"/>
              <w:right w:val="nil"/>
            </w:tcBorders>
            <w:shd w:val="clear" w:color="auto" w:fill="FFFFFF" w:themeFill="background1"/>
            <w:noWrap/>
            <w:vAlign w:val="center"/>
            <w:hideMark/>
          </w:tcPr>
          <w:p w14:paraId="02C4CB97" w14:textId="77777777" w:rsidR="00FE5535" w:rsidRPr="00B05E44" w:rsidRDefault="00FE5535" w:rsidP="006A2FE4">
            <w:pPr>
              <w:pStyle w:val="Tablebodycopy"/>
            </w:pPr>
            <w:r w:rsidRPr="00B05E44">
              <w:t>0.4</w:t>
            </w:r>
          </w:p>
        </w:tc>
        <w:tc>
          <w:tcPr>
            <w:tcW w:w="1000" w:type="dxa"/>
            <w:tcBorders>
              <w:top w:val="nil"/>
              <w:left w:val="nil"/>
              <w:bottom w:val="nil"/>
              <w:right w:val="nil"/>
            </w:tcBorders>
            <w:shd w:val="clear" w:color="auto" w:fill="FFFFFF" w:themeFill="background1"/>
            <w:noWrap/>
            <w:vAlign w:val="center"/>
            <w:hideMark/>
          </w:tcPr>
          <w:p w14:paraId="52C307DE" w14:textId="77777777" w:rsidR="00FE5535" w:rsidRPr="00B05E44" w:rsidRDefault="00FE5535" w:rsidP="006A2FE4">
            <w:pPr>
              <w:pStyle w:val="Tablebodycopy"/>
            </w:pPr>
            <w:r w:rsidRPr="00B05E44">
              <w:t>67.6</w:t>
            </w:r>
          </w:p>
        </w:tc>
        <w:tc>
          <w:tcPr>
            <w:tcW w:w="1000" w:type="dxa"/>
            <w:tcBorders>
              <w:top w:val="nil"/>
              <w:left w:val="nil"/>
              <w:bottom w:val="nil"/>
              <w:right w:val="nil"/>
            </w:tcBorders>
            <w:shd w:val="clear" w:color="auto" w:fill="FFFFFF" w:themeFill="background1"/>
            <w:noWrap/>
            <w:vAlign w:val="center"/>
            <w:hideMark/>
          </w:tcPr>
          <w:p w14:paraId="1F11A958" w14:textId="77777777" w:rsidR="00FE5535" w:rsidRPr="00B05E44" w:rsidRDefault="00FE5535" w:rsidP="006A2FE4">
            <w:pPr>
              <w:pStyle w:val="Tablebodycopy"/>
            </w:pPr>
            <w:r w:rsidRPr="00B05E44">
              <w:t>0.6</w:t>
            </w:r>
          </w:p>
        </w:tc>
      </w:tr>
      <w:tr w:rsidR="00FE5535" w:rsidRPr="00B05E44" w14:paraId="14C39A74" w14:textId="77777777" w:rsidTr="00B61A93">
        <w:trPr>
          <w:trHeight w:val="360"/>
        </w:trPr>
        <w:tc>
          <w:tcPr>
            <w:tcW w:w="2835" w:type="dxa"/>
            <w:tcBorders>
              <w:top w:val="nil"/>
              <w:left w:val="nil"/>
              <w:bottom w:val="nil"/>
              <w:right w:val="nil"/>
            </w:tcBorders>
            <w:shd w:val="clear" w:color="auto" w:fill="D9D9D9" w:themeFill="background1" w:themeFillShade="D9"/>
            <w:noWrap/>
            <w:vAlign w:val="center"/>
            <w:hideMark/>
          </w:tcPr>
          <w:p w14:paraId="50FC8D89" w14:textId="77777777" w:rsidR="00FE5535" w:rsidRPr="00B05E44" w:rsidRDefault="00FE5535" w:rsidP="006A2FE4">
            <w:pPr>
              <w:pStyle w:val="Tablebodycopy"/>
            </w:pPr>
            <w:r w:rsidRPr="00B05E44">
              <w:t>Queensland</w:t>
            </w:r>
          </w:p>
        </w:tc>
        <w:tc>
          <w:tcPr>
            <w:tcW w:w="1073" w:type="dxa"/>
            <w:tcBorders>
              <w:top w:val="nil"/>
              <w:left w:val="nil"/>
              <w:bottom w:val="nil"/>
              <w:right w:val="nil"/>
            </w:tcBorders>
            <w:shd w:val="clear" w:color="auto" w:fill="D9D9D9" w:themeFill="background1" w:themeFillShade="D9"/>
            <w:noWrap/>
            <w:vAlign w:val="center"/>
            <w:hideMark/>
          </w:tcPr>
          <w:p w14:paraId="03CE8F13" w14:textId="77777777" w:rsidR="00FE5535" w:rsidRPr="00B05E44" w:rsidRDefault="00FE5535" w:rsidP="006A2FE4">
            <w:pPr>
              <w:pStyle w:val="Tablebodycopy"/>
            </w:pPr>
            <w:r w:rsidRPr="00B05E44">
              <w:t>2,855.6</w:t>
            </w:r>
          </w:p>
        </w:tc>
        <w:tc>
          <w:tcPr>
            <w:tcW w:w="1000" w:type="dxa"/>
            <w:tcBorders>
              <w:top w:val="nil"/>
              <w:left w:val="nil"/>
              <w:bottom w:val="nil"/>
              <w:right w:val="nil"/>
            </w:tcBorders>
            <w:shd w:val="clear" w:color="auto" w:fill="D9D9D9" w:themeFill="background1" w:themeFillShade="D9"/>
            <w:noWrap/>
            <w:vAlign w:val="center"/>
            <w:hideMark/>
          </w:tcPr>
          <w:p w14:paraId="26537843" w14:textId="77777777" w:rsidR="00FE5535" w:rsidRPr="00B05E44" w:rsidRDefault="00FE5535" w:rsidP="006A2FE4">
            <w:pPr>
              <w:pStyle w:val="Tablebodycopy"/>
            </w:pPr>
            <w:r w:rsidRPr="00B05E44">
              <w:t>72.4</w:t>
            </w:r>
          </w:p>
        </w:tc>
        <w:tc>
          <w:tcPr>
            <w:tcW w:w="1000" w:type="dxa"/>
            <w:tcBorders>
              <w:top w:val="nil"/>
              <w:left w:val="nil"/>
              <w:bottom w:val="nil"/>
              <w:right w:val="nil"/>
            </w:tcBorders>
            <w:shd w:val="clear" w:color="auto" w:fill="D9D9D9" w:themeFill="background1" w:themeFillShade="D9"/>
            <w:noWrap/>
            <w:vAlign w:val="center"/>
            <w:hideMark/>
          </w:tcPr>
          <w:p w14:paraId="6B396A32" w14:textId="77777777" w:rsidR="00FE5535" w:rsidRPr="00B05E44" w:rsidRDefault="00FE5535" w:rsidP="006A2FE4">
            <w:pPr>
              <w:pStyle w:val="Tablebodycopy"/>
            </w:pPr>
            <w:r w:rsidRPr="00B05E44">
              <w:t>2.6</w:t>
            </w:r>
          </w:p>
        </w:tc>
        <w:tc>
          <w:tcPr>
            <w:tcW w:w="1000" w:type="dxa"/>
            <w:tcBorders>
              <w:top w:val="nil"/>
              <w:left w:val="nil"/>
              <w:bottom w:val="nil"/>
              <w:right w:val="nil"/>
            </w:tcBorders>
            <w:shd w:val="clear" w:color="auto" w:fill="D9D9D9" w:themeFill="background1" w:themeFillShade="D9"/>
            <w:noWrap/>
            <w:vAlign w:val="center"/>
            <w:hideMark/>
          </w:tcPr>
          <w:p w14:paraId="14ABE16D" w14:textId="77777777" w:rsidR="00FE5535" w:rsidRPr="00B05E44" w:rsidRDefault="00FE5535" w:rsidP="006A2FE4">
            <w:pPr>
              <w:pStyle w:val="Tablebodycopy"/>
            </w:pPr>
            <w:r w:rsidRPr="00B05E44">
              <w:t>3.6</w:t>
            </w:r>
          </w:p>
        </w:tc>
        <w:tc>
          <w:tcPr>
            <w:tcW w:w="1000" w:type="dxa"/>
            <w:tcBorders>
              <w:top w:val="nil"/>
              <w:left w:val="nil"/>
              <w:bottom w:val="nil"/>
              <w:right w:val="nil"/>
            </w:tcBorders>
            <w:shd w:val="clear" w:color="auto" w:fill="D9D9D9" w:themeFill="background1" w:themeFillShade="D9"/>
            <w:noWrap/>
            <w:vAlign w:val="center"/>
            <w:hideMark/>
          </w:tcPr>
          <w:p w14:paraId="20F3BD62" w14:textId="77777777" w:rsidR="00FE5535" w:rsidRPr="00B05E44" w:rsidRDefault="00FE5535" w:rsidP="006A2FE4">
            <w:pPr>
              <w:pStyle w:val="Tablebodycopy"/>
            </w:pPr>
            <w:r w:rsidRPr="00B05E44">
              <w:t>-0.4</w:t>
            </w:r>
          </w:p>
        </w:tc>
        <w:tc>
          <w:tcPr>
            <w:tcW w:w="1000" w:type="dxa"/>
            <w:tcBorders>
              <w:top w:val="nil"/>
              <w:left w:val="nil"/>
              <w:bottom w:val="nil"/>
              <w:right w:val="nil"/>
            </w:tcBorders>
            <w:shd w:val="clear" w:color="auto" w:fill="D9D9D9" w:themeFill="background1" w:themeFillShade="D9"/>
            <w:noWrap/>
            <w:vAlign w:val="center"/>
            <w:hideMark/>
          </w:tcPr>
          <w:p w14:paraId="41B52794" w14:textId="77777777" w:rsidR="00FE5535" w:rsidRPr="00B05E44" w:rsidRDefault="00FE5535" w:rsidP="006A2FE4">
            <w:pPr>
              <w:pStyle w:val="Tablebodycopy"/>
            </w:pPr>
            <w:r w:rsidRPr="00B05E44">
              <w:t>66.5</w:t>
            </w:r>
          </w:p>
        </w:tc>
        <w:tc>
          <w:tcPr>
            <w:tcW w:w="1000" w:type="dxa"/>
            <w:tcBorders>
              <w:top w:val="nil"/>
              <w:left w:val="nil"/>
              <w:bottom w:val="nil"/>
              <w:right w:val="nil"/>
            </w:tcBorders>
            <w:shd w:val="clear" w:color="auto" w:fill="D9D9D9" w:themeFill="background1" w:themeFillShade="D9"/>
            <w:noWrap/>
            <w:vAlign w:val="center"/>
            <w:hideMark/>
          </w:tcPr>
          <w:p w14:paraId="5DBC1D79" w14:textId="77777777" w:rsidR="00FE5535" w:rsidRPr="00B05E44" w:rsidRDefault="00FE5535" w:rsidP="006A2FE4">
            <w:pPr>
              <w:pStyle w:val="Tablebodycopy"/>
            </w:pPr>
            <w:r w:rsidRPr="00B05E44">
              <w:t>-0.7</w:t>
            </w:r>
          </w:p>
        </w:tc>
      </w:tr>
      <w:tr w:rsidR="00FE5535" w:rsidRPr="00B05E44" w14:paraId="79E1F575" w14:textId="77777777" w:rsidTr="00B61A93">
        <w:trPr>
          <w:trHeight w:val="360"/>
        </w:trPr>
        <w:tc>
          <w:tcPr>
            <w:tcW w:w="2835" w:type="dxa"/>
            <w:tcBorders>
              <w:top w:val="nil"/>
              <w:left w:val="nil"/>
              <w:bottom w:val="nil"/>
              <w:right w:val="nil"/>
            </w:tcBorders>
            <w:shd w:val="clear" w:color="auto" w:fill="FFFFFF" w:themeFill="background1"/>
            <w:noWrap/>
            <w:vAlign w:val="center"/>
            <w:hideMark/>
          </w:tcPr>
          <w:p w14:paraId="2F091268" w14:textId="77777777" w:rsidR="00FE5535" w:rsidRPr="00B05E44" w:rsidRDefault="00FE5535" w:rsidP="006A2FE4">
            <w:pPr>
              <w:pStyle w:val="Tablebodycopy"/>
            </w:pPr>
            <w:r w:rsidRPr="00B05E44">
              <w:t>South Australia</w:t>
            </w:r>
          </w:p>
        </w:tc>
        <w:tc>
          <w:tcPr>
            <w:tcW w:w="1073" w:type="dxa"/>
            <w:tcBorders>
              <w:top w:val="nil"/>
              <w:left w:val="nil"/>
              <w:bottom w:val="nil"/>
              <w:right w:val="nil"/>
            </w:tcBorders>
            <w:shd w:val="clear" w:color="auto" w:fill="FFFFFF" w:themeFill="background1"/>
            <w:noWrap/>
            <w:vAlign w:val="center"/>
            <w:hideMark/>
          </w:tcPr>
          <w:p w14:paraId="0A13F773" w14:textId="77777777" w:rsidR="00FE5535" w:rsidRPr="00B05E44" w:rsidRDefault="00FE5535" w:rsidP="006A2FE4">
            <w:pPr>
              <w:pStyle w:val="Tablebodycopy"/>
            </w:pPr>
            <w:r w:rsidRPr="00B05E44">
              <w:t>948.9</w:t>
            </w:r>
          </w:p>
        </w:tc>
        <w:tc>
          <w:tcPr>
            <w:tcW w:w="1000" w:type="dxa"/>
            <w:tcBorders>
              <w:top w:val="nil"/>
              <w:left w:val="nil"/>
              <w:bottom w:val="nil"/>
              <w:right w:val="nil"/>
            </w:tcBorders>
            <w:shd w:val="clear" w:color="auto" w:fill="FFFFFF" w:themeFill="background1"/>
            <w:noWrap/>
            <w:vAlign w:val="center"/>
            <w:hideMark/>
          </w:tcPr>
          <w:p w14:paraId="3B08BE2F" w14:textId="77777777" w:rsidR="00FE5535" w:rsidRPr="00B05E44" w:rsidRDefault="00FE5535" w:rsidP="006A2FE4">
            <w:pPr>
              <w:pStyle w:val="Tablebodycopy"/>
            </w:pPr>
            <w:r w:rsidRPr="00B05E44">
              <w:t>38.0</w:t>
            </w:r>
          </w:p>
        </w:tc>
        <w:tc>
          <w:tcPr>
            <w:tcW w:w="1000" w:type="dxa"/>
            <w:tcBorders>
              <w:top w:val="nil"/>
              <w:left w:val="nil"/>
              <w:bottom w:val="nil"/>
              <w:right w:val="nil"/>
            </w:tcBorders>
            <w:shd w:val="clear" w:color="auto" w:fill="FFFFFF" w:themeFill="background1"/>
            <w:noWrap/>
            <w:vAlign w:val="center"/>
            <w:hideMark/>
          </w:tcPr>
          <w:p w14:paraId="5974EEE2" w14:textId="77777777" w:rsidR="00FE5535" w:rsidRPr="00B05E44" w:rsidRDefault="00FE5535" w:rsidP="006A2FE4">
            <w:pPr>
              <w:pStyle w:val="Tablebodycopy"/>
            </w:pPr>
            <w:r w:rsidRPr="00B05E44">
              <w:t>4.2</w:t>
            </w:r>
          </w:p>
        </w:tc>
        <w:tc>
          <w:tcPr>
            <w:tcW w:w="1000" w:type="dxa"/>
            <w:tcBorders>
              <w:top w:val="nil"/>
              <w:left w:val="nil"/>
              <w:bottom w:val="nil"/>
              <w:right w:val="nil"/>
            </w:tcBorders>
            <w:shd w:val="clear" w:color="auto" w:fill="FFFFFF" w:themeFill="background1"/>
            <w:noWrap/>
            <w:vAlign w:val="center"/>
            <w:hideMark/>
          </w:tcPr>
          <w:p w14:paraId="75FD3DD3" w14:textId="77777777" w:rsidR="00FE5535" w:rsidRPr="00B05E44" w:rsidRDefault="00FE5535" w:rsidP="006A2FE4">
            <w:pPr>
              <w:pStyle w:val="Tablebodycopy"/>
            </w:pPr>
            <w:r w:rsidRPr="00B05E44">
              <w:t>4.2</w:t>
            </w:r>
          </w:p>
        </w:tc>
        <w:tc>
          <w:tcPr>
            <w:tcW w:w="1000" w:type="dxa"/>
            <w:tcBorders>
              <w:top w:val="nil"/>
              <w:left w:val="nil"/>
              <w:bottom w:val="nil"/>
              <w:right w:val="nil"/>
            </w:tcBorders>
            <w:shd w:val="clear" w:color="auto" w:fill="FFFFFF" w:themeFill="background1"/>
            <w:noWrap/>
            <w:vAlign w:val="center"/>
            <w:hideMark/>
          </w:tcPr>
          <w:p w14:paraId="0F39ACCF" w14:textId="77777777" w:rsidR="00FE5535" w:rsidRPr="00B05E44" w:rsidRDefault="00FE5535" w:rsidP="006A2FE4">
            <w:pPr>
              <w:pStyle w:val="Tablebodycopy"/>
            </w:pPr>
            <w:r w:rsidRPr="00B05E44">
              <w:t>-0.2</w:t>
            </w:r>
          </w:p>
        </w:tc>
        <w:tc>
          <w:tcPr>
            <w:tcW w:w="1000" w:type="dxa"/>
            <w:tcBorders>
              <w:top w:val="nil"/>
              <w:left w:val="nil"/>
              <w:bottom w:val="nil"/>
              <w:right w:val="nil"/>
            </w:tcBorders>
            <w:shd w:val="clear" w:color="auto" w:fill="FFFFFF" w:themeFill="background1"/>
            <w:noWrap/>
            <w:vAlign w:val="center"/>
            <w:hideMark/>
          </w:tcPr>
          <w:p w14:paraId="32A73D11" w14:textId="77777777" w:rsidR="00FE5535" w:rsidRPr="00B05E44" w:rsidRDefault="00FE5535" w:rsidP="006A2FE4">
            <w:pPr>
              <w:pStyle w:val="Tablebodycopy"/>
            </w:pPr>
            <w:r w:rsidRPr="00B05E44">
              <w:t>64.3</w:t>
            </w:r>
          </w:p>
        </w:tc>
        <w:tc>
          <w:tcPr>
            <w:tcW w:w="1000" w:type="dxa"/>
            <w:tcBorders>
              <w:top w:val="nil"/>
              <w:left w:val="nil"/>
              <w:bottom w:val="nil"/>
              <w:right w:val="nil"/>
            </w:tcBorders>
            <w:shd w:val="clear" w:color="auto" w:fill="FFFFFF" w:themeFill="background1"/>
            <w:noWrap/>
            <w:vAlign w:val="center"/>
            <w:hideMark/>
          </w:tcPr>
          <w:p w14:paraId="54DE9409" w14:textId="77777777" w:rsidR="00FE5535" w:rsidRPr="00B05E44" w:rsidRDefault="00FE5535" w:rsidP="006A2FE4">
            <w:pPr>
              <w:pStyle w:val="Tablebodycopy"/>
            </w:pPr>
            <w:r w:rsidRPr="00B05E44">
              <w:t>1.0</w:t>
            </w:r>
          </w:p>
        </w:tc>
      </w:tr>
      <w:tr w:rsidR="00FE5535" w:rsidRPr="00B05E44" w14:paraId="5B604D90" w14:textId="77777777" w:rsidTr="00B61A93">
        <w:trPr>
          <w:trHeight w:val="360"/>
        </w:trPr>
        <w:tc>
          <w:tcPr>
            <w:tcW w:w="2835" w:type="dxa"/>
            <w:tcBorders>
              <w:top w:val="nil"/>
              <w:left w:val="nil"/>
              <w:bottom w:val="nil"/>
              <w:right w:val="nil"/>
            </w:tcBorders>
            <w:shd w:val="clear" w:color="auto" w:fill="D9D9D9" w:themeFill="background1" w:themeFillShade="D9"/>
            <w:noWrap/>
            <w:vAlign w:val="center"/>
            <w:hideMark/>
          </w:tcPr>
          <w:p w14:paraId="6C9281B0" w14:textId="77777777" w:rsidR="00FE5535" w:rsidRPr="00B05E44" w:rsidRDefault="00FE5535" w:rsidP="006A2FE4">
            <w:pPr>
              <w:pStyle w:val="Tablebodycopy"/>
            </w:pPr>
            <w:r w:rsidRPr="00B05E44">
              <w:t>Western Australia</w:t>
            </w:r>
          </w:p>
        </w:tc>
        <w:tc>
          <w:tcPr>
            <w:tcW w:w="1073" w:type="dxa"/>
            <w:tcBorders>
              <w:top w:val="nil"/>
              <w:left w:val="nil"/>
              <w:bottom w:val="nil"/>
              <w:right w:val="nil"/>
            </w:tcBorders>
            <w:shd w:val="clear" w:color="auto" w:fill="D9D9D9" w:themeFill="background1" w:themeFillShade="D9"/>
            <w:noWrap/>
            <w:vAlign w:val="center"/>
            <w:hideMark/>
          </w:tcPr>
          <w:p w14:paraId="4B862443" w14:textId="77777777" w:rsidR="00FE5535" w:rsidRPr="00B05E44" w:rsidRDefault="00FE5535" w:rsidP="006A2FE4">
            <w:pPr>
              <w:pStyle w:val="Tablebodycopy"/>
            </w:pPr>
            <w:r w:rsidRPr="00B05E44">
              <w:t>1,527.1</w:t>
            </w:r>
          </w:p>
        </w:tc>
        <w:tc>
          <w:tcPr>
            <w:tcW w:w="1000" w:type="dxa"/>
            <w:tcBorders>
              <w:top w:val="nil"/>
              <w:left w:val="nil"/>
              <w:bottom w:val="nil"/>
              <w:right w:val="nil"/>
            </w:tcBorders>
            <w:shd w:val="clear" w:color="auto" w:fill="D9D9D9" w:themeFill="background1" w:themeFillShade="D9"/>
            <w:noWrap/>
            <w:vAlign w:val="center"/>
            <w:hideMark/>
          </w:tcPr>
          <w:p w14:paraId="742A0AC2" w14:textId="77777777" w:rsidR="00FE5535" w:rsidRPr="00B05E44" w:rsidRDefault="00FE5535" w:rsidP="006A2FE4">
            <w:pPr>
              <w:pStyle w:val="Tablebodycopy"/>
            </w:pPr>
            <w:r w:rsidRPr="00B05E44">
              <w:t>11.6</w:t>
            </w:r>
          </w:p>
        </w:tc>
        <w:tc>
          <w:tcPr>
            <w:tcW w:w="1000" w:type="dxa"/>
            <w:tcBorders>
              <w:top w:val="nil"/>
              <w:left w:val="nil"/>
              <w:bottom w:val="nil"/>
              <w:right w:val="nil"/>
            </w:tcBorders>
            <w:shd w:val="clear" w:color="auto" w:fill="D9D9D9" w:themeFill="background1" w:themeFillShade="D9"/>
            <w:noWrap/>
            <w:vAlign w:val="center"/>
            <w:hideMark/>
          </w:tcPr>
          <w:p w14:paraId="0BEBAE50" w14:textId="77777777" w:rsidR="00FE5535" w:rsidRPr="00B05E44" w:rsidRDefault="00FE5535" w:rsidP="006A2FE4">
            <w:pPr>
              <w:pStyle w:val="Tablebodycopy"/>
            </w:pPr>
            <w:r w:rsidRPr="00B05E44">
              <w:t>0.8</w:t>
            </w:r>
          </w:p>
        </w:tc>
        <w:tc>
          <w:tcPr>
            <w:tcW w:w="1000" w:type="dxa"/>
            <w:tcBorders>
              <w:top w:val="nil"/>
              <w:left w:val="nil"/>
              <w:bottom w:val="nil"/>
              <w:right w:val="nil"/>
            </w:tcBorders>
            <w:shd w:val="clear" w:color="auto" w:fill="D9D9D9" w:themeFill="background1" w:themeFillShade="D9"/>
            <w:noWrap/>
            <w:vAlign w:val="center"/>
            <w:hideMark/>
          </w:tcPr>
          <w:p w14:paraId="6B8AF406" w14:textId="77777777" w:rsidR="00FE5535" w:rsidRPr="00B05E44" w:rsidRDefault="00FE5535" w:rsidP="006A2FE4">
            <w:pPr>
              <w:pStyle w:val="Tablebodycopy"/>
            </w:pPr>
            <w:r w:rsidRPr="00B05E44">
              <w:t>3.6</w:t>
            </w:r>
          </w:p>
        </w:tc>
        <w:tc>
          <w:tcPr>
            <w:tcW w:w="1000" w:type="dxa"/>
            <w:tcBorders>
              <w:top w:val="nil"/>
              <w:left w:val="nil"/>
              <w:bottom w:val="nil"/>
              <w:right w:val="nil"/>
            </w:tcBorders>
            <w:shd w:val="clear" w:color="auto" w:fill="D9D9D9" w:themeFill="background1" w:themeFillShade="D9"/>
            <w:noWrap/>
            <w:vAlign w:val="center"/>
            <w:hideMark/>
          </w:tcPr>
          <w:p w14:paraId="4CC07687" w14:textId="77777777" w:rsidR="00FE5535" w:rsidRPr="00B05E44" w:rsidRDefault="00FE5535" w:rsidP="006A2FE4">
            <w:pPr>
              <w:pStyle w:val="Tablebodycopy"/>
            </w:pPr>
            <w:r w:rsidRPr="00B05E44">
              <w:t>0.2</w:t>
            </w:r>
          </w:p>
        </w:tc>
        <w:tc>
          <w:tcPr>
            <w:tcW w:w="1000" w:type="dxa"/>
            <w:tcBorders>
              <w:top w:val="nil"/>
              <w:left w:val="nil"/>
              <w:bottom w:val="nil"/>
              <w:right w:val="nil"/>
            </w:tcBorders>
            <w:shd w:val="clear" w:color="auto" w:fill="D9D9D9" w:themeFill="background1" w:themeFillShade="D9"/>
            <w:noWrap/>
            <w:vAlign w:val="center"/>
            <w:hideMark/>
          </w:tcPr>
          <w:p w14:paraId="0E8FE5B3" w14:textId="77777777" w:rsidR="00FE5535" w:rsidRPr="00B05E44" w:rsidRDefault="00FE5535" w:rsidP="006A2FE4">
            <w:pPr>
              <w:pStyle w:val="Tablebodycopy"/>
            </w:pPr>
            <w:r w:rsidRPr="00B05E44">
              <w:t>68.2</w:t>
            </w:r>
          </w:p>
        </w:tc>
        <w:tc>
          <w:tcPr>
            <w:tcW w:w="1000" w:type="dxa"/>
            <w:tcBorders>
              <w:top w:val="nil"/>
              <w:left w:val="nil"/>
              <w:bottom w:val="nil"/>
              <w:right w:val="nil"/>
            </w:tcBorders>
            <w:shd w:val="clear" w:color="auto" w:fill="D9D9D9" w:themeFill="background1" w:themeFillShade="D9"/>
            <w:noWrap/>
            <w:vAlign w:val="center"/>
            <w:hideMark/>
          </w:tcPr>
          <w:p w14:paraId="416BB089" w14:textId="77777777" w:rsidR="00FE5535" w:rsidRPr="00B05E44" w:rsidRDefault="00FE5535" w:rsidP="006A2FE4">
            <w:pPr>
              <w:pStyle w:val="Tablebodycopy"/>
            </w:pPr>
            <w:r w:rsidRPr="00B05E44">
              <w:t>-1.4</w:t>
            </w:r>
          </w:p>
        </w:tc>
      </w:tr>
      <w:tr w:rsidR="00FE5535" w:rsidRPr="00B05E44" w14:paraId="4D381611" w14:textId="77777777" w:rsidTr="00B61A93">
        <w:trPr>
          <w:trHeight w:val="360"/>
        </w:trPr>
        <w:tc>
          <w:tcPr>
            <w:tcW w:w="2835" w:type="dxa"/>
            <w:tcBorders>
              <w:top w:val="nil"/>
              <w:left w:val="nil"/>
              <w:bottom w:val="nil"/>
              <w:right w:val="nil"/>
            </w:tcBorders>
            <w:shd w:val="clear" w:color="auto" w:fill="FFFFFF" w:themeFill="background1"/>
            <w:noWrap/>
            <w:vAlign w:val="center"/>
            <w:hideMark/>
          </w:tcPr>
          <w:p w14:paraId="188C6654" w14:textId="77777777" w:rsidR="00FE5535" w:rsidRPr="00B05E44" w:rsidRDefault="00FE5535" w:rsidP="006A2FE4">
            <w:pPr>
              <w:pStyle w:val="Tablebodycopy"/>
            </w:pPr>
            <w:r w:rsidRPr="00B05E44">
              <w:t>Tasmania</w:t>
            </w:r>
          </w:p>
        </w:tc>
        <w:tc>
          <w:tcPr>
            <w:tcW w:w="1073" w:type="dxa"/>
            <w:tcBorders>
              <w:top w:val="nil"/>
              <w:left w:val="nil"/>
              <w:bottom w:val="nil"/>
              <w:right w:val="nil"/>
            </w:tcBorders>
            <w:shd w:val="clear" w:color="auto" w:fill="FFFFFF" w:themeFill="background1"/>
            <w:noWrap/>
            <w:vAlign w:val="center"/>
            <w:hideMark/>
          </w:tcPr>
          <w:p w14:paraId="5D3E7643" w14:textId="77777777" w:rsidR="00FE5535" w:rsidRPr="00B05E44" w:rsidRDefault="00FE5535" w:rsidP="006A2FE4">
            <w:pPr>
              <w:pStyle w:val="Tablebodycopy"/>
            </w:pPr>
            <w:r w:rsidRPr="00B05E44">
              <w:t>290.4</w:t>
            </w:r>
          </w:p>
        </w:tc>
        <w:tc>
          <w:tcPr>
            <w:tcW w:w="1000" w:type="dxa"/>
            <w:tcBorders>
              <w:top w:val="nil"/>
              <w:left w:val="nil"/>
              <w:bottom w:val="nil"/>
              <w:right w:val="nil"/>
            </w:tcBorders>
            <w:shd w:val="clear" w:color="auto" w:fill="FFFFFF" w:themeFill="background1"/>
            <w:noWrap/>
            <w:vAlign w:val="center"/>
            <w:hideMark/>
          </w:tcPr>
          <w:p w14:paraId="404BC8B3" w14:textId="77777777" w:rsidR="00FE5535" w:rsidRPr="00B05E44" w:rsidRDefault="00FE5535" w:rsidP="006A2FE4">
            <w:pPr>
              <w:pStyle w:val="Tablebodycopy"/>
            </w:pPr>
            <w:r w:rsidRPr="00B05E44">
              <w:t>8.0</w:t>
            </w:r>
          </w:p>
        </w:tc>
        <w:tc>
          <w:tcPr>
            <w:tcW w:w="1000" w:type="dxa"/>
            <w:tcBorders>
              <w:top w:val="nil"/>
              <w:left w:val="nil"/>
              <w:bottom w:val="nil"/>
              <w:right w:val="nil"/>
            </w:tcBorders>
            <w:shd w:val="clear" w:color="auto" w:fill="FFFFFF" w:themeFill="background1"/>
            <w:noWrap/>
            <w:vAlign w:val="center"/>
            <w:hideMark/>
          </w:tcPr>
          <w:p w14:paraId="365F4522" w14:textId="77777777" w:rsidR="00FE5535" w:rsidRPr="00B05E44" w:rsidRDefault="00FE5535" w:rsidP="006A2FE4">
            <w:pPr>
              <w:pStyle w:val="Tablebodycopy"/>
            </w:pPr>
            <w:r w:rsidRPr="00B05E44">
              <w:t>2.8</w:t>
            </w:r>
          </w:p>
        </w:tc>
        <w:tc>
          <w:tcPr>
            <w:tcW w:w="1000" w:type="dxa"/>
            <w:tcBorders>
              <w:top w:val="nil"/>
              <w:left w:val="nil"/>
              <w:bottom w:val="nil"/>
              <w:right w:val="nil"/>
            </w:tcBorders>
            <w:shd w:val="clear" w:color="auto" w:fill="FFFFFF" w:themeFill="background1"/>
            <w:noWrap/>
            <w:vAlign w:val="center"/>
            <w:hideMark/>
          </w:tcPr>
          <w:p w14:paraId="7FEBF57A" w14:textId="77777777" w:rsidR="00FE5535" w:rsidRPr="00B05E44" w:rsidRDefault="00FE5535" w:rsidP="006A2FE4">
            <w:pPr>
              <w:pStyle w:val="Tablebodycopy"/>
            </w:pPr>
            <w:r w:rsidRPr="00B05E44">
              <w:t>3.5</w:t>
            </w:r>
          </w:p>
        </w:tc>
        <w:tc>
          <w:tcPr>
            <w:tcW w:w="1000" w:type="dxa"/>
            <w:tcBorders>
              <w:top w:val="nil"/>
              <w:left w:val="nil"/>
              <w:bottom w:val="nil"/>
              <w:right w:val="nil"/>
            </w:tcBorders>
            <w:shd w:val="clear" w:color="auto" w:fill="FFFFFF" w:themeFill="background1"/>
            <w:noWrap/>
            <w:vAlign w:val="center"/>
            <w:hideMark/>
          </w:tcPr>
          <w:p w14:paraId="1A353824" w14:textId="77777777" w:rsidR="00FE5535" w:rsidRPr="00B05E44" w:rsidRDefault="00FE5535" w:rsidP="006A2FE4">
            <w:pPr>
              <w:pStyle w:val="Tablebodycopy"/>
            </w:pPr>
            <w:r w:rsidRPr="00B05E44">
              <w:t>-0.7</w:t>
            </w:r>
          </w:p>
        </w:tc>
        <w:tc>
          <w:tcPr>
            <w:tcW w:w="1000" w:type="dxa"/>
            <w:tcBorders>
              <w:top w:val="nil"/>
              <w:left w:val="nil"/>
              <w:bottom w:val="nil"/>
              <w:right w:val="nil"/>
            </w:tcBorders>
            <w:shd w:val="clear" w:color="auto" w:fill="FFFFFF" w:themeFill="background1"/>
            <w:noWrap/>
            <w:vAlign w:val="center"/>
            <w:hideMark/>
          </w:tcPr>
          <w:p w14:paraId="06B7896F" w14:textId="77777777" w:rsidR="00FE5535" w:rsidRPr="00B05E44" w:rsidRDefault="00FE5535" w:rsidP="006A2FE4">
            <w:pPr>
              <w:pStyle w:val="Tablebodycopy"/>
            </w:pPr>
            <w:r w:rsidRPr="00B05E44">
              <w:t>62.4</w:t>
            </w:r>
          </w:p>
        </w:tc>
        <w:tc>
          <w:tcPr>
            <w:tcW w:w="1000" w:type="dxa"/>
            <w:tcBorders>
              <w:top w:val="nil"/>
              <w:left w:val="nil"/>
              <w:bottom w:val="nil"/>
              <w:right w:val="nil"/>
            </w:tcBorders>
            <w:shd w:val="clear" w:color="auto" w:fill="FFFFFF" w:themeFill="background1"/>
            <w:noWrap/>
            <w:vAlign w:val="center"/>
            <w:hideMark/>
          </w:tcPr>
          <w:p w14:paraId="4A201E52" w14:textId="77777777" w:rsidR="00FE5535" w:rsidRPr="00B05E44" w:rsidRDefault="00FE5535" w:rsidP="006A2FE4">
            <w:pPr>
              <w:pStyle w:val="Tablebodycopy"/>
            </w:pPr>
            <w:r w:rsidRPr="00B05E44">
              <w:t>0.5</w:t>
            </w:r>
          </w:p>
        </w:tc>
      </w:tr>
      <w:tr w:rsidR="00FE5535" w:rsidRPr="00B05E44" w14:paraId="5F78F75C" w14:textId="77777777" w:rsidTr="00B61A93">
        <w:trPr>
          <w:trHeight w:val="360"/>
        </w:trPr>
        <w:tc>
          <w:tcPr>
            <w:tcW w:w="2835" w:type="dxa"/>
            <w:tcBorders>
              <w:top w:val="nil"/>
              <w:left w:val="nil"/>
              <w:bottom w:val="nil"/>
              <w:right w:val="nil"/>
            </w:tcBorders>
            <w:shd w:val="clear" w:color="auto" w:fill="D9D9D9" w:themeFill="background1" w:themeFillShade="D9"/>
            <w:noWrap/>
            <w:vAlign w:val="center"/>
            <w:hideMark/>
          </w:tcPr>
          <w:p w14:paraId="7BB361B0" w14:textId="77777777" w:rsidR="00FE5535" w:rsidRPr="00B05E44" w:rsidRDefault="00FE5535" w:rsidP="006A2FE4">
            <w:pPr>
              <w:pStyle w:val="Tablebodycopy"/>
            </w:pPr>
            <w:r w:rsidRPr="00B05E44">
              <w:t>Northern Territory</w:t>
            </w:r>
          </w:p>
        </w:tc>
        <w:tc>
          <w:tcPr>
            <w:tcW w:w="1073" w:type="dxa"/>
            <w:tcBorders>
              <w:top w:val="nil"/>
              <w:left w:val="nil"/>
              <w:bottom w:val="nil"/>
              <w:right w:val="nil"/>
            </w:tcBorders>
            <w:shd w:val="clear" w:color="auto" w:fill="D9D9D9" w:themeFill="background1" w:themeFillShade="D9"/>
            <w:noWrap/>
            <w:vAlign w:val="center"/>
            <w:hideMark/>
          </w:tcPr>
          <w:p w14:paraId="2BB7A323" w14:textId="77777777" w:rsidR="00FE5535" w:rsidRPr="00B05E44" w:rsidRDefault="00FE5535" w:rsidP="006A2FE4">
            <w:pPr>
              <w:pStyle w:val="Tablebodycopy"/>
            </w:pPr>
            <w:r w:rsidRPr="00B05E44">
              <w:t>137.8</w:t>
            </w:r>
          </w:p>
        </w:tc>
        <w:tc>
          <w:tcPr>
            <w:tcW w:w="1000" w:type="dxa"/>
            <w:tcBorders>
              <w:top w:val="nil"/>
              <w:left w:val="nil"/>
              <w:bottom w:val="nil"/>
              <w:right w:val="nil"/>
            </w:tcBorders>
            <w:shd w:val="clear" w:color="auto" w:fill="D9D9D9" w:themeFill="background1" w:themeFillShade="D9"/>
            <w:noWrap/>
            <w:vAlign w:val="center"/>
            <w:hideMark/>
          </w:tcPr>
          <w:p w14:paraId="3EFA357B" w14:textId="77777777" w:rsidR="00FE5535" w:rsidRPr="00B05E44" w:rsidRDefault="00FE5535" w:rsidP="006A2FE4">
            <w:pPr>
              <w:pStyle w:val="Tablebodycopy"/>
            </w:pPr>
            <w:r w:rsidRPr="00B05E44">
              <w:t>4.2</w:t>
            </w:r>
          </w:p>
        </w:tc>
        <w:tc>
          <w:tcPr>
            <w:tcW w:w="1000" w:type="dxa"/>
            <w:tcBorders>
              <w:top w:val="nil"/>
              <w:left w:val="nil"/>
              <w:bottom w:val="nil"/>
              <w:right w:val="nil"/>
            </w:tcBorders>
            <w:shd w:val="clear" w:color="auto" w:fill="D9D9D9" w:themeFill="background1" w:themeFillShade="D9"/>
            <w:noWrap/>
            <w:vAlign w:val="center"/>
            <w:hideMark/>
          </w:tcPr>
          <w:p w14:paraId="1FE27944" w14:textId="77777777" w:rsidR="00FE5535" w:rsidRPr="00B05E44" w:rsidRDefault="00FE5535" w:rsidP="006A2FE4">
            <w:pPr>
              <w:pStyle w:val="Tablebodycopy"/>
            </w:pPr>
            <w:r w:rsidRPr="00B05E44">
              <w:t>3.1</w:t>
            </w:r>
          </w:p>
        </w:tc>
        <w:tc>
          <w:tcPr>
            <w:tcW w:w="1000" w:type="dxa"/>
            <w:tcBorders>
              <w:top w:val="nil"/>
              <w:left w:val="nil"/>
              <w:bottom w:val="nil"/>
              <w:right w:val="nil"/>
            </w:tcBorders>
            <w:shd w:val="clear" w:color="auto" w:fill="D9D9D9" w:themeFill="background1" w:themeFillShade="D9"/>
            <w:noWrap/>
            <w:vAlign w:val="center"/>
            <w:hideMark/>
          </w:tcPr>
          <w:p w14:paraId="4E52E76A" w14:textId="77777777" w:rsidR="00FE5535" w:rsidRPr="00B05E44" w:rsidRDefault="00FE5535" w:rsidP="006A2FE4">
            <w:pPr>
              <w:pStyle w:val="Tablebodycopy"/>
            </w:pPr>
            <w:r w:rsidRPr="00B05E44">
              <w:t>3.3</w:t>
            </w:r>
          </w:p>
        </w:tc>
        <w:tc>
          <w:tcPr>
            <w:tcW w:w="1000" w:type="dxa"/>
            <w:tcBorders>
              <w:top w:val="nil"/>
              <w:left w:val="nil"/>
              <w:bottom w:val="nil"/>
              <w:right w:val="nil"/>
            </w:tcBorders>
            <w:shd w:val="clear" w:color="auto" w:fill="D9D9D9" w:themeFill="background1" w:themeFillShade="D9"/>
            <w:noWrap/>
            <w:vAlign w:val="center"/>
            <w:hideMark/>
          </w:tcPr>
          <w:p w14:paraId="5D84B2CF" w14:textId="77777777" w:rsidR="00FE5535" w:rsidRPr="00B05E44" w:rsidRDefault="00FE5535" w:rsidP="006A2FE4">
            <w:pPr>
              <w:pStyle w:val="Tablebodycopy"/>
            </w:pPr>
            <w:r w:rsidRPr="00B05E44">
              <w:t>-0.5</w:t>
            </w:r>
          </w:p>
        </w:tc>
        <w:tc>
          <w:tcPr>
            <w:tcW w:w="1000" w:type="dxa"/>
            <w:tcBorders>
              <w:top w:val="nil"/>
              <w:left w:val="nil"/>
              <w:bottom w:val="nil"/>
              <w:right w:val="nil"/>
            </w:tcBorders>
            <w:shd w:val="clear" w:color="auto" w:fill="D9D9D9" w:themeFill="background1" w:themeFillShade="D9"/>
            <w:noWrap/>
            <w:vAlign w:val="center"/>
            <w:hideMark/>
          </w:tcPr>
          <w:p w14:paraId="46CC9F38" w14:textId="77777777" w:rsidR="00FE5535" w:rsidRPr="00B05E44" w:rsidRDefault="00FE5535" w:rsidP="006A2FE4">
            <w:pPr>
              <w:pStyle w:val="Tablebodycopy"/>
            </w:pPr>
            <w:r w:rsidRPr="00B05E44">
              <w:t>72.6</w:t>
            </w:r>
          </w:p>
        </w:tc>
        <w:tc>
          <w:tcPr>
            <w:tcW w:w="1000" w:type="dxa"/>
            <w:tcBorders>
              <w:top w:val="nil"/>
              <w:left w:val="nil"/>
              <w:bottom w:val="nil"/>
              <w:right w:val="nil"/>
            </w:tcBorders>
            <w:shd w:val="clear" w:color="auto" w:fill="D9D9D9" w:themeFill="background1" w:themeFillShade="D9"/>
            <w:noWrap/>
            <w:vAlign w:val="center"/>
            <w:hideMark/>
          </w:tcPr>
          <w:p w14:paraId="3304F006" w14:textId="77777777" w:rsidR="00FE5535" w:rsidRPr="00B05E44" w:rsidRDefault="00FE5535" w:rsidP="006A2FE4">
            <w:pPr>
              <w:pStyle w:val="Tablebodycopy"/>
            </w:pPr>
            <w:r w:rsidRPr="00B05E44">
              <w:t>1.0</w:t>
            </w:r>
          </w:p>
        </w:tc>
      </w:tr>
      <w:tr w:rsidR="00FE5535" w:rsidRPr="00B05E44" w14:paraId="4B1A79C5" w14:textId="77777777" w:rsidTr="00B61A93">
        <w:trPr>
          <w:trHeight w:val="360"/>
        </w:trPr>
        <w:tc>
          <w:tcPr>
            <w:tcW w:w="2835" w:type="dxa"/>
            <w:tcBorders>
              <w:top w:val="nil"/>
              <w:left w:val="nil"/>
              <w:bottom w:val="nil"/>
              <w:right w:val="nil"/>
            </w:tcBorders>
            <w:shd w:val="clear" w:color="auto" w:fill="FFFFFF" w:themeFill="background1"/>
            <w:noWrap/>
            <w:vAlign w:val="center"/>
            <w:hideMark/>
          </w:tcPr>
          <w:p w14:paraId="3EB674D1" w14:textId="77777777" w:rsidR="00FE5535" w:rsidRPr="00B05E44" w:rsidRDefault="00FE5535" w:rsidP="006A2FE4">
            <w:pPr>
              <w:pStyle w:val="Tablebodycopy"/>
            </w:pPr>
            <w:r w:rsidRPr="00B05E44">
              <w:t>Australian Capital Territory</w:t>
            </w:r>
          </w:p>
        </w:tc>
        <w:tc>
          <w:tcPr>
            <w:tcW w:w="1073" w:type="dxa"/>
            <w:tcBorders>
              <w:top w:val="nil"/>
              <w:left w:val="nil"/>
              <w:bottom w:val="nil"/>
              <w:right w:val="nil"/>
            </w:tcBorders>
            <w:shd w:val="clear" w:color="auto" w:fill="FFFFFF" w:themeFill="background1"/>
            <w:noWrap/>
            <w:vAlign w:val="center"/>
            <w:hideMark/>
          </w:tcPr>
          <w:p w14:paraId="78AC3B15" w14:textId="77777777" w:rsidR="00FE5535" w:rsidRPr="00B05E44" w:rsidRDefault="00FE5535" w:rsidP="006A2FE4">
            <w:pPr>
              <w:pStyle w:val="Tablebodycopy"/>
            </w:pPr>
            <w:r w:rsidRPr="00B05E44">
              <w:t>264.2</w:t>
            </w:r>
          </w:p>
        </w:tc>
        <w:tc>
          <w:tcPr>
            <w:tcW w:w="1000" w:type="dxa"/>
            <w:tcBorders>
              <w:top w:val="nil"/>
              <w:left w:val="nil"/>
              <w:bottom w:val="nil"/>
              <w:right w:val="nil"/>
            </w:tcBorders>
            <w:shd w:val="clear" w:color="auto" w:fill="FFFFFF" w:themeFill="background1"/>
            <w:noWrap/>
            <w:vAlign w:val="center"/>
            <w:hideMark/>
          </w:tcPr>
          <w:p w14:paraId="02638793" w14:textId="77777777" w:rsidR="00FE5535" w:rsidRPr="00B05E44" w:rsidRDefault="00FE5535" w:rsidP="006A2FE4">
            <w:pPr>
              <w:pStyle w:val="Tablebodycopy"/>
            </w:pPr>
            <w:r w:rsidRPr="00B05E44">
              <w:t>9.0</w:t>
            </w:r>
          </w:p>
        </w:tc>
        <w:tc>
          <w:tcPr>
            <w:tcW w:w="1000" w:type="dxa"/>
            <w:tcBorders>
              <w:top w:val="nil"/>
              <w:left w:val="nil"/>
              <w:bottom w:val="nil"/>
              <w:right w:val="nil"/>
            </w:tcBorders>
            <w:shd w:val="clear" w:color="auto" w:fill="FFFFFF" w:themeFill="background1"/>
            <w:noWrap/>
            <w:vAlign w:val="center"/>
            <w:hideMark/>
          </w:tcPr>
          <w:p w14:paraId="3F54B817" w14:textId="77777777" w:rsidR="00FE5535" w:rsidRPr="00B05E44" w:rsidRDefault="00FE5535" w:rsidP="006A2FE4">
            <w:pPr>
              <w:pStyle w:val="Tablebodycopy"/>
            </w:pPr>
            <w:r w:rsidRPr="00B05E44">
              <w:t>3.5</w:t>
            </w:r>
          </w:p>
        </w:tc>
        <w:tc>
          <w:tcPr>
            <w:tcW w:w="1000" w:type="dxa"/>
            <w:tcBorders>
              <w:top w:val="nil"/>
              <w:left w:val="nil"/>
              <w:bottom w:val="nil"/>
              <w:right w:val="nil"/>
            </w:tcBorders>
            <w:shd w:val="clear" w:color="auto" w:fill="FFFFFF" w:themeFill="background1"/>
            <w:noWrap/>
            <w:vAlign w:val="center"/>
            <w:hideMark/>
          </w:tcPr>
          <w:p w14:paraId="30273236" w14:textId="77777777" w:rsidR="00FE5535" w:rsidRPr="00B05E44" w:rsidRDefault="00FE5535" w:rsidP="006A2FE4">
            <w:pPr>
              <w:pStyle w:val="Tablebodycopy"/>
            </w:pPr>
            <w:r w:rsidRPr="00B05E44">
              <w:t>3.9</w:t>
            </w:r>
          </w:p>
        </w:tc>
        <w:tc>
          <w:tcPr>
            <w:tcW w:w="1000" w:type="dxa"/>
            <w:tcBorders>
              <w:top w:val="nil"/>
              <w:left w:val="nil"/>
              <w:bottom w:val="nil"/>
              <w:right w:val="nil"/>
            </w:tcBorders>
            <w:shd w:val="clear" w:color="auto" w:fill="FFFFFF" w:themeFill="background1"/>
            <w:noWrap/>
            <w:vAlign w:val="center"/>
            <w:hideMark/>
          </w:tcPr>
          <w:p w14:paraId="6ABE02A7" w14:textId="77777777" w:rsidR="00FE5535" w:rsidRPr="00B05E44" w:rsidRDefault="00FE5535" w:rsidP="006A2FE4">
            <w:pPr>
              <w:pStyle w:val="Tablebodycopy"/>
            </w:pPr>
            <w:r w:rsidRPr="00B05E44">
              <w:t>0.8</w:t>
            </w:r>
          </w:p>
        </w:tc>
        <w:tc>
          <w:tcPr>
            <w:tcW w:w="1000" w:type="dxa"/>
            <w:tcBorders>
              <w:top w:val="nil"/>
              <w:left w:val="nil"/>
              <w:bottom w:val="nil"/>
              <w:right w:val="nil"/>
            </w:tcBorders>
            <w:shd w:val="clear" w:color="auto" w:fill="FFFFFF" w:themeFill="background1"/>
            <w:noWrap/>
            <w:vAlign w:val="center"/>
            <w:hideMark/>
          </w:tcPr>
          <w:p w14:paraId="1678B3FC" w14:textId="77777777" w:rsidR="00FE5535" w:rsidRPr="00B05E44" w:rsidRDefault="00FE5535" w:rsidP="006A2FE4">
            <w:pPr>
              <w:pStyle w:val="Tablebodycopy"/>
            </w:pPr>
            <w:r w:rsidRPr="00B05E44">
              <w:t>73.1</w:t>
            </w:r>
          </w:p>
        </w:tc>
        <w:tc>
          <w:tcPr>
            <w:tcW w:w="1000" w:type="dxa"/>
            <w:tcBorders>
              <w:top w:val="nil"/>
              <w:left w:val="nil"/>
              <w:bottom w:val="nil"/>
              <w:right w:val="nil"/>
            </w:tcBorders>
            <w:shd w:val="clear" w:color="auto" w:fill="FFFFFF" w:themeFill="background1"/>
            <w:noWrap/>
            <w:vAlign w:val="center"/>
            <w:hideMark/>
          </w:tcPr>
          <w:p w14:paraId="2F9D92EE" w14:textId="77777777" w:rsidR="00FE5535" w:rsidRPr="00B05E44" w:rsidRDefault="00FE5535" w:rsidP="006A2FE4">
            <w:pPr>
              <w:pStyle w:val="Tablebodycopy"/>
            </w:pPr>
            <w:r w:rsidRPr="00B05E44">
              <w:t>1.5</w:t>
            </w:r>
          </w:p>
        </w:tc>
      </w:tr>
      <w:tr w:rsidR="00FE5535" w:rsidRPr="00395F9D" w14:paraId="3961AE03" w14:textId="77777777" w:rsidTr="00B61A93">
        <w:trPr>
          <w:trHeight w:val="360"/>
        </w:trPr>
        <w:tc>
          <w:tcPr>
            <w:tcW w:w="2835" w:type="dxa"/>
            <w:tcBorders>
              <w:top w:val="nil"/>
              <w:left w:val="nil"/>
              <w:bottom w:val="nil"/>
              <w:right w:val="nil"/>
            </w:tcBorders>
            <w:shd w:val="clear" w:color="auto" w:fill="D9D9D9" w:themeFill="background1" w:themeFillShade="D9"/>
            <w:noWrap/>
            <w:vAlign w:val="center"/>
            <w:hideMark/>
          </w:tcPr>
          <w:p w14:paraId="51BE5514" w14:textId="77777777" w:rsidR="00FE5535" w:rsidRPr="00395F9D" w:rsidRDefault="00FE5535" w:rsidP="006A2FE4">
            <w:pPr>
              <w:pStyle w:val="Tablebodycopy"/>
              <w:rPr>
                <w:b/>
              </w:rPr>
            </w:pPr>
            <w:r w:rsidRPr="00395F9D">
              <w:rPr>
                <w:b/>
              </w:rPr>
              <w:t>Australia</w:t>
            </w:r>
          </w:p>
        </w:tc>
        <w:tc>
          <w:tcPr>
            <w:tcW w:w="1073" w:type="dxa"/>
            <w:tcBorders>
              <w:top w:val="nil"/>
              <w:left w:val="nil"/>
              <w:bottom w:val="nil"/>
              <w:right w:val="nil"/>
            </w:tcBorders>
            <w:shd w:val="clear" w:color="auto" w:fill="D9D9D9" w:themeFill="background1" w:themeFillShade="D9"/>
            <w:noWrap/>
            <w:vAlign w:val="center"/>
            <w:hideMark/>
          </w:tcPr>
          <w:p w14:paraId="0DD2CA4B" w14:textId="77777777" w:rsidR="00FE5535" w:rsidRPr="00395F9D" w:rsidRDefault="00FE5535" w:rsidP="006A2FE4">
            <w:pPr>
              <w:pStyle w:val="Tablebodycopy"/>
              <w:rPr>
                <w:b/>
              </w:rPr>
            </w:pPr>
            <w:r w:rsidRPr="00395F9D">
              <w:rPr>
                <w:b/>
              </w:rPr>
              <w:t>14,046.1</w:t>
            </w:r>
          </w:p>
        </w:tc>
        <w:tc>
          <w:tcPr>
            <w:tcW w:w="1000" w:type="dxa"/>
            <w:tcBorders>
              <w:top w:val="nil"/>
              <w:left w:val="nil"/>
              <w:bottom w:val="nil"/>
              <w:right w:val="nil"/>
            </w:tcBorders>
            <w:shd w:val="clear" w:color="auto" w:fill="D9D9D9" w:themeFill="background1" w:themeFillShade="D9"/>
            <w:noWrap/>
            <w:vAlign w:val="center"/>
            <w:hideMark/>
          </w:tcPr>
          <w:p w14:paraId="6AA7538B" w14:textId="77777777" w:rsidR="00FE5535" w:rsidRPr="00395F9D" w:rsidRDefault="00FE5535" w:rsidP="006A2FE4">
            <w:pPr>
              <w:pStyle w:val="Tablebodycopy"/>
              <w:rPr>
                <w:b/>
              </w:rPr>
            </w:pPr>
            <w:r w:rsidRPr="00395F9D">
              <w:rPr>
                <w:b/>
              </w:rPr>
              <w:t>409.9</w:t>
            </w:r>
          </w:p>
        </w:tc>
        <w:tc>
          <w:tcPr>
            <w:tcW w:w="1000" w:type="dxa"/>
            <w:tcBorders>
              <w:top w:val="nil"/>
              <w:left w:val="nil"/>
              <w:bottom w:val="nil"/>
              <w:right w:val="nil"/>
            </w:tcBorders>
            <w:shd w:val="clear" w:color="auto" w:fill="D9D9D9" w:themeFill="background1" w:themeFillShade="D9"/>
            <w:noWrap/>
            <w:vAlign w:val="center"/>
            <w:hideMark/>
          </w:tcPr>
          <w:p w14:paraId="303CF375" w14:textId="77777777" w:rsidR="00FE5535" w:rsidRPr="00395F9D" w:rsidRDefault="00FE5535" w:rsidP="006A2FE4">
            <w:pPr>
              <w:pStyle w:val="Tablebodycopy"/>
              <w:rPr>
                <w:b/>
              </w:rPr>
            </w:pPr>
            <w:r w:rsidRPr="00395F9D">
              <w:rPr>
                <w:b/>
              </w:rPr>
              <w:t>3.0</w:t>
            </w:r>
          </w:p>
        </w:tc>
        <w:tc>
          <w:tcPr>
            <w:tcW w:w="1000" w:type="dxa"/>
            <w:tcBorders>
              <w:top w:val="nil"/>
              <w:left w:val="nil"/>
              <w:bottom w:val="nil"/>
              <w:right w:val="nil"/>
            </w:tcBorders>
            <w:shd w:val="clear" w:color="auto" w:fill="D9D9D9" w:themeFill="background1" w:themeFillShade="D9"/>
            <w:noWrap/>
            <w:vAlign w:val="center"/>
            <w:hideMark/>
          </w:tcPr>
          <w:p w14:paraId="2D54A1ED" w14:textId="77777777" w:rsidR="00FE5535" w:rsidRPr="00395F9D" w:rsidRDefault="00FE5535" w:rsidP="006A2FE4">
            <w:pPr>
              <w:pStyle w:val="Tablebodycopy"/>
              <w:rPr>
                <w:b/>
              </w:rPr>
            </w:pPr>
            <w:r w:rsidRPr="00395F9D">
              <w:rPr>
                <w:b/>
              </w:rPr>
              <w:t>3.5</w:t>
            </w:r>
          </w:p>
        </w:tc>
        <w:tc>
          <w:tcPr>
            <w:tcW w:w="1000" w:type="dxa"/>
            <w:tcBorders>
              <w:top w:val="nil"/>
              <w:left w:val="nil"/>
              <w:bottom w:val="nil"/>
              <w:right w:val="nil"/>
            </w:tcBorders>
            <w:shd w:val="clear" w:color="auto" w:fill="D9D9D9" w:themeFill="background1" w:themeFillShade="D9"/>
            <w:noWrap/>
            <w:vAlign w:val="center"/>
            <w:hideMark/>
          </w:tcPr>
          <w:p w14:paraId="22D4D372" w14:textId="77777777" w:rsidR="00FE5535" w:rsidRPr="00395F9D" w:rsidRDefault="00FE5535" w:rsidP="006A2FE4">
            <w:pPr>
              <w:pStyle w:val="Tablebodycopy"/>
              <w:rPr>
                <w:b/>
              </w:rPr>
            </w:pPr>
            <w:r w:rsidRPr="00395F9D">
              <w:rPr>
                <w:b/>
              </w:rPr>
              <w:t>-0.1</w:t>
            </w:r>
          </w:p>
        </w:tc>
        <w:tc>
          <w:tcPr>
            <w:tcW w:w="1000" w:type="dxa"/>
            <w:tcBorders>
              <w:top w:val="nil"/>
              <w:left w:val="nil"/>
              <w:bottom w:val="nil"/>
              <w:right w:val="nil"/>
            </w:tcBorders>
            <w:shd w:val="clear" w:color="auto" w:fill="D9D9D9" w:themeFill="background1" w:themeFillShade="D9"/>
            <w:noWrap/>
            <w:vAlign w:val="center"/>
            <w:hideMark/>
          </w:tcPr>
          <w:p w14:paraId="59C087CA" w14:textId="77777777" w:rsidR="00FE5535" w:rsidRPr="00395F9D" w:rsidRDefault="00FE5535" w:rsidP="006A2FE4">
            <w:pPr>
              <w:pStyle w:val="Tablebodycopy"/>
              <w:rPr>
                <w:b/>
              </w:rPr>
            </w:pPr>
            <w:r w:rsidRPr="00395F9D">
              <w:rPr>
                <w:b/>
              </w:rPr>
              <w:t>66.8</w:t>
            </w:r>
          </w:p>
        </w:tc>
        <w:tc>
          <w:tcPr>
            <w:tcW w:w="1000" w:type="dxa"/>
            <w:tcBorders>
              <w:top w:val="nil"/>
              <w:left w:val="nil"/>
              <w:bottom w:val="nil"/>
              <w:right w:val="nil"/>
            </w:tcBorders>
            <w:shd w:val="clear" w:color="auto" w:fill="D9D9D9" w:themeFill="background1" w:themeFillShade="D9"/>
            <w:noWrap/>
            <w:vAlign w:val="center"/>
            <w:hideMark/>
          </w:tcPr>
          <w:p w14:paraId="4A26463F" w14:textId="77777777" w:rsidR="00FE5535" w:rsidRPr="00395F9D" w:rsidRDefault="00FE5535" w:rsidP="006A2FE4">
            <w:pPr>
              <w:pStyle w:val="Tablebodycopy"/>
              <w:rPr>
                <w:b/>
              </w:rPr>
            </w:pPr>
            <w:r w:rsidRPr="00395F9D">
              <w:rPr>
                <w:b/>
              </w:rPr>
              <w:t>0.1</w:t>
            </w:r>
          </w:p>
        </w:tc>
      </w:tr>
    </w:tbl>
    <w:p w14:paraId="5ABD20C8" w14:textId="77777777" w:rsidR="00FE5535" w:rsidRDefault="00FE5535" w:rsidP="00FF5DEF">
      <w:pPr>
        <w:pStyle w:val="ChartandTablelabel"/>
      </w:pPr>
    </w:p>
    <w:p w14:paraId="2434F3EE" w14:textId="29F75831" w:rsidR="00FF5DEF" w:rsidRPr="00AD383B" w:rsidRDefault="002D603D" w:rsidP="00AD383B">
      <w:pPr>
        <w:pStyle w:val="Bodycopy"/>
      </w:pPr>
      <w:r w:rsidRPr="00AD383B">
        <w:t xml:space="preserve">That said, there is some variation in recruitment activity across the states. Results from JSA’s Recruitment Experiences and Outlook Survey show that, nationally, the proportion of employers recruiting fell by 9 percentage points over the year and is now 10 percentage points lower than the peak of 59% that was recorded in May and July 2022. Similarly, quarterly recruitment activity has decreased across all states between the June quarter 2022 and the June quarter 2023 (Figure </w:t>
      </w:r>
      <w:r w:rsidR="00476222" w:rsidRPr="00AD383B">
        <w:t>4</w:t>
      </w:r>
      <w:r w:rsidRPr="00AD383B">
        <w:t>), albeit different levels of activity continue to be observed across the jurisdictions. In the June quarter 2023, Queensland (56%) had the highest quarterly recruitment rate. Tasmania (43%) had the lowest quarterly recruitment rate in the June quarter 2023, and the largest decline (5 percentage points) relative to a year ago (June quarter 2022).</w:t>
      </w:r>
    </w:p>
    <w:p w14:paraId="1E060BFA" w14:textId="77777777" w:rsidR="00073193" w:rsidRDefault="00073193" w:rsidP="002D603D">
      <w:pPr>
        <w:pStyle w:val="Bodycopy"/>
        <w:rPr>
          <w:b/>
          <w:sz w:val="20"/>
          <w:lang w:val="en-US"/>
        </w:rPr>
      </w:pPr>
      <w:r>
        <w:rPr>
          <w:b/>
          <w:sz w:val="20"/>
          <w:lang w:val="en-US"/>
        </w:rPr>
        <w:br w:type="page"/>
      </w:r>
    </w:p>
    <w:p w14:paraId="36E527BB" w14:textId="31A3A99D" w:rsidR="002D603D" w:rsidRDefault="002D603D" w:rsidP="002D603D">
      <w:pPr>
        <w:pStyle w:val="Bodycopy"/>
      </w:pPr>
      <w:r w:rsidRPr="00AB442A">
        <w:rPr>
          <w:b/>
          <w:sz w:val="20"/>
          <w:lang w:val="en-US"/>
        </w:rPr>
        <w:lastRenderedPageBreak/>
        <w:t xml:space="preserve">Figure </w:t>
      </w:r>
      <w:r>
        <w:rPr>
          <w:b/>
          <w:sz w:val="20"/>
          <w:lang w:val="en-US"/>
        </w:rPr>
        <w:t>4</w:t>
      </w:r>
      <w:r w:rsidRPr="00AB442A">
        <w:rPr>
          <w:b/>
          <w:sz w:val="20"/>
          <w:lang w:val="en-US"/>
        </w:rPr>
        <w:t xml:space="preserve">:  </w:t>
      </w:r>
      <w:r w:rsidR="005A655C" w:rsidRPr="005A655C">
        <w:rPr>
          <w:b/>
          <w:sz w:val="20"/>
          <w:lang w:val="en-US"/>
        </w:rPr>
        <w:t>Recruitment rate (proportion of employers currently recruiting or who recruited in the past month), by State, June quarters 2021, 2022 and 2023</w:t>
      </w:r>
    </w:p>
    <w:p w14:paraId="6E93EDF0" w14:textId="77777777" w:rsidR="00476222" w:rsidRPr="00B05E44" w:rsidRDefault="00476222" w:rsidP="00476222">
      <w:r w:rsidRPr="00B05E44">
        <w:rPr>
          <w:noProof/>
        </w:rPr>
        <w:drawing>
          <wp:inline distT="0" distB="0" distL="0" distR="0" wp14:anchorId="1883028C" wp14:editId="75057A17">
            <wp:extent cx="5656580" cy="2428875"/>
            <wp:effectExtent l="0" t="0" r="1270" b="0"/>
            <wp:docPr id="45" name="Chart 45" descr="Figure 4 is a column Chart. Quarterly recruitment rate by state. June qtr 2023: NSW 48%, VIC: 47%, QLD: 56%, SA: 44%. WA: 50%, TAS: 43%.">
              <a:extLst xmlns:a="http://schemas.openxmlformats.org/drawingml/2006/main">
                <a:ext uri="{FF2B5EF4-FFF2-40B4-BE49-F238E27FC236}">
                  <a16:creationId xmlns:a16="http://schemas.microsoft.com/office/drawing/2014/main" id="{93AADF5F-C24E-D2C5-A48B-765136B4E7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C1BFB43" w14:textId="77777777" w:rsidR="00476222" w:rsidRPr="00B05E44" w:rsidRDefault="00476222" w:rsidP="00476222">
      <w:pPr>
        <w:pStyle w:val="Source"/>
        <w:ind w:left="510"/>
      </w:pPr>
      <w:r>
        <w:t>JSA, Recruitment Experiences and Outlook Survey, June 2023. Note: Data for Australian Capital Territory and Northern Territory are unavailable due to small sample sizes.</w:t>
      </w:r>
    </w:p>
    <w:p w14:paraId="1A6766BC" w14:textId="77777777" w:rsidR="002D603D" w:rsidRDefault="002D603D" w:rsidP="002D603D">
      <w:pPr>
        <w:pStyle w:val="Bodycopy"/>
      </w:pPr>
    </w:p>
    <w:p w14:paraId="00A5714B" w14:textId="45B87C0A" w:rsidR="00B92967" w:rsidRDefault="00B92967" w:rsidP="00B92967">
      <w:pPr>
        <w:rPr>
          <w:rFonts w:eastAsiaTheme="majorEastAsia" w:cstheme="majorBidi"/>
          <w:b/>
          <w:sz w:val="32"/>
          <w:szCs w:val="26"/>
        </w:rPr>
      </w:pPr>
      <w:r>
        <w:rPr>
          <w:rFonts w:eastAsiaTheme="majorEastAsia" w:cstheme="majorBidi"/>
          <w:b/>
          <w:sz w:val="32"/>
          <w:szCs w:val="26"/>
        </w:rPr>
        <w:t>The regions</w:t>
      </w:r>
    </w:p>
    <w:p w14:paraId="45EE46C0" w14:textId="77777777" w:rsidR="008423A5" w:rsidRPr="00B05E44" w:rsidRDefault="008423A5" w:rsidP="00AD383B">
      <w:pPr>
        <w:pStyle w:val="Bodycopy"/>
      </w:pPr>
      <w:r w:rsidRPr="00B05E44">
        <w:t>Reflecting the strong conditions at the national level, labour market activity was robust in both the capital cities and rest of state areas, with employment increasing by 263,500 (or 2.8</w:t>
      </w:r>
      <w:r>
        <w:t>%</w:t>
      </w:r>
      <w:r w:rsidRPr="00B05E44">
        <w:t>) and 186,800 (or 4.4</w:t>
      </w:r>
      <w:r>
        <w:t>%</w:t>
      </w:r>
      <w:r w:rsidRPr="00B05E44">
        <w:t xml:space="preserve">), respectively, over the year to June 2023. </w:t>
      </w:r>
    </w:p>
    <w:p w14:paraId="611D17DA" w14:textId="77777777" w:rsidR="008423A5" w:rsidRPr="00B05E44" w:rsidRDefault="008423A5" w:rsidP="00AD383B">
      <w:pPr>
        <w:pStyle w:val="Bodycopy"/>
      </w:pPr>
      <w:r w:rsidRPr="00B05E44">
        <w:t>Against the backdrop of buoyant activity, the unemployment rate in the capital cities fell by 0.2 percentage points, to 3.8</w:t>
      </w:r>
      <w:r>
        <w:t>%</w:t>
      </w:r>
      <w:r w:rsidRPr="00B05E44">
        <w:t xml:space="preserve"> in June 2023, while it also declined in the rest of state areas, by 0.6 percentage points, to 3.4</w:t>
      </w:r>
      <w:r>
        <w:t>%</w:t>
      </w:r>
      <w:r w:rsidRPr="00B05E44">
        <w:t>. The participation rate rose by 0.3 percentage points in the capital cities, to 68.6</w:t>
      </w:r>
      <w:r>
        <w:t>%</w:t>
      </w:r>
      <w:r w:rsidRPr="00B05E44">
        <w:t xml:space="preserve"> in June 2023, while it also increased in the rest of state areas, by 0.2 percentage points, to 63.3</w:t>
      </w:r>
      <w:r>
        <w:t>%</w:t>
      </w:r>
      <w:r w:rsidRPr="00B05E44">
        <w:t xml:space="preserve"> (Table </w:t>
      </w:r>
      <w:r>
        <w:t>3</w:t>
      </w:r>
      <w:r w:rsidRPr="00B05E44">
        <w:fldChar w:fldCharType="begin"/>
      </w:r>
      <w:r w:rsidRPr="00B05E44">
        <w:fldChar w:fldCharType="separate"/>
      </w:r>
      <w:r w:rsidRPr="00B05E44">
        <w:t>Table 12</w:t>
      </w:r>
      <w:r w:rsidRPr="00B05E44">
        <w:fldChar w:fldCharType="end"/>
      </w:r>
      <w:r w:rsidRPr="00B05E44">
        <w:t>).</w:t>
      </w:r>
    </w:p>
    <w:p w14:paraId="44EAF5AA" w14:textId="49B48A89" w:rsidR="00CB4E93" w:rsidRDefault="00C2471F" w:rsidP="00CB4E93">
      <w:pPr>
        <w:pStyle w:val="ChartandTablelabel"/>
      </w:pPr>
      <w:r w:rsidRPr="00C2471F">
        <w:t xml:space="preserve">Table 3:  Key </w:t>
      </w:r>
      <w:proofErr w:type="spellStart"/>
      <w:r w:rsidRPr="00C2471F">
        <w:t>labour</w:t>
      </w:r>
      <w:proofErr w:type="spellEnd"/>
      <w:r w:rsidRPr="00C2471F">
        <w:t xml:space="preserve"> market indicators by capital cities and rest of state areas, June 2023</w:t>
      </w:r>
    </w:p>
    <w:tbl>
      <w:tblPr>
        <w:tblW w:w="9364" w:type="dxa"/>
        <w:tblLook w:val="04A0" w:firstRow="1" w:lastRow="0" w:firstColumn="1" w:lastColumn="0" w:noHBand="0" w:noVBand="1"/>
      </w:tblPr>
      <w:tblGrid>
        <w:gridCol w:w="3168"/>
        <w:gridCol w:w="951"/>
        <w:gridCol w:w="1005"/>
        <w:gridCol w:w="608"/>
        <w:gridCol w:w="452"/>
        <w:gridCol w:w="1060"/>
        <w:gridCol w:w="1060"/>
        <w:gridCol w:w="1060"/>
      </w:tblGrid>
      <w:tr w:rsidR="00CB4E93" w:rsidRPr="00F83488" w14:paraId="6AFC927D" w14:textId="77777777" w:rsidTr="00B61A93">
        <w:trPr>
          <w:trHeight w:val="360"/>
        </w:trPr>
        <w:tc>
          <w:tcPr>
            <w:tcW w:w="3168" w:type="dxa"/>
            <w:vMerge w:val="restart"/>
            <w:tcBorders>
              <w:top w:val="nil"/>
              <w:left w:val="nil"/>
              <w:bottom w:val="nil"/>
              <w:right w:val="nil"/>
            </w:tcBorders>
            <w:shd w:val="clear" w:color="000000" w:fill="441170"/>
            <w:vAlign w:val="center"/>
            <w:hideMark/>
          </w:tcPr>
          <w:p w14:paraId="2C37B3D0" w14:textId="77777777" w:rsidR="00CB4E93" w:rsidRPr="009D317C" w:rsidRDefault="00CB4E93" w:rsidP="00073193">
            <w:pPr>
              <w:spacing w:before="120" w:after="120" w:line="240" w:lineRule="auto"/>
              <w:rPr>
                <w:color w:val="FFFFFF" w:themeColor="background1"/>
              </w:rPr>
            </w:pPr>
            <w:r w:rsidRPr="009D317C">
              <w:rPr>
                <w:color w:val="FFFFFF" w:themeColor="background1"/>
              </w:rPr>
              <w:t> </w:t>
            </w:r>
          </w:p>
        </w:tc>
        <w:tc>
          <w:tcPr>
            <w:tcW w:w="2564" w:type="dxa"/>
            <w:gridSpan w:val="3"/>
            <w:tcBorders>
              <w:top w:val="nil"/>
              <w:left w:val="nil"/>
              <w:bottom w:val="nil"/>
              <w:right w:val="nil"/>
            </w:tcBorders>
            <w:shd w:val="clear" w:color="000000" w:fill="441170"/>
            <w:vAlign w:val="center"/>
            <w:hideMark/>
          </w:tcPr>
          <w:p w14:paraId="6FFA0CA0" w14:textId="77777777" w:rsidR="00CB4E93" w:rsidRPr="00073193" w:rsidRDefault="00CB4E93" w:rsidP="00073193">
            <w:pPr>
              <w:spacing w:before="120" w:after="120" w:line="240" w:lineRule="auto"/>
              <w:jc w:val="center"/>
              <w:rPr>
                <w:b/>
                <w:bCs/>
                <w:color w:val="FFFFFF" w:themeColor="background1"/>
              </w:rPr>
            </w:pPr>
            <w:r w:rsidRPr="00073193">
              <w:rPr>
                <w:b/>
                <w:bCs/>
                <w:color w:val="FFFFFF" w:themeColor="background1"/>
              </w:rPr>
              <w:t>Capital cities</w:t>
            </w:r>
          </w:p>
        </w:tc>
        <w:tc>
          <w:tcPr>
            <w:tcW w:w="3632" w:type="dxa"/>
            <w:gridSpan w:val="4"/>
            <w:tcBorders>
              <w:top w:val="nil"/>
              <w:left w:val="nil"/>
              <w:bottom w:val="nil"/>
              <w:right w:val="nil"/>
            </w:tcBorders>
            <w:shd w:val="clear" w:color="000000" w:fill="441170"/>
            <w:vAlign w:val="center"/>
            <w:hideMark/>
          </w:tcPr>
          <w:p w14:paraId="66C33CB3" w14:textId="77777777" w:rsidR="00CB4E93" w:rsidRPr="00073193" w:rsidRDefault="00CB4E93" w:rsidP="00073193">
            <w:pPr>
              <w:spacing w:before="120" w:after="120" w:line="240" w:lineRule="auto"/>
              <w:jc w:val="center"/>
              <w:rPr>
                <w:b/>
                <w:bCs/>
                <w:color w:val="FFFFFF" w:themeColor="background1"/>
              </w:rPr>
            </w:pPr>
            <w:r w:rsidRPr="00073193">
              <w:rPr>
                <w:b/>
                <w:bCs/>
                <w:color w:val="FFFFFF" w:themeColor="background1"/>
              </w:rPr>
              <w:t>Rest of states</w:t>
            </w:r>
          </w:p>
        </w:tc>
      </w:tr>
      <w:tr w:rsidR="00CB4E93" w:rsidRPr="00F83488" w14:paraId="650A3AF3" w14:textId="77777777" w:rsidTr="00B61A93">
        <w:trPr>
          <w:trHeight w:val="360"/>
        </w:trPr>
        <w:tc>
          <w:tcPr>
            <w:tcW w:w="3168" w:type="dxa"/>
            <w:vMerge/>
            <w:tcBorders>
              <w:top w:val="nil"/>
              <w:left w:val="nil"/>
              <w:bottom w:val="nil"/>
              <w:right w:val="nil"/>
            </w:tcBorders>
            <w:vAlign w:val="center"/>
            <w:hideMark/>
          </w:tcPr>
          <w:p w14:paraId="768CC216" w14:textId="77777777" w:rsidR="00CB4E93" w:rsidRPr="009D317C" w:rsidRDefault="00CB4E93" w:rsidP="00073193">
            <w:pPr>
              <w:spacing w:before="120" w:after="120" w:line="240" w:lineRule="auto"/>
              <w:rPr>
                <w:color w:val="FFFFFF" w:themeColor="background1"/>
              </w:rPr>
            </w:pPr>
          </w:p>
        </w:tc>
        <w:tc>
          <w:tcPr>
            <w:tcW w:w="951" w:type="dxa"/>
            <w:vMerge w:val="restart"/>
            <w:tcBorders>
              <w:top w:val="nil"/>
              <w:left w:val="nil"/>
              <w:bottom w:val="nil"/>
              <w:right w:val="nil"/>
            </w:tcBorders>
            <w:shd w:val="clear" w:color="000000" w:fill="441170"/>
            <w:vAlign w:val="center"/>
            <w:hideMark/>
          </w:tcPr>
          <w:p w14:paraId="10FECFCA" w14:textId="77777777" w:rsidR="00CB4E93" w:rsidRPr="00073193" w:rsidRDefault="00CB4E93" w:rsidP="00073193">
            <w:pPr>
              <w:spacing w:before="120" w:after="120" w:line="240" w:lineRule="auto"/>
              <w:jc w:val="center"/>
              <w:rPr>
                <w:b/>
                <w:bCs/>
                <w:color w:val="FFFFFF" w:themeColor="background1"/>
              </w:rPr>
            </w:pPr>
            <w:r w:rsidRPr="00073193">
              <w:rPr>
                <w:b/>
                <w:bCs/>
                <w:color w:val="FFFFFF" w:themeColor="background1"/>
              </w:rPr>
              <w:t>Jun-23</w:t>
            </w:r>
          </w:p>
        </w:tc>
        <w:tc>
          <w:tcPr>
            <w:tcW w:w="2065" w:type="dxa"/>
            <w:gridSpan w:val="3"/>
            <w:tcBorders>
              <w:top w:val="nil"/>
              <w:left w:val="nil"/>
              <w:bottom w:val="nil"/>
              <w:right w:val="nil"/>
            </w:tcBorders>
            <w:shd w:val="clear" w:color="000000" w:fill="441170"/>
            <w:vAlign w:val="center"/>
            <w:hideMark/>
          </w:tcPr>
          <w:p w14:paraId="1A762D5C" w14:textId="77777777" w:rsidR="00CB4E93" w:rsidRPr="00073193" w:rsidRDefault="00CB4E93" w:rsidP="00073193">
            <w:pPr>
              <w:spacing w:before="120" w:after="120" w:line="240" w:lineRule="auto"/>
              <w:jc w:val="center"/>
              <w:rPr>
                <w:b/>
                <w:bCs/>
                <w:color w:val="FFFFFF" w:themeColor="background1"/>
              </w:rPr>
            </w:pPr>
            <w:r w:rsidRPr="00073193">
              <w:rPr>
                <w:b/>
                <w:bCs/>
                <w:color w:val="FFFFFF" w:themeColor="background1"/>
              </w:rPr>
              <w:t>Annual change</w:t>
            </w:r>
          </w:p>
        </w:tc>
        <w:tc>
          <w:tcPr>
            <w:tcW w:w="1060" w:type="dxa"/>
            <w:vMerge w:val="restart"/>
            <w:tcBorders>
              <w:top w:val="nil"/>
              <w:left w:val="nil"/>
              <w:bottom w:val="nil"/>
              <w:right w:val="nil"/>
            </w:tcBorders>
            <w:shd w:val="clear" w:color="000000" w:fill="441170"/>
            <w:vAlign w:val="center"/>
            <w:hideMark/>
          </w:tcPr>
          <w:p w14:paraId="42B6E602" w14:textId="77777777" w:rsidR="00CB4E93" w:rsidRPr="00073193" w:rsidRDefault="00CB4E93" w:rsidP="00073193">
            <w:pPr>
              <w:spacing w:before="120" w:after="120" w:line="240" w:lineRule="auto"/>
              <w:jc w:val="center"/>
              <w:rPr>
                <w:b/>
                <w:bCs/>
                <w:color w:val="FFFFFF" w:themeColor="background1"/>
              </w:rPr>
            </w:pPr>
            <w:r w:rsidRPr="00073193">
              <w:rPr>
                <w:b/>
                <w:bCs/>
                <w:color w:val="FFFFFF" w:themeColor="background1"/>
              </w:rPr>
              <w:t>Jun-23</w:t>
            </w:r>
          </w:p>
        </w:tc>
        <w:tc>
          <w:tcPr>
            <w:tcW w:w="2120" w:type="dxa"/>
            <w:gridSpan w:val="2"/>
            <w:tcBorders>
              <w:top w:val="nil"/>
              <w:left w:val="nil"/>
              <w:bottom w:val="nil"/>
              <w:right w:val="nil"/>
            </w:tcBorders>
            <w:shd w:val="clear" w:color="000000" w:fill="441170"/>
            <w:vAlign w:val="center"/>
            <w:hideMark/>
          </w:tcPr>
          <w:p w14:paraId="7DA2AE6B" w14:textId="77777777" w:rsidR="00CB4E93" w:rsidRPr="00073193" w:rsidRDefault="00CB4E93" w:rsidP="00073193">
            <w:pPr>
              <w:spacing w:before="120" w:after="120" w:line="240" w:lineRule="auto"/>
              <w:jc w:val="center"/>
              <w:rPr>
                <w:b/>
                <w:bCs/>
                <w:color w:val="FFFFFF" w:themeColor="background1"/>
              </w:rPr>
            </w:pPr>
            <w:r w:rsidRPr="00073193">
              <w:rPr>
                <w:b/>
                <w:bCs/>
                <w:color w:val="FFFFFF" w:themeColor="background1"/>
              </w:rPr>
              <w:t>Annual change</w:t>
            </w:r>
          </w:p>
        </w:tc>
      </w:tr>
      <w:tr w:rsidR="00CB4E93" w:rsidRPr="00F83488" w14:paraId="27474011" w14:textId="77777777" w:rsidTr="00B61A93">
        <w:trPr>
          <w:trHeight w:val="360"/>
        </w:trPr>
        <w:tc>
          <w:tcPr>
            <w:tcW w:w="3168" w:type="dxa"/>
            <w:vMerge/>
            <w:tcBorders>
              <w:top w:val="nil"/>
              <w:left w:val="nil"/>
              <w:bottom w:val="nil"/>
              <w:right w:val="nil"/>
            </w:tcBorders>
            <w:vAlign w:val="center"/>
            <w:hideMark/>
          </w:tcPr>
          <w:p w14:paraId="548474B0" w14:textId="77777777" w:rsidR="00CB4E93" w:rsidRPr="009D317C" w:rsidRDefault="00CB4E93" w:rsidP="00073193">
            <w:pPr>
              <w:spacing w:before="120" w:after="120" w:line="240" w:lineRule="auto"/>
              <w:rPr>
                <w:color w:val="FFFFFF" w:themeColor="background1"/>
              </w:rPr>
            </w:pPr>
          </w:p>
        </w:tc>
        <w:tc>
          <w:tcPr>
            <w:tcW w:w="951" w:type="dxa"/>
            <w:vMerge/>
            <w:tcBorders>
              <w:top w:val="nil"/>
              <w:left w:val="nil"/>
              <w:bottom w:val="nil"/>
              <w:right w:val="nil"/>
            </w:tcBorders>
            <w:vAlign w:val="center"/>
            <w:hideMark/>
          </w:tcPr>
          <w:p w14:paraId="787D59CD" w14:textId="77777777" w:rsidR="00CB4E93" w:rsidRPr="00073193" w:rsidRDefault="00CB4E93" w:rsidP="00073193">
            <w:pPr>
              <w:spacing w:before="120" w:after="120" w:line="240" w:lineRule="auto"/>
              <w:rPr>
                <w:b/>
                <w:bCs/>
                <w:color w:val="FFFFFF" w:themeColor="background1"/>
              </w:rPr>
            </w:pPr>
          </w:p>
        </w:tc>
        <w:tc>
          <w:tcPr>
            <w:tcW w:w="1005" w:type="dxa"/>
            <w:tcBorders>
              <w:top w:val="nil"/>
              <w:left w:val="nil"/>
              <w:bottom w:val="nil"/>
              <w:right w:val="nil"/>
            </w:tcBorders>
            <w:shd w:val="clear" w:color="000000" w:fill="441170"/>
            <w:vAlign w:val="center"/>
            <w:hideMark/>
          </w:tcPr>
          <w:p w14:paraId="7BEB13D1" w14:textId="77777777" w:rsidR="00CB4E93" w:rsidRPr="00073193" w:rsidRDefault="00CB4E93" w:rsidP="00073193">
            <w:pPr>
              <w:spacing w:before="120" w:after="120" w:line="240" w:lineRule="auto"/>
              <w:jc w:val="center"/>
              <w:rPr>
                <w:b/>
                <w:bCs/>
                <w:color w:val="FFFFFF" w:themeColor="background1"/>
              </w:rPr>
            </w:pPr>
            <w:r w:rsidRPr="00073193">
              <w:rPr>
                <w:b/>
                <w:bCs/>
                <w:color w:val="FFFFFF" w:themeColor="background1"/>
              </w:rPr>
              <w:t>('000)</w:t>
            </w:r>
          </w:p>
        </w:tc>
        <w:tc>
          <w:tcPr>
            <w:tcW w:w="1060" w:type="dxa"/>
            <w:gridSpan w:val="2"/>
            <w:tcBorders>
              <w:top w:val="nil"/>
              <w:left w:val="nil"/>
              <w:bottom w:val="nil"/>
              <w:right w:val="nil"/>
            </w:tcBorders>
            <w:shd w:val="clear" w:color="000000" w:fill="441170"/>
            <w:vAlign w:val="center"/>
            <w:hideMark/>
          </w:tcPr>
          <w:p w14:paraId="04642CFE" w14:textId="77777777" w:rsidR="00CB4E93" w:rsidRPr="00073193" w:rsidRDefault="00CB4E93" w:rsidP="00073193">
            <w:pPr>
              <w:spacing w:before="120" w:after="120" w:line="240" w:lineRule="auto"/>
              <w:jc w:val="center"/>
              <w:rPr>
                <w:b/>
                <w:bCs/>
                <w:color w:val="FFFFFF" w:themeColor="background1"/>
              </w:rPr>
            </w:pPr>
            <w:r w:rsidRPr="00073193">
              <w:rPr>
                <w:b/>
                <w:bCs/>
                <w:color w:val="FFFFFF" w:themeColor="background1"/>
              </w:rPr>
              <w:t>(%)</w:t>
            </w:r>
          </w:p>
        </w:tc>
        <w:tc>
          <w:tcPr>
            <w:tcW w:w="1060" w:type="dxa"/>
            <w:vMerge/>
            <w:tcBorders>
              <w:top w:val="nil"/>
              <w:left w:val="nil"/>
              <w:bottom w:val="nil"/>
              <w:right w:val="nil"/>
            </w:tcBorders>
            <w:vAlign w:val="center"/>
            <w:hideMark/>
          </w:tcPr>
          <w:p w14:paraId="121ECDB0" w14:textId="77777777" w:rsidR="00CB4E93" w:rsidRPr="00073193" w:rsidRDefault="00CB4E93" w:rsidP="00073193">
            <w:pPr>
              <w:spacing w:before="120" w:after="120" w:line="240" w:lineRule="auto"/>
              <w:jc w:val="center"/>
              <w:rPr>
                <w:b/>
                <w:bCs/>
                <w:color w:val="FFFFFF" w:themeColor="background1"/>
              </w:rPr>
            </w:pPr>
          </w:p>
        </w:tc>
        <w:tc>
          <w:tcPr>
            <w:tcW w:w="1060" w:type="dxa"/>
            <w:tcBorders>
              <w:top w:val="nil"/>
              <w:left w:val="nil"/>
              <w:bottom w:val="nil"/>
              <w:right w:val="nil"/>
            </w:tcBorders>
            <w:shd w:val="clear" w:color="000000" w:fill="441170"/>
            <w:vAlign w:val="center"/>
            <w:hideMark/>
          </w:tcPr>
          <w:p w14:paraId="42C5A25E" w14:textId="77777777" w:rsidR="00CB4E93" w:rsidRPr="00073193" w:rsidRDefault="00CB4E93" w:rsidP="00073193">
            <w:pPr>
              <w:spacing w:before="120" w:after="120" w:line="240" w:lineRule="auto"/>
              <w:jc w:val="center"/>
              <w:rPr>
                <w:b/>
                <w:bCs/>
                <w:color w:val="FFFFFF" w:themeColor="background1"/>
              </w:rPr>
            </w:pPr>
            <w:r w:rsidRPr="00073193">
              <w:rPr>
                <w:b/>
                <w:bCs/>
                <w:color w:val="FFFFFF" w:themeColor="background1"/>
              </w:rPr>
              <w:t>('000)</w:t>
            </w:r>
          </w:p>
        </w:tc>
        <w:tc>
          <w:tcPr>
            <w:tcW w:w="1060" w:type="dxa"/>
            <w:tcBorders>
              <w:top w:val="nil"/>
              <w:left w:val="nil"/>
              <w:bottom w:val="nil"/>
              <w:right w:val="nil"/>
            </w:tcBorders>
            <w:shd w:val="clear" w:color="000000" w:fill="441170"/>
            <w:vAlign w:val="center"/>
            <w:hideMark/>
          </w:tcPr>
          <w:p w14:paraId="32F2CA4A" w14:textId="77777777" w:rsidR="00CB4E93" w:rsidRPr="00073193" w:rsidRDefault="00CB4E93" w:rsidP="00073193">
            <w:pPr>
              <w:spacing w:before="120" w:after="120" w:line="240" w:lineRule="auto"/>
              <w:jc w:val="center"/>
              <w:rPr>
                <w:b/>
                <w:bCs/>
                <w:color w:val="FFFFFF" w:themeColor="background1"/>
              </w:rPr>
            </w:pPr>
            <w:r w:rsidRPr="00073193">
              <w:rPr>
                <w:b/>
                <w:bCs/>
                <w:color w:val="FFFFFF" w:themeColor="background1"/>
              </w:rPr>
              <w:t>(%)</w:t>
            </w:r>
          </w:p>
        </w:tc>
      </w:tr>
      <w:tr w:rsidR="00CB4E93" w:rsidRPr="00F83488" w14:paraId="3B866969" w14:textId="77777777" w:rsidTr="00B61A93">
        <w:trPr>
          <w:trHeight w:val="360"/>
        </w:trPr>
        <w:tc>
          <w:tcPr>
            <w:tcW w:w="3168" w:type="dxa"/>
            <w:tcBorders>
              <w:top w:val="nil"/>
              <w:left w:val="nil"/>
              <w:bottom w:val="nil"/>
              <w:right w:val="nil"/>
            </w:tcBorders>
            <w:shd w:val="clear" w:color="000000" w:fill="D9D9D9"/>
            <w:vAlign w:val="center"/>
            <w:hideMark/>
          </w:tcPr>
          <w:p w14:paraId="73719514" w14:textId="77777777" w:rsidR="00CB4E93" w:rsidRPr="00B05E44" w:rsidRDefault="00CB4E93" w:rsidP="006A2FE4">
            <w:pPr>
              <w:pStyle w:val="Tablebodycopy"/>
            </w:pPr>
            <w:r w:rsidRPr="00B05E44">
              <w:t>Employment (‘000)</w:t>
            </w:r>
          </w:p>
        </w:tc>
        <w:tc>
          <w:tcPr>
            <w:tcW w:w="951" w:type="dxa"/>
            <w:tcBorders>
              <w:top w:val="nil"/>
              <w:left w:val="nil"/>
              <w:bottom w:val="nil"/>
              <w:right w:val="nil"/>
            </w:tcBorders>
            <w:shd w:val="clear" w:color="000000" w:fill="D9D9D9"/>
            <w:vAlign w:val="center"/>
            <w:hideMark/>
          </w:tcPr>
          <w:p w14:paraId="6771165A" w14:textId="77777777" w:rsidR="00CB4E93" w:rsidRPr="00B05E44" w:rsidRDefault="00CB4E93" w:rsidP="006A2FE4">
            <w:pPr>
              <w:pStyle w:val="Tablebodycopy"/>
            </w:pPr>
            <w:r w:rsidRPr="00B05E44">
              <w:t>9,513.1</w:t>
            </w:r>
          </w:p>
        </w:tc>
        <w:tc>
          <w:tcPr>
            <w:tcW w:w="1005" w:type="dxa"/>
            <w:tcBorders>
              <w:top w:val="nil"/>
              <w:left w:val="nil"/>
              <w:bottom w:val="nil"/>
              <w:right w:val="nil"/>
            </w:tcBorders>
            <w:shd w:val="clear" w:color="000000" w:fill="D9D9D9"/>
            <w:vAlign w:val="center"/>
            <w:hideMark/>
          </w:tcPr>
          <w:p w14:paraId="78735EB9" w14:textId="77777777" w:rsidR="00CB4E93" w:rsidRPr="00B05E44" w:rsidRDefault="00CB4E93" w:rsidP="006A2FE4">
            <w:pPr>
              <w:pStyle w:val="Tablebodycopy"/>
            </w:pPr>
            <w:r w:rsidRPr="00B05E44">
              <w:t>263.5</w:t>
            </w:r>
          </w:p>
        </w:tc>
        <w:tc>
          <w:tcPr>
            <w:tcW w:w="1060" w:type="dxa"/>
            <w:gridSpan w:val="2"/>
            <w:tcBorders>
              <w:top w:val="nil"/>
              <w:left w:val="nil"/>
              <w:bottom w:val="nil"/>
              <w:right w:val="nil"/>
            </w:tcBorders>
            <w:shd w:val="clear" w:color="000000" w:fill="D9D9D9"/>
            <w:vAlign w:val="center"/>
            <w:hideMark/>
          </w:tcPr>
          <w:p w14:paraId="7D05CBDA" w14:textId="77777777" w:rsidR="00CB4E93" w:rsidRPr="00B05E44" w:rsidRDefault="00CB4E93" w:rsidP="006A2FE4">
            <w:pPr>
              <w:pStyle w:val="Tablebodycopy"/>
            </w:pPr>
            <w:r w:rsidRPr="00B05E44">
              <w:t>2.8</w:t>
            </w:r>
          </w:p>
        </w:tc>
        <w:tc>
          <w:tcPr>
            <w:tcW w:w="1060" w:type="dxa"/>
            <w:tcBorders>
              <w:top w:val="nil"/>
              <w:left w:val="nil"/>
              <w:bottom w:val="nil"/>
              <w:right w:val="nil"/>
            </w:tcBorders>
            <w:shd w:val="clear" w:color="000000" w:fill="D9D9D9"/>
            <w:vAlign w:val="center"/>
            <w:hideMark/>
          </w:tcPr>
          <w:p w14:paraId="626A52B8" w14:textId="77777777" w:rsidR="00CB4E93" w:rsidRPr="00B05E44" w:rsidRDefault="00CB4E93" w:rsidP="006A2FE4">
            <w:pPr>
              <w:pStyle w:val="Tablebodycopy"/>
            </w:pPr>
            <w:r w:rsidRPr="00B05E44">
              <w:t>4,424.8</w:t>
            </w:r>
          </w:p>
        </w:tc>
        <w:tc>
          <w:tcPr>
            <w:tcW w:w="1060" w:type="dxa"/>
            <w:tcBorders>
              <w:top w:val="nil"/>
              <w:left w:val="nil"/>
              <w:bottom w:val="nil"/>
              <w:right w:val="nil"/>
            </w:tcBorders>
            <w:shd w:val="clear" w:color="000000" w:fill="D9D9D9"/>
            <w:vAlign w:val="center"/>
            <w:hideMark/>
          </w:tcPr>
          <w:p w14:paraId="23F445AC" w14:textId="77777777" w:rsidR="00CB4E93" w:rsidRPr="00B05E44" w:rsidRDefault="00CB4E93" w:rsidP="006A2FE4">
            <w:pPr>
              <w:pStyle w:val="Tablebodycopy"/>
            </w:pPr>
            <w:r w:rsidRPr="00B05E44">
              <w:t>186.8</w:t>
            </w:r>
          </w:p>
        </w:tc>
        <w:tc>
          <w:tcPr>
            <w:tcW w:w="1060" w:type="dxa"/>
            <w:tcBorders>
              <w:top w:val="nil"/>
              <w:left w:val="nil"/>
              <w:bottom w:val="nil"/>
              <w:right w:val="nil"/>
            </w:tcBorders>
            <w:shd w:val="clear" w:color="000000" w:fill="D9D9D9"/>
            <w:vAlign w:val="center"/>
            <w:hideMark/>
          </w:tcPr>
          <w:p w14:paraId="6D218F61" w14:textId="77777777" w:rsidR="00CB4E93" w:rsidRPr="00B05E44" w:rsidRDefault="00CB4E93" w:rsidP="006A2FE4">
            <w:pPr>
              <w:pStyle w:val="Tablebodycopy"/>
            </w:pPr>
            <w:r w:rsidRPr="00B05E44">
              <w:t>4.4</w:t>
            </w:r>
          </w:p>
        </w:tc>
      </w:tr>
      <w:tr w:rsidR="00CB4E93" w:rsidRPr="00F83488" w14:paraId="6E6BE322" w14:textId="77777777" w:rsidTr="00B61A93">
        <w:trPr>
          <w:trHeight w:val="360"/>
        </w:trPr>
        <w:tc>
          <w:tcPr>
            <w:tcW w:w="3168" w:type="dxa"/>
            <w:tcBorders>
              <w:top w:val="nil"/>
              <w:left w:val="nil"/>
              <w:bottom w:val="nil"/>
              <w:right w:val="nil"/>
            </w:tcBorders>
            <w:shd w:val="clear" w:color="000000" w:fill="FFFFFF"/>
            <w:vAlign w:val="center"/>
            <w:hideMark/>
          </w:tcPr>
          <w:p w14:paraId="2E86ADA6" w14:textId="77777777" w:rsidR="00CB4E93" w:rsidRPr="00B05E44" w:rsidRDefault="00CB4E93" w:rsidP="006A2FE4">
            <w:pPr>
              <w:pStyle w:val="Tablebodycopy"/>
            </w:pPr>
            <w:r w:rsidRPr="00B05E44">
              <w:t>Unemployment rate (</w:t>
            </w:r>
            <w:r>
              <w:t>%</w:t>
            </w:r>
            <w:r w:rsidRPr="00B05E44">
              <w:t>)</w:t>
            </w:r>
          </w:p>
        </w:tc>
        <w:tc>
          <w:tcPr>
            <w:tcW w:w="951" w:type="dxa"/>
            <w:tcBorders>
              <w:top w:val="nil"/>
              <w:left w:val="nil"/>
              <w:bottom w:val="nil"/>
              <w:right w:val="nil"/>
            </w:tcBorders>
            <w:shd w:val="clear" w:color="000000" w:fill="FFFFFF"/>
            <w:vAlign w:val="center"/>
            <w:hideMark/>
          </w:tcPr>
          <w:p w14:paraId="7FC07E3C" w14:textId="77777777" w:rsidR="00CB4E93" w:rsidRPr="00B05E44" w:rsidRDefault="00CB4E93" w:rsidP="006A2FE4">
            <w:pPr>
              <w:pStyle w:val="Tablebodycopy"/>
            </w:pPr>
            <w:r w:rsidRPr="00B05E44">
              <w:t>3.8</w:t>
            </w:r>
          </w:p>
        </w:tc>
        <w:tc>
          <w:tcPr>
            <w:tcW w:w="1005" w:type="dxa"/>
            <w:tcBorders>
              <w:top w:val="nil"/>
              <w:left w:val="nil"/>
              <w:bottom w:val="nil"/>
              <w:right w:val="nil"/>
            </w:tcBorders>
            <w:shd w:val="clear" w:color="000000" w:fill="FFFFFF"/>
            <w:vAlign w:val="center"/>
            <w:hideMark/>
          </w:tcPr>
          <w:p w14:paraId="16B7C833" w14:textId="77777777" w:rsidR="00CB4E93" w:rsidRPr="00B05E44" w:rsidRDefault="00CB4E93" w:rsidP="006A2FE4">
            <w:pPr>
              <w:pStyle w:val="Tablebodycopy"/>
            </w:pPr>
            <w:r w:rsidRPr="00B05E44">
              <w:t>-</w:t>
            </w:r>
          </w:p>
        </w:tc>
        <w:tc>
          <w:tcPr>
            <w:tcW w:w="1060" w:type="dxa"/>
            <w:gridSpan w:val="2"/>
            <w:tcBorders>
              <w:top w:val="nil"/>
              <w:left w:val="nil"/>
              <w:bottom w:val="nil"/>
              <w:right w:val="nil"/>
            </w:tcBorders>
            <w:shd w:val="clear" w:color="000000" w:fill="FFFFFF"/>
            <w:noWrap/>
            <w:vAlign w:val="center"/>
            <w:hideMark/>
          </w:tcPr>
          <w:p w14:paraId="2387FE82" w14:textId="77777777" w:rsidR="00CB4E93" w:rsidRPr="00B05E44" w:rsidRDefault="00CB4E93" w:rsidP="006A2FE4">
            <w:pPr>
              <w:pStyle w:val="Tablebodycopy"/>
            </w:pPr>
            <w:r w:rsidRPr="00B05E44">
              <w:t>-0.2 pts</w:t>
            </w:r>
          </w:p>
        </w:tc>
        <w:tc>
          <w:tcPr>
            <w:tcW w:w="1060" w:type="dxa"/>
            <w:tcBorders>
              <w:top w:val="nil"/>
              <w:left w:val="nil"/>
              <w:bottom w:val="nil"/>
              <w:right w:val="nil"/>
            </w:tcBorders>
            <w:shd w:val="clear" w:color="000000" w:fill="FFFFFF"/>
            <w:noWrap/>
            <w:vAlign w:val="center"/>
            <w:hideMark/>
          </w:tcPr>
          <w:p w14:paraId="333B7A9F" w14:textId="77777777" w:rsidR="00CB4E93" w:rsidRPr="00B05E44" w:rsidRDefault="00CB4E93" w:rsidP="006A2FE4">
            <w:pPr>
              <w:pStyle w:val="Tablebodycopy"/>
            </w:pPr>
            <w:r w:rsidRPr="00B05E44">
              <w:t>3.4</w:t>
            </w:r>
          </w:p>
        </w:tc>
        <w:tc>
          <w:tcPr>
            <w:tcW w:w="1060" w:type="dxa"/>
            <w:tcBorders>
              <w:top w:val="nil"/>
              <w:left w:val="nil"/>
              <w:bottom w:val="nil"/>
              <w:right w:val="nil"/>
            </w:tcBorders>
            <w:shd w:val="clear" w:color="000000" w:fill="FFFFFF"/>
            <w:noWrap/>
            <w:vAlign w:val="center"/>
            <w:hideMark/>
          </w:tcPr>
          <w:p w14:paraId="0BDC04D9" w14:textId="77777777" w:rsidR="00CB4E93" w:rsidRPr="00B05E44" w:rsidRDefault="00CB4E93" w:rsidP="006A2FE4">
            <w:pPr>
              <w:pStyle w:val="Tablebodycopy"/>
            </w:pPr>
            <w:r w:rsidRPr="00B05E44">
              <w:t>-</w:t>
            </w:r>
          </w:p>
        </w:tc>
        <w:tc>
          <w:tcPr>
            <w:tcW w:w="1060" w:type="dxa"/>
            <w:tcBorders>
              <w:top w:val="nil"/>
              <w:left w:val="nil"/>
              <w:bottom w:val="nil"/>
              <w:right w:val="nil"/>
            </w:tcBorders>
            <w:shd w:val="clear" w:color="000000" w:fill="FFFFFF"/>
            <w:noWrap/>
            <w:vAlign w:val="center"/>
            <w:hideMark/>
          </w:tcPr>
          <w:p w14:paraId="12B2BF91" w14:textId="77777777" w:rsidR="00CB4E93" w:rsidRPr="00B05E44" w:rsidRDefault="00CB4E93" w:rsidP="006A2FE4">
            <w:pPr>
              <w:pStyle w:val="Tablebodycopy"/>
            </w:pPr>
            <w:r w:rsidRPr="00B05E44">
              <w:t>-0.6 pts</w:t>
            </w:r>
          </w:p>
        </w:tc>
      </w:tr>
      <w:tr w:rsidR="00CB4E93" w:rsidRPr="00F83488" w14:paraId="152225BE" w14:textId="77777777" w:rsidTr="00B61A93">
        <w:trPr>
          <w:trHeight w:val="360"/>
        </w:trPr>
        <w:tc>
          <w:tcPr>
            <w:tcW w:w="3168" w:type="dxa"/>
            <w:tcBorders>
              <w:top w:val="nil"/>
              <w:left w:val="nil"/>
              <w:bottom w:val="nil"/>
              <w:right w:val="nil"/>
            </w:tcBorders>
            <w:shd w:val="clear" w:color="000000" w:fill="D9D9D9"/>
            <w:vAlign w:val="center"/>
            <w:hideMark/>
          </w:tcPr>
          <w:p w14:paraId="3BF577CD" w14:textId="77777777" w:rsidR="00CB4E93" w:rsidRPr="00B05E44" w:rsidRDefault="00CB4E93" w:rsidP="006A2FE4">
            <w:pPr>
              <w:pStyle w:val="Tablebodycopy"/>
            </w:pPr>
            <w:r w:rsidRPr="00B05E44">
              <w:t>Participation rate (</w:t>
            </w:r>
            <w:r>
              <w:t>%</w:t>
            </w:r>
            <w:r w:rsidRPr="00B05E44">
              <w:t>)</w:t>
            </w:r>
          </w:p>
        </w:tc>
        <w:tc>
          <w:tcPr>
            <w:tcW w:w="951" w:type="dxa"/>
            <w:tcBorders>
              <w:top w:val="nil"/>
              <w:left w:val="nil"/>
              <w:bottom w:val="nil"/>
              <w:right w:val="nil"/>
            </w:tcBorders>
            <w:shd w:val="clear" w:color="000000" w:fill="D9D9D9"/>
            <w:vAlign w:val="center"/>
            <w:hideMark/>
          </w:tcPr>
          <w:p w14:paraId="5301D567" w14:textId="77777777" w:rsidR="00CB4E93" w:rsidRPr="00B05E44" w:rsidRDefault="00CB4E93" w:rsidP="006A2FE4">
            <w:pPr>
              <w:pStyle w:val="Tablebodycopy"/>
            </w:pPr>
            <w:r w:rsidRPr="00B05E44">
              <w:t>68.6</w:t>
            </w:r>
          </w:p>
        </w:tc>
        <w:tc>
          <w:tcPr>
            <w:tcW w:w="1005" w:type="dxa"/>
            <w:tcBorders>
              <w:top w:val="nil"/>
              <w:left w:val="nil"/>
              <w:bottom w:val="nil"/>
              <w:right w:val="nil"/>
            </w:tcBorders>
            <w:shd w:val="clear" w:color="000000" w:fill="D9D9D9"/>
            <w:vAlign w:val="center"/>
            <w:hideMark/>
          </w:tcPr>
          <w:p w14:paraId="0864B9C5" w14:textId="77777777" w:rsidR="00CB4E93" w:rsidRPr="00B05E44" w:rsidRDefault="00CB4E93" w:rsidP="006A2FE4">
            <w:pPr>
              <w:pStyle w:val="Tablebodycopy"/>
            </w:pPr>
            <w:r w:rsidRPr="00B05E44">
              <w:t>-</w:t>
            </w:r>
          </w:p>
        </w:tc>
        <w:tc>
          <w:tcPr>
            <w:tcW w:w="1060" w:type="dxa"/>
            <w:gridSpan w:val="2"/>
            <w:tcBorders>
              <w:top w:val="nil"/>
              <w:left w:val="nil"/>
              <w:bottom w:val="nil"/>
              <w:right w:val="nil"/>
            </w:tcBorders>
            <w:shd w:val="clear" w:color="000000" w:fill="D9D9D9"/>
            <w:vAlign w:val="center"/>
            <w:hideMark/>
          </w:tcPr>
          <w:p w14:paraId="1B377CE1" w14:textId="77777777" w:rsidR="00CB4E93" w:rsidRPr="00B05E44" w:rsidRDefault="00CB4E93" w:rsidP="006A2FE4">
            <w:pPr>
              <w:pStyle w:val="Tablebodycopy"/>
            </w:pPr>
            <w:r w:rsidRPr="00B05E44">
              <w:t>0.3 pts</w:t>
            </w:r>
          </w:p>
        </w:tc>
        <w:tc>
          <w:tcPr>
            <w:tcW w:w="1060" w:type="dxa"/>
            <w:tcBorders>
              <w:top w:val="nil"/>
              <w:left w:val="nil"/>
              <w:bottom w:val="nil"/>
              <w:right w:val="nil"/>
            </w:tcBorders>
            <w:shd w:val="clear" w:color="000000" w:fill="D9D9D9"/>
            <w:vAlign w:val="center"/>
            <w:hideMark/>
          </w:tcPr>
          <w:p w14:paraId="3ABE9410" w14:textId="77777777" w:rsidR="00CB4E93" w:rsidRPr="00B05E44" w:rsidRDefault="00CB4E93" w:rsidP="006A2FE4">
            <w:pPr>
              <w:pStyle w:val="Tablebodycopy"/>
            </w:pPr>
            <w:r w:rsidRPr="00B05E44">
              <w:t>63.3</w:t>
            </w:r>
          </w:p>
        </w:tc>
        <w:tc>
          <w:tcPr>
            <w:tcW w:w="1060" w:type="dxa"/>
            <w:tcBorders>
              <w:top w:val="nil"/>
              <w:left w:val="nil"/>
              <w:bottom w:val="nil"/>
              <w:right w:val="nil"/>
            </w:tcBorders>
            <w:shd w:val="clear" w:color="000000" w:fill="D9D9D9"/>
            <w:vAlign w:val="center"/>
            <w:hideMark/>
          </w:tcPr>
          <w:p w14:paraId="3C42F8DD" w14:textId="77777777" w:rsidR="00CB4E93" w:rsidRPr="00B05E44" w:rsidRDefault="00CB4E93" w:rsidP="006A2FE4">
            <w:pPr>
              <w:pStyle w:val="Tablebodycopy"/>
            </w:pPr>
            <w:r w:rsidRPr="00B05E44">
              <w:t>-</w:t>
            </w:r>
          </w:p>
        </w:tc>
        <w:tc>
          <w:tcPr>
            <w:tcW w:w="1060" w:type="dxa"/>
            <w:tcBorders>
              <w:top w:val="nil"/>
              <w:left w:val="nil"/>
              <w:bottom w:val="nil"/>
              <w:right w:val="nil"/>
            </w:tcBorders>
            <w:shd w:val="clear" w:color="000000" w:fill="D9D9D9"/>
            <w:vAlign w:val="center"/>
            <w:hideMark/>
          </w:tcPr>
          <w:p w14:paraId="705201F6" w14:textId="77777777" w:rsidR="00CB4E93" w:rsidRPr="00B05E44" w:rsidRDefault="00CB4E93" w:rsidP="006A2FE4">
            <w:pPr>
              <w:pStyle w:val="Tablebodycopy"/>
            </w:pPr>
            <w:r w:rsidRPr="00B05E44">
              <w:t>0.2 pts</w:t>
            </w:r>
          </w:p>
        </w:tc>
      </w:tr>
    </w:tbl>
    <w:p w14:paraId="5A0EA8BD" w14:textId="77777777" w:rsidR="00CB4E93" w:rsidRPr="00B05E44" w:rsidRDefault="00CB4E93" w:rsidP="00CB4E93">
      <w:pPr>
        <w:pStyle w:val="Source"/>
        <w:ind w:left="510"/>
      </w:pPr>
      <w:r w:rsidRPr="00B05E44">
        <w:t>ABS, Labour Force, Australia, Detailed, June 2023, 6-month averages of original estimates.</w:t>
      </w:r>
    </w:p>
    <w:p w14:paraId="3EC74FE1" w14:textId="77777777" w:rsidR="0044001E" w:rsidRDefault="00172B0B" w:rsidP="00AD383B">
      <w:pPr>
        <w:pStyle w:val="Bodycopy"/>
        <w:rPr>
          <w:b/>
        </w:rPr>
      </w:pPr>
      <w:r w:rsidRPr="00172B0B">
        <w:t xml:space="preserve">Once again, there has been some variation in monthly recruitment activity between capital cities and rest of state areas. Figure </w:t>
      </w:r>
      <w:r w:rsidR="0044001E" w:rsidRPr="00AD383B">
        <w:rPr>
          <w:bCs/>
        </w:rPr>
        <w:t>5</w:t>
      </w:r>
      <w:r w:rsidRPr="00172B0B">
        <w:t xml:space="preserve"> shows that the monthly recruitment rate for Australia peaked at 59% in mid-2022. Around this time, recruitment activity in rest of state areas also peaked, albeit at a higher rate of 62% (July 2022), compared with the peak of 58% in capital </w:t>
      </w:r>
      <w:r w:rsidRPr="00172B0B">
        <w:lastRenderedPageBreak/>
        <w:t xml:space="preserve">cities (which most recently occurred in October 2022). Since then, the monthly recruitment rate eased across Australia while remaining higher relative to 2020 and 2021 figures. In June 2023, 49% of employers were recruiting across Australia, with 46% recruiting in capital cities and 54% recruiting in rest of state areas. </w:t>
      </w:r>
    </w:p>
    <w:p w14:paraId="79C022F7" w14:textId="58B1E056" w:rsidR="0044001E" w:rsidRDefault="0044001E" w:rsidP="0044001E">
      <w:pPr>
        <w:pStyle w:val="ChartandTablelabel"/>
      </w:pPr>
      <w:r w:rsidRPr="00AB442A">
        <w:t xml:space="preserve">Figure </w:t>
      </w:r>
      <w:r>
        <w:t>5</w:t>
      </w:r>
      <w:r w:rsidRPr="00AB442A">
        <w:t xml:space="preserve">:  </w:t>
      </w:r>
      <w:r w:rsidR="00D76528" w:rsidRPr="00D76528">
        <w:t>Monthly recruitment rate (proportion of employers currently recruiting or who recruited in the past month), June 2020 to June 2023</w:t>
      </w:r>
    </w:p>
    <w:p w14:paraId="4705290A" w14:textId="77777777" w:rsidR="00A41A7B" w:rsidRPr="00B05E44" w:rsidRDefault="00A41A7B" w:rsidP="00A41A7B">
      <w:r w:rsidRPr="00B05E44">
        <w:rPr>
          <w:noProof/>
        </w:rPr>
        <w:drawing>
          <wp:inline distT="0" distB="0" distL="0" distR="0" wp14:anchorId="3B6A3EC9" wp14:editId="75F77C15">
            <wp:extent cx="5514975" cy="2802255"/>
            <wp:effectExtent l="0" t="0" r="0" b="0"/>
            <wp:docPr id="11" name="Chart 11" descr="Line chart. Recruitment rate by capital cities, rest of state areas and Australia. June 2020 to June 2023. Recruitment rates all higher than in 2020 and 2021 but easing from peak rates in 2022. June 2023 rates as follows. Australia 49%, capital cities 54%, rest of state areas 54%.">
              <a:extLst xmlns:a="http://schemas.openxmlformats.org/drawingml/2006/main">
                <a:ext uri="{FF2B5EF4-FFF2-40B4-BE49-F238E27FC236}">
                  <a16:creationId xmlns:a16="http://schemas.microsoft.com/office/drawing/2014/main" id="{6F3B15B6-BC36-175B-F349-B17A47A340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0448D1" w14:textId="77777777" w:rsidR="00A41A7B" w:rsidRPr="00B05E44" w:rsidRDefault="00A41A7B" w:rsidP="00A41A7B">
      <w:pPr>
        <w:pStyle w:val="Source"/>
        <w:numPr>
          <w:ilvl w:val="0"/>
          <w:numId w:val="0"/>
        </w:numPr>
      </w:pPr>
      <w:r>
        <w:t>Source: JSA, Recruitment Experiences and Outlook Survey, June 2023. Note: Disaggregated data was not publishable in January of each year; hence relevant data points have been joined by a dotted line.</w:t>
      </w:r>
    </w:p>
    <w:p w14:paraId="76CC7114" w14:textId="77777777" w:rsidR="006860A8" w:rsidRDefault="006860A8" w:rsidP="0044001E">
      <w:pPr>
        <w:rPr>
          <w:rFonts w:eastAsiaTheme="majorEastAsia" w:cstheme="majorBidi"/>
          <w:b/>
          <w:color w:val="441170" w:themeColor="text2"/>
          <w:sz w:val="56"/>
          <w:szCs w:val="32"/>
        </w:rPr>
      </w:pPr>
    </w:p>
    <w:p w14:paraId="62588A57" w14:textId="20D71850" w:rsidR="0044001E" w:rsidRDefault="007F60E6" w:rsidP="0044001E">
      <w:pPr>
        <w:rPr>
          <w:rFonts w:eastAsiaTheme="majorEastAsia" w:cstheme="majorBidi"/>
          <w:b/>
          <w:color w:val="441170" w:themeColor="text2"/>
          <w:sz w:val="56"/>
          <w:szCs w:val="32"/>
        </w:rPr>
      </w:pPr>
      <w:r w:rsidRPr="007F60E6">
        <w:rPr>
          <w:rFonts w:eastAsiaTheme="majorEastAsia" w:cstheme="majorBidi"/>
          <w:b/>
          <w:color w:val="441170" w:themeColor="text2"/>
          <w:sz w:val="56"/>
          <w:szCs w:val="32"/>
        </w:rPr>
        <w:t>Comparing recruitment difficulty in capital cities and regional areas</w:t>
      </w:r>
    </w:p>
    <w:p w14:paraId="7B9A17D2" w14:textId="4437C687" w:rsidR="007A4512" w:rsidRPr="00B05E44" w:rsidRDefault="00FD5743" w:rsidP="00AD383B">
      <w:pPr>
        <w:pStyle w:val="Bodycopy"/>
        <w:rPr>
          <w:highlight w:val="green"/>
        </w:rPr>
      </w:pPr>
      <w:r>
        <w:t xml:space="preserve">Figure </w:t>
      </w:r>
      <w:r w:rsidR="007A4512">
        <w:t>6</w:t>
      </w:r>
      <w:r w:rsidR="007A4512" w:rsidRPr="00AB3B80">
        <w:t xml:space="preserve"> shows record high levels of recruitment difficulty occurring over mid-2022. The highest monthly rate of recruitment difficulty across Australia occurred in July 2022, when 75</w:t>
      </w:r>
      <w:r w:rsidR="007A4512">
        <w:t>%</w:t>
      </w:r>
      <w:r w:rsidR="007A4512" w:rsidRPr="00AB3B80">
        <w:t xml:space="preserve"> of recruiting employers had recruitment difficulty. Monthly recruitment difficulty in </w:t>
      </w:r>
      <w:r w:rsidR="007A4512">
        <w:t>r</w:t>
      </w:r>
      <w:r w:rsidR="007A4512" w:rsidRPr="00AB3B80">
        <w:t xml:space="preserve">est of </w:t>
      </w:r>
      <w:r w:rsidR="007A4512">
        <w:t>s</w:t>
      </w:r>
      <w:r w:rsidR="007A4512" w:rsidRPr="00AB3B80">
        <w:t>tate areas peaked at 77</w:t>
      </w:r>
      <w:r w:rsidR="007A4512">
        <w:t>%</w:t>
      </w:r>
      <w:r w:rsidR="007A4512" w:rsidRPr="00AB3B80">
        <w:t xml:space="preserve"> of recruiting employers in July 2022</w:t>
      </w:r>
      <w:r w:rsidR="007A4512" w:rsidRPr="00B05E44">
        <w:t xml:space="preserve">. In </w:t>
      </w:r>
      <w:r w:rsidR="007A4512">
        <w:t>c</w:t>
      </w:r>
      <w:r w:rsidR="007A4512" w:rsidRPr="00B05E44">
        <w:t xml:space="preserve">apital </w:t>
      </w:r>
      <w:r w:rsidR="007A4512">
        <w:t>c</w:t>
      </w:r>
      <w:r w:rsidR="007A4512" w:rsidRPr="00B05E44">
        <w:t>ities, the monthly recruitment difficulty rate peaked at 75</w:t>
      </w:r>
      <w:r w:rsidR="007A4512">
        <w:t>%</w:t>
      </w:r>
      <w:r w:rsidR="007A4512" w:rsidRPr="00B05E44">
        <w:t xml:space="preserve"> of recruiting employers in August 2022. </w:t>
      </w:r>
    </w:p>
    <w:p w14:paraId="6190BC30" w14:textId="77777777" w:rsidR="007A4512" w:rsidRPr="00B05E44" w:rsidRDefault="007A4512" w:rsidP="00AD383B">
      <w:pPr>
        <w:pStyle w:val="Bodycopy"/>
        <w:rPr>
          <w:highlight w:val="green"/>
        </w:rPr>
      </w:pPr>
      <w:r w:rsidRPr="00B05E44">
        <w:t>The monthly recruitment difficulty rate for Australia (63</w:t>
      </w:r>
      <w:r>
        <w:t>%</w:t>
      </w:r>
      <w:r w:rsidRPr="00B05E44">
        <w:t xml:space="preserve"> in June 2023) currently remains well below the peak levels recorded in mid-2022. Employers in </w:t>
      </w:r>
      <w:r>
        <w:t>r</w:t>
      </w:r>
      <w:r w:rsidRPr="00B05E44">
        <w:t xml:space="preserve">est of </w:t>
      </w:r>
      <w:r>
        <w:t>s</w:t>
      </w:r>
      <w:r w:rsidRPr="00B05E44">
        <w:t>tate areas have a slightly higher recruitment difficulty rate (64</w:t>
      </w:r>
      <w:r>
        <w:t>%</w:t>
      </w:r>
      <w:r w:rsidRPr="00B05E44">
        <w:t xml:space="preserve">) than those in </w:t>
      </w:r>
      <w:r>
        <w:t>c</w:t>
      </w:r>
      <w:r w:rsidRPr="00B05E44">
        <w:t xml:space="preserve">apital </w:t>
      </w:r>
      <w:r>
        <w:t>c</w:t>
      </w:r>
      <w:r w:rsidRPr="00B05E44">
        <w:t>ities (62</w:t>
      </w:r>
      <w:r>
        <w:t>%</w:t>
      </w:r>
      <w:r w:rsidRPr="00B05E44">
        <w:t>).</w:t>
      </w:r>
    </w:p>
    <w:p w14:paraId="1F6655D1" w14:textId="773936A5" w:rsidR="007A4512" w:rsidRDefault="00F97BEE" w:rsidP="007A4512">
      <w:pPr>
        <w:pStyle w:val="ChartandTablelabel"/>
      </w:pPr>
      <w:r>
        <w:br w:type="page"/>
      </w:r>
      <w:r w:rsidR="007A4512" w:rsidRPr="00AB442A">
        <w:lastRenderedPageBreak/>
        <w:t xml:space="preserve">Figure </w:t>
      </w:r>
      <w:r w:rsidR="00D854BA">
        <w:t>6</w:t>
      </w:r>
      <w:r w:rsidR="007A4512" w:rsidRPr="00AB442A">
        <w:t xml:space="preserve">:  </w:t>
      </w:r>
      <w:r w:rsidR="00D854BA" w:rsidRPr="00D854BA">
        <w:t>Monthly recruitment difficulty rate by region (proportion of recruiting employers), August 2020 to June 2023</w:t>
      </w:r>
    </w:p>
    <w:p w14:paraId="7BDAD4CF" w14:textId="77777777" w:rsidR="00FD5743" w:rsidRPr="00B05E44" w:rsidRDefault="00FD5743" w:rsidP="00FD5743">
      <w:r w:rsidRPr="00B05E44">
        <w:rPr>
          <w:noProof/>
        </w:rPr>
        <w:drawing>
          <wp:inline distT="0" distB="0" distL="0" distR="0" wp14:anchorId="7DBC1443" wp14:editId="3362384A">
            <wp:extent cx="5656580" cy="2529840"/>
            <wp:effectExtent l="0" t="0" r="1270" b="3810"/>
            <wp:docPr id="48" name="Chart 48" descr="Line chart. Recruitment difficulty rates for capital cities, rest of state areas, Australia. From august 2020 to June 2023. Recruitment difficulty rate increased from 2020 to 2022. Peak difficulty in 2022. Now easing into 2023. Current difficulty rates as follows. Australia 63%, capital cities 62%, rest of state areas 64%.">
              <a:extLst xmlns:a="http://schemas.openxmlformats.org/drawingml/2006/main">
                <a:ext uri="{FF2B5EF4-FFF2-40B4-BE49-F238E27FC236}">
                  <a16:creationId xmlns:a16="http://schemas.microsoft.com/office/drawing/2014/main" id="{93F200AE-59E5-173D-8777-AD49322222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52313D2" w14:textId="77777777" w:rsidR="00FD5743" w:rsidRPr="00B05E44" w:rsidRDefault="00FD5743" w:rsidP="00FD5743">
      <w:pPr>
        <w:pStyle w:val="Source"/>
        <w:numPr>
          <w:ilvl w:val="0"/>
          <w:numId w:val="0"/>
        </w:numPr>
      </w:pPr>
      <w:r>
        <w:t>Source: JSA, Recruitment Experiences and Outlook Survey, June 2023. Note: Recruitment difficulty rate is the proportion of recruiting employers who report having difficulty filling advertised roles. Disaggregated data was not publishable in January of each year; hence relevant data points have been joined by a dotted line.</w:t>
      </w:r>
    </w:p>
    <w:p w14:paraId="163B4602" w14:textId="77777777" w:rsidR="00B273ED" w:rsidRPr="006860A8" w:rsidRDefault="00B273ED" w:rsidP="006860A8">
      <w:pPr>
        <w:pStyle w:val="Bodycopy"/>
      </w:pPr>
      <w:bookmarkStart w:id="5" w:name="_Hlk140053063"/>
      <w:r w:rsidRPr="006860A8">
        <w:t>Figure 7 shows that 2020 marked the first time that the annual recruitment difficulty rate in rest of state areas exceeded the rate in capital cities since records began in 2016. In both of these regions, the rate of recruitment difficulty over the first half of 2023 has declined from 2022 levels.</w:t>
      </w:r>
      <w:bookmarkEnd w:id="5"/>
      <w:r w:rsidRPr="006860A8">
        <w:t xml:space="preserve"> The annual recruitment difficulty rate in rest of state areas (65%) is currently slightly higher than in capital cities (62%). </w:t>
      </w:r>
    </w:p>
    <w:p w14:paraId="4DB07633" w14:textId="27B43E5F" w:rsidR="00F461A8" w:rsidRPr="000F6E42" w:rsidRDefault="00F461A8" w:rsidP="00F461A8">
      <w:pPr>
        <w:pStyle w:val="ChartandTablelabel"/>
      </w:pPr>
      <w:bookmarkStart w:id="6" w:name="_Ref141710888"/>
      <w:bookmarkStart w:id="7" w:name="_Toc142665147"/>
      <w:bookmarkStart w:id="8" w:name="_Toc144198446"/>
      <w:bookmarkStart w:id="9" w:name="_Toc144237610"/>
      <w:r w:rsidRPr="000F6E42">
        <w:t xml:space="preserve">Figure </w:t>
      </w:r>
      <w:bookmarkEnd w:id="6"/>
      <w:bookmarkEnd w:id="7"/>
      <w:r>
        <w:t>7:</w:t>
      </w:r>
      <w:r w:rsidRPr="000F6E42">
        <w:t xml:space="preserve"> Annual recruitment difficulty rate by region (proportion of recruiting employers), 2016 to 2023</w:t>
      </w:r>
      <w:bookmarkEnd w:id="8"/>
      <w:bookmarkEnd w:id="9"/>
    </w:p>
    <w:p w14:paraId="05B370FA" w14:textId="77777777" w:rsidR="00F461A8" w:rsidRPr="00B05E44" w:rsidRDefault="00F461A8" w:rsidP="00F461A8">
      <w:r w:rsidRPr="00B05E44">
        <w:rPr>
          <w:noProof/>
        </w:rPr>
        <w:drawing>
          <wp:inline distT="0" distB="0" distL="0" distR="0" wp14:anchorId="1B73E3FE" wp14:editId="47FE3F2B">
            <wp:extent cx="5495925" cy="2743200"/>
            <wp:effectExtent l="0" t="0" r="0" b="0"/>
            <wp:docPr id="50" name="Chart 50" descr="Annual recruitment difficulty rate from 2006 to 2023 to date. To date refers to January 2023 to June 2023. Compares capital cities, currently 62% against rest of state areas, currently 65%.">
              <a:extLst xmlns:a="http://schemas.openxmlformats.org/drawingml/2006/main">
                <a:ext uri="{FF2B5EF4-FFF2-40B4-BE49-F238E27FC236}">
                  <a16:creationId xmlns:a16="http://schemas.microsoft.com/office/drawing/2014/main" id="{2C7FC3FD-93B9-03CB-2C44-2E5056683F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001D041" w14:textId="77777777" w:rsidR="00F461A8" w:rsidRPr="00B05E44" w:rsidRDefault="00F461A8" w:rsidP="00F461A8">
      <w:pPr>
        <w:pStyle w:val="Source"/>
        <w:numPr>
          <w:ilvl w:val="0"/>
          <w:numId w:val="0"/>
        </w:numPr>
      </w:pPr>
      <w:r>
        <w:t xml:space="preserve">Source: JSA, Survey of Employers' Recruitment Experiences (2016-2019), Recruitment Experiences and Outlook Survey (2020-2023). </w:t>
      </w:r>
    </w:p>
    <w:p w14:paraId="709F389C" w14:textId="77777777" w:rsidR="00F461A8" w:rsidRPr="009D317C" w:rsidRDefault="00F461A8" w:rsidP="00F461A8">
      <w:pPr>
        <w:rPr>
          <w:sz w:val="18"/>
          <w:szCs w:val="18"/>
        </w:rPr>
      </w:pPr>
      <w:r w:rsidRPr="009D317C">
        <w:rPr>
          <w:sz w:val="18"/>
          <w:szCs w:val="18"/>
        </w:rPr>
        <w:t>*2020 data covers the period from August 2020 to December 2020. As a result, it does not reflect recruitment conditions at the height of the restrictions that were put in place in response to the pandemic. ^2023 to date covers the period from January 2023 to June 2023.</w:t>
      </w:r>
    </w:p>
    <w:p w14:paraId="274BA133" w14:textId="77777777" w:rsidR="00F461A8" w:rsidRDefault="00F461A8" w:rsidP="00AD383B">
      <w:pPr>
        <w:pStyle w:val="Bodycopy"/>
      </w:pPr>
      <w:r w:rsidRPr="00B05E44">
        <w:lastRenderedPageBreak/>
        <w:t xml:space="preserve">The recruitment difficulty rate varies by </w:t>
      </w:r>
      <w:r>
        <w:t>r</w:t>
      </w:r>
      <w:r w:rsidRPr="00B05E44">
        <w:t xml:space="preserve">est of </w:t>
      </w:r>
      <w:r>
        <w:t>s</w:t>
      </w:r>
      <w:r w:rsidRPr="00B05E44">
        <w:t xml:space="preserve">tate and </w:t>
      </w:r>
      <w:r>
        <w:t>c</w:t>
      </w:r>
      <w:r w:rsidRPr="00B05E44">
        <w:t xml:space="preserve">apital </w:t>
      </w:r>
      <w:r>
        <w:t>c</w:t>
      </w:r>
      <w:r w:rsidRPr="00B05E44">
        <w:t xml:space="preserve">ity areas. For each region, </w:t>
      </w:r>
      <w:r>
        <w:t xml:space="preserve">Figure 8 </w:t>
      </w:r>
      <w:r w:rsidRPr="00B05E44">
        <w:t>shows not only the regional variation that we have seen on average over the past 12 months, but also there tends to be a general positive correlation between the share of employers that are recruiting and recruitment difficulty.</w:t>
      </w:r>
    </w:p>
    <w:p w14:paraId="67B587A9" w14:textId="362B2F90" w:rsidR="006D167B" w:rsidRPr="000F6E42" w:rsidRDefault="006D167B" w:rsidP="006D167B">
      <w:pPr>
        <w:pStyle w:val="ChartandTablelabel"/>
      </w:pPr>
      <w:bookmarkStart w:id="10" w:name="_Ref141711016"/>
      <w:bookmarkStart w:id="11" w:name="_Toc142665148"/>
      <w:bookmarkStart w:id="12" w:name="_Toc144198447"/>
      <w:bookmarkStart w:id="13" w:name="_Toc144237611"/>
      <w:r w:rsidRPr="000F6E42">
        <w:t xml:space="preserve">Figure </w:t>
      </w:r>
      <w:bookmarkEnd w:id="10"/>
      <w:r>
        <w:t>8</w:t>
      </w:r>
      <w:r w:rsidRPr="000F6E42">
        <w:t>: Rates of recruitment and recruitment difficulty by region (12 months to June 2023)</w:t>
      </w:r>
      <w:bookmarkEnd w:id="11"/>
      <w:bookmarkEnd w:id="12"/>
      <w:bookmarkEnd w:id="13"/>
    </w:p>
    <w:p w14:paraId="3A225A84" w14:textId="77777777" w:rsidR="006D167B" w:rsidRPr="00B05E44" w:rsidRDefault="006D167B" w:rsidP="006D167B">
      <w:r w:rsidRPr="00B05E44">
        <w:rPr>
          <w:noProof/>
        </w:rPr>
        <w:drawing>
          <wp:inline distT="0" distB="0" distL="0" distR="0" wp14:anchorId="3A3FBE7C" wp14:editId="3A7B671A">
            <wp:extent cx="5534025" cy="2790825"/>
            <wp:effectExtent l="0" t="0" r="0" b="0"/>
            <wp:docPr id="418593024" name="Chart 418593024" descr="Scatterplot. Recruitment difficulty rate by recruitment rate. Compares individual capital cities against individual rest of state areas. Broadly positive correlation between higher recruitment rates and higher recruitment difficulty rates.">
              <a:extLst xmlns:a="http://schemas.openxmlformats.org/drawingml/2006/main">
                <a:ext uri="{FF2B5EF4-FFF2-40B4-BE49-F238E27FC236}">
                  <a16:creationId xmlns:a16="http://schemas.microsoft.com/office/drawing/2014/main" id="{A4886A7D-1447-323D-0E62-249E07F3FA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2F73C57" w14:textId="77777777" w:rsidR="006D167B" w:rsidRPr="00B05E44" w:rsidRDefault="006D167B" w:rsidP="006D167B">
      <w:pPr>
        <w:pStyle w:val="Source"/>
        <w:numPr>
          <w:ilvl w:val="0"/>
          <w:numId w:val="0"/>
        </w:numPr>
        <w:ind w:left="510" w:hanging="510"/>
      </w:pPr>
      <w:r>
        <w:t>Source: JSA, Recruitment Experiences and Outlook Survey, June 2023.</w:t>
      </w:r>
    </w:p>
    <w:p w14:paraId="36EC11CA" w14:textId="429B2F96" w:rsidR="00336A5A" w:rsidRDefault="00AD383B" w:rsidP="00BA6960">
      <w:pPr>
        <w:pStyle w:val="Bodycopy"/>
      </w:pPr>
      <w:r w:rsidRPr="00F31217">
        <w:rPr>
          <w:b/>
          <w:bCs/>
        </w:rPr>
        <w:t>Recruitment difficulty rates tend to increase with distance from population hubs.</w:t>
      </w:r>
      <w:r w:rsidR="00BA6960">
        <w:rPr>
          <w:b/>
          <w:bCs/>
        </w:rPr>
        <w:t xml:space="preserve"> </w:t>
      </w:r>
      <w:r w:rsidR="00BA6960" w:rsidRPr="00BA6960">
        <w:t xml:space="preserve">Figure </w:t>
      </w:r>
      <w:r w:rsidR="00BA6960">
        <w:t xml:space="preserve">9 </w:t>
      </w:r>
      <w:r w:rsidR="00BA6960" w:rsidRPr="00B05E44">
        <w:t>shows recruitment difficulty as recorded in the 12 months to June 2023, for each Statistical Area Level 4 region and Greater Capital City area</w:t>
      </w:r>
      <w:r w:rsidR="00BA6960" w:rsidRPr="00B05E44">
        <w:rPr>
          <w:rStyle w:val="FootnoteReference"/>
        </w:rPr>
        <w:footnoteReference w:id="2"/>
      </w:r>
      <w:r w:rsidR="00BA6960" w:rsidRPr="00B05E44">
        <w:t>. The higher recruitment difficulty rates in more remote areas may be explained by tighter labour market conditions, along with added pressure points faced by these employers when it comes to recruitment.</w:t>
      </w:r>
      <w:bookmarkStart w:id="14" w:name="_Ref143884311"/>
      <w:bookmarkStart w:id="15" w:name="_Toc144198448"/>
      <w:bookmarkStart w:id="16" w:name="_Toc144237612"/>
      <w:r w:rsidR="00336A5A">
        <w:br w:type="page"/>
      </w:r>
    </w:p>
    <w:p w14:paraId="4859E10E" w14:textId="43B9CC72" w:rsidR="00490A57" w:rsidRDefault="00AD383B" w:rsidP="00336A5A">
      <w:pPr>
        <w:pStyle w:val="ChartandTablelabel"/>
      </w:pPr>
      <w:r w:rsidRPr="000F6E42">
        <w:lastRenderedPageBreak/>
        <w:t>Figure</w:t>
      </w:r>
      <w:bookmarkEnd w:id="14"/>
      <w:r>
        <w:t xml:space="preserve"> 9</w:t>
      </w:r>
      <w:r w:rsidRPr="000F6E42">
        <w:t>: Recruitment difficulty rates, 12 months to June 2023 – heatmap of SA4 regions, and Greater Capital City areas</w:t>
      </w:r>
      <w:bookmarkEnd w:id="15"/>
      <w:bookmarkEnd w:id="16"/>
    </w:p>
    <w:p w14:paraId="2FA08FA0" w14:textId="3DB2BAC0" w:rsidR="00490A57" w:rsidRPr="000F6E42" w:rsidRDefault="00490A57" w:rsidP="00336A5A">
      <w:pPr>
        <w:pStyle w:val="ChartandTablelabel"/>
      </w:pPr>
      <w:r w:rsidRPr="00E60BFF">
        <w:rPr>
          <w:noProof/>
        </w:rPr>
        <w:drawing>
          <wp:inline distT="0" distB="0" distL="0" distR="0" wp14:anchorId="0CB3387C" wp14:editId="3E7B9373">
            <wp:extent cx="5731510" cy="4226172"/>
            <wp:effectExtent l="0" t="0" r="2540" b="3175"/>
            <wp:docPr id="2" name="Picture 2" descr="Heat map of recruitment difficulty by Australian sa4 region in the 12 months to June 2023. Difficulty increases with remoteness from population hubs. Lower difficulty tending towards east coast of Australia, tending higher towards west, northern and central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eat map of recruitment difficulty by Australian sa4 region in the 12 months to June 2023. Difficulty increases with remoteness from population hubs. Lower difficulty tending towards east coast of Australia, tending higher towards west, northern and central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226172"/>
                    </a:xfrm>
                    <a:prstGeom prst="rect">
                      <a:avLst/>
                    </a:prstGeom>
                    <a:noFill/>
                    <a:ln>
                      <a:noFill/>
                    </a:ln>
                  </pic:spPr>
                </pic:pic>
              </a:graphicData>
            </a:graphic>
          </wp:inline>
        </w:drawing>
      </w:r>
    </w:p>
    <w:p w14:paraId="40C7FFDE" w14:textId="25D47E91" w:rsidR="00AD383B" w:rsidRPr="00B05E44" w:rsidRDefault="00AD383B" w:rsidP="00AD383B"/>
    <w:p w14:paraId="53AFB294" w14:textId="77777777" w:rsidR="00AD383B" w:rsidRPr="00B05E44" w:rsidRDefault="00AD383B" w:rsidP="00AD383B">
      <w:pPr>
        <w:pStyle w:val="Source"/>
        <w:numPr>
          <w:ilvl w:val="0"/>
          <w:numId w:val="0"/>
        </w:numPr>
      </w:pPr>
      <w:bookmarkStart w:id="17" w:name="_Hlk140053166"/>
      <w:r>
        <w:t>Source: JSA, Recruitment Experiences and Outlook Survey, June 2023. Data for rest of state SA4's are indicative only due to small sample sizes for some regions.</w:t>
      </w:r>
    </w:p>
    <w:bookmarkEnd w:id="17"/>
    <w:p w14:paraId="04972D83" w14:textId="77777777" w:rsidR="001D6A5A" w:rsidRDefault="001D6A5A" w:rsidP="009E371E">
      <w:pPr>
        <w:pStyle w:val="Bodycopy"/>
      </w:pPr>
    </w:p>
    <w:p w14:paraId="5372AC19" w14:textId="6179469F" w:rsidR="005B22A3" w:rsidRDefault="002B5502" w:rsidP="005B22A3">
      <w:pPr>
        <w:pStyle w:val="Heading1"/>
      </w:pPr>
      <w:bookmarkStart w:id="18" w:name="_Toc144992573"/>
      <w:r w:rsidRPr="002B5502">
        <w:t>Employment growth across skill levels, occupations and industries</w:t>
      </w:r>
      <w:bookmarkEnd w:id="18"/>
    </w:p>
    <w:p w14:paraId="4D7AFE50" w14:textId="7399C268" w:rsidR="00E9583F" w:rsidRDefault="00E9583F" w:rsidP="00E9583F">
      <w:pPr>
        <w:pStyle w:val="Bodycopy"/>
      </w:pPr>
      <w:r>
        <w:t>Reflecting continued economic growth and a tight labour market, employment in Australia reached a record high in the May 2023 quarter, and employment in 7 of the 19 broad industry groups reached record highs over the same period (</w:t>
      </w:r>
      <w:r w:rsidR="00336A5A">
        <w:t>F</w:t>
      </w:r>
      <w:r>
        <w:t xml:space="preserve">igure 10): </w:t>
      </w:r>
    </w:p>
    <w:p w14:paraId="027B2D64" w14:textId="466FCC06" w:rsidR="00E9583F" w:rsidRDefault="00E9583F" w:rsidP="00E9583F">
      <w:pPr>
        <w:pStyle w:val="ListBullet"/>
      </w:pPr>
      <w:r>
        <w:t>Health Care and Social Assistance (2,148,800, up by 119,100 or 5.9% over the year)</w:t>
      </w:r>
    </w:p>
    <w:p w14:paraId="4A88FF23" w14:textId="65354CD7" w:rsidR="00E9583F" w:rsidRDefault="00E9583F" w:rsidP="00E9583F">
      <w:pPr>
        <w:pStyle w:val="ListBullet"/>
      </w:pPr>
      <w:r>
        <w:t>Construction (1,329,100, up by 113,500 or 9.3% over the year)</w:t>
      </w:r>
    </w:p>
    <w:p w14:paraId="04B0C932" w14:textId="30050356" w:rsidR="00E9583F" w:rsidRDefault="00E9583F" w:rsidP="00E9583F">
      <w:pPr>
        <w:pStyle w:val="ListBullet"/>
      </w:pPr>
      <w:r>
        <w:lastRenderedPageBreak/>
        <w:t>Professional, Scientific and Technical Services (1,323,000, up by 61,800 or 4.9% over the year)</w:t>
      </w:r>
    </w:p>
    <w:p w14:paraId="0D2347BA" w14:textId="678FF2F7" w:rsidR="00E9583F" w:rsidRDefault="00E9583F" w:rsidP="00E9583F">
      <w:pPr>
        <w:pStyle w:val="ListBullet"/>
      </w:pPr>
      <w:r>
        <w:t>Education and Training (1,177,900, up by 55,300 or 4.9% over the year)</w:t>
      </w:r>
    </w:p>
    <w:p w14:paraId="1D8365C4" w14:textId="0A7472E8" w:rsidR="00E9583F" w:rsidRDefault="00E9583F" w:rsidP="00E9583F">
      <w:pPr>
        <w:pStyle w:val="ListBullet"/>
      </w:pPr>
      <w:r>
        <w:t>Accommodation and Food Services (948,600, up by 32,900 or 3.6% over the year)</w:t>
      </w:r>
    </w:p>
    <w:p w14:paraId="54E3D6B6" w14:textId="4524E491" w:rsidR="00E9583F" w:rsidRDefault="00E9583F" w:rsidP="00E9583F">
      <w:pPr>
        <w:pStyle w:val="ListBullet"/>
      </w:pPr>
      <w:r>
        <w:t>Transport, Postal and Warehousing (718,100, up by 26,300 or 3.8% over the year)</w:t>
      </w:r>
    </w:p>
    <w:p w14:paraId="5166F160" w14:textId="77777777" w:rsidR="00E7437F" w:rsidRDefault="00E9583F" w:rsidP="00E7437F">
      <w:pPr>
        <w:pStyle w:val="ListBullet"/>
      </w:pPr>
      <w:r>
        <w:t>Mining (307,200, up by 15,300 or 5.2% over the year)</w:t>
      </w:r>
    </w:p>
    <w:p w14:paraId="6ED48A0C" w14:textId="39497053" w:rsidR="00E7437F" w:rsidRPr="00B569D6" w:rsidRDefault="00E7437F" w:rsidP="00B569D6">
      <w:pPr>
        <w:pStyle w:val="ChartandTablelabel"/>
      </w:pPr>
      <w:r w:rsidRPr="00B569D6">
        <w:t>Figure 10: Employment growth for selected industries – May 2013 to May 2023</w:t>
      </w:r>
    </w:p>
    <w:p w14:paraId="6AC0DEAD" w14:textId="77777777" w:rsidR="00E7437F" w:rsidRDefault="00E7437F" w:rsidP="00E7437F">
      <w:pPr>
        <w:pStyle w:val="ListBullet"/>
        <w:numPr>
          <w:ilvl w:val="0"/>
          <w:numId w:val="0"/>
        </w:numPr>
        <w:ind w:left="340"/>
      </w:pPr>
      <w:r w:rsidRPr="00BA13A3">
        <w:rPr>
          <w:noProof/>
          <w:color w:val="441170" w:themeColor="text2"/>
        </w:rPr>
        <w:drawing>
          <wp:inline distT="0" distB="0" distL="0" distR="0" wp14:anchorId="28FBFF86" wp14:editId="73386362">
            <wp:extent cx="5781675" cy="3276600"/>
            <wp:effectExtent l="0" t="0" r="0" b="0"/>
            <wp:docPr id="5" name="Chart 5" descr="Line chart. Employment growth for selected industries, May 2013 to May 2023. All seven industries reached record highs in employment in the May 2023 quarter.">
              <a:extLst xmlns:a="http://schemas.openxmlformats.org/drawingml/2006/main">
                <a:ext uri="{FF2B5EF4-FFF2-40B4-BE49-F238E27FC236}">
                  <a16:creationId xmlns:a16="http://schemas.microsoft.com/office/drawing/2014/main" id="{01A43BD1-8307-9C98-2EB0-D8DE2E5FD5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42B777B" w14:textId="10FA58FB" w:rsidR="00E7437F" w:rsidRDefault="00E7437F" w:rsidP="00E7437F">
      <w:pPr>
        <w:pStyle w:val="Source"/>
        <w:ind w:left="510"/>
      </w:pPr>
      <w:r w:rsidRPr="00FA4B45">
        <w:t xml:space="preserve"> ABS, Labour Force, Australia, Detailed, May 2023, data trended by the ABS </w:t>
      </w:r>
    </w:p>
    <w:p w14:paraId="3A166351" w14:textId="05D50C0F" w:rsidR="00E7437F" w:rsidRPr="00E7437F" w:rsidRDefault="00E7437F" w:rsidP="00E7437F">
      <w:pPr>
        <w:pStyle w:val="Bodycopy"/>
        <w:rPr>
          <w:sz w:val="18"/>
          <w:szCs w:val="18"/>
        </w:rPr>
      </w:pPr>
      <w:r w:rsidRPr="00E7437F">
        <w:rPr>
          <w:sz w:val="18"/>
          <w:szCs w:val="18"/>
        </w:rPr>
        <w:t xml:space="preserve">Note. Given large month-to-month changes during the COVID-19 pandemic, resulting in multiple trend breaks, the ABS recommends caution when using trend estimates during the period from May 2020 to February 2022 inclusive. </w:t>
      </w:r>
    </w:p>
    <w:p w14:paraId="07ECF83D" w14:textId="77777777" w:rsidR="00E7437F" w:rsidRDefault="00E7437F" w:rsidP="00E7437F">
      <w:pPr>
        <w:pStyle w:val="Bodycopy"/>
      </w:pPr>
      <w:r w:rsidRPr="009E2CB1">
        <w:t>ABS Labour Force Survey data released on 22 June 2023 show that employment increased in 12 industries and declined in seven over the year to May 2023</w:t>
      </w:r>
      <w:r>
        <w:t>. The largest gains in employment were for Health Care and Social Assistance (up by 119,100, or 5.9%), Construction (up by 113,500, or 9.3%), Professional, Scientific and Technical Services (up by 61,800, or 4.9%), and Education and Training (up by 55,300, or 4.9%). The largest falls were for Administrative and Support Services (down by 21,400, or 5.0%), Other Services (down by 20,800, or 3.8%), Rental, Hiring and Real Estate Services (down by 19,000, or 8.2%), and Financial and Insurance Services (down by 15,400, or 2.8%). (Table 4 and Figure 11).</w:t>
      </w:r>
    </w:p>
    <w:p w14:paraId="2C78DE46" w14:textId="77777777" w:rsidR="00C32074" w:rsidRDefault="00C32074" w:rsidP="006A2FE4">
      <w:pPr>
        <w:pStyle w:val="ChartandTablelabel"/>
        <w:rPr>
          <w:rStyle w:val="Emphasis"/>
          <w:i w:val="0"/>
          <w:iCs w:val="0"/>
        </w:rPr>
      </w:pPr>
      <w:r>
        <w:rPr>
          <w:rStyle w:val="Emphasis"/>
          <w:i w:val="0"/>
          <w:iCs w:val="0"/>
        </w:rPr>
        <w:br w:type="page"/>
      </w:r>
    </w:p>
    <w:p w14:paraId="367D2B40" w14:textId="78FA115C" w:rsidR="006A2FE4" w:rsidRPr="006A2FE4" w:rsidRDefault="006A2FE4" w:rsidP="006A2FE4">
      <w:pPr>
        <w:pStyle w:val="ChartandTablelabel"/>
      </w:pPr>
      <w:r w:rsidRPr="006A2FE4">
        <w:rPr>
          <w:rStyle w:val="Emphasis"/>
          <w:i w:val="0"/>
          <w:iCs w:val="0"/>
        </w:rPr>
        <w:lastRenderedPageBreak/>
        <w:t>Table 4: Employment by Industry, May 2023 and annual change (‘000)</w:t>
      </w:r>
    </w:p>
    <w:tbl>
      <w:tblPr>
        <w:tblStyle w:val="TableGrid"/>
        <w:tblW w:w="9360" w:type="dxa"/>
        <w:tblLook w:val="04A0" w:firstRow="1" w:lastRow="0" w:firstColumn="1" w:lastColumn="0" w:noHBand="0" w:noVBand="1"/>
      </w:tblPr>
      <w:tblGrid>
        <w:gridCol w:w="5529"/>
        <w:gridCol w:w="1134"/>
        <w:gridCol w:w="1417"/>
        <w:gridCol w:w="1280"/>
      </w:tblGrid>
      <w:tr w:rsidR="006A2FE4" w:rsidRPr="00361487" w14:paraId="454A499C" w14:textId="77777777" w:rsidTr="00B61A93">
        <w:trPr>
          <w:trHeight w:val="1184"/>
        </w:trPr>
        <w:tc>
          <w:tcPr>
            <w:tcW w:w="5529" w:type="dxa"/>
            <w:tcBorders>
              <w:top w:val="nil"/>
              <w:left w:val="nil"/>
              <w:bottom w:val="nil"/>
              <w:right w:val="nil"/>
            </w:tcBorders>
            <w:shd w:val="clear" w:color="auto" w:fill="441170"/>
            <w:vAlign w:val="center"/>
            <w:hideMark/>
          </w:tcPr>
          <w:p w14:paraId="7AF10452" w14:textId="77777777" w:rsidR="006A2FE4" w:rsidRPr="007B7092" w:rsidRDefault="006A2FE4" w:rsidP="00B61A93">
            <w:pPr>
              <w:jc w:val="center"/>
              <w:rPr>
                <w:rFonts w:cs="Arial"/>
                <w:b/>
                <w:bCs/>
                <w:color w:val="FFFFFF" w:themeColor="background1"/>
              </w:rPr>
            </w:pPr>
            <w:r w:rsidRPr="007B7092">
              <w:rPr>
                <w:rFonts w:cs="Arial"/>
                <w:b/>
                <w:bCs/>
                <w:color w:val="FFFFFF" w:themeColor="background1"/>
              </w:rPr>
              <w:t>Industry</w:t>
            </w:r>
          </w:p>
        </w:tc>
        <w:tc>
          <w:tcPr>
            <w:tcW w:w="1134" w:type="dxa"/>
            <w:tcBorders>
              <w:top w:val="nil"/>
              <w:left w:val="nil"/>
              <w:bottom w:val="nil"/>
              <w:right w:val="nil"/>
            </w:tcBorders>
            <w:shd w:val="clear" w:color="auto" w:fill="441170"/>
            <w:vAlign w:val="center"/>
            <w:hideMark/>
          </w:tcPr>
          <w:p w14:paraId="0B3FC856" w14:textId="77777777" w:rsidR="006A2FE4" w:rsidRPr="007B7092" w:rsidRDefault="006A2FE4" w:rsidP="00B61A93">
            <w:pPr>
              <w:jc w:val="center"/>
              <w:rPr>
                <w:rFonts w:cs="Arial"/>
                <w:b/>
                <w:bCs/>
                <w:color w:val="FFFFFF" w:themeColor="background1"/>
                <w:lang w:eastAsia="en-AU"/>
              </w:rPr>
            </w:pPr>
            <w:r w:rsidRPr="007B7092">
              <w:rPr>
                <w:rFonts w:cs="Arial"/>
                <w:b/>
                <w:bCs/>
                <w:color w:val="FFFFFF" w:themeColor="background1"/>
                <w:lang w:eastAsia="en-AU"/>
              </w:rPr>
              <w:t>May 2023</w:t>
            </w:r>
          </w:p>
          <w:p w14:paraId="28F5392D" w14:textId="77777777" w:rsidR="006A2FE4" w:rsidRPr="007B7092" w:rsidRDefault="006A2FE4" w:rsidP="00B61A93">
            <w:pPr>
              <w:jc w:val="center"/>
              <w:rPr>
                <w:rFonts w:cs="Arial"/>
                <w:b/>
                <w:bCs/>
                <w:color w:val="FFFFFF" w:themeColor="background1"/>
              </w:rPr>
            </w:pPr>
            <w:r w:rsidRPr="007B7092">
              <w:rPr>
                <w:rFonts w:cs="Arial"/>
                <w:b/>
                <w:bCs/>
                <w:color w:val="FFFFFF" w:themeColor="background1"/>
              </w:rPr>
              <w:t>(‘000)</w:t>
            </w:r>
          </w:p>
        </w:tc>
        <w:tc>
          <w:tcPr>
            <w:tcW w:w="1417" w:type="dxa"/>
            <w:tcBorders>
              <w:top w:val="nil"/>
              <w:left w:val="nil"/>
              <w:bottom w:val="nil"/>
              <w:right w:val="nil"/>
            </w:tcBorders>
            <w:shd w:val="clear" w:color="auto" w:fill="441170"/>
            <w:vAlign w:val="center"/>
            <w:hideMark/>
          </w:tcPr>
          <w:p w14:paraId="629F3415" w14:textId="77777777" w:rsidR="006A2FE4" w:rsidRPr="007B7092" w:rsidRDefault="006A2FE4" w:rsidP="00B61A93">
            <w:pPr>
              <w:jc w:val="center"/>
              <w:rPr>
                <w:rFonts w:cs="Arial"/>
                <w:b/>
                <w:bCs/>
                <w:color w:val="FFFFFF" w:themeColor="background1"/>
              </w:rPr>
            </w:pPr>
            <w:r w:rsidRPr="007B7092">
              <w:rPr>
                <w:rFonts w:cs="Arial"/>
                <w:b/>
                <w:bCs/>
                <w:color w:val="FFFFFF" w:themeColor="background1"/>
              </w:rPr>
              <w:t>Annual change</w:t>
            </w:r>
          </w:p>
          <w:p w14:paraId="109E0770" w14:textId="77777777" w:rsidR="006A2FE4" w:rsidRPr="007B7092" w:rsidRDefault="006A2FE4" w:rsidP="00B61A93">
            <w:pPr>
              <w:jc w:val="center"/>
              <w:rPr>
                <w:rFonts w:cs="Arial"/>
                <w:b/>
                <w:bCs/>
                <w:color w:val="FFFFFF" w:themeColor="background1"/>
              </w:rPr>
            </w:pPr>
            <w:r w:rsidRPr="007B7092">
              <w:rPr>
                <w:rFonts w:cs="Arial"/>
                <w:b/>
                <w:bCs/>
                <w:color w:val="FFFFFF" w:themeColor="background1"/>
              </w:rPr>
              <w:t>(‘000)</w:t>
            </w:r>
          </w:p>
        </w:tc>
        <w:tc>
          <w:tcPr>
            <w:tcW w:w="1280" w:type="dxa"/>
            <w:tcBorders>
              <w:top w:val="nil"/>
              <w:left w:val="nil"/>
              <w:bottom w:val="nil"/>
              <w:right w:val="nil"/>
            </w:tcBorders>
            <w:shd w:val="clear" w:color="auto" w:fill="441170"/>
            <w:vAlign w:val="center"/>
            <w:hideMark/>
          </w:tcPr>
          <w:p w14:paraId="19900631" w14:textId="77777777" w:rsidR="006A2FE4" w:rsidRPr="007B7092" w:rsidRDefault="006A2FE4" w:rsidP="00B61A93">
            <w:pPr>
              <w:jc w:val="center"/>
              <w:rPr>
                <w:rFonts w:cs="Arial"/>
                <w:b/>
                <w:bCs/>
                <w:color w:val="FFFFFF" w:themeColor="background1"/>
              </w:rPr>
            </w:pPr>
            <w:r w:rsidRPr="007B7092">
              <w:rPr>
                <w:rFonts w:cs="Arial"/>
                <w:b/>
                <w:bCs/>
                <w:color w:val="FFFFFF" w:themeColor="background1"/>
              </w:rPr>
              <w:t>Annual change (%)</w:t>
            </w:r>
          </w:p>
        </w:tc>
      </w:tr>
      <w:tr w:rsidR="006A2FE4" w:rsidRPr="00361487" w14:paraId="217A1957" w14:textId="77777777" w:rsidTr="00B61A93">
        <w:trPr>
          <w:trHeight w:val="300"/>
        </w:trPr>
        <w:tc>
          <w:tcPr>
            <w:tcW w:w="5529" w:type="dxa"/>
            <w:tcBorders>
              <w:top w:val="nil"/>
              <w:left w:val="nil"/>
              <w:bottom w:val="nil"/>
              <w:right w:val="nil"/>
            </w:tcBorders>
            <w:shd w:val="clear" w:color="auto" w:fill="D9D9D9" w:themeFill="background1" w:themeFillShade="D9"/>
            <w:noWrap/>
            <w:hideMark/>
          </w:tcPr>
          <w:p w14:paraId="4DF6CE45" w14:textId="77777777" w:rsidR="006A2FE4" w:rsidRPr="007B7092" w:rsidRDefault="006A2FE4" w:rsidP="006A2FE4">
            <w:pPr>
              <w:pStyle w:val="Tablebodycopy"/>
            </w:pPr>
            <w:r w:rsidRPr="007B7092">
              <w:t>Agriculture, Forestry and Fishing</w:t>
            </w:r>
          </w:p>
        </w:tc>
        <w:tc>
          <w:tcPr>
            <w:tcW w:w="1134" w:type="dxa"/>
            <w:tcBorders>
              <w:top w:val="nil"/>
              <w:left w:val="nil"/>
              <w:bottom w:val="nil"/>
              <w:right w:val="nil"/>
            </w:tcBorders>
            <w:shd w:val="clear" w:color="auto" w:fill="D9D9D9" w:themeFill="background1" w:themeFillShade="D9"/>
            <w:noWrap/>
            <w:vAlign w:val="center"/>
            <w:hideMark/>
          </w:tcPr>
          <w:p w14:paraId="10541CCA" w14:textId="77777777" w:rsidR="006A2FE4" w:rsidRPr="007B7092" w:rsidRDefault="006A2FE4" w:rsidP="006A2FE4">
            <w:pPr>
              <w:pStyle w:val="Tablebodycopy"/>
            </w:pPr>
            <w:r w:rsidRPr="007B7092">
              <w:rPr>
                <w:color w:val="000000"/>
              </w:rPr>
              <w:t>303.1</w:t>
            </w:r>
          </w:p>
        </w:tc>
        <w:tc>
          <w:tcPr>
            <w:tcW w:w="1417" w:type="dxa"/>
            <w:tcBorders>
              <w:top w:val="nil"/>
              <w:left w:val="nil"/>
              <w:bottom w:val="nil"/>
              <w:right w:val="nil"/>
            </w:tcBorders>
            <w:shd w:val="clear" w:color="auto" w:fill="D9D9D9" w:themeFill="background1" w:themeFillShade="D9"/>
            <w:noWrap/>
            <w:vAlign w:val="center"/>
            <w:hideMark/>
          </w:tcPr>
          <w:p w14:paraId="05E11E32" w14:textId="77777777" w:rsidR="006A2FE4" w:rsidRPr="007B7092" w:rsidRDefault="006A2FE4" w:rsidP="006A2FE4">
            <w:pPr>
              <w:pStyle w:val="Tablebodycopy"/>
            </w:pPr>
            <w:r w:rsidRPr="007B7092">
              <w:rPr>
                <w:color w:val="000000"/>
              </w:rPr>
              <w:t>6.9</w:t>
            </w:r>
          </w:p>
        </w:tc>
        <w:tc>
          <w:tcPr>
            <w:tcW w:w="1280" w:type="dxa"/>
            <w:tcBorders>
              <w:top w:val="nil"/>
              <w:left w:val="nil"/>
              <w:bottom w:val="nil"/>
              <w:right w:val="nil"/>
            </w:tcBorders>
            <w:shd w:val="clear" w:color="auto" w:fill="D9D9D9" w:themeFill="background1" w:themeFillShade="D9"/>
            <w:noWrap/>
            <w:vAlign w:val="center"/>
            <w:hideMark/>
          </w:tcPr>
          <w:p w14:paraId="2850091B" w14:textId="77777777" w:rsidR="006A2FE4" w:rsidRPr="007B7092" w:rsidRDefault="006A2FE4" w:rsidP="006A2FE4">
            <w:pPr>
              <w:pStyle w:val="Tablebodycopy"/>
            </w:pPr>
            <w:r w:rsidRPr="007B7092">
              <w:rPr>
                <w:color w:val="000000"/>
              </w:rPr>
              <w:t>2.3</w:t>
            </w:r>
          </w:p>
        </w:tc>
      </w:tr>
      <w:tr w:rsidR="006A2FE4" w:rsidRPr="00361487" w14:paraId="6154F94B" w14:textId="77777777" w:rsidTr="00B61A93">
        <w:trPr>
          <w:trHeight w:val="300"/>
        </w:trPr>
        <w:tc>
          <w:tcPr>
            <w:tcW w:w="5529" w:type="dxa"/>
            <w:tcBorders>
              <w:top w:val="nil"/>
              <w:left w:val="nil"/>
              <w:bottom w:val="nil"/>
              <w:right w:val="nil"/>
            </w:tcBorders>
            <w:noWrap/>
            <w:hideMark/>
          </w:tcPr>
          <w:p w14:paraId="642AF1D9" w14:textId="77777777" w:rsidR="006A2FE4" w:rsidRPr="007B7092" w:rsidRDefault="006A2FE4" w:rsidP="006A2FE4">
            <w:pPr>
              <w:pStyle w:val="Tablebodycopy"/>
            </w:pPr>
            <w:r w:rsidRPr="007B7092">
              <w:t>Mining</w:t>
            </w:r>
          </w:p>
        </w:tc>
        <w:tc>
          <w:tcPr>
            <w:tcW w:w="1134" w:type="dxa"/>
            <w:tcBorders>
              <w:top w:val="nil"/>
              <w:left w:val="nil"/>
              <w:bottom w:val="nil"/>
              <w:right w:val="nil"/>
            </w:tcBorders>
            <w:noWrap/>
            <w:vAlign w:val="center"/>
            <w:hideMark/>
          </w:tcPr>
          <w:p w14:paraId="5E8D0A77" w14:textId="77777777" w:rsidR="006A2FE4" w:rsidRPr="007B7092" w:rsidRDefault="006A2FE4" w:rsidP="006A2FE4">
            <w:pPr>
              <w:pStyle w:val="Tablebodycopy"/>
            </w:pPr>
            <w:r w:rsidRPr="007B7092">
              <w:rPr>
                <w:color w:val="000000"/>
              </w:rPr>
              <w:t>307.2</w:t>
            </w:r>
          </w:p>
        </w:tc>
        <w:tc>
          <w:tcPr>
            <w:tcW w:w="1417" w:type="dxa"/>
            <w:tcBorders>
              <w:top w:val="nil"/>
              <w:left w:val="nil"/>
              <w:bottom w:val="nil"/>
              <w:right w:val="nil"/>
            </w:tcBorders>
            <w:noWrap/>
            <w:vAlign w:val="center"/>
            <w:hideMark/>
          </w:tcPr>
          <w:p w14:paraId="63D76200" w14:textId="77777777" w:rsidR="006A2FE4" w:rsidRPr="007B7092" w:rsidRDefault="006A2FE4" w:rsidP="006A2FE4">
            <w:pPr>
              <w:pStyle w:val="Tablebodycopy"/>
            </w:pPr>
            <w:r w:rsidRPr="007B7092">
              <w:rPr>
                <w:color w:val="000000"/>
              </w:rPr>
              <w:t>15.3</w:t>
            </w:r>
          </w:p>
        </w:tc>
        <w:tc>
          <w:tcPr>
            <w:tcW w:w="1280" w:type="dxa"/>
            <w:tcBorders>
              <w:top w:val="nil"/>
              <w:left w:val="nil"/>
              <w:bottom w:val="nil"/>
              <w:right w:val="nil"/>
            </w:tcBorders>
            <w:noWrap/>
            <w:vAlign w:val="center"/>
            <w:hideMark/>
          </w:tcPr>
          <w:p w14:paraId="58D793FB" w14:textId="77777777" w:rsidR="006A2FE4" w:rsidRPr="007B7092" w:rsidRDefault="006A2FE4" w:rsidP="006A2FE4">
            <w:pPr>
              <w:pStyle w:val="Tablebodycopy"/>
            </w:pPr>
            <w:r w:rsidRPr="007B7092">
              <w:rPr>
                <w:color w:val="000000"/>
              </w:rPr>
              <w:t>5.2</w:t>
            </w:r>
          </w:p>
        </w:tc>
      </w:tr>
      <w:tr w:rsidR="006A2FE4" w:rsidRPr="00361487" w14:paraId="2B750A82" w14:textId="77777777" w:rsidTr="00B61A93">
        <w:trPr>
          <w:trHeight w:val="300"/>
        </w:trPr>
        <w:tc>
          <w:tcPr>
            <w:tcW w:w="5529" w:type="dxa"/>
            <w:tcBorders>
              <w:top w:val="nil"/>
              <w:left w:val="nil"/>
              <w:bottom w:val="nil"/>
              <w:right w:val="nil"/>
            </w:tcBorders>
            <w:shd w:val="clear" w:color="auto" w:fill="D9D9D9" w:themeFill="background1" w:themeFillShade="D9"/>
            <w:noWrap/>
            <w:hideMark/>
          </w:tcPr>
          <w:p w14:paraId="13ECAEC8" w14:textId="77777777" w:rsidR="006A2FE4" w:rsidRPr="007B7092" w:rsidRDefault="006A2FE4" w:rsidP="006A2FE4">
            <w:pPr>
              <w:pStyle w:val="Tablebodycopy"/>
            </w:pPr>
            <w:r w:rsidRPr="007B7092">
              <w:t>Manufacturing</w:t>
            </w:r>
          </w:p>
        </w:tc>
        <w:tc>
          <w:tcPr>
            <w:tcW w:w="1134" w:type="dxa"/>
            <w:tcBorders>
              <w:top w:val="nil"/>
              <w:left w:val="nil"/>
              <w:bottom w:val="nil"/>
              <w:right w:val="nil"/>
            </w:tcBorders>
            <w:shd w:val="clear" w:color="auto" w:fill="D9D9D9" w:themeFill="background1" w:themeFillShade="D9"/>
            <w:noWrap/>
            <w:vAlign w:val="center"/>
            <w:hideMark/>
          </w:tcPr>
          <w:p w14:paraId="79F9DDC8" w14:textId="77777777" w:rsidR="006A2FE4" w:rsidRPr="007B7092" w:rsidRDefault="006A2FE4" w:rsidP="006A2FE4">
            <w:pPr>
              <w:pStyle w:val="Tablebodycopy"/>
            </w:pPr>
            <w:r w:rsidRPr="007B7092">
              <w:rPr>
                <w:color w:val="000000"/>
              </w:rPr>
              <w:t>904.2</w:t>
            </w:r>
          </w:p>
        </w:tc>
        <w:tc>
          <w:tcPr>
            <w:tcW w:w="1417" w:type="dxa"/>
            <w:tcBorders>
              <w:top w:val="nil"/>
              <w:left w:val="nil"/>
              <w:bottom w:val="nil"/>
              <w:right w:val="nil"/>
            </w:tcBorders>
            <w:shd w:val="clear" w:color="auto" w:fill="D9D9D9" w:themeFill="background1" w:themeFillShade="D9"/>
            <w:noWrap/>
            <w:vAlign w:val="center"/>
            <w:hideMark/>
          </w:tcPr>
          <w:p w14:paraId="01BE4B87" w14:textId="77777777" w:rsidR="006A2FE4" w:rsidRPr="007B7092" w:rsidRDefault="006A2FE4" w:rsidP="006A2FE4">
            <w:pPr>
              <w:pStyle w:val="Tablebodycopy"/>
            </w:pPr>
            <w:r w:rsidRPr="007B7092">
              <w:rPr>
                <w:color w:val="000000"/>
              </w:rPr>
              <w:t>48.1</w:t>
            </w:r>
          </w:p>
        </w:tc>
        <w:tc>
          <w:tcPr>
            <w:tcW w:w="1280" w:type="dxa"/>
            <w:tcBorders>
              <w:top w:val="nil"/>
              <w:left w:val="nil"/>
              <w:bottom w:val="nil"/>
              <w:right w:val="nil"/>
            </w:tcBorders>
            <w:shd w:val="clear" w:color="auto" w:fill="D9D9D9" w:themeFill="background1" w:themeFillShade="D9"/>
            <w:noWrap/>
            <w:vAlign w:val="center"/>
            <w:hideMark/>
          </w:tcPr>
          <w:p w14:paraId="7C6435E8" w14:textId="77777777" w:rsidR="006A2FE4" w:rsidRPr="007B7092" w:rsidRDefault="006A2FE4" w:rsidP="006A2FE4">
            <w:pPr>
              <w:pStyle w:val="Tablebodycopy"/>
            </w:pPr>
            <w:r w:rsidRPr="007B7092">
              <w:rPr>
                <w:color w:val="000000"/>
              </w:rPr>
              <w:t>5.6</w:t>
            </w:r>
          </w:p>
        </w:tc>
      </w:tr>
      <w:tr w:rsidR="006A2FE4" w:rsidRPr="00361487" w14:paraId="2B47B956" w14:textId="77777777" w:rsidTr="00B61A93">
        <w:trPr>
          <w:trHeight w:val="300"/>
        </w:trPr>
        <w:tc>
          <w:tcPr>
            <w:tcW w:w="5529" w:type="dxa"/>
            <w:tcBorders>
              <w:top w:val="nil"/>
              <w:left w:val="nil"/>
              <w:bottom w:val="nil"/>
              <w:right w:val="nil"/>
            </w:tcBorders>
            <w:noWrap/>
            <w:hideMark/>
          </w:tcPr>
          <w:p w14:paraId="4420E622" w14:textId="77777777" w:rsidR="006A2FE4" w:rsidRPr="007B7092" w:rsidRDefault="006A2FE4" w:rsidP="006A2FE4">
            <w:pPr>
              <w:pStyle w:val="Tablebodycopy"/>
            </w:pPr>
            <w:r w:rsidRPr="007B7092">
              <w:t>Electricity, Gas, Water and Waste Services</w:t>
            </w:r>
          </w:p>
        </w:tc>
        <w:tc>
          <w:tcPr>
            <w:tcW w:w="1134" w:type="dxa"/>
            <w:tcBorders>
              <w:top w:val="nil"/>
              <w:left w:val="nil"/>
              <w:bottom w:val="nil"/>
              <w:right w:val="nil"/>
            </w:tcBorders>
            <w:noWrap/>
            <w:vAlign w:val="center"/>
            <w:hideMark/>
          </w:tcPr>
          <w:p w14:paraId="3D297613" w14:textId="77777777" w:rsidR="006A2FE4" w:rsidRPr="007B7092" w:rsidRDefault="006A2FE4" w:rsidP="006A2FE4">
            <w:pPr>
              <w:pStyle w:val="Tablebodycopy"/>
            </w:pPr>
            <w:r w:rsidRPr="007B7092">
              <w:rPr>
                <w:color w:val="000000"/>
              </w:rPr>
              <w:t>157.1</w:t>
            </w:r>
          </w:p>
        </w:tc>
        <w:tc>
          <w:tcPr>
            <w:tcW w:w="1417" w:type="dxa"/>
            <w:tcBorders>
              <w:top w:val="nil"/>
              <w:left w:val="nil"/>
              <w:bottom w:val="nil"/>
              <w:right w:val="nil"/>
            </w:tcBorders>
            <w:noWrap/>
            <w:vAlign w:val="center"/>
            <w:hideMark/>
          </w:tcPr>
          <w:p w14:paraId="7AA39AEE" w14:textId="77777777" w:rsidR="006A2FE4" w:rsidRPr="007B7092" w:rsidRDefault="006A2FE4" w:rsidP="006A2FE4">
            <w:pPr>
              <w:pStyle w:val="Tablebodycopy"/>
            </w:pPr>
            <w:r w:rsidRPr="007B7092">
              <w:rPr>
                <w:color w:val="000000"/>
              </w:rPr>
              <w:t>-8.9</w:t>
            </w:r>
          </w:p>
        </w:tc>
        <w:tc>
          <w:tcPr>
            <w:tcW w:w="1280" w:type="dxa"/>
            <w:tcBorders>
              <w:top w:val="nil"/>
              <w:left w:val="nil"/>
              <w:bottom w:val="nil"/>
              <w:right w:val="nil"/>
            </w:tcBorders>
            <w:noWrap/>
            <w:vAlign w:val="center"/>
            <w:hideMark/>
          </w:tcPr>
          <w:p w14:paraId="717B891B" w14:textId="77777777" w:rsidR="006A2FE4" w:rsidRPr="007B7092" w:rsidRDefault="006A2FE4" w:rsidP="006A2FE4">
            <w:pPr>
              <w:pStyle w:val="Tablebodycopy"/>
            </w:pPr>
            <w:r w:rsidRPr="007B7092">
              <w:rPr>
                <w:color w:val="000000"/>
              </w:rPr>
              <w:t>-5.4</w:t>
            </w:r>
          </w:p>
        </w:tc>
      </w:tr>
      <w:tr w:rsidR="006A2FE4" w:rsidRPr="00361487" w14:paraId="0453BD80" w14:textId="77777777" w:rsidTr="00B61A93">
        <w:trPr>
          <w:trHeight w:val="300"/>
        </w:trPr>
        <w:tc>
          <w:tcPr>
            <w:tcW w:w="5529" w:type="dxa"/>
            <w:tcBorders>
              <w:top w:val="nil"/>
              <w:left w:val="nil"/>
              <w:bottom w:val="nil"/>
              <w:right w:val="nil"/>
            </w:tcBorders>
            <w:shd w:val="clear" w:color="auto" w:fill="D9D9D9" w:themeFill="background1" w:themeFillShade="D9"/>
            <w:noWrap/>
            <w:hideMark/>
          </w:tcPr>
          <w:p w14:paraId="799DDAB3" w14:textId="77777777" w:rsidR="006A2FE4" w:rsidRPr="007B7092" w:rsidRDefault="006A2FE4" w:rsidP="006A2FE4">
            <w:pPr>
              <w:pStyle w:val="Tablebodycopy"/>
            </w:pPr>
            <w:r w:rsidRPr="007B7092">
              <w:t>Construction</w:t>
            </w:r>
          </w:p>
        </w:tc>
        <w:tc>
          <w:tcPr>
            <w:tcW w:w="1134" w:type="dxa"/>
            <w:tcBorders>
              <w:top w:val="nil"/>
              <w:left w:val="nil"/>
              <w:bottom w:val="nil"/>
              <w:right w:val="nil"/>
            </w:tcBorders>
            <w:shd w:val="clear" w:color="auto" w:fill="D9D9D9" w:themeFill="background1" w:themeFillShade="D9"/>
            <w:noWrap/>
            <w:vAlign w:val="center"/>
            <w:hideMark/>
          </w:tcPr>
          <w:p w14:paraId="37DC09A7" w14:textId="77777777" w:rsidR="006A2FE4" w:rsidRPr="007B7092" w:rsidRDefault="006A2FE4" w:rsidP="006A2FE4">
            <w:pPr>
              <w:pStyle w:val="Tablebodycopy"/>
            </w:pPr>
            <w:r w:rsidRPr="007B7092">
              <w:rPr>
                <w:color w:val="000000"/>
              </w:rPr>
              <w:t>1,329.1</w:t>
            </w:r>
          </w:p>
        </w:tc>
        <w:tc>
          <w:tcPr>
            <w:tcW w:w="1417" w:type="dxa"/>
            <w:tcBorders>
              <w:top w:val="nil"/>
              <w:left w:val="nil"/>
              <w:bottom w:val="nil"/>
              <w:right w:val="nil"/>
            </w:tcBorders>
            <w:shd w:val="clear" w:color="auto" w:fill="D9D9D9" w:themeFill="background1" w:themeFillShade="D9"/>
            <w:noWrap/>
            <w:vAlign w:val="center"/>
            <w:hideMark/>
          </w:tcPr>
          <w:p w14:paraId="0F6B12A1" w14:textId="77777777" w:rsidR="006A2FE4" w:rsidRPr="007B7092" w:rsidRDefault="006A2FE4" w:rsidP="006A2FE4">
            <w:pPr>
              <w:pStyle w:val="Tablebodycopy"/>
            </w:pPr>
            <w:r w:rsidRPr="007B7092">
              <w:rPr>
                <w:color w:val="000000"/>
              </w:rPr>
              <w:t>113.5</w:t>
            </w:r>
          </w:p>
        </w:tc>
        <w:tc>
          <w:tcPr>
            <w:tcW w:w="1280" w:type="dxa"/>
            <w:tcBorders>
              <w:top w:val="nil"/>
              <w:left w:val="nil"/>
              <w:bottom w:val="nil"/>
              <w:right w:val="nil"/>
            </w:tcBorders>
            <w:shd w:val="clear" w:color="auto" w:fill="D9D9D9" w:themeFill="background1" w:themeFillShade="D9"/>
            <w:noWrap/>
            <w:vAlign w:val="center"/>
            <w:hideMark/>
          </w:tcPr>
          <w:p w14:paraId="19B65E7E" w14:textId="77777777" w:rsidR="006A2FE4" w:rsidRPr="007B7092" w:rsidRDefault="006A2FE4" w:rsidP="006A2FE4">
            <w:pPr>
              <w:pStyle w:val="Tablebodycopy"/>
            </w:pPr>
            <w:r w:rsidRPr="007B7092">
              <w:rPr>
                <w:color w:val="000000"/>
              </w:rPr>
              <w:t>9.3</w:t>
            </w:r>
          </w:p>
        </w:tc>
      </w:tr>
      <w:tr w:rsidR="006A2FE4" w:rsidRPr="00361487" w14:paraId="5DE4E630" w14:textId="77777777" w:rsidTr="00B61A93">
        <w:trPr>
          <w:trHeight w:val="300"/>
        </w:trPr>
        <w:tc>
          <w:tcPr>
            <w:tcW w:w="5529" w:type="dxa"/>
            <w:tcBorders>
              <w:top w:val="nil"/>
              <w:left w:val="nil"/>
              <w:bottom w:val="nil"/>
              <w:right w:val="nil"/>
            </w:tcBorders>
            <w:noWrap/>
            <w:hideMark/>
          </w:tcPr>
          <w:p w14:paraId="1B99940B" w14:textId="77777777" w:rsidR="006A2FE4" w:rsidRPr="007B7092" w:rsidRDefault="006A2FE4" w:rsidP="006A2FE4">
            <w:pPr>
              <w:pStyle w:val="Tablebodycopy"/>
            </w:pPr>
            <w:r w:rsidRPr="007B7092">
              <w:t>Wholesale Trade</w:t>
            </w:r>
          </w:p>
        </w:tc>
        <w:tc>
          <w:tcPr>
            <w:tcW w:w="1134" w:type="dxa"/>
            <w:tcBorders>
              <w:top w:val="nil"/>
              <w:left w:val="nil"/>
              <w:bottom w:val="nil"/>
              <w:right w:val="nil"/>
            </w:tcBorders>
            <w:noWrap/>
            <w:vAlign w:val="center"/>
            <w:hideMark/>
          </w:tcPr>
          <w:p w14:paraId="6DD13AD7" w14:textId="77777777" w:rsidR="006A2FE4" w:rsidRPr="007B7092" w:rsidRDefault="006A2FE4" w:rsidP="006A2FE4">
            <w:pPr>
              <w:pStyle w:val="Tablebodycopy"/>
            </w:pPr>
            <w:r w:rsidRPr="007B7092">
              <w:rPr>
                <w:color w:val="000000"/>
              </w:rPr>
              <w:t>362.2</w:t>
            </w:r>
          </w:p>
        </w:tc>
        <w:tc>
          <w:tcPr>
            <w:tcW w:w="1417" w:type="dxa"/>
            <w:tcBorders>
              <w:top w:val="nil"/>
              <w:left w:val="nil"/>
              <w:bottom w:val="nil"/>
              <w:right w:val="nil"/>
            </w:tcBorders>
            <w:noWrap/>
            <w:vAlign w:val="center"/>
            <w:hideMark/>
          </w:tcPr>
          <w:p w14:paraId="0ECB49F0" w14:textId="77777777" w:rsidR="006A2FE4" w:rsidRPr="007B7092" w:rsidRDefault="006A2FE4" w:rsidP="006A2FE4">
            <w:pPr>
              <w:pStyle w:val="Tablebodycopy"/>
            </w:pPr>
            <w:r w:rsidRPr="007B7092">
              <w:rPr>
                <w:color w:val="000000"/>
              </w:rPr>
              <w:t>-5.4</w:t>
            </w:r>
          </w:p>
        </w:tc>
        <w:tc>
          <w:tcPr>
            <w:tcW w:w="1280" w:type="dxa"/>
            <w:tcBorders>
              <w:top w:val="nil"/>
              <w:left w:val="nil"/>
              <w:bottom w:val="nil"/>
              <w:right w:val="nil"/>
            </w:tcBorders>
            <w:noWrap/>
            <w:vAlign w:val="center"/>
            <w:hideMark/>
          </w:tcPr>
          <w:p w14:paraId="27E02B2B" w14:textId="77777777" w:rsidR="006A2FE4" w:rsidRPr="007B7092" w:rsidRDefault="006A2FE4" w:rsidP="006A2FE4">
            <w:pPr>
              <w:pStyle w:val="Tablebodycopy"/>
            </w:pPr>
            <w:r w:rsidRPr="007B7092">
              <w:rPr>
                <w:color w:val="000000"/>
              </w:rPr>
              <w:t>-1.5</w:t>
            </w:r>
          </w:p>
        </w:tc>
      </w:tr>
      <w:tr w:rsidR="006A2FE4" w:rsidRPr="00361487" w14:paraId="19E6C695" w14:textId="77777777" w:rsidTr="00B61A93">
        <w:trPr>
          <w:trHeight w:val="300"/>
        </w:trPr>
        <w:tc>
          <w:tcPr>
            <w:tcW w:w="5529" w:type="dxa"/>
            <w:tcBorders>
              <w:top w:val="nil"/>
              <w:left w:val="nil"/>
              <w:bottom w:val="nil"/>
              <w:right w:val="nil"/>
            </w:tcBorders>
            <w:shd w:val="clear" w:color="auto" w:fill="D9D9D9" w:themeFill="background1" w:themeFillShade="D9"/>
            <w:noWrap/>
            <w:hideMark/>
          </w:tcPr>
          <w:p w14:paraId="315FA9E9" w14:textId="77777777" w:rsidR="006A2FE4" w:rsidRPr="007B7092" w:rsidRDefault="006A2FE4" w:rsidP="006A2FE4">
            <w:pPr>
              <w:pStyle w:val="Tablebodycopy"/>
            </w:pPr>
            <w:r w:rsidRPr="007B7092">
              <w:t>Retail Trade</w:t>
            </w:r>
          </w:p>
        </w:tc>
        <w:tc>
          <w:tcPr>
            <w:tcW w:w="1134" w:type="dxa"/>
            <w:tcBorders>
              <w:top w:val="nil"/>
              <w:left w:val="nil"/>
              <w:bottom w:val="nil"/>
              <w:right w:val="nil"/>
            </w:tcBorders>
            <w:shd w:val="clear" w:color="auto" w:fill="D9D9D9" w:themeFill="background1" w:themeFillShade="D9"/>
            <w:noWrap/>
            <w:vAlign w:val="center"/>
            <w:hideMark/>
          </w:tcPr>
          <w:p w14:paraId="3E062DC1" w14:textId="77777777" w:rsidR="006A2FE4" w:rsidRPr="007B7092" w:rsidRDefault="006A2FE4" w:rsidP="006A2FE4">
            <w:pPr>
              <w:pStyle w:val="Tablebodycopy"/>
            </w:pPr>
            <w:r w:rsidRPr="007B7092">
              <w:rPr>
                <w:color w:val="000000"/>
              </w:rPr>
              <w:t>1,321.9</w:t>
            </w:r>
          </w:p>
        </w:tc>
        <w:tc>
          <w:tcPr>
            <w:tcW w:w="1417" w:type="dxa"/>
            <w:tcBorders>
              <w:top w:val="nil"/>
              <w:left w:val="nil"/>
              <w:bottom w:val="nil"/>
              <w:right w:val="nil"/>
            </w:tcBorders>
            <w:shd w:val="clear" w:color="auto" w:fill="D9D9D9" w:themeFill="background1" w:themeFillShade="D9"/>
            <w:noWrap/>
            <w:vAlign w:val="center"/>
            <w:hideMark/>
          </w:tcPr>
          <w:p w14:paraId="0E16245A" w14:textId="77777777" w:rsidR="006A2FE4" w:rsidRPr="007B7092" w:rsidRDefault="006A2FE4" w:rsidP="006A2FE4">
            <w:pPr>
              <w:pStyle w:val="Tablebodycopy"/>
            </w:pPr>
            <w:r w:rsidRPr="007B7092">
              <w:rPr>
                <w:color w:val="000000"/>
              </w:rPr>
              <w:t>17.6</w:t>
            </w:r>
          </w:p>
        </w:tc>
        <w:tc>
          <w:tcPr>
            <w:tcW w:w="1280" w:type="dxa"/>
            <w:tcBorders>
              <w:top w:val="nil"/>
              <w:left w:val="nil"/>
              <w:bottom w:val="nil"/>
              <w:right w:val="nil"/>
            </w:tcBorders>
            <w:shd w:val="clear" w:color="auto" w:fill="D9D9D9" w:themeFill="background1" w:themeFillShade="D9"/>
            <w:noWrap/>
            <w:vAlign w:val="center"/>
            <w:hideMark/>
          </w:tcPr>
          <w:p w14:paraId="027D3F01" w14:textId="77777777" w:rsidR="006A2FE4" w:rsidRPr="007B7092" w:rsidRDefault="006A2FE4" w:rsidP="006A2FE4">
            <w:pPr>
              <w:pStyle w:val="Tablebodycopy"/>
            </w:pPr>
            <w:r w:rsidRPr="007B7092">
              <w:rPr>
                <w:color w:val="000000"/>
              </w:rPr>
              <w:t>1.4</w:t>
            </w:r>
          </w:p>
        </w:tc>
      </w:tr>
      <w:tr w:rsidR="006A2FE4" w:rsidRPr="00361487" w14:paraId="743AD422" w14:textId="77777777" w:rsidTr="00B61A93">
        <w:trPr>
          <w:trHeight w:val="300"/>
        </w:trPr>
        <w:tc>
          <w:tcPr>
            <w:tcW w:w="5529" w:type="dxa"/>
            <w:tcBorders>
              <w:top w:val="nil"/>
              <w:left w:val="nil"/>
              <w:bottom w:val="nil"/>
              <w:right w:val="nil"/>
            </w:tcBorders>
            <w:noWrap/>
            <w:hideMark/>
          </w:tcPr>
          <w:p w14:paraId="455D04F8" w14:textId="77777777" w:rsidR="006A2FE4" w:rsidRPr="007B7092" w:rsidRDefault="006A2FE4" w:rsidP="006A2FE4">
            <w:pPr>
              <w:pStyle w:val="Tablebodycopy"/>
            </w:pPr>
            <w:r w:rsidRPr="007B7092">
              <w:t>Accommodation and Food Services</w:t>
            </w:r>
          </w:p>
        </w:tc>
        <w:tc>
          <w:tcPr>
            <w:tcW w:w="1134" w:type="dxa"/>
            <w:tcBorders>
              <w:top w:val="nil"/>
              <w:left w:val="nil"/>
              <w:bottom w:val="nil"/>
              <w:right w:val="nil"/>
            </w:tcBorders>
            <w:noWrap/>
            <w:vAlign w:val="center"/>
            <w:hideMark/>
          </w:tcPr>
          <w:p w14:paraId="1C946979" w14:textId="77777777" w:rsidR="006A2FE4" w:rsidRPr="007B7092" w:rsidRDefault="006A2FE4" w:rsidP="006A2FE4">
            <w:pPr>
              <w:pStyle w:val="Tablebodycopy"/>
            </w:pPr>
            <w:r w:rsidRPr="007B7092">
              <w:rPr>
                <w:color w:val="000000"/>
              </w:rPr>
              <w:t>948.6</w:t>
            </w:r>
          </w:p>
        </w:tc>
        <w:tc>
          <w:tcPr>
            <w:tcW w:w="1417" w:type="dxa"/>
            <w:tcBorders>
              <w:top w:val="nil"/>
              <w:left w:val="nil"/>
              <w:bottom w:val="nil"/>
              <w:right w:val="nil"/>
            </w:tcBorders>
            <w:noWrap/>
            <w:vAlign w:val="center"/>
            <w:hideMark/>
          </w:tcPr>
          <w:p w14:paraId="049F1676" w14:textId="77777777" w:rsidR="006A2FE4" w:rsidRPr="007B7092" w:rsidRDefault="006A2FE4" w:rsidP="006A2FE4">
            <w:pPr>
              <w:pStyle w:val="Tablebodycopy"/>
            </w:pPr>
            <w:r w:rsidRPr="007B7092">
              <w:rPr>
                <w:color w:val="000000"/>
              </w:rPr>
              <w:t>32.9</w:t>
            </w:r>
          </w:p>
        </w:tc>
        <w:tc>
          <w:tcPr>
            <w:tcW w:w="1280" w:type="dxa"/>
            <w:tcBorders>
              <w:top w:val="nil"/>
              <w:left w:val="nil"/>
              <w:bottom w:val="nil"/>
              <w:right w:val="nil"/>
            </w:tcBorders>
            <w:noWrap/>
            <w:vAlign w:val="center"/>
            <w:hideMark/>
          </w:tcPr>
          <w:p w14:paraId="662D55A0" w14:textId="77777777" w:rsidR="006A2FE4" w:rsidRPr="007B7092" w:rsidRDefault="006A2FE4" w:rsidP="006A2FE4">
            <w:pPr>
              <w:pStyle w:val="Tablebodycopy"/>
            </w:pPr>
            <w:r w:rsidRPr="007B7092">
              <w:rPr>
                <w:color w:val="000000"/>
              </w:rPr>
              <w:t>3.6</w:t>
            </w:r>
          </w:p>
        </w:tc>
      </w:tr>
      <w:tr w:rsidR="006A2FE4" w:rsidRPr="00361487" w14:paraId="7847FAE5" w14:textId="77777777" w:rsidTr="00B61A93">
        <w:trPr>
          <w:trHeight w:val="300"/>
        </w:trPr>
        <w:tc>
          <w:tcPr>
            <w:tcW w:w="5529" w:type="dxa"/>
            <w:tcBorders>
              <w:top w:val="nil"/>
              <w:left w:val="nil"/>
              <w:bottom w:val="nil"/>
              <w:right w:val="nil"/>
            </w:tcBorders>
            <w:shd w:val="clear" w:color="auto" w:fill="D9D9D9" w:themeFill="background1" w:themeFillShade="D9"/>
            <w:noWrap/>
            <w:hideMark/>
          </w:tcPr>
          <w:p w14:paraId="0FE9039B" w14:textId="77777777" w:rsidR="006A2FE4" w:rsidRPr="007B7092" w:rsidRDefault="006A2FE4" w:rsidP="006A2FE4">
            <w:pPr>
              <w:pStyle w:val="Tablebodycopy"/>
            </w:pPr>
            <w:r w:rsidRPr="007B7092">
              <w:t>Transport, Postal and Warehousing</w:t>
            </w:r>
          </w:p>
        </w:tc>
        <w:tc>
          <w:tcPr>
            <w:tcW w:w="1134" w:type="dxa"/>
            <w:tcBorders>
              <w:top w:val="nil"/>
              <w:left w:val="nil"/>
              <w:bottom w:val="nil"/>
              <w:right w:val="nil"/>
            </w:tcBorders>
            <w:shd w:val="clear" w:color="auto" w:fill="D9D9D9" w:themeFill="background1" w:themeFillShade="D9"/>
            <w:noWrap/>
            <w:vAlign w:val="center"/>
            <w:hideMark/>
          </w:tcPr>
          <w:p w14:paraId="793C1078" w14:textId="77777777" w:rsidR="006A2FE4" w:rsidRPr="007B7092" w:rsidRDefault="006A2FE4" w:rsidP="006A2FE4">
            <w:pPr>
              <w:pStyle w:val="Tablebodycopy"/>
            </w:pPr>
            <w:r w:rsidRPr="007B7092">
              <w:rPr>
                <w:color w:val="000000"/>
              </w:rPr>
              <w:t>718.1</w:t>
            </w:r>
          </w:p>
        </w:tc>
        <w:tc>
          <w:tcPr>
            <w:tcW w:w="1417" w:type="dxa"/>
            <w:tcBorders>
              <w:top w:val="nil"/>
              <w:left w:val="nil"/>
              <w:bottom w:val="nil"/>
              <w:right w:val="nil"/>
            </w:tcBorders>
            <w:shd w:val="clear" w:color="auto" w:fill="D9D9D9" w:themeFill="background1" w:themeFillShade="D9"/>
            <w:noWrap/>
            <w:vAlign w:val="center"/>
            <w:hideMark/>
          </w:tcPr>
          <w:p w14:paraId="1050D085" w14:textId="77777777" w:rsidR="006A2FE4" w:rsidRPr="007B7092" w:rsidRDefault="006A2FE4" w:rsidP="006A2FE4">
            <w:pPr>
              <w:pStyle w:val="Tablebodycopy"/>
            </w:pPr>
            <w:r w:rsidRPr="007B7092">
              <w:rPr>
                <w:color w:val="000000"/>
              </w:rPr>
              <w:t>26.3</w:t>
            </w:r>
          </w:p>
        </w:tc>
        <w:tc>
          <w:tcPr>
            <w:tcW w:w="1280" w:type="dxa"/>
            <w:tcBorders>
              <w:top w:val="nil"/>
              <w:left w:val="nil"/>
              <w:bottom w:val="nil"/>
              <w:right w:val="nil"/>
            </w:tcBorders>
            <w:shd w:val="clear" w:color="auto" w:fill="D9D9D9" w:themeFill="background1" w:themeFillShade="D9"/>
            <w:noWrap/>
            <w:vAlign w:val="center"/>
            <w:hideMark/>
          </w:tcPr>
          <w:p w14:paraId="075C3ACA" w14:textId="77777777" w:rsidR="006A2FE4" w:rsidRPr="007B7092" w:rsidRDefault="006A2FE4" w:rsidP="006A2FE4">
            <w:pPr>
              <w:pStyle w:val="Tablebodycopy"/>
            </w:pPr>
            <w:r w:rsidRPr="007B7092">
              <w:rPr>
                <w:color w:val="000000"/>
              </w:rPr>
              <w:t>3.8</w:t>
            </w:r>
          </w:p>
        </w:tc>
      </w:tr>
      <w:tr w:rsidR="006A2FE4" w:rsidRPr="00361487" w14:paraId="120CA1B4" w14:textId="77777777" w:rsidTr="00B61A93">
        <w:trPr>
          <w:trHeight w:val="300"/>
        </w:trPr>
        <w:tc>
          <w:tcPr>
            <w:tcW w:w="5529" w:type="dxa"/>
            <w:tcBorders>
              <w:top w:val="nil"/>
              <w:left w:val="nil"/>
              <w:bottom w:val="nil"/>
              <w:right w:val="nil"/>
            </w:tcBorders>
            <w:noWrap/>
            <w:hideMark/>
          </w:tcPr>
          <w:p w14:paraId="7C712723" w14:textId="77777777" w:rsidR="006A2FE4" w:rsidRPr="007B7092" w:rsidRDefault="006A2FE4" w:rsidP="006A2FE4">
            <w:pPr>
              <w:pStyle w:val="Tablebodycopy"/>
            </w:pPr>
            <w:r w:rsidRPr="007B7092">
              <w:t>Information Media and Telecommunications</w:t>
            </w:r>
          </w:p>
        </w:tc>
        <w:tc>
          <w:tcPr>
            <w:tcW w:w="1134" w:type="dxa"/>
            <w:tcBorders>
              <w:top w:val="nil"/>
              <w:left w:val="nil"/>
              <w:bottom w:val="nil"/>
              <w:right w:val="nil"/>
            </w:tcBorders>
            <w:noWrap/>
            <w:vAlign w:val="center"/>
            <w:hideMark/>
          </w:tcPr>
          <w:p w14:paraId="1BF764F9" w14:textId="77777777" w:rsidR="006A2FE4" w:rsidRPr="007B7092" w:rsidRDefault="006A2FE4" w:rsidP="006A2FE4">
            <w:pPr>
              <w:pStyle w:val="Tablebodycopy"/>
            </w:pPr>
            <w:r w:rsidRPr="007B7092">
              <w:rPr>
                <w:color w:val="000000"/>
              </w:rPr>
              <w:t>192.3</w:t>
            </w:r>
          </w:p>
        </w:tc>
        <w:tc>
          <w:tcPr>
            <w:tcW w:w="1417" w:type="dxa"/>
            <w:tcBorders>
              <w:top w:val="nil"/>
              <w:left w:val="nil"/>
              <w:bottom w:val="nil"/>
              <w:right w:val="nil"/>
            </w:tcBorders>
            <w:noWrap/>
            <w:vAlign w:val="center"/>
            <w:hideMark/>
          </w:tcPr>
          <w:p w14:paraId="7CE976A6" w14:textId="77777777" w:rsidR="006A2FE4" w:rsidRPr="007B7092" w:rsidRDefault="006A2FE4" w:rsidP="006A2FE4">
            <w:pPr>
              <w:pStyle w:val="Tablebodycopy"/>
            </w:pPr>
            <w:r w:rsidRPr="007B7092">
              <w:rPr>
                <w:color w:val="000000"/>
              </w:rPr>
              <w:t>-4.5</w:t>
            </w:r>
          </w:p>
        </w:tc>
        <w:tc>
          <w:tcPr>
            <w:tcW w:w="1280" w:type="dxa"/>
            <w:tcBorders>
              <w:top w:val="nil"/>
              <w:left w:val="nil"/>
              <w:bottom w:val="nil"/>
              <w:right w:val="nil"/>
            </w:tcBorders>
            <w:noWrap/>
            <w:vAlign w:val="center"/>
            <w:hideMark/>
          </w:tcPr>
          <w:p w14:paraId="2379C879" w14:textId="77777777" w:rsidR="006A2FE4" w:rsidRPr="007B7092" w:rsidRDefault="006A2FE4" w:rsidP="006A2FE4">
            <w:pPr>
              <w:pStyle w:val="Tablebodycopy"/>
            </w:pPr>
            <w:r w:rsidRPr="007B7092">
              <w:rPr>
                <w:color w:val="000000"/>
              </w:rPr>
              <w:t>-2.3</w:t>
            </w:r>
          </w:p>
        </w:tc>
      </w:tr>
      <w:tr w:rsidR="006A2FE4" w:rsidRPr="00361487" w14:paraId="10D2177D" w14:textId="77777777" w:rsidTr="00B61A93">
        <w:trPr>
          <w:trHeight w:val="300"/>
        </w:trPr>
        <w:tc>
          <w:tcPr>
            <w:tcW w:w="5529" w:type="dxa"/>
            <w:tcBorders>
              <w:top w:val="nil"/>
              <w:left w:val="nil"/>
              <w:bottom w:val="nil"/>
              <w:right w:val="nil"/>
            </w:tcBorders>
            <w:shd w:val="clear" w:color="auto" w:fill="D9D9D9" w:themeFill="background1" w:themeFillShade="D9"/>
            <w:noWrap/>
            <w:hideMark/>
          </w:tcPr>
          <w:p w14:paraId="09A41E68" w14:textId="77777777" w:rsidR="006A2FE4" w:rsidRPr="007B7092" w:rsidRDefault="006A2FE4" w:rsidP="006A2FE4">
            <w:pPr>
              <w:pStyle w:val="Tablebodycopy"/>
            </w:pPr>
            <w:r w:rsidRPr="007B7092">
              <w:t>Financial and Insurance Services</w:t>
            </w:r>
          </w:p>
        </w:tc>
        <w:tc>
          <w:tcPr>
            <w:tcW w:w="1134" w:type="dxa"/>
            <w:tcBorders>
              <w:top w:val="nil"/>
              <w:left w:val="nil"/>
              <w:bottom w:val="nil"/>
              <w:right w:val="nil"/>
            </w:tcBorders>
            <w:shd w:val="clear" w:color="auto" w:fill="D9D9D9" w:themeFill="background1" w:themeFillShade="D9"/>
            <w:noWrap/>
            <w:vAlign w:val="center"/>
            <w:hideMark/>
          </w:tcPr>
          <w:p w14:paraId="782F2F1B" w14:textId="77777777" w:rsidR="006A2FE4" w:rsidRPr="007B7092" w:rsidRDefault="006A2FE4" w:rsidP="006A2FE4">
            <w:pPr>
              <w:pStyle w:val="Tablebodycopy"/>
            </w:pPr>
            <w:r w:rsidRPr="007B7092">
              <w:rPr>
                <w:color w:val="000000"/>
              </w:rPr>
              <w:t>537.3</w:t>
            </w:r>
          </w:p>
        </w:tc>
        <w:tc>
          <w:tcPr>
            <w:tcW w:w="1417" w:type="dxa"/>
            <w:tcBorders>
              <w:top w:val="nil"/>
              <w:left w:val="nil"/>
              <w:bottom w:val="nil"/>
              <w:right w:val="nil"/>
            </w:tcBorders>
            <w:shd w:val="clear" w:color="auto" w:fill="D9D9D9" w:themeFill="background1" w:themeFillShade="D9"/>
            <w:noWrap/>
            <w:vAlign w:val="center"/>
            <w:hideMark/>
          </w:tcPr>
          <w:p w14:paraId="452F08E8" w14:textId="77777777" w:rsidR="006A2FE4" w:rsidRPr="007B7092" w:rsidRDefault="006A2FE4" w:rsidP="006A2FE4">
            <w:pPr>
              <w:pStyle w:val="Tablebodycopy"/>
            </w:pPr>
            <w:r w:rsidRPr="007B7092">
              <w:rPr>
                <w:color w:val="000000"/>
              </w:rPr>
              <w:t>-15.4</w:t>
            </w:r>
          </w:p>
        </w:tc>
        <w:tc>
          <w:tcPr>
            <w:tcW w:w="1280" w:type="dxa"/>
            <w:tcBorders>
              <w:top w:val="nil"/>
              <w:left w:val="nil"/>
              <w:bottom w:val="nil"/>
              <w:right w:val="nil"/>
            </w:tcBorders>
            <w:shd w:val="clear" w:color="auto" w:fill="D9D9D9" w:themeFill="background1" w:themeFillShade="D9"/>
            <w:noWrap/>
            <w:vAlign w:val="center"/>
            <w:hideMark/>
          </w:tcPr>
          <w:p w14:paraId="38758DEA" w14:textId="77777777" w:rsidR="006A2FE4" w:rsidRPr="007B7092" w:rsidRDefault="006A2FE4" w:rsidP="006A2FE4">
            <w:pPr>
              <w:pStyle w:val="Tablebodycopy"/>
            </w:pPr>
            <w:r w:rsidRPr="007B7092">
              <w:rPr>
                <w:color w:val="000000"/>
              </w:rPr>
              <w:t>-2.8</w:t>
            </w:r>
          </w:p>
        </w:tc>
      </w:tr>
      <w:tr w:rsidR="006A2FE4" w:rsidRPr="00361487" w14:paraId="0ECF617D" w14:textId="77777777" w:rsidTr="00B61A93">
        <w:trPr>
          <w:trHeight w:val="300"/>
        </w:trPr>
        <w:tc>
          <w:tcPr>
            <w:tcW w:w="5529" w:type="dxa"/>
            <w:tcBorders>
              <w:top w:val="nil"/>
              <w:left w:val="nil"/>
              <w:bottom w:val="nil"/>
              <w:right w:val="nil"/>
            </w:tcBorders>
            <w:noWrap/>
            <w:hideMark/>
          </w:tcPr>
          <w:p w14:paraId="66DBC2D7" w14:textId="77777777" w:rsidR="006A2FE4" w:rsidRPr="007B7092" w:rsidRDefault="006A2FE4" w:rsidP="006A2FE4">
            <w:pPr>
              <w:pStyle w:val="Tablebodycopy"/>
            </w:pPr>
            <w:r w:rsidRPr="007B7092">
              <w:t>Rental, Hiring and Real Estate Services</w:t>
            </w:r>
          </w:p>
        </w:tc>
        <w:tc>
          <w:tcPr>
            <w:tcW w:w="1134" w:type="dxa"/>
            <w:tcBorders>
              <w:top w:val="nil"/>
              <w:left w:val="nil"/>
              <w:bottom w:val="nil"/>
              <w:right w:val="nil"/>
            </w:tcBorders>
            <w:noWrap/>
            <w:vAlign w:val="center"/>
            <w:hideMark/>
          </w:tcPr>
          <w:p w14:paraId="17CEA74C" w14:textId="77777777" w:rsidR="006A2FE4" w:rsidRPr="007B7092" w:rsidRDefault="006A2FE4" w:rsidP="006A2FE4">
            <w:pPr>
              <w:pStyle w:val="Tablebodycopy"/>
            </w:pPr>
            <w:r w:rsidRPr="007B7092">
              <w:rPr>
                <w:color w:val="000000"/>
              </w:rPr>
              <w:t>211.8</w:t>
            </w:r>
          </w:p>
        </w:tc>
        <w:tc>
          <w:tcPr>
            <w:tcW w:w="1417" w:type="dxa"/>
            <w:tcBorders>
              <w:top w:val="nil"/>
              <w:left w:val="nil"/>
              <w:bottom w:val="nil"/>
              <w:right w:val="nil"/>
            </w:tcBorders>
            <w:noWrap/>
            <w:vAlign w:val="center"/>
            <w:hideMark/>
          </w:tcPr>
          <w:p w14:paraId="6DF4C561" w14:textId="77777777" w:rsidR="006A2FE4" w:rsidRPr="007B7092" w:rsidRDefault="006A2FE4" w:rsidP="006A2FE4">
            <w:pPr>
              <w:pStyle w:val="Tablebodycopy"/>
            </w:pPr>
            <w:r w:rsidRPr="007B7092">
              <w:rPr>
                <w:color w:val="000000"/>
              </w:rPr>
              <w:t>-19.0</w:t>
            </w:r>
          </w:p>
        </w:tc>
        <w:tc>
          <w:tcPr>
            <w:tcW w:w="1280" w:type="dxa"/>
            <w:tcBorders>
              <w:top w:val="nil"/>
              <w:left w:val="nil"/>
              <w:bottom w:val="nil"/>
              <w:right w:val="nil"/>
            </w:tcBorders>
            <w:noWrap/>
            <w:vAlign w:val="center"/>
            <w:hideMark/>
          </w:tcPr>
          <w:p w14:paraId="624511F9" w14:textId="77777777" w:rsidR="006A2FE4" w:rsidRPr="007B7092" w:rsidRDefault="006A2FE4" w:rsidP="006A2FE4">
            <w:pPr>
              <w:pStyle w:val="Tablebodycopy"/>
            </w:pPr>
            <w:r w:rsidRPr="007B7092">
              <w:rPr>
                <w:color w:val="000000"/>
              </w:rPr>
              <w:t>-8.2</w:t>
            </w:r>
          </w:p>
        </w:tc>
      </w:tr>
      <w:tr w:rsidR="006A2FE4" w:rsidRPr="00361487" w14:paraId="6F6721A3" w14:textId="77777777" w:rsidTr="00B61A93">
        <w:trPr>
          <w:trHeight w:val="300"/>
        </w:trPr>
        <w:tc>
          <w:tcPr>
            <w:tcW w:w="5529" w:type="dxa"/>
            <w:tcBorders>
              <w:top w:val="nil"/>
              <w:left w:val="nil"/>
              <w:bottom w:val="nil"/>
              <w:right w:val="nil"/>
            </w:tcBorders>
            <w:shd w:val="clear" w:color="auto" w:fill="D9D9D9" w:themeFill="background1" w:themeFillShade="D9"/>
            <w:noWrap/>
            <w:hideMark/>
          </w:tcPr>
          <w:p w14:paraId="44DBBEB1" w14:textId="77777777" w:rsidR="006A2FE4" w:rsidRPr="007B7092" w:rsidRDefault="006A2FE4" w:rsidP="006A2FE4">
            <w:pPr>
              <w:pStyle w:val="Tablebodycopy"/>
            </w:pPr>
            <w:r w:rsidRPr="007B7092">
              <w:t>Professional, Scientific and Technical Services</w:t>
            </w:r>
          </w:p>
        </w:tc>
        <w:tc>
          <w:tcPr>
            <w:tcW w:w="1134" w:type="dxa"/>
            <w:tcBorders>
              <w:top w:val="nil"/>
              <w:left w:val="nil"/>
              <w:bottom w:val="nil"/>
              <w:right w:val="nil"/>
            </w:tcBorders>
            <w:shd w:val="clear" w:color="auto" w:fill="D9D9D9" w:themeFill="background1" w:themeFillShade="D9"/>
            <w:noWrap/>
            <w:vAlign w:val="center"/>
            <w:hideMark/>
          </w:tcPr>
          <w:p w14:paraId="3D2F74AD" w14:textId="77777777" w:rsidR="006A2FE4" w:rsidRPr="007B7092" w:rsidRDefault="006A2FE4" w:rsidP="006A2FE4">
            <w:pPr>
              <w:pStyle w:val="Tablebodycopy"/>
            </w:pPr>
            <w:r w:rsidRPr="007B7092">
              <w:rPr>
                <w:color w:val="000000"/>
              </w:rPr>
              <w:t>1,323.0</w:t>
            </w:r>
          </w:p>
        </w:tc>
        <w:tc>
          <w:tcPr>
            <w:tcW w:w="1417" w:type="dxa"/>
            <w:tcBorders>
              <w:top w:val="nil"/>
              <w:left w:val="nil"/>
              <w:bottom w:val="nil"/>
              <w:right w:val="nil"/>
            </w:tcBorders>
            <w:shd w:val="clear" w:color="auto" w:fill="D9D9D9" w:themeFill="background1" w:themeFillShade="D9"/>
            <w:noWrap/>
            <w:vAlign w:val="center"/>
            <w:hideMark/>
          </w:tcPr>
          <w:p w14:paraId="609BEBA9" w14:textId="77777777" w:rsidR="006A2FE4" w:rsidRPr="007B7092" w:rsidRDefault="006A2FE4" w:rsidP="006A2FE4">
            <w:pPr>
              <w:pStyle w:val="Tablebodycopy"/>
            </w:pPr>
            <w:r w:rsidRPr="007B7092">
              <w:rPr>
                <w:color w:val="000000"/>
              </w:rPr>
              <w:t>61.8</w:t>
            </w:r>
          </w:p>
        </w:tc>
        <w:tc>
          <w:tcPr>
            <w:tcW w:w="1280" w:type="dxa"/>
            <w:tcBorders>
              <w:top w:val="nil"/>
              <w:left w:val="nil"/>
              <w:bottom w:val="nil"/>
              <w:right w:val="nil"/>
            </w:tcBorders>
            <w:shd w:val="clear" w:color="auto" w:fill="D9D9D9" w:themeFill="background1" w:themeFillShade="D9"/>
            <w:noWrap/>
            <w:vAlign w:val="center"/>
            <w:hideMark/>
          </w:tcPr>
          <w:p w14:paraId="58AC91ED" w14:textId="77777777" w:rsidR="006A2FE4" w:rsidRPr="007B7092" w:rsidRDefault="006A2FE4" w:rsidP="006A2FE4">
            <w:pPr>
              <w:pStyle w:val="Tablebodycopy"/>
            </w:pPr>
            <w:r w:rsidRPr="007B7092">
              <w:rPr>
                <w:color w:val="000000"/>
              </w:rPr>
              <w:t>4.9</w:t>
            </w:r>
          </w:p>
        </w:tc>
      </w:tr>
      <w:tr w:rsidR="006A2FE4" w:rsidRPr="00361487" w14:paraId="3F3ED60C" w14:textId="77777777" w:rsidTr="00B61A93">
        <w:trPr>
          <w:trHeight w:val="300"/>
        </w:trPr>
        <w:tc>
          <w:tcPr>
            <w:tcW w:w="5529" w:type="dxa"/>
            <w:tcBorders>
              <w:top w:val="nil"/>
              <w:left w:val="nil"/>
              <w:bottom w:val="nil"/>
              <w:right w:val="nil"/>
            </w:tcBorders>
            <w:noWrap/>
            <w:hideMark/>
          </w:tcPr>
          <w:p w14:paraId="628263AC" w14:textId="77777777" w:rsidR="006A2FE4" w:rsidRPr="007B7092" w:rsidRDefault="006A2FE4" w:rsidP="006A2FE4">
            <w:pPr>
              <w:pStyle w:val="Tablebodycopy"/>
            </w:pPr>
            <w:r w:rsidRPr="007B7092">
              <w:t>Administrative and Support Services</w:t>
            </w:r>
          </w:p>
        </w:tc>
        <w:tc>
          <w:tcPr>
            <w:tcW w:w="1134" w:type="dxa"/>
            <w:tcBorders>
              <w:top w:val="nil"/>
              <w:left w:val="nil"/>
              <w:bottom w:val="nil"/>
              <w:right w:val="nil"/>
            </w:tcBorders>
            <w:noWrap/>
            <w:vAlign w:val="center"/>
            <w:hideMark/>
          </w:tcPr>
          <w:p w14:paraId="3F36A842" w14:textId="77777777" w:rsidR="006A2FE4" w:rsidRPr="007B7092" w:rsidRDefault="006A2FE4" w:rsidP="006A2FE4">
            <w:pPr>
              <w:pStyle w:val="Tablebodycopy"/>
            </w:pPr>
            <w:r w:rsidRPr="007B7092">
              <w:rPr>
                <w:color w:val="000000"/>
              </w:rPr>
              <w:t>405.2</w:t>
            </w:r>
          </w:p>
        </w:tc>
        <w:tc>
          <w:tcPr>
            <w:tcW w:w="1417" w:type="dxa"/>
            <w:tcBorders>
              <w:top w:val="nil"/>
              <w:left w:val="nil"/>
              <w:bottom w:val="nil"/>
              <w:right w:val="nil"/>
            </w:tcBorders>
            <w:noWrap/>
            <w:vAlign w:val="center"/>
            <w:hideMark/>
          </w:tcPr>
          <w:p w14:paraId="2EE1BF99" w14:textId="77777777" w:rsidR="006A2FE4" w:rsidRPr="007B7092" w:rsidRDefault="006A2FE4" w:rsidP="006A2FE4">
            <w:pPr>
              <w:pStyle w:val="Tablebodycopy"/>
            </w:pPr>
            <w:r w:rsidRPr="007B7092">
              <w:rPr>
                <w:color w:val="000000"/>
              </w:rPr>
              <w:t>-21.4</w:t>
            </w:r>
          </w:p>
        </w:tc>
        <w:tc>
          <w:tcPr>
            <w:tcW w:w="1280" w:type="dxa"/>
            <w:tcBorders>
              <w:top w:val="nil"/>
              <w:left w:val="nil"/>
              <w:bottom w:val="nil"/>
              <w:right w:val="nil"/>
            </w:tcBorders>
            <w:noWrap/>
            <w:vAlign w:val="center"/>
            <w:hideMark/>
          </w:tcPr>
          <w:p w14:paraId="25801F55" w14:textId="77777777" w:rsidR="006A2FE4" w:rsidRPr="007B7092" w:rsidRDefault="006A2FE4" w:rsidP="006A2FE4">
            <w:pPr>
              <w:pStyle w:val="Tablebodycopy"/>
            </w:pPr>
            <w:r w:rsidRPr="007B7092">
              <w:rPr>
                <w:color w:val="000000"/>
              </w:rPr>
              <w:t>-5.0</w:t>
            </w:r>
          </w:p>
        </w:tc>
      </w:tr>
      <w:tr w:rsidR="006A2FE4" w:rsidRPr="00361487" w14:paraId="69EBD5EE" w14:textId="77777777" w:rsidTr="00B61A93">
        <w:trPr>
          <w:trHeight w:val="300"/>
        </w:trPr>
        <w:tc>
          <w:tcPr>
            <w:tcW w:w="5529" w:type="dxa"/>
            <w:tcBorders>
              <w:top w:val="nil"/>
              <w:left w:val="nil"/>
              <w:bottom w:val="nil"/>
              <w:right w:val="nil"/>
            </w:tcBorders>
            <w:shd w:val="clear" w:color="auto" w:fill="D9D9D9" w:themeFill="background1" w:themeFillShade="D9"/>
            <w:noWrap/>
            <w:hideMark/>
          </w:tcPr>
          <w:p w14:paraId="68A65FDA" w14:textId="77777777" w:rsidR="006A2FE4" w:rsidRPr="007B7092" w:rsidRDefault="006A2FE4" w:rsidP="006A2FE4">
            <w:pPr>
              <w:pStyle w:val="Tablebodycopy"/>
            </w:pPr>
            <w:r w:rsidRPr="007B7092">
              <w:t>Public Administration and Safety</w:t>
            </w:r>
          </w:p>
        </w:tc>
        <w:tc>
          <w:tcPr>
            <w:tcW w:w="1134" w:type="dxa"/>
            <w:tcBorders>
              <w:top w:val="nil"/>
              <w:left w:val="nil"/>
              <w:bottom w:val="nil"/>
              <w:right w:val="nil"/>
            </w:tcBorders>
            <w:shd w:val="clear" w:color="auto" w:fill="D9D9D9" w:themeFill="background1" w:themeFillShade="D9"/>
            <w:noWrap/>
            <w:vAlign w:val="center"/>
            <w:hideMark/>
          </w:tcPr>
          <w:p w14:paraId="51B811B3" w14:textId="77777777" w:rsidR="006A2FE4" w:rsidRPr="007B7092" w:rsidRDefault="006A2FE4" w:rsidP="006A2FE4">
            <w:pPr>
              <w:pStyle w:val="Tablebodycopy"/>
            </w:pPr>
            <w:r w:rsidRPr="007B7092">
              <w:rPr>
                <w:color w:val="000000"/>
              </w:rPr>
              <w:t>910.1</w:t>
            </w:r>
          </w:p>
        </w:tc>
        <w:tc>
          <w:tcPr>
            <w:tcW w:w="1417" w:type="dxa"/>
            <w:tcBorders>
              <w:top w:val="nil"/>
              <w:left w:val="nil"/>
              <w:bottom w:val="nil"/>
              <w:right w:val="nil"/>
            </w:tcBorders>
            <w:shd w:val="clear" w:color="auto" w:fill="D9D9D9" w:themeFill="background1" w:themeFillShade="D9"/>
            <w:noWrap/>
            <w:vAlign w:val="center"/>
            <w:hideMark/>
          </w:tcPr>
          <w:p w14:paraId="1D8BE243" w14:textId="77777777" w:rsidR="006A2FE4" w:rsidRPr="007B7092" w:rsidRDefault="006A2FE4" w:rsidP="006A2FE4">
            <w:pPr>
              <w:pStyle w:val="Tablebodycopy"/>
            </w:pPr>
            <w:r w:rsidRPr="007B7092">
              <w:rPr>
                <w:color w:val="000000"/>
              </w:rPr>
              <w:t>12.2</w:t>
            </w:r>
          </w:p>
        </w:tc>
        <w:tc>
          <w:tcPr>
            <w:tcW w:w="1280" w:type="dxa"/>
            <w:tcBorders>
              <w:top w:val="nil"/>
              <w:left w:val="nil"/>
              <w:bottom w:val="nil"/>
              <w:right w:val="nil"/>
            </w:tcBorders>
            <w:shd w:val="clear" w:color="auto" w:fill="D9D9D9" w:themeFill="background1" w:themeFillShade="D9"/>
            <w:noWrap/>
            <w:vAlign w:val="center"/>
            <w:hideMark/>
          </w:tcPr>
          <w:p w14:paraId="1A73DCD7" w14:textId="77777777" w:rsidR="006A2FE4" w:rsidRPr="007B7092" w:rsidRDefault="006A2FE4" w:rsidP="006A2FE4">
            <w:pPr>
              <w:pStyle w:val="Tablebodycopy"/>
            </w:pPr>
            <w:r w:rsidRPr="007B7092">
              <w:rPr>
                <w:color w:val="000000"/>
              </w:rPr>
              <w:t>1.4</w:t>
            </w:r>
          </w:p>
        </w:tc>
      </w:tr>
      <w:tr w:rsidR="006A2FE4" w:rsidRPr="00361487" w14:paraId="42803601" w14:textId="77777777" w:rsidTr="00B61A93">
        <w:trPr>
          <w:trHeight w:val="300"/>
        </w:trPr>
        <w:tc>
          <w:tcPr>
            <w:tcW w:w="5529" w:type="dxa"/>
            <w:tcBorders>
              <w:top w:val="nil"/>
              <w:left w:val="nil"/>
              <w:bottom w:val="nil"/>
              <w:right w:val="nil"/>
            </w:tcBorders>
            <w:noWrap/>
            <w:hideMark/>
          </w:tcPr>
          <w:p w14:paraId="177B03A6" w14:textId="77777777" w:rsidR="006A2FE4" w:rsidRPr="007B7092" w:rsidRDefault="006A2FE4" w:rsidP="006A2FE4">
            <w:pPr>
              <w:pStyle w:val="Tablebodycopy"/>
            </w:pPr>
            <w:r w:rsidRPr="007B7092">
              <w:t>Education and Training</w:t>
            </w:r>
          </w:p>
        </w:tc>
        <w:tc>
          <w:tcPr>
            <w:tcW w:w="1134" w:type="dxa"/>
            <w:tcBorders>
              <w:top w:val="nil"/>
              <w:left w:val="nil"/>
              <w:bottom w:val="nil"/>
              <w:right w:val="nil"/>
            </w:tcBorders>
            <w:noWrap/>
            <w:vAlign w:val="center"/>
            <w:hideMark/>
          </w:tcPr>
          <w:p w14:paraId="6547B844" w14:textId="77777777" w:rsidR="006A2FE4" w:rsidRPr="007B7092" w:rsidRDefault="006A2FE4" w:rsidP="006A2FE4">
            <w:pPr>
              <w:pStyle w:val="Tablebodycopy"/>
            </w:pPr>
            <w:r w:rsidRPr="007B7092">
              <w:rPr>
                <w:color w:val="000000"/>
              </w:rPr>
              <w:t>1,177.9</w:t>
            </w:r>
          </w:p>
        </w:tc>
        <w:tc>
          <w:tcPr>
            <w:tcW w:w="1417" w:type="dxa"/>
            <w:tcBorders>
              <w:top w:val="nil"/>
              <w:left w:val="nil"/>
              <w:bottom w:val="nil"/>
              <w:right w:val="nil"/>
            </w:tcBorders>
            <w:noWrap/>
            <w:vAlign w:val="center"/>
            <w:hideMark/>
          </w:tcPr>
          <w:p w14:paraId="0B74F50E" w14:textId="77777777" w:rsidR="006A2FE4" w:rsidRPr="007B7092" w:rsidRDefault="006A2FE4" w:rsidP="006A2FE4">
            <w:pPr>
              <w:pStyle w:val="Tablebodycopy"/>
            </w:pPr>
            <w:r w:rsidRPr="007B7092">
              <w:rPr>
                <w:color w:val="000000"/>
              </w:rPr>
              <w:t>55.3</w:t>
            </w:r>
          </w:p>
        </w:tc>
        <w:tc>
          <w:tcPr>
            <w:tcW w:w="1280" w:type="dxa"/>
            <w:tcBorders>
              <w:top w:val="nil"/>
              <w:left w:val="nil"/>
              <w:bottom w:val="nil"/>
              <w:right w:val="nil"/>
            </w:tcBorders>
            <w:noWrap/>
            <w:vAlign w:val="center"/>
            <w:hideMark/>
          </w:tcPr>
          <w:p w14:paraId="20E9C03A" w14:textId="77777777" w:rsidR="006A2FE4" w:rsidRPr="007B7092" w:rsidRDefault="006A2FE4" w:rsidP="006A2FE4">
            <w:pPr>
              <w:pStyle w:val="Tablebodycopy"/>
            </w:pPr>
            <w:r w:rsidRPr="007B7092">
              <w:rPr>
                <w:color w:val="000000"/>
              </w:rPr>
              <w:t>4.9</w:t>
            </w:r>
          </w:p>
        </w:tc>
      </w:tr>
      <w:tr w:rsidR="006A2FE4" w:rsidRPr="00361487" w14:paraId="510F7FD0" w14:textId="77777777" w:rsidTr="00B61A93">
        <w:trPr>
          <w:trHeight w:val="300"/>
        </w:trPr>
        <w:tc>
          <w:tcPr>
            <w:tcW w:w="5529" w:type="dxa"/>
            <w:tcBorders>
              <w:top w:val="nil"/>
              <w:left w:val="nil"/>
              <w:bottom w:val="nil"/>
              <w:right w:val="nil"/>
            </w:tcBorders>
            <w:shd w:val="clear" w:color="auto" w:fill="D9D9D9" w:themeFill="background1" w:themeFillShade="D9"/>
            <w:noWrap/>
            <w:hideMark/>
          </w:tcPr>
          <w:p w14:paraId="4BA4A266" w14:textId="77777777" w:rsidR="006A2FE4" w:rsidRPr="007B7092" w:rsidRDefault="006A2FE4" w:rsidP="006A2FE4">
            <w:pPr>
              <w:pStyle w:val="Tablebodycopy"/>
            </w:pPr>
            <w:r w:rsidRPr="007B7092">
              <w:t>Health Care and Social Assistance</w:t>
            </w:r>
          </w:p>
        </w:tc>
        <w:tc>
          <w:tcPr>
            <w:tcW w:w="1134" w:type="dxa"/>
            <w:tcBorders>
              <w:top w:val="nil"/>
              <w:left w:val="nil"/>
              <w:bottom w:val="nil"/>
              <w:right w:val="nil"/>
            </w:tcBorders>
            <w:shd w:val="clear" w:color="auto" w:fill="D9D9D9" w:themeFill="background1" w:themeFillShade="D9"/>
            <w:noWrap/>
            <w:vAlign w:val="center"/>
            <w:hideMark/>
          </w:tcPr>
          <w:p w14:paraId="05F6FB53" w14:textId="77777777" w:rsidR="006A2FE4" w:rsidRPr="007B7092" w:rsidRDefault="006A2FE4" w:rsidP="006A2FE4">
            <w:pPr>
              <w:pStyle w:val="Tablebodycopy"/>
            </w:pPr>
            <w:r w:rsidRPr="007B7092">
              <w:rPr>
                <w:color w:val="000000"/>
              </w:rPr>
              <w:t>2,148.8</w:t>
            </w:r>
          </w:p>
        </w:tc>
        <w:tc>
          <w:tcPr>
            <w:tcW w:w="1417" w:type="dxa"/>
            <w:tcBorders>
              <w:top w:val="nil"/>
              <w:left w:val="nil"/>
              <w:bottom w:val="nil"/>
              <w:right w:val="nil"/>
            </w:tcBorders>
            <w:shd w:val="clear" w:color="auto" w:fill="D9D9D9" w:themeFill="background1" w:themeFillShade="D9"/>
            <w:noWrap/>
            <w:vAlign w:val="center"/>
            <w:hideMark/>
          </w:tcPr>
          <w:p w14:paraId="6F145194" w14:textId="77777777" w:rsidR="006A2FE4" w:rsidRPr="007B7092" w:rsidRDefault="006A2FE4" w:rsidP="006A2FE4">
            <w:pPr>
              <w:pStyle w:val="Tablebodycopy"/>
            </w:pPr>
            <w:r w:rsidRPr="007B7092">
              <w:rPr>
                <w:color w:val="000000"/>
              </w:rPr>
              <w:t>119.1</w:t>
            </w:r>
          </w:p>
        </w:tc>
        <w:tc>
          <w:tcPr>
            <w:tcW w:w="1280" w:type="dxa"/>
            <w:tcBorders>
              <w:top w:val="nil"/>
              <w:left w:val="nil"/>
              <w:bottom w:val="nil"/>
              <w:right w:val="nil"/>
            </w:tcBorders>
            <w:shd w:val="clear" w:color="auto" w:fill="D9D9D9" w:themeFill="background1" w:themeFillShade="D9"/>
            <w:noWrap/>
            <w:vAlign w:val="center"/>
            <w:hideMark/>
          </w:tcPr>
          <w:p w14:paraId="798A7DF8" w14:textId="77777777" w:rsidR="006A2FE4" w:rsidRPr="007B7092" w:rsidRDefault="006A2FE4" w:rsidP="006A2FE4">
            <w:pPr>
              <w:pStyle w:val="Tablebodycopy"/>
            </w:pPr>
            <w:r w:rsidRPr="007B7092">
              <w:rPr>
                <w:color w:val="000000"/>
              </w:rPr>
              <w:t>5.9</w:t>
            </w:r>
          </w:p>
        </w:tc>
      </w:tr>
      <w:tr w:rsidR="006A2FE4" w:rsidRPr="00361487" w14:paraId="4160060F" w14:textId="77777777" w:rsidTr="00B61A93">
        <w:trPr>
          <w:trHeight w:val="300"/>
        </w:trPr>
        <w:tc>
          <w:tcPr>
            <w:tcW w:w="5529" w:type="dxa"/>
            <w:tcBorders>
              <w:top w:val="nil"/>
              <w:left w:val="nil"/>
              <w:bottom w:val="nil"/>
              <w:right w:val="nil"/>
            </w:tcBorders>
            <w:noWrap/>
            <w:hideMark/>
          </w:tcPr>
          <w:p w14:paraId="5AA73DFB" w14:textId="77777777" w:rsidR="006A2FE4" w:rsidRPr="007B7092" w:rsidRDefault="006A2FE4" w:rsidP="006A2FE4">
            <w:pPr>
              <w:pStyle w:val="Tablebodycopy"/>
            </w:pPr>
            <w:r w:rsidRPr="007B7092">
              <w:t>Arts and Recreation Services</w:t>
            </w:r>
          </w:p>
        </w:tc>
        <w:tc>
          <w:tcPr>
            <w:tcW w:w="1134" w:type="dxa"/>
            <w:tcBorders>
              <w:top w:val="nil"/>
              <w:left w:val="nil"/>
              <w:bottom w:val="nil"/>
              <w:right w:val="nil"/>
            </w:tcBorders>
            <w:noWrap/>
            <w:vAlign w:val="center"/>
            <w:hideMark/>
          </w:tcPr>
          <w:p w14:paraId="5D01A3D8" w14:textId="77777777" w:rsidR="006A2FE4" w:rsidRPr="007B7092" w:rsidRDefault="006A2FE4" w:rsidP="006A2FE4">
            <w:pPr>
              <w:pStyle w:val="Tablebodycopy"/>
            </w:pPr>
            <w:r w:rsidRPr="007B7092">
              <w:rPr>
                <w:color w:val="000000"/>
              </w:rPr>
              <w:t>248.6</w:t>
            </w:r>
          </w:p>
        </w:tc>
        <w:tc>
          <w:tcPr>
            <w:tcW w:w="1417" w:type="dxa"/>
            <w:tcBorders>
              <w:top w:val="nil"/>
              <w:left w:val="nil"/>
              <w:bottom w:val="nil"/>
              <w:right w:val="nil"/>
            </w:tcBorders>
            <w:noWrap/>
            <w:vAlign w:val="center"/>
            <w:hideMark/>
          </w:tcPr>
          <w:p w14:paraId="22F77142" w14:textId="77777777" w:rsidR="006A2FE4" w:rsidRPr="007B7092" w:rsidRDefault="006A2FE4" w:rsidP="006A2FE4">
            <w:pPr>
              <w:pStyle w:val="Tablebodycopy"/>
            </w:pPr>
            <w:r w:rsidRPr="007B7092">
              <w:rPr>
                <w:color w:val="000000"/>
              </w:rPr>
              <w:t>16.3</w:t>
            </w:r>
          </w:p>
        </w:tc>
        <w:tc>
          <w:tcPr>
            <w:tcW w:w="1280" w:type="dxa"/>
            <w:tcBorders>
              <w:top w:val="nil"/>
              <w:left w:val="nil"/>
              <w:bottom w:val="nil"/>
              <w:right w:val="nil"/>
            </w:tcBorders>
            <w:noWrap/>
            <w:vAlign w:val="center"/>
            <w:hideMark/>
          </w:tcPr>
          <w:p w14:paraId="09C0B803" w14:textId="77777777" w:rsidR="006A2FE4" w:rsidRPr="007B7092" w:rsidRDefault="006A2FE4" w:rsidP="006A2FE4">
            <w:pPr>
              <w:pStyle w:val="Tablebodycopy"/>
            </w:pPr>
            <w:r w:rsidRPr="007B7092">
              <w:rPr>
                <w:color w:val="000000"/>
              </w:rPr>
              <w:t>7.0</w:t>
            </w:r>
          </w:p>
        </w:tc>
      </w:tr>
      <w:tr w:rsidR="006A2FE4" w:rsidRPr="00361487" w14:paraId="01AD3FE5" w14:textId="77777777" w:rsidTr="00B61A93">
        <w:trPr>
          <w:trHeight w:val="300"/>
        </w:trPr>
        <w:tc>
          <w:tcPr>
            <w:tcW w:w="5529" w:type="dxa"/>
            <w:tcBorders>
              <w:top w:val="nil"/>
              <w:left w:val="nil"/>
              <w:bottom w:val="nil"/>
              <w:right w:val="nil"/>
            </w:tcBorders>
            <w:shd w:val="clear" w:color="auto" w:fill="D9D9D9" w:themeFill="background1" w:themeFillShade="D9"/>
            <w:noWrap/>
            <w:hideMark/>
          </w:tcPr>
          <w:p w14:paraId="1BD5456B" w14:textId="77777777" w:rsidR="006A2FE4" w:rsidRPr="007B7092" w:rsidRDefault="006A2FE4" w:rsidP="006A2FE4">
            <w:pPr>
              <w:pStyle w:val="Tablebodycopy"/>
            </w:pPr>
            <w:r w:rsidRPr="007B7092">
              <w:t>Other Services</w:t>
            </w:r>
          </w:p>
        </w:tc>
        <w:tc>
          <w:tcPr>
            <w:tcW w:w="1134" w:type="dxa"/>
            <w:tcBorders>
              <w:top w:val="nil"/>
              <w:left w:val="nil"/>
              <w:bottom w:val="nil"/>
              <w:right w:val="nil"/>
            </w:tcBorders>
            <w:shd w:val="clear" w:color="auto" w:fill="D9D9D9" w:themeFill="background1" w:themeFillShade="D9"/>
            <w:noWrap/>
            <w:vAlign w:val="center"/>
            <w:hideMark/>
          </w:tcPr>
          <w:p w14:paraId="5FD4D6C9" w14:textId="77777777" w:rsidR="006A2FE4" w:rsidRPr="007B7092" w:rsidRDefault="006A2FE4" w:rsidP="006A2FE4">
            <w:pPr>
              <w:pStyle w:val="Tablebodycopy"/>
            </w:pPr>
            <w:r w:rsidRPr="007B7092">
              <w:rPr>
                <w:color w:val="000000"/>
              </w:rPr>
              <w:t>526.4</w:t>
            </w:r>
          </w:p>
        </w:tc>
        <w:tc>
          <w:tcPr>
            <w:tcW w:w="1417" w:type="dxa"/>
            <w:tcBorders>
              <w:top w:val="nil"/>
              <w:left w:val="nil"/>
              <w:bottom w:val="nil"/>
              <w:right w:val="nil"/>
            </w:tcBorders>
            <w:shd w:val="clear" w:color="auto" w:fill="D9D9D9" w:themeFill="background1" w:themeFillShade="D9"/>
            <w:noWrap/>
            <w:vAlign w:val="center"/>
            <w:hideMark/>
          </w:tcPr>
          <w:p w14:paraId="0340D0B6" w14:textId="77777777" w:rsidR="006A2FE4" w:rsidRPr="007B7092" w:rsidRDefault="006A2FE4" w:rsidP="006A2FE4">
            <w:pPr>
              <w:pStyle w:val="Tablebodycopy"/>
            </w:pPr>
            <w:r w:rsidRPr="007B7092">
              <w:rPr>
                <w:color w:val="000000"/>
              </w:rPr>
              <w:t>-20.8</w:t>
            </w:r>
          </w:p>
        </w:tc>
        <w:tc>
          <w:tcPr>
            <w:tcW w:w="1280" w:type="dxa"/>
            <w:tcBorders>
              <w:top w:val="nil"/>
              <w:left w:val="nil"/>
              <w:bottom w:val="nil"/>
              <w:right w:val="nil"/>
            </w:tcBorders>
            <w:shd w:val="clear" w:color="auto" w:fill="D9D9D9" w:themeFill="background1" w:themeFillShade="D9"/>
            <w:noWrap/>
            <w:vAlign w:val="center"/>
            <w:hideMark/>
          </w:tcPr>
          <w:p w14:paraId="68939AF9" w14:textId="77777777" w:rsidR="006A2FE4" w:rsidRPr="007B7092" w:rsidRDefault="006A2FE4" w:rsidP="006A2FE4">
            <w:pPr>
              <w:pStyle w:val="Tablebodycopy"/>
            </w:pPr>
            <w:r w:rsidRPr="007B7092">
              <w:rPr>
                <w:color w:val="000000"/>
              </w:rPr>
              <w:t>-3.8</w:t>
            </w:r>
          </w:p>
        </w:tc>
      </w:tr>
      <w:tr w:rsidR="006A2FE4" w:rsidRPr="00361487" w14:paraId="1A205EA4" w14:textId="77777777" w:rsidTr="00B61A93">
        <w:trPr>
          <w:trHeight w:val="80"/>
        </w:trPr>
        <w:tc>
          <w:tcPr>
            <w:tcW w:w="5529" w:type="dxa"/>
            <w:tcBorders>
              <w:top w:val="nil"/>
              <w:left w:val="nil"/>
              <w:bottom w:val="nil"/>
              <w:right w:val="nil"/>
            </w:tcBorders>
            <w:noWrap/>
            <w:hideMark/>
          </w:tcPr>
          <w:p w14:paraId="6E78DADA" w14:textId="77777777" w:rsidR="006A2FE4" w:rsidRPr="007B7092" w:rsidRDefault="006A2FE4" w:rsidP="006A2FE4">
            <w:pPr>
              <w:pStyle w:val="Tablebodycopy"/>
              <w:rPr>
                <w:b/>
                <w:bCs/>
              </w:rPr>
            </w:pPr>
            <w:r w:rsidRPr="007B7092">
              <w:rPr>
                <w:b/>
                <w:bCs/>
              </w:rPr>
              <w:t>TOTAL EMPLOYMENT</w:t>
            </w:r>
          </w:p>
        </w:tc>
        <w:tc>
          <w:tcPr>
            <w:tcW w:w="1134" w:type="dxa"/>
            <w:tcBorders>
              <w:top w:val="nil"/>
              <w:left w:val="nil"/>
              <w:bottom w:val="nil"/>
              <w:right w:val="nil"/>
            </w:tcBorders>
            <w:noWrap/>
            <w:vAlign w:val="center"/>
            <w:hideMark/>
          </w:tcPr>
          <w:p w14:paraId="2D70D2E9" w14:textId="77777777" w:rsidR="006A2FE4" w:rsidRPr="007B7092" w:rsidRDefault="006A2FE4" w:rsidP="006A2FE4">
            <w:pPr>
              <w:pStyle w:val="Tablebodycopy"/>
              <w:rPr>
                <w:b/>
                <w:bCs/>
              </w:rPr>
            </w:pPr>
            <w:r w:rsidRPr="007B7092">
              <w:rPr>
                <w:b/>
                <w:bCs/>
              </w:rPr>
              <w:t>14,029.8</w:t>
            </w:r>
          </w:p>
        </w:tc>
        <w:tc>
          <w:tcPr>
            <w:tcW w:w="1417" w:type="dxa"/>
            <w:tcBorders>
              <w:top w:val="nil"/>
              <w:left w:val="nil"/>
              <w:bottom w:val="nil"/>
              <w:right w:val="nil"/>
            </w:tcBorders>
            <w:noWrap/>
            <w:vAlign w:val="center"/>
            <w:hideMark/>
          </w:tcPr>
          <w:p w14:paraId="5C580CD5" w14:textId="77777777" w:rsidR="006A2FE4" w:rsidRPr="007B7092" w:rsidRDefault="006A2FE4" w:rsidP="006A2FE4">
            <w:pPr>
              <w:pStyle w:val="Tablebodycopy"/>
              <w:rPr>
                <w:b/>
                <w:bCs/>
              </w:rPr>
            </w:pPr>
            <w:r w:rsidRPr="007B7092">
              <w:rPr>
                <w:b/>
                <w:bCs/>
              </w:rPr>
              <w:t>482.4</w:t>
            </w:r>
          </w:p>
        </w:tc>
        <w:tc>
          <w:tcPr>
            <w:tcW w:w="1280" w:type="dxa"/>
            <w:tcBorders>
              <w:top w:val="nil"/>
              <w:left w:val="nil"/>
              <w:bottom w:val="nil"/>
              <w:right w:val="nil"/>
            </w:tcBorders>
            <w:noWrap/>
            <w:vAlign w:val="center"/>
            <w:hideMark/>
          </w:tcPr>
          <w:p w14:paraId="38F13F91" w14:textId="77777777" w:rsidR="006A2FE4" w:rsidRPr="007B7092" w:rsidRDefault="006A2FE4" w:rsidP="006A2FE4">
            <w:pPr>
              <w:pStyle w:val="Tablebodycopy"/>
              <w:rPr>
                <w:b/>
                <w:bCs/>
              </w:rPr>
            </w:pPr>
            <w:r w:rsidRPr="007B7092">
              <w:rPr>
                <w:b/>
                <w:bCs/>
              </w:rPr>
              <w:t>3.6</w:t>
            </w:r>
          </w:p>
        </w:tc>
      </w:tr>
    </w:tbl>
    <w:p w14:paraId="66DB7F8F" w14:textId="77777777" w:rsidR="006A2FE4" w:rsidRPr="00361487" w:rsidRDefault="006A2FE4" w:rsidP="006A2FE4">
      <w:pPr>
        <w:pStyle w:val="Source"/>
        <w:numPr>
          <w:ilvl w:val="0"/>
          <w:numId w:val="0"/>
        </w:numPr>
      </w:pPr>
      <w:bookmarkStart w:id="19" w:name="_Hlk144819341"/>
      <w:r>
        <w:t>Source: ABS, Labour Force, Australia, Detailed, May 2023, data trended by the ABS</w:t>
      </w:r>
      <w:bookmarkEnd w:id="19"/>
      <w:r>
        <w:t>.</w:t>
      </w:r>
    </w:p>
    <w:p w14:paraId="0908FCC2" w14:textId="77777777" w:rsidR="002923C4" w:rsidRDefault="002923C4" w:rsidP="002923C4">
      <w:pPr>
        <w:pStyle w:val="ChartandTablelabel"/>
      </w:pPr>
      <w:r>
        <w:br w:type="page"/>
      </w:r>
    </w:p>
    <w:p w14:paraId="1FD862F8" w14:textId="49EC4B13" w:rsidR="002923C4" w:rsidRDefault="002923C4" w:rsidP="002923C4">
      <w:pPr>
        <w:pStyle w:val="ChartandTablelabel"/>
      </w:pPr>
      <w:r w:rsidRPr="000F6E42">
        <w:lastRenderedPageBreak/>
        <w:t xml:space="preserve">Figure </w:t>
      </w:r>
      <w:r>
        <w:t>11</w:t>
      </w:r>
      <w:r w:rsidRPr="000F6E42">
        <w:t xml:space="preserve">: Employment growth by </w:t>
      </w:r>
      <w:r>
        <w:t>I</w:t>
      </w:r>
      <w:r w:rsidRPr="000F6E42">
        <w:t>ndustry (‘000) – May 2022 to May 2023</w:t>
      </w:r>
    </w:p>
    <w:p w14:paraId="36400E75" w14:textId="74DB548A" w:rsidR="009E3CBA" w:rsidRPr="000F6E42" w:rsidRDefault="00EB3B41" w:rsidP="002923C4">
      <w:pPr>
        <w:pStyle w:val="ChartandTablelabel"/>
      </w:pPr>
      <w:r>
        <w:rPr>
          <w:noProof/>
        </w:rPr>
        <w:drawing>
          <wp:inline distT="0" distB="0" distL="0" distR="0" wp14:anchorId="1D4720CE" wp14:editId="7807E268">
            <wp:extent cx="5731510" cy="3099876"/>
            <wp:effectExtent l="0" t="0" r="2540" b="5715"/>
            <wp:docPr id="1" name="Chart 1" descr="Chart type: Clustered Bar. The x-axis is labelled 'Employment change ('000)'. This is a clustered bar chart displaying the growth in employment from May 2022 to May 2023, by ANZSIC 1-digit industry.  Twelve industries experienced growth over the period, while seven industries experienced declines in employment. The industry with the highest growth was Health Care and Social Assistance (up by 119,100 people), followed by Construction (up by 113,500 people), Professional, Scientific and Technical Services (up by 61,800 people), Education and Training (up by 55,300 people), Manufacturing (up by 48,100 people), Accommodation and Food Services (up by 32,900 people), Transport, Postal and Warehousing (up by 26,300 people), Retail Trade (up by 17,600 people), Arts and Recreation Services (up by 16,300 people), Mining (up by 15,300 people), Public Administration and Safety (up by 12,200 people) and Agriculture, Forestry and Fishing (up by 6,900 people). The industry with the smallest decline in people employed over the year to May 2023 was Information, Media and Telecommunications (down by 4,500 people), followed by Wholesale Trade (down by 5,400 people), Electricity, Gas, Water and Waste Services (down by 8,900 people), Financial and Insurance Services, (down by 15,400 people), Rental, Hiring and Real Estate Services (down by 19,000 people), Other Services (down by 20,800 people) and Administrative and Support Services (down by 21,400 people). ">
              <a:extLst xmlns:a="http://schemas.openxmlformats.org/drawingml/2006/main">
                <a:ext uri="{FF2B5EF4-FFF2-40B4-BE49-F238E27FC236}">
                  <a16:creationId xmlns:a16="http://schemas.microsoft.com/office/drawing/2014/main" id="{774893B9-DA6B-4076-AD85-156C1D732F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76BB2BD" w14:textId="77777777" w:rsidR="002923C4" w:rsidRPr="003C3C02" w:rsidRDefault="002923C4" w:rsidP="002923C4">
      <w:pPr>
        <w:pStyle w:val="Source"/>
        <w:numPr>
          <w:ilvl w:val="0"/>
          <w:numId w:val="0"/>
        </w:numPr>
        <w:ind w:left="510" w:hanging="510"/>
        <w:rPr>
          <w:rStyle w:val="Emphasis"/>
          <w:rFonts w:eastAsiaTheme="minorHAnsi" w:cstheme="minorBidi"/>
          <w:b/>
          <w:bCs/>
          <w:i/>
          <w:color w:val="auto"/>
          <w:spacing w:val="0"/>
          <w:sz w:val="20"/>
          <w:szCs w:val="20"/>
          <w:lang w:eastAsia="en-US"/>
        </w:rPr>
      </w:pPr>
      <w:r>
        <w:t>Source: ABS, Labour Force, Australia, Detailed, May 2023, data trended by the ABS.</w:t>
      </w:r>
    </w:p>
    <w:p w14:paraId="09B4D6A7" w14:textId="77777777" w:rsidR="002923C4" w:rsidRDefault="002923C4" w:rsidP="002923C4">
      <w:pPr>
        <w:pStyle w:val="Bodycopy"/>
      </w:pPr>
      <w:r w:rsidRPr="00D459CE">
        <w:t xml:space="preserve">The </w:t>
      </w:r>
      <w:r w:rsidRPr="00D459CE">
        <w:rPr>
          <w:b/>
          <w:bCs/>
        </w:rPr>
        <w:t xml:space="preserve">Health Care and Social Assistance </w:t>
      </w:r>
      <w:r w:rsidRPr="00D459CE">
        <w:t xml:space="preserve">industry has experienced 11 consecutive quarters of employment growth, with employment increasing by 119,100 workers (or 5.9%) over the year to May 2023. At a sub-industry level, </w:t>
      </w:r>
      <w:r w:rsidRPr="00D459CE">
        <w:rPr>
          <w:i/>
          <w:iCs/>
        </w:rPr>
        <w:t>Social Assistance Services</w:t>
      </w:r>
      <w:r w:rsidRPr="00D459CE">
        <w:t xml:space="preserve"> was a key driver of growth, with employment increasing by 96,700 (or 16.4%) over the year, the largest annual rate of growth recorded in the trend series. Strong annual growth for social assistance services may be attributed to increased demand for various social services linked to the negative</w:t>
      </w:r>
      <w:r w:rsidRPr="003C66FC">
        <w:t xml:space="preserve"> mental health effects of the COVID-19 pandemic and ensuing lockdowns,</w:t>
      </w:r>
      <w:r w:rsidRPr="003C66FC">
        <w:rPr>
          <w:rStyle w:val="FootnoteReference"/>
          <w:rFonts w:cs="Arial"/>
        </w:rPr>
        <w:footnoteReference w:id="3"/>
      </w:r>
      <w:r w:rsidRPr="003C66FC">
        <w:t xml:space="preserve"> and ongoing demand for and increased attendance hours at childcare centres.</w:t>
      </w:r>
      <w:r w:rsidRPr="003C66FC">
        <w:rPr>
          <w:rStyle w:val="FootnoteReference"/>
          <w:rFonts w:cs="Arial"/>
        </w:rPr>
        <w:footnoteReference w:id="4"/>
      </w:r>
      <w:r w:rsidRPr="003C66FC">
        <w:t xml:space="preserve"> </w:t>
      </w:r>
    </w:p>
    <w:p w14:paraId="34DD2EBE" w14:textId="77777777" w:rsidR="00D90DB9" w:rsidRPr="003C66FC" w:rsidRDefault="00D90DB9" w:rsidP="00D90DB9">
      <w:pPr>
        <w:pStyle w:val="Bodycopy"/>
      </w:pPr>
      <w:r w:rsidRPr="00093775">
        <w:t>Over the year to May 2023,</w:t>
      </w:r>
      <w:r w:rsidRPr="003C66FC">
        <w:t xml:space="preserve"> strong employment growth was also recorded for the </w:t>
      </w:r>
      <w:r w:rsidRPr="003C66FC">
        <w:rPr>
          <w:i/>
          <w:iCs/>
        </w:rPr>
        <w:t>Medical and Other Health Care Services</w:t>
      </w:r>
      <w:r w:rsidRPr="003C66FC">
        <w:t xml:space="preserve"> and </w:t>
      </w:r>
      <w:r w:rsidRPr="003C66FC">
        <w:rPr>
          <w:i/>
          <w:iCs/>
        </w:rPr>
        <w:t xml:space="preserve">Hospitals </w:t>
      </w:r>
      <w:r w:rsidRPr="003C66FC">
        <w:t xml:space="preserve">sub-industries, increasing </w:t>
      </w:r>
      <w:r w:rsidRPr="00D459CE">
        <w:t>by (54,200 or 8.7%</w:t>
      </w:r>
      <w:r w:rsidRPr="008F596A">
        <w:t>,</w:t>
      </w:r>
      <w:r w:rsidRPr="00D459CE">
        <w:t xml:space="preserve"> and 13,600 or 2.5% respectively). Growth in these sub-industries may be at</w:t>
      </w:r>
      <w:r w:rsidRPr="003C66FC">
        <w:t>tributed to increased demand for a range of health care, medical and hospital services due to the postponement of medical care and elective surgeries during the COVID-19 pandemic</w:t>
      </w:r>
      <w:r>
        <w:t xml:space="preserve">. </w:t>
      </w:r>
      <w:r w:rsidRPr="003C66FC">
        <w:t xml:space="preserve">The Australian Medical Association (AMA) estimates a backlog of </w:t>
      </w:r>
      <w:r>
        <w:t>around</w:t>
      </w:r>
      <w:r w:rsidRPr="003C66FC">
        <w:t xml:space="preserve"> </w:t>
      </w:r>
      <w:r w:rsidRPr="006862BD">
        <w:t>507,800</w:t>
      </w:r>
      <w:r w:rsidRPr="003C66FC">
        <w:t xml:space="preserve"> patients seeking elective surgeries by the end of the 2022-23 financial year (a backlog of eight months) if hospitals do not expand their capacity. This backlog is well above the AMAs 2021-22 estimate of </w:t>
      </w:r>
      <w:r>
        <w:t xml:space="preserve">around </w:t>
      </w:r>
      <w:r w:rsidRPr="006862BD">
        <w:t>306,300</w:t>
      </w:r>
      <w:r w:rsidRPr="003C66FC">
        <w:t xml:space="preserve"> patients (a backlog of </w:t>
      </w:r>
      <w:r>
        <w:t xml:space="preserve">almost </w:t>
      </w:r>
      <w:r w:rsidRPr="003C66FC">
        <w:t>five months).</w:t>
      </w:r>
      <w:r w:rsidRPr="003C66FC">
        <w:rPr>
          <w:rStyle w:val="FootnoteReference"/>
          <w:rFonts w:cs="Arial"/>
        </w:rPr>
        <w:footnoteReference w:id="5"/>
      </w:r>
      <w:r w:rsidRPr="003C66FC">
        <w:t xml:space="preserve"> Other factors that may be driving employment growth in the industry include continued healthcare spending by federal and state governments during and after the COVID-19 pandemic, with 2022-23 healthcare expenditure constituting 16.8% of the Australian Government’s total expenditure over the period.</w:t>
      </w:r>
      <w:r w:rsidRPr="003C66FC">
        <w:rPr>
          <w:rStyle w:val="FootnoteReference"/>
          <w:rFonts w:cs="Arial"/>
        </w:rPr>
        <w:footnoteReference w:id="6"/>
      </w:r>
      <w:r w:rsidRPr="003C66FC">
        <w:t xml:space="preserve"> </w:t>
      </w:r>
    </w:p>
    <w:p w14:paraId="2456EE6A" w14:textId="77777777" w:rsidR="00D90DB9" w:rsidRPr="003C66FC" w:rsidRDefault="00D90DB9" w:rsidP="00D90DB9">
      <w:pPr>
        <w:pStyle w:val="Bodycopy"/>
      </w:pPr>
      <w:r w:rsidRPr="003C66FC">
        <w:lastRenderedPageBreak/>
        <w:t xml:space="preserve">Employment in the </w:t>
      </w:r>
      <w:r w:rsidRPr="003C66FC">
        <w:rPr>
          <w:b/>
          <w:bCs/>
        </w:rPr>
        <w:t xml:space="preserve">Construction </w:t>
      </w:r>
      <w:r w:rsidRPr="003C66FC">
        <w:t xml:space="preserve">industry has grown </w:t>
      </w:r>
      <w:r w:rsidRPr="00D459CE">
        <w:t xml:space="preserve">by 113,500 people (or 9.3%) over the year to May 2023. The industry has experienced seven consecutive quarters of employment growth as the economy continues to recover from COVID-19 lockdowns in 2020 and the first half of 2021 (particularly in NSW, Victoria and WA), while material shortages and supply chain issues ease. </w:t>
      </w:r>
      <w:r w:rsidRPr="00DF5807">
        <w:t xml:space="preserve">The </w:t>
      </w:r>
      <w:r w:rsidRPr="00DF5807">
        <w:rPr>
          <w:i/>
          <w:iCs/>
        </w:rPr>
        <w:t>Construction Services</w:t>
      </w:r>
      <w:r w:rsidRPr="00DF5807">
        <w:t xml:space="preserve"> sub-industry grew by 58,300 people (or 7.5%) over the year, and the </w:t>
      </w:r>
      <w:r w:rsidRPr="00DF5807">
        <w:rPr>
          <w:i/>
          <w:iCs/>
        </w:rPr>
        <w:t xml:space="preserve">Building Construction </w:t>
      </w:r>
      <w:r w:rsidRPr="00DF5807">
        <w:t xml:space="preserve">sub-industry grew by 11,600 people (or 3.5%) over the same period, largely driven by an increase in employment in </w:t>
      </w:r>
      <w:r w:rsidRPr="00DF5807">
        <w:rPr>
          <w:i/>
          <w:iCs/>
        </w:rPr>
        <w:t>Residential Building Construction</w:t>
      </w:r>
      <w:r w:rsidRPr="00DF5807">
        <w:t xml:space="preserve">. </w:t>
      </w:r>
      <w:r w:rsidRPr="00D459CE">
        <w:t xml:space="preserve">The </w:t>
      </w:r>
      <w:r w:rsidRPr="00D459CE">
        <w:rPr>
          <w:b/>
          <w:bCs/>
        </w:rPr>
        <w:t>Construction</w:t>
      </w:r>
      <w:r w:rsidRPr="00D459CE">
        <w:t xml:space="preserve"> industry is expected to see continued growth over at least the next year due to a large pipeline of residential and non-residential projects.</w:t>
      </w:r>
      <w:r w:rsidRPr="00D459CE">
        <w:rPr>
          <w:rStyle w:val="FootnoteReference"/>
          <w:rFonts w:cs="Arial"/>
        </w:rPr>
        <w:footnoteReference w:id="7"/>
      </w:r>
      <w:r w:rsidRPr="00D459CE">
        <w:t xml:space="preserve"> There are good prospects for higher density and detached residential projects, particularly in Sydney an</w:t>
      </w:r>
      <w:r w:rsidRPr="003C66FC">
        <w:t>d Melbourne due to declining vacancy rates.</w:t>
      </w:r>
      <w:r w:rsidRPr="003C66FC">
        <w:rPr>
          <w:rStyle w:val="FootnoteReference"/>
          <w:rFonts w:cs="Arial"/>
        </w:rPr>
        <w:footnoteReference w:id="8"/>
      </w:r>
      <w:r w:rsidRPr="003C66FC">
        <w:t xml:space="preserve"> </w:t>
      </w:r>
    </w:p>
    <w:p w14:paraId="3605259C" w14:textId="77777777" w:rsidR="00D90DB9" w:rsidRDefault="00D90DB9" w:rsidP="00D90DB9">
      <w:pPr>
        <w:pStyle w:val="Bodycopy"/>
      </w:pPr>
      <w:r w:rsidRPr="003C66FC">
        <w:t xml:space="preserve">The </w:t>
      </w:r>
      <w:r w:rsidRPr="003C66FC">
        <w:rPr>
          <w:b/>
          <w:bCs/>
        </w:rPr>
        <w:t xml:space="preserve">Professional, Scientific and Technical Services </w:t>
      </w:r>
      <w:r w:rsidRPr="00D459CE">
        <w:t>industry has recorded 12 consecutive quarters of employment growth, reaching a record high of 1,323,000 people employed in May 2023. Over the year, employment increased by 61,800</w:t>
      </w:r>
      <w:r w:rsidRPr="008F596A">
        <w:t xml:space="preserve"> people</w:t>
      </w:r>
      <w:r w:rsidRPr="00D459CE">
        <w:t xml:space="preserve"> (or 4.9%). Annual growth in the industry’s workforce was largely due to an increase in employment across three sectors: </w:t>
      </w:r>
      <w:r w:rsidRPr="00D459CE">
        <w:rPr>
          <w:i/>
          <w:iCs/>
        </w:rPr>
        <w:t>Computer System Design and Related Services</w:t>
      </w:r>
      <w:r w:rsidRPr="00D459CE">
        <w:t xml:space="preserve"> (up by 19,300 or 6.1%), </w:t>
      </w:r>
      <w:r w:rsidRPr="00D459CE">
        <w:rPr>
          <w:i/>
          <w:iCs/>
        </w:rPr>
        <w:t>Legal and Accounting Services</w:t>
      </w:r>
      <w:r w:rsidRPr="00D459CE">
        <w:t xml:space="preserve"> (up by 11,900 or 3.8%) and </w:t>
      </w:r>
      <w:r w:rsidRPr="00D459CE">
        <w:rPr>
          <w:i/>
          <w:iCs/>
        </w:rPr>
        <w:t>Management and Related Consulting Services</w:t>
      </w:r>
      <w:r w:rsidRPr="00D459CE">
        <w:t xml:space="preserve"> (up by 7,500 or 5.7%).</w:t>
      </w:r>
      <w:r w:rsidRPr="003C66FC">
        <w:t xml:space="preserve"> </w:t>
      </w:r>
    </w:p>
    <w:p w14:paraId="7E80A7FC" w14:textId="77777777" w:rsidR="00D90DB9" w:rsidRPr="00712F8C" w:rsidRDefault="00D90DB9" w:rsidP="00D90DB9">
      <w:pPr>
        <w:pStyle w:val="Bodycopy"/>
      </w:pPr>
      <w:r w:rsidRPr="00DF5807">
        <w:t xml:space="preserve">The </w:t>
      </w:r>
      <w:r w:rsidRPr="00DF5807">
        <w:rPr>
          <w:b/>
          <w:bCs/>
        </w:rPr>
        <w:t xml:space="preserve">Education and Training </w:t>
      </w:r>
      <w:r w:rsidRPr="00DF5807">
        <w:t xml:space="preserve">industry reached a record high of 1,177,900 people employed in May 2023, an </w:t>
      </w:r>
      <w:r w:rsidRPr="00712F8C">
        <w:t xml:space="preserve">increase of 55,300 people (or 4.9%) over the year. This growth was largely driven by an increase in the </w:t>
      </w:r>
      <w:r w:rsidRPr="00712F8C">
        <w:rPr>
          <w:i/>
          <w:iCs/>
        </w:rPr>
        <w:t xml:space="preserve">Preschool and School Education </w:t>
      </w:r>
      <w:r w:rsidRPr="00712F8C">
        <w:t>sub-industry, which grew by 20,500 people (or 3.0%) over the year to May 2023, with strong demand for and increased attendance hours at preschools likely a contributing factor.</w:t>
      </w:r>
      <w:r w:rsidRPr="00712F8C">
        <w:rPr>
          <w:rStyle w:val="FootnoteReference"/>
          <w:rFonts w:cs="Arial"/>
        </w:rPr>
        <w:footnoteReference w:id="9"/>
      </w:r>
    </w:p>
    <w:p w14:paraId="28B97857" w14:textId="77777777" w:rsidR="00D90DB9" w:rsidRPr="00025789" w:rsidRDefault="00D90DB9" w:rsidP="00D90DB9">
      <w:pPr>
        <w:pStyle w:val="Bodycopy"/>
      </w:pPr>
      <w:r w:rsidRPr="00D459CE">
        <w:t xml:space="preserve">Conversely, employment in the </w:t>
      </w:r>
      <w:r w:rsidRPr="00D459CE">
        <w:rPr>
          <w:b/>
          <w:bCs/>
        </w:rPr>
        <w:t xml:space="preserve">Administrative and Support Services </w:t>
      </w:r>
      <w:r w:rsidRPr="00D459CE">
        <w:t xml:space="preserve">industry fell by 21,400 (or 5.0%) over the year to May 2023. Employment currently stands at 405,200 which is 52,200 (or 11.4%) lower than the peak recorded in August 2019. The </w:t>
      </w:r>
      <w:r w:rsidRPr="00D459CE">
        <w:rPr>
          <w:b/>
          <w:bCs/>
        </w:rPr>
        <w:t xml:space="preserve">Rental, Hiring and Real Estate Services industry </w:t>
      </w:r>
      <w:r w:rsidRPr="00D459CE">
        <w:t>also experienced a decline over the year to May 2023 (down by 19,000 people or 8.2%). Employment in the industry has declined for five consecutive quarters. This may be driven by reduced residential real estate sales volumes.</w:t>
      </w:r>
      <w:r w:rsidRPr="00D459CE">
        <w:rPr>
          <w:rStyle w:val="FootnoteReference"/>
          <w:rFonts w:cs="Arial"/>
        </w:rPr>
        <w:footnoteReference w:id="10"/>
      </w:r>
      <w:r w:rsidRPr="00D459CE">
        <w:t xml:space="preserve">  </w:t>
      </w:r>
    </w:p>
    <w:p w14:paraId="0D7CC6A9" w14:textId="1C7E2B53" w:rsidR="001D6A5A" w:rsidRDefault="00797AF3" w:rsidP="001D6A5A">
      <w:pPr>
        <w:pStyle w:val="Heading2"/>
      </w:pPr>
      <w:bookmarkStart w:id="20" w:name="_Toc144992574"/>
      <w:r w:rsidRPr="00797AF3">
        <w:t>Employment has increased across skill levels and occupations</w:t>
      </w:r>
      <w:bookmarkEnd w:id="20"/>
    </w:p>
    <w:p w14:paraId="30AD43FD" w14:textId="77777777" w:rsidR="00CB3AA6" w:rsidRDefault="00CB3AA6" w:rsidP="00E32606">
      <w:pPr>
        <w:pStyle w:val="Bodycopy"/>
      </w:pPr>
      <w:r w:rsidRPr="00DB5940">
        <w:rPr>
          <w:b/>
          <w:bCs/>
        </w:rPr>
        <w:t>E</w:t>
      </w:r>
      <w:r w:rsidRPr="00B05E44">
        <w:rPr>
          <w:rStyle w:val="Strong"/>
        </w:rPr>
        <w:t>mployment increased in all five skill level occupational groups</w:t>
      </w:r>
      <w:r w:rsidRPr="00B05E44">
        <w:t xml:space="preserve"> over the year to May 2023</w:t>
      </w:r>
      <w:r>
        <w:t xml:space="preserve"> (Table 5)</w:t>
      </w:r>
      <w:r w:rsidRPr="00B05E44">
        <w:t>. Employment in Skill Level 1 occupations was up by 184,400 (or 4.0</w:t>
      </w:r>
      <w:r>
        <w:t>%</w:t>
      </w:r>
      <w:r w:rsidRPr="00B05E44">
        <w:t>), followed by Skill Level 3 occupations (up by 95,800 or 4.8</w:t>
      </w:r>
      <w:r>
        <w:t>%</w:t>
      </w:r>
      <w:r w:rsidRPr="00B05E44">
        <w:t>), Skill Level 4 occupations (up by 92,000 or 2.8</w:t>
      </w:r>
      <w:r>
        <w:t>%</w:t>
      </w:r>
      <w:r w:rsidRPr="00B05E44">
        <w:t>), Skill Level 2 occupations (up by 59,300 or 3.6</w:t>
      </w:r>
      <w:r>
        <w:t>%</w:t>
      </w:r>
      <w:r w:rsidRPr="00B05E44">
        <w:t>), and Skill Level 5 occupations (up by 44,500 or 2.3</w:t>
      </w:r>
      <w:r>
        <w:t>%</w:t>
      </w:r>
      <w:r w:rsidRPr="00B05E44">
        <w:t xml:space="preserve">). </w:t>
      </w:r>
    </w:p>
    <w:p w14:paraId="0329203A" w14:textId="77777777" w:rsidR="006B035B" w:rsidRDefault="006B035B" w:rsidP="00797AF3">
      <w:pPr>
        <w:pStyle w:val="ChartandTablelabel"/>
      </w:pPr>
      <w:r>
        <w:br w:type="page"/>
      </w:r>
    </w:p>
    <w:p w14:paraId="02161476" w14:textId="46FD6C1B" w:rsidR="00CB3AA6" w:rsidRPr="008D475A" w:rsidRDefault="00CB3AA6" w:rsidP="00797AF3">
      <w:pPr>
        <w:pStyle w:val="ChartandTablelabel"/>
      </w:pPr>
      <w:r w:rsidRPr="008D475A">
        <w:lastRenderedPageBreak/>
        <w:t xml:space="preserve">Table </w:t>
      </w:r>
      <w:r>
        <w:t>5</w:t>
      </w:r>
      <w:r w:rsidRPr="008D475A">
        <w:t xml:space="preserve">: </w:t>
      </w:r>
      <w:r>
        <w:t>Employment by Skill Level, May 2023 and annual change</w:t>
      </w:r>
      <w:r w:rsidRPr="008D475A">
        <w:t xml:space="preserve"> (‘000)</w:t>
      </w:r>
      <w:r w:rsidRPr="008D475A">
        <w:rPr>
          <w:color w:val="6929C4" w:themeColor="accent1"/>
        </w:rPr>
        <w:t xml:space="preserve"> </w:t>
      </w:r>
    </w:p>
    <w:tbl>
      <w:tblPr>
        <w:tblW w:w="9781" w:type="dxa"/>
        <w:tblLook w:val="04A0" w:firstRow="1" w:lastRow="0" w:firstColumn="1" w:lastColumn="0" w:noHBand="0" w:noVBand="1"/>
      </w:tblPr>
      <w:tblGrid>
        <w:gridCol w:w="3686"/>
        <w:gridCol w:w="2126"/>
        <w:gridCol w:w="1985"/>
        <w:gridCol w:w="1984"/>
      </w:tblGrid>
      <w:tr w:rsidR="00CB3AA6" w:rsidRPr="008D475A" w14:paraId="72DAC10B" w14:textId="77777777" w:rsidTr="00BA6960">
        <w:trPr>
          <w:trHeight w:val="690"/>
        </w:trPr>
        <w:tc>
          <w:tcPr>
            <w:tcW w:w="3686" w:type="dxa"/>
            <w:shd w:val="clear" w:color="auto" w:fill="441170"/>
            <w:vAlign w:val="center"/>
            <w:hideMark/>
          </w:tcPr>
          <w:p w14:paraId="241B944A" w14:textId="77777777" w:rsidR="00CB3AA6" w:rsidRPr="00B3344E" w:rsidRDefault="00CB3AA6" w:rsidP="00797AF3">
            <w:pPr>
              <w:pStyle w:val="Tableheader"/>
              <w:rPr>
                <w:lang w:eastAsia="en-AU"/>
              </w:rPr>
            </w:pPr>
            <w:r w:rsidRPr="00B3344E">
              <w:rPr>
                <w:lang w:eastAsia="en-AU"/>
              </w:rPr>
              <w:t>Skill Levels</w:t>
            </w:r>
          </w:p>
        </w:tc>
        <w:tc>
          <w:tcPr>
            <w:tcW w:w="2126" w:type="dxa"/>
            <w:shd w:val="clear" w:color="auto" w:fill="441170"/>
            <w:vAlign w:val="center"/>
            <w:hideMark/>
          </w:tcPr>
          <w:p w14:paraId="51148ECF" w14:textId="77777777" w:rsidR="00CB3AA6" w:rsidRPr="00B3344E" w:rsidRDefault="00CB3AA6" w:rsidP="00797AF3">
            <w:pPr>
              <w:pStyle w:val="Tableheader"/>
              <w:rPr>
                <w:rFonts w:ascii="Calibri" w:hAnsi="Calibri" w:cs="Calibri"/>
                <w:color w:val="000000"/>
                <w:lang w:eastAsia="en-AU"/>
              </w:rPr>
            </w:pPr>
            <w:r w:rsidRPr="00B3344E">
              <w:rPr>
                <w:lang w:eastAsia="en-AU"/>
              </w:rPr>
              <w:t>May 2023</w:t>
            </w:r>
            <w:r>
              <w:rPr>
                <w:lang w:eastAsia="en-AU"/>
              </w:rPr>
              <w:t xml:space="preserve"> </w:t>
            </w:r>
            <w:r w:rsidRPr="00B3344E">
              <w:t>(‘000)</w:t>
            </w:r>
          </w:p>
        </w:tc>
        <w:tc>
          <w:tcPr>
            <w:tcW w:w="1985" w:type="dxa"/>
            <w:shd w:val="clear" w:color="auto" w:fill="441170"/>
            <w:vAlign w:val="center"/>
            <w:hideMark/>
          </w:tcPr>
          <w:p w14:paraId="1CB78753" w14:textId="77777777" w:rsidR="00CB3AA6" w:rsidRPr="00B3344E" w:rsidRDefault="00CB3AA6" w:rsidP="00797AF3">
            <w:pPr>
              <w:pStyle w:val="Tableheader"/>
              <w:rPr>
                <w:lang w:eastAsia="en-AU"/>
              </w:rPr>
            </w:pPr>
            <w:r w:rsidRPr="00B3344E">
              <w:t>Annual change</w:t>
            </w:r>
            <w:r>
              <w:t xml:space="preserve"> </w:t>
            </w:r>
            <w:r w:rsidRPr="00B3344E">
              <w:t>(‘000)</w:t>
            </w:r>
          </w:p>
        </w:tc>
        <w:tc>
          <w:tcPr>
            <w:tcW w:w="1984" w:type="dxa"/>
            <w:shd w:val="clear" w:color="auto" w:fill="441170"/>
            <w:vAlign w:val="center"/>
            <w:hideMark/>
          </w:tcPr>
          <w:p w14:paraId="47CF32C0" w14:textId="77777777" w:rsidR="00CB3AA6" w:rsidRPr="00B3344E" w:rsidRDefault="00CB3AA6" w:rsidP="00797AF3">
            <w:pPr>
              <w:pStyle w:val="Tableheader"/>
              <w:rPr>
                <w:lang w:eastAsia="en-AU"/>
              </w:rPr>
            </w:pPr>
            <w:r w:rsidRPr="00B3344E">
              <w:t xml:space="preserve">Annual change </w:t>
            </w:r>
            <w:r>
              <w:t xml:space="preserve"> (</w:t>
            </w:r>
            <w:r w:rsidRPr="00B3344E">
              <w:t>%)</w:t>
            </w:r>
          </w:p>
        </w:tc>
      </w:tr>
      <w:tr w:rsidR="00CB3AA6" w:rsidRPr="008D475A" w14:paraId="7C0BAE76" w14:textId="77777777" w:rsidTr="00BA6960">
        <w:trPr>
          <w:trHeight w:val="290"/>
        </w:trPr>
        <w:tc>
          <w:tcPr>
            <w:tcW w:w="3686" w:type="dxa"/>
            <w:shd w:val="clear" w:color="auto" w:fill="D9D9D9" w:themeFill="background1" w:themeFillShade="D9"/>
            <w:noWrap/>
            <w:vAlign w:val="center"/>
            <w:hideMark/>
          </w:tcPr>
          <w:p w14:paraId="4D2CC645" w14:textId="77777777" w:rsidR="00CB3AA6" w:rsidRPr="00B3344E" w:rsidRDefault="00CB3AA6" w:rsidP="00797AF3">
            <w:pPr>
              <w:pStyle w:val="Tablebodycopy"/>
              <w:rPr>
                <w:lang w:eastAsia="en-AU"/>
              </w:rPr>
            </w:pPr>
            <w:r w:rsidRPr="00B3344E">
              <w:rPr>
                <w:lang w:eastAsia="en-AU"/>
              </w:rPr>
              <w:t>Skill Level 1 Occupations</w:t>
            </w:r>
          </w:p>
        </w:tc>
        <w:tc>
          <w:tcPr>
            <w:tcW w:w="2126" w:type="dxa"/>
            <w:shd w:val="clear" w:color="auto" w:fill="D9D9D9" w:themeFill="background1" w:themeFillShade="D9"/>
            <w:noWrap/>
            <w:hideMark/>
          </w:tcPr>
          <w:p w14:paraId="49BF27E6" w14:textId="77777777" w:rsidR="00CB3AA6" w:rsidRPr="00B3344E" w:rsidRDefault="00CB3AA6" w:rsidP="00797AF3">
            <w:pPr>
              <w:pStyle w:val="Tablebodycopy"/>
              <w:rPr>
                <w:lang w:eastAsia="en-AU"/>
              </w:rPr>
            </w:pPr>
            <w:r w:rsidRPr="00B3344E">
              <w:t>4,843.3</w:t>
            </w:r>
          </w:p>
        </w:tc>
        <w:tc>
          <w:tcPr>
            <w:tcW w:w="1985" w:type="dxa"/>
            <w:shd w:val="clear" w:color="auto" w:fill="D9D9D9" w:themeFill="background1" w:themeFillShade="D9"/>
            <w:noWrap/>
            <w:hideMark/>
          </w:tcPr>
          <w:p w14:paraId="456A6C6F" w14:textId="77777777" w:rsidR="00CB3AA6" w:rsidRPr="00B3344E" w:rsidRDefault="00CB3AA6" w:rsidP="00797AF3">
            <w:pPr>
              <w:pStyle w:val="Tablebodycopy"/>
              <w:rPr>
                <w:lang w:eastAsia="en-AU"/>
              </w:rPr>
            </w:pPr>
            <w:r w:rsidRPr="00B3344E">
              <w:t>184.4</w:t>
            </w:r>
          </w:p>
        </w:tc>
        <w:tc>
          <w:tcPr>
            <w:tcW w:w="1984" w:type="dxa"/>
            <w:shd w:val="clear" w:color="auto" w:fill="D9D9D9" w:themeFill="background1" w:themeFillShade="D9"/>
            <w:noWrap/>
            <w:hideMark/>
          </w:tcPr>
          <w:p w14:paraId="1ECEBBE9" w14:textId="77777777" w:rsidR="00CB3AA6" w:rsidRPr="00B3344E" w:rsidRDefault="00CB3AA6" w:rsidP="00797AF3">
            <w:pPr>
              <w:pStyle w:val="Tablebodycopy"/>
              <w:rPr>
                <w:lang w:eastAsia="en-AU"/>
              </w:rPr>
            </w:pPr>
            <w:r w:rsidRPr="00B3344E">
              <w:t>4.0</w:t>
            </w:r>
          </w:p>
        </w:tc>
      </w:tr>
      <w:tr w:rsidR="00CB3AA6" w:rsidRPr="008D475A" w14:paraId="56D0FC46" w14:textId="77777777" w:rsidTr="00BA6960">
        <w:trPr>
          <w:trHeight w:val="290"/>
        </w:trPr>
        <w:tc>
          <w:tcPr>
            <w:tcW w:w="3686" w:type="dxa"/>
            <w:shd w:val="clear" w:color="000000" w:fill="FFFFFF"/>
            <w:noWrap/>
            <w:vAlign w:val="center"/>
            <w:hideMark/>
          </w:tcPr>
          <w:p w14:paraId="6730D662" w14:textId="77777777" w:rsidR="00CB3AA6" w:rsidRPr="00B3344E" w:rsidRDefault="00CB3AA6" w:rsidP="00797AF3">
            <w:pPr>
              <w:pStyle w:val="Tablebodycopy"/>
              <w:rPr>
                <w:lang w:eastAsia="en-AU"/>
              </w:rPr>
            </w:pPr>
            <w:r w:rsidRPr="00B3344E">
              <w:rPr>
                <w:lang w:eastAsia="en-AU"/>
              </w:rPr>
              <w:t>Skill Level 2 Occupations</w:t>
            </w:r>
          </w:p>
        </w:tc>
        <w:tc>
          <w:tcPr>
            <w:tcW w:w="2126" w:type="dxa"/>
            <w:shd w:val="clear" w:color="000000" w:fill="FFFFFF"/>
            <w:noWrap/>
            <w:hideMark/>
          </w:tcPr>
          <w:p w14:paraId="579D4EA2" w14:textId="77777777" w:rsidR="00CB3AA6" w:rsidRPr="00B3344E" w:rsidRDefault="00CB3AA6" w:rsidP="00797AF3">
            <w:pPr>
              <w:pStyle w:val="Tablebodycopy"/>
              <w:rPr>
                <w:lang w:eastAsia="en-AU"/>
              </w:rPr>
            </w:pPr>
            <w:r w:rsidRPr="00B3344E">
              <w:t>1,720.0</w:t>
            </w:r>
          </w:p>
        </w:tc>
        <w:tc>
          <w:tcPr>
            <w:tcW w:w="1985" w:type="dxa"/>
            <w:shd w:val="clear" w:color="000000" w:fill="FFFFFF"/>
            <w:noWrap/>
            <w:hideMark/>
          </w:tcPr>
          <w:p w14:paraId="48DE7F4F" w14:textId="77777777" w:rsidR="00CB3AA6" w:rsidRPr="00B3344E" w:rsidRDefault="00CB3AA6" w:rsidP="00797AF3">
            <w:pPr>
              <w:pStyle w:val="Tablebodycopy"/>
              <w:rPr>
                <w:lang w:eastAsia="en-AU"/>
              </w:rPr>
            </w:pPr>
            <w:r w:rsidRPr="00B3344E">
              <w:t>59.3</w:t>
            </w:r>
          </w:p>
        </w:tc>
        <w:tc>
          <w:tcPr>
            <w:tcW w:w="1984" w:type="dxa"/>
            <w:shd w:val="clear" w:color="000000" w:fill="FFFFFF"/>
            <w:noWrap/>
            <w:hideMark/>
          </w:tcPr>
          <w:p w14:paraId="1AC6C71A" w14:textId="77777777" w:rsidR="00CB3AA6" w:rsidRPr="00B3344E" w:rsidRDefault="00CB3AA6" w:rsidP="00797AF3">
            <w:pPr>
              <w:pStyle w:val="Tablebodycopy"/>
              <w:rPr>
                <w:lang w:eastAsia="en-AU"/>
              </w:rPr>
            </w:pPr>
            <w:r w:rsidRPr="00B3344E">
              <w:t>3.6</w:t>
            </w:r>
          </w:p>
        </w:tc>
      </w:tr>
      <w:tr w:rsidR="00CB3AA6" w:rsidRPr="008D475A" w14:paraId="645B3715" w14:textId="77777777" w:rsidTr="00BA6960">
        <w:trPr>
          <w:trHeight w:val="290"/>
        </w:trPr>
        <w:tc>
          <w:tcPr>
            <w:tcW w:w="3686" w:type="dxa"/>
            <w:shd w:val="clear" w:color="auto" w:fill="D9D9D9" w:themeFill="background1" w:themeFillShade="D9"/>
            <w:noWrap/>
            <w:vAlign w:val="center"/>
            <w:hideMark/>
          </w:tcPr>
          <w:p w14:paraId="2A6ADC60" w14:textId="77777777" w:rsidR="00CB3AA6" w:rsidRPr="00B3344E" w:rsidRDefault="00CB3AA6" w:rsidP="00797AF3">
            <w:pPr>
              <w:pStyle w:val="Tablebodycopy"/>
              <w:rPr>
                <w:lang w:eastAsia="en-AU"/>
              </w:rPr>
            </w:pPr>
            <w:r w:rsidRPr="00B3344E">
              <w:rPr>
                <w:lang w:eastAsia="en-AU"/>
              </w:rPr>
              <w:t>Skill Level 3 Occupations</w:t>
            </w:r>
          </w:p>
        </w:tc>
        <w:tc>
          <w:tcPr>
            <w:tcW w:w="2126" w:type="dxa"/>
            <w:shd w:val="clear" w:color="auto" w:fill="D9D9D9" w:themeFill="background1" w:themeFillShade="D9"/>
            <w:noWrap/>
            <w:hideMark/>
          </w:tcPr>
          <w:p w14:paraId="60952BA2" w14:textId="77777777" w:rsidR="00CB3AA6" w:rsidRPr="00B3344E" w:rsidRDefault="00CB3AA6" w:rsidP="00797AF3">
            <w:pPr>
              <w:pStyle w:val="Tablebodycopy"/>
              <w:rPr>
                <w:lang w:eastAsia="en-AU"/>
              </w:rPr>
            </w:pPr>
            <w:r w:rsidRPr="00B3344E">
              <w:t>2,100.2</w:t>
            </w:r>
          </w:p>
        </w:tc>
        <w:tc>
          <w:tcPr>
            <w:tcW w:w="1985" w:type="dxa"/>
            <w:shd w:val="clear" w:color="auto" w:fill="D9D9D9" w:themeFill="background1" w:themeFillShade="D9"/>
            <w:noWrap/>
            <w:hideMark/>
          </w:tcPr>
          <w:p w14:paraId="55B7E11C" w14:textId="77777777" w:rsidR="00CB3AA6" w:rsidRPr="00B3344E" w:rsidRDefault="00CB3AA6" w:rsidP="00797AF3">
            <w:pPr>
              <w:pStyle w:val="Tablebodycopy"/>
              <w:rPr>
                <w:lang w:eastAsia="en-AU"/>
              </w:rPr>
            </w:pPr>
            <w:r w:rsidRPr="00B3344E">
              <w:t>95.8</w:t>
            </w:r>
          </w:p>
        </w:tc>
        <w:tc>
          <w:tcPr>
            <w:tcW w:w="1984" w:type="dxa"/>
            <w:shd w:val="clear" w:color="auto" w:fill="D9D9D9" w:themeFill="background1" w:themeFillShade="D9"/>
            <w:noWrap/>
            <w:hideMark/>
          </w:tcPr>
          <w:p w14:paraId="0A43C14C" w14:textId="77777777" w:rsidR="00CB3AA6" w:rsidRPr="00B3344E" w:rsidRDefault="00CB3AA6" w:rsidP="00797AF3">
            <w:pPr>
              <w:pStyle w:val="Tablebodycopy"/>
              <w:rPr>
                <w:lang w:eastAsia="en-AU"/>
              </w:rPr>
            </w:pPr>
            <w:r w:rsidRPr="00B3344E">
              <w:t>4.8</w:t>
            </w:r>
          </w:p>
        </w:tc>
      </w:tr>
      <w:tr w:rsidR="00CB3AA6" w:rsidRPr="008D475A" w14:paraId="0CF9C9A2" w14:textId="77777777" w:rsidTr="00BA6960">
        <w:trPr>
          <w:trHeight w:val="290"/>
        </w:trPr>
        <w:tc>
          <w:tcPr>
            <w:tcW w:w="3686" w:type="dxa"/>
            <w:shd w:val="clear" w:color="000000" w:fill="FFFFFF"/>
            <w:noWrap/>
            <w:vAlign w:val="center"/>
            <w:hideMark/>
          </w:tcPr>
          <w:p w14:paraId="1A5CFC7E" w14:textId="77777777" w:rsidR="00CB3AA6" w:rsidRPr="00B3344E" w:rsidRDefault="00CB3AA6" w:rsidP="00797AF3">
            <w:pPr>
              <w:pStyle w:val="Tablebodycopy"/>
              <w:rPr>
                <w:lang w:eastAsia="en-AU"/>
              </w:rPr>
            </w:pPr>
            <w:r w:rsidRPr="00B3344E">
              <w:rPr>
                <w:lang w:eastAsia="en-AU"/>
              </w:rPr>
              <w:t>Skill Level 4 Occupations</w:t>
            </w:r>
          </w:p>
        </w:tc>
        <w:tc>
          <w:tcPr>
            <w:tcW w:w="2126" w:type="dxa"/>
            <w:shd w:val="clear" w:color="000000" w:fill="FFFFFF"/>
            <w:noWrap/>
            <w:hideMark/>
          </w:tcPr>
          <w:p w14:paraId="7C4F3BC5" w14:textId="77777777" w:rsidR="00CB3AA6" w:rsidRPr="00B3344E" w:rsidRDefault="00CB3AA6" w:rsidP="00797AF3">
            <w:pPr>
              <w:pStyle w:val="Tablebodycopy"/>
              <w:rPr>
                <w:lang w:eastAsia="en-AU"/>
              </w:rPr>
            </w:pPr>
            <w:r w:rsidRPr="00B3344E">
              <w:t>3,331.6</w:t>
            </w:r>
          </w:p>
        </w:tc>
        <w:tc>
          <w:tcPr>
            <w:tcW w:w="1985" w:type="dxa"/>
            <w:shd w:val="clear" w:color="000000" w:fill="FFFFFF"/>
            <w:noWrap/>
            <w:hideMark/>
          </w:tcPr>
          <w:p w14:paraId="06B4F825" w14:textId="77777777" w:rsidR="00CB3AA6" w:rsidRPr="00B3344E" w:rsidRDefault="00CB3AA6" w:rsidP="00797AF3">
            <w:pPr>
              <w:pStyle w:val="Tablebodycopy"/>
              <w:rPr>
                <w:lang w:eastAsia="en-AU"/>
              </w:rPr>
            </w:pPr>
            <w:r w:rsidRPr="00B3344E">
              <w:t>92.0</w:t>
            </w:r>
          </w:p>
        </w:tc>
        <w:tc>
          <w:tcPr>
            <w:tcW w:w="1984" w:type="dxa"/>
            <w:shd w:val="clear" w:color="000000" w:fill="FFFFFF"/>
            <w:noWrap/>
            <w:hideMark/>
          </w:tcPr>
          <w:p w14:paraId="67A0556B" w14:textId="77777777" w:rsidR="00CB3AA6" w:rsidRPr="00B3344E" w:rsidRDefault="00CB3AA6" w:rsidP="00797AF3">
            <w:pPr>
              <w:pStyle w:val="Tablebodycopy"/>
              <w:rPr>
                <w:lang w:eastAsia="en-AU"/>
              </w:rPr>
            </w:pPr>
            <w:r w:rsidRPr="00B3344E">
              <w:t>2.8</w:t>
            </w:r>
          </w:p>
        </w:tc>
      </w:tr>
      <w:tr w:rsidR="00CB3AA6" w:rsidRPr="008D475A" w14:paraId="5F92721B" w14:textId="77777777" w:rsidTr="00BA6960">
        <w:trPr>
          <w:trHeight w:val="290"/>
        </w:trPr>
        <w:tc>
          <w:tcPr>
            <w:tcW w:w="3686" w:type="dxa"/>
            <w:shd w:val="clear" w:color="auto" w:fill="D9D9D9" w:themeFill="background1" w:themeFillShade="D9"/>
            <w:noWrap/>
            <w:vAlign w:val="center"/>
            <w:hideMark/>
          </w:tcPr>
          <w:p w14:paraId="65B90492" w14:textId="77777777" w:rsidR="00CB3AA6" w:rsidRPr="00B3344E" w:rsidRDefault="00CB3AA6" w:rsidP="00797AF3">
            <w:pPr>
              <w:pStyle w:val="Tablebodycopy"/>
              <w:rPr>
                <w:lang w:eastAsia="en-AU"/>
              </w:rPr>
            </w:pPr>
            <w:r w:rsidRPr="00B3344E">
              <w:rPr>
                <w:lang w:eastAsia="en-AU"/>
              </w:rPr>
              <w:t>Skill Level 5 Occupations</w:t>
            </w:r>
          </w:p>
        </w:tc>
        <w:tc>
          <w:tcPr>
            <w:tcW w:w="2126" w:type="dxa"/>
            <w:shd w:val="clear" w:color="auto" w:fill="D9D9D9" w:themeFill="background1" w:themeFillShade="D9"/>
            <w:noWrap/>
            <w:hideMark/>
          </w:tcPr>
          <w:p w14:paraId="05F14223" w14:textId="77777777" w:rsidR="00CB3AA6" w:rsidRPr="00B3344E" w:rsidRDefault="00CB3AA6" w:rsidP="00797AF3">
            <w:pPr>
              <w:pStyle w:val="Tablebodycopy"/>
              <w:rPr>
                <w:lang w:eastAsia="en-AU"/>
              </w:rPr>
            </w:pPr>
            <w:r w:rsidRPr="00B3344E">
              <w:t>2,019.7</w:t>
            </w:r>
          </w:p>
        </w:tc>
        <w:tc>
          <w:tcPr>
            <w:tcW w:w="1985" w:type="dxa"/>
            <w:shd w:val="clear" w:color="auto" w:fill="D9D9D9" w:themeFill="background1" w:themeFillShade="D9"/>
            <w:noWrap/>
            <w:hideMark/>
          </w:tcPr>
          <w:p w14:paraId="1382FE2D" w14:textId="77777777" w:rsidR="00CB3AA6" w:rsidRPr="00B3344E" w:rsidRDefault="00CB3AA6" w:rsidP="00797AF3">
            <w:pPr>
              <w:pStyle w:val="Tablebodycopy"/>
              <w:rPr>
                <w:lang w:eastAsia="en-AU"/>
              </w:rPr>
            </w:pPr>
            <w:r w:rsidRPr="00B3344E">
              <w:t>44.5</w:t>
            </w:r>
          </w:p>
        </w:tc>
        <w:tc>
          <w:tcPr>
            <w:tcW w:w="1984" w:type="dxa"/>
            <w:shd w:val="clear" w:color="auto" w:fill="D9D9D9" w:themeFill="background1" w:themeFillShade="D9"/>
            <w:noWrap/>
            <w:hideMark/>
          </w:tcPr>
          <w:p w14:paraId="235DC670" w14:textId="77777777" w:rsidR="00CB3AA6" w:rsidRPr="00B3344E" w:rsidRDefault="00CB3AA6" w:rsidP="00797AF3">
            <w:pPr>
              <w:pStyle w:val="Tablebodycopy"/>
              <w:rPr>
                <w:lang w:eastAsia="en-AU"/>
              </w:rPr>
            </w:pPr>
            <w:r w:rsidRPr="00B3344E">
              <w:t>2.3</w:t>
            </w:r>
          </w:p>
        </w:tc>
      </w:tr>
    </w:tbl>
    <w:p w14:paraId="10305139" w14:textId="77777777" w:rsidR="00CB3AA6" w:rsidRPr="00361487" w:rsidRDefault="00CB3AA6" w:rsidP="00CB3AA6">
      <w:pPr>
        <w:pStyle w:val="Source"/>
        <w:numPr>
          <w:ilvl w:val="0"/>
          <w:numId w:val="0"/>
        </w:numPr>
        <w:ind w:left="510" w:hanging="510"/>
      </w:pPr>
      <w:r>
        <w:t>Source: ABS, Labour Force, Australia, Detailed, May 2023, data trended by Jobs and Skills Australia</w:t>
      </w:r>
    </w:p>
    <w:p w14:paraId="28A8C243" w14:textId="77777777" w:rsidR="00CB3AA6" w:rsidRPr="00B05E44" w:rsidRDefault="00CB3AA6" w:rsidP="00E32606">
      <w:pPr>
        <w:pStyle w:val="Bodycopy"/>
      </w:pPr>
      <w:r w:rsidRPr="00B05E44">
        <w:t xml:space="preserve">Over the year to May 2023, around </w:t>
      </w:r>
      <w:r>
        <w:t>90</w:t>
      </w:r>
      <w:r w:rsidRPr="00B05E44">
        <w:t>.6</w:t>
      </w:r>
      <w:r>
        <w:t>%</w:t>
      </w:r>
      <w:r w:rsidRPr="00B05E44">
        <w:t xml:space="preserve"> of total employment </w:t>
      </w:r>
      <w:sdt>
        <w:sdtPr>
          <w:id w:val="-1348709770"/>
          <w:citation/>
        </w:sdtPr>
        <w:sdtContent>
          <w:r w:rsidRPr="00B05E44">
            <w:t>growth was in occupations that typicall</w:t>
          </w:r>
        </w:sdtContent>
      </w:sdt>
      <w:r w:rsidRPr="00B05E44">
        <w:t>y require post-school qualifications. 51.</w:t>
      </w:r>
      <w:r>
        <w:t>9%</w:t>
      </w:r>
      <w:r w:rsidRPr="00B05E44">
        <w:t xml:space="preserve"> of total employment growth over this period was in Skill Level 2 to Skill Level 4 occupations (where VET qualifications are the primary pathway). </w:t>
      </w:r>
    </w:p>
    <w:p w14:paraId="6D3153E9" w14:textId="6E6054E3" w:rsidR="00CB3AA6" w:rsidRDefault="00CB3AA6" w:rsidP="00E32606">
      <w:pPr>
        <w:pStyle w:val="Bodycopy"/>
      </w:pPr>
      <w:r w:rsidRPr="00B05E44">
        <w:rPr>
          <w:rStyle w:val="Strong"/>
        </w:rPr>
        <w:t xml:space="preserve">Over the year to May 2023, employment increased in all </w:t>
      </w:r>
      <w:r w:rsidR="002546E6">
        <w:rPr>
          <w:rStyle w:val="Strong"/>
        </w:rPr>
        <w:t>eight</w:t>
      </w:r>
      <w:r w:rsidRPr="00B05E44">
        <w:rPr>
          <w:rStyle w:val="Strong"/>
        </w:rPr>
        <w:t xml:space="preserve"> major occupational groups</w:t>
      </w:r>
      <w:r>
        <w:rPr>
          <w:rStyle w:val="Strong"/>
        </w:rPr>
        <w:t xml:space="preserve"> </w:t>
      </w:r>
      <w:r w:rsidRPr="002546E6">
        <w:rPr>
          <w:rStyle w:val="Strong"/>
          <w:b w:val="0"/>
          <w:bCs w:val="0"/>
        </w:rPr>
        <w:t>(Table 6).</w:t>
      </w:r>
      <w:r w:rsidRPr="00B05E44">
        <w:rPr>
          <w:rStyle w:val="Strong"/>
        </w:rPr>
        <w:t xml:space="preserve"> </w:t>
      </w:r>
      <w:r w:rsidRPr="00B05E44">
        <w:t>The largest increases in employment were recorded for Professionals (up by 145,300 or 4.2</w:t>
      </w:r>
      <w:r>
        <w:t>%</w:t>
      </w:r>
      <w:r w:rsidRPr="00B05E44">
        <w:t>),</w:t>
      </w:r>
      <w:r>
        <w:t xml:space="preserve"> </w:t>
      </w:r>
      <w:r w:rsidRPr="00B05E44">
        <w:t>Community and Personal Service Workers (up by 88,100 or 6.0</w:t>
      </w:r>
      <w:r w:rsidR="00344F5B">
        <w:t>%</w:t>
      </w:r>
      <w:r w:rsidR="00344F5B" w:rsidRPr="00344F5B">
        <w:t>) and Technicians and Trades Workers (up by 65,100 or 3.5</w:t>
      </w:r>
      <w:r w:rsidR="00344F5B">
        <w:t>%</w:t>
      </w:r>
      <w:r w:rsidRPr="00B05E44">
        <w:t xml:space="preserve">). </w:t>
      </w:r>
    </w:p>
    <w:p w14:paraId="186D0E1A" w14:textId="77777777" w:rsidR="00CB3AA6" w:rsidRPr="008D475A" w:rsidRDefault="00CB3AA6" w:rsidP="00E32606">
      <w:pPr>
        <w:pStyle w:val="ChartandTablelabel"/>
        <w:rPr>
          <w:lang w:eastAsia="en-AU"/>
        </w:rPr>
      </w:pPr>
      <w:r w:rsidRPr="008D475A">
        <w:rPr>
          <w:lang w:eastAsia="en-AU"/>
        </w:rPr>
        <w:t xml:space="preserve">Table </w:t>
      </w:r>
      <w:r>
        <w:rPr>
          <w:lang w:eastAsia="en-AU"/>
        </w:rPr>
        <w:t>6</w:t>
      </w:r>
      <w:r w:rsidRPr="008D475A">
        <w:rPr>
          <w:lang w:eastAsia="en-AU"/>
        </w:rPr>
        <w:t xml:space="preserve">: </w:t>
      </w:r>
      <w:r>
        <w:rPr>
          <w:lang w:eastAsia="en-AU"/>
        </w:rPr>
        <w:t xml:space="preserve">Employment by major Occupational Group, May 2023 and annual change </w:t>
      </w:r>
      <w:r w:rsidRPr="008D475A">
        <w:rPr>
          <w:lang w:eastAsia="en-AU"/>
        </w:rPr>
        <w:t>(‘000)</w:t>
      </w:r>
    </w:p>
    <w:tbl>
      <w:tblPr>
        <w:tblW w:w="9781" w:type="dxa"/>
        <w:tblLook w:val="04A0" w:firstRow="1" w:lastRow="0" w:firstColumn="1" w:lastColumn="0" w:noHBand="0" w:noVBand="1"/>
      </w:tblPr>
      <w:tblGrid>
        <w:gridCol w:w="4962"/>
        <w:gridCol w:w="1842"/>
        <w:gridCol w:w="1701"/>
        <w:gridCol w:w="1276"/>
      </w:tblGrid>
      <w:tr w:rsidR="00CB3AA6" w:rsidRPr="008D475A" w14:paraId="02E99536" w14:textId="77777777" w:rsidTr="002546E6">
        <w:trPr>
          <w:trHeight w:val="1050"/>
        </w:trPr>
        <w:tc>
          <w:tcPr>
            <w:tcW w:w="4962" w:type="dxa"/>
            <w:shd w:val="clear" w:color="auto" w:fill="441170"/>
            <w:vAlign w:val="center"/>
            <w:hideMark/>
          </w:tcPr>
          <w:p w14:paraId="2AC2CA0C" w14:textId="77777777" w:rsidR="00CB3AA6" w:rsidRPr="007F7D21" w:rsidRDefault="00CB3AA6" w:rsidP="00E32606">
            <w:pPr>
              <w:pStyle w:val="Tableheader"/>
              <w:rPr>
                <w:lang w:eastAsia="en-AU"/>
              </w:rPr>
            </w:pPr>
            <w:r w:rsidRPr="007F7D21">
              <w:rPr>
                <w:lang w:eastAsia="en-AU"/>
              </w:rPr>
              <w:t>Occupation</w:t>
            </w:r>
          </w:p>
        </w:tc>
        <w:tc>
          <w:tcPr>
            <w:tcW w:w="1842" w:type="dxa"/>
            <w:shd w:val="clear" w:color="auto" w:fill="441170"/>
            <w:vAlign w:val="center"/>
            <w:hideMark/>
          </w:tcPr>
          <w:p w14:paraId="0DCDF698" w14:textId="77777777" w:rsidR="00CB3AA6" w:rsidRPr="007F7D21" w:rsidRDefault="00CB3AA6" w:rsidP="00E32606">
            <w:pPr>
              <w:pStyle w:val="Tableheader"/>
              <w:rPr>
                <w:lang w:eastAsia="en-AU"/>
              </w:rPr>
            </w:pPr>
            <w:r w:rsidRPr="007F7D21">
              <w:rPr>
                <w:lang w:eastAsia="en-AU"/>
              </w:rPr>
              <w:t>May 2023</w:t>
            </w:r>
          </w:p>
          <w:p w14:paraId="3179DC98" w14:textId="77777777" w:rsidR="00CB3AA6" w:rsidRPr="007F7D21" w:rsidRDefault="00CB3AA6" w:rsidP="00E32606">
            <w:pPr>
              <w:pStyle w:val="Tableheader"/>
              <w:rPr>
                <w:lang w:eastAsia="en-AU"/>
              </w:rPr>
            </w:pPr>
            <w:r w:rsidRPr="007F7D21">
              <w:t>(‘000)</w:t>
            </w:r>
          </w:p>
        </w:tc>
        <w:tc>
          <w:tcPr>
            <w:tcW w:w="1701" w:type="dxa"/>
            <w:shd w:val="clear" w:color="auto" w:fill="441170"/>
            <w:vAlign w:val="center"/>
            <w:hideMark/>
          </w:tcPr>
          <w:p w14:paraId="2B106F9D" w14:textId="77777777" w:rsidR="00CB3AA6" w:rsidRPr="007F7D21" w:rsidRDefault="00CB3AA6" w:rsidP="00E32606">
            <w:pPr>
              <w:pStyle w:val="Tableheader"/>
            </w:pPr>
            <w:r w:rsidRPr="007F7D21">
              <w:t>Annual change</w:t>
            </w:r>
          </w:p>
          <w:p w14:paraId="30969CF3" w14:textId="77777777" w:rsidR="00CB3AA6" w:rsidRPr="007F7D21" w:rsidRDefault="00CB3AA6" w:rsidP="00E32606">
            <w:pPr>
              <w:pStyle w:val="Tableheader"/>
              <w:rPr>
                <w:lang w:eastAsia="en-AU"/>
              </w:rPr>
            </w:pPr>
            <w:r w:rsidRPr="007F7D21">
              <w:t>(‘000)</w:t>
            </w:r>
          </w:p>
        </w:tc>
        <w:tc>
          <w:tcPr>
            <w:tcW w:w="1276" w:type="dxa"/>
            <w:shd w:val="clear" w:color="auto" w:fill="441170"/>
            <w:vAlign w:val="center"/>
            <w:hideMark/>
          </w:tcPr>
          <w:p w14:paraId="1D0FD19F" w14:textId="77777777" w:rsidR="00CB3AA6" w:rsidRPr="007F7D21" w:rsidRDefault="00CB3AA6" w:rsidP="00E32606">
            <w:pPr>
              <w:pStyle w:val="Tableheader"/>
              <w:rPr>
                <w:lang w:eastAsia="en-AU"/>
              </w:rPr>
            </w:pPr>
            <w:r w:rsidRPr="007F7D21">
              <w:t>Annual change (%)</w:t>
            </w:r>
          </w:p>
        </w:tc>
      </w:tr>
      <w:tr w:rsidR="00CB3AA6" w:rsidRPr="008D475A" w14:paraId="2D86389E" w14:textId="77777777" w:rsidTr="002546E6">
        <w:trPr>
          <w:trHeight w:val="290"/>
        </w:trPr>
        <w:tc>
          <w:tcPr>
            <w:tcW w:w="4962" w:type="dxa"/>
            <w:shd w:val="clear" w:color="auto" w:fill="D9D9D9" w:themeFill="background1" w:themeFillShade="D9"/>
            <w:noWrap/>
            <w:vAlign w:val="center"/>
            <w:hideMark/>
          </w:tcPr>
          <w:p w14:paraId="560DE0ED" w14:textId="77777777" w:rsidR="00CB3AA6" w:rsidRPr="007F7D21" w:rsidRDefault="00CB3AA6" w:rsidP="00E32606">
            <w:pPr>
              <w:pStyle w:val="Tablebodycopy"/>
              <w:rPr>
                <w:lang w:eastAsia="en-AU"/>
              </w:rPr>
            </w:pPr>
            <w:r w:rsidRPr="007F7D21">
              <w:rPr>
                <w:lang w:eastAsia="en-AU"/>
              </w:rPr>
              <w:t>Managers</w:t>
            </w:r>
          </w:p>
        </w:tc>
        <w:tc>
          <w:tcPr>
            <w:tcW w:w="1842" w:type="dxa"/>
            <w:shd w:val="clear" w:color="auto" w:fill="D9D9D9" w:themeFill="background1" w:themeFillShade="D9"/>
            <w:noWrap/>
            <w:vAlign w:val="center"/>
            <w:hideMark/>
          </w:tcPr>
          <w:p w14:paraId="6D7AD9A9" w14:textId="77777777" w:rsidR="00CB3AA6" w:rsidRPr="007F7D21" w:rsidRDefault="00CB3AA6" w:rsidP="00E32606">
            <w:pPr>
              <w:pStyle w:val="Tablebodycopy"/>
              <w:rPr>
                <w:lang w:eastAsia="en-AU"/>
              </w:rPr>
            </w:pPr>
            <w:r w:rsidRPr="007F7D21">
              <w:t>1,847.4</w:t>
            </w:r>
          </w:p>
        </w:tc>
        <w:tc>
          <w:tcPr>
            <w:tcW w:w="1701" w:type="dxa"/>
            <w:shd w:val="clear" w:color="auto" w:fill="D9D9D9" w:themeFill="background1" w:themeFillShade="D9"/>
            <w:noWrap/>
            <w:vAlign w:val="center"/>
            <w:hideMark/>
          </w:tcPr>
          <w:p w14:paraId="1CFD1904" w14:textId="77777777" w:rsidR="00CB3AA6" w:rsidRPr="007F7D21" w:rsidRDefault="00CB3AA6" w:rsidP="00E32606">
            <w:pPr>
              <w:pStyle w:val="Tablebodycopy"/>
              <w:rPr>
                <w:lang w:eastAsia="en-AU"/>
              </w:rPr>
            </w:pPr>
            <w:r w:rsidRPr="007F7D21">
              <w:t>62.1</w:t>
            </w:r>
          </w:p>
        </w:tc>
        <w:tc>
          <w:tcPr>
            <w:tcW w:w="1276" w:type="dxa"/>
            <w:shd w:val="clear" w:color="auto" w:fill="D9D9D9" w:themeFill="background1" w:themeFillShade="D9"/>
            <w:noWrap/>
            <w:vAlign w:val="center"/>
            <w:hideMark/>
          </w:tcPr>
          <w:p w14:paraId="34B5623B" w14:textId="77777777" w:rsidR="00CB3AA6" w:rsidRPr="007F7D21" w:rsidRDefault="00CB3AA6" w:rsidP="00E32606">
            <w:pPr>
              <w:pStyle w:val="Tablebodycopy"/>
              <w:rPr>
                <w:lang w:eastAsia="en-AU"/>
              </w:rPr>
            </w:pPr>
            <w:r w:rsidRPr="007F7D21">
              <w:t>3.5</w:t>
            </w:r>
          </w:p>
        </w:tc>
      </w:tr>
      <w:tr w:rsidR="00CB3AA6" w:rsidRPr="008D475A" w14:paraId="2616D8FA" w14:textId="77777777" w:rsidTr="002546E6">
        <w:trPr>
          <w:trHeight w:val="290"/>
        </w:trPr>
        <w:tc>
          <w:tcPr>
            <w:tcW w:w="4962" w:type="dxa"/>
            <w:shd w:val="clear" w:color="000000" w:fill="FFFFFF"/>
            <w:noWrap/>
            <w:vAlign w:val="center"/>
            <w:hideMark/>
          </w:tcPr>
          <w:p w14:paraId="1136CE4F" w14:textId="77777777" w:rsidR="00CB3AA6" w:rsidRPr="007F7D21" w:rsidRDefault="00CB3AA6" w:rsidP="00E32606">
            <w:pPr>
              <w:pStyle w:val="Tablebodycopy"/>
              <w:rPr>
                <w:lang w:eastAsia="en-AU"/>
              </w:rPr>
            </w:pPr>
            <w:r w:rsidRPr="007F7D21">
              <w:rPr>
                <w:lang w:eastAsia="en-AU"/>
              </w:rPr>
              <w:t>Professionals</w:t>
            </w:r>
          </w:p>
        </w:tc>
        <w:tc>
          <w:tcPr>
            <w:tcW w:w="1842" w:type="dxa"/>
            <w:shd w:val="clear" w:color="000000" w:fill="FFFFFF"/>
            <w:noWrap/>
            <w:vAlign w:val="center"/>
            <w:hideMark/>
          </w:tcPr>
          <w:p w14:paraId="7E95560E" w14:textId="77777777" w:rsidR="00CB3AA6" w:rsidRPr="007F7D21" w:rsidRDefault="00CB3AA6" w:rsidP="00E32606">
            <w:pPr>
              <w:pStyle w:val="Tablebodycopy"/>
              <w:rPr>
                <w:lang w:eastAsia="en-AU"/>
              </w:rPr>
            </w:pPr>
            <w:r w:rsidRPr="007F7D21">
              <w:t>3,633.6</w:t>
            </w:r>
          </w:p>
        </w:tc>
        <w:tc>
          <w:tcPr>
            <w:tcW w:w="1701" w:type="dxa"/>
            <w:shd w:val="clear" w:color="000000" w:fill="FFFFFF"/>
            <w:noWrap/>
            <w:vAlign w:val="center"/>
            <w:hideMark/>
          </w:tcPr>
          <w:p w14:paraId="4213617B" w14:textId="77777777" w:rsidR="00CB3AA6" w:rsidRPr="007F7D21" w:rsidRDefault="00CB3AA6" w:rsidP="00E32606">
            <w:pPr>
              <w:pStyle w:val="Tablebodycopy"/>
              <w:rPr>
                <w:lang w:eastAsia="en-AU"/>
              </w:rPr>
            </w:pPr>
            <w:r w:rsidRPr="007F7D21">
              <w:t>145.3</w:t>
            </w:r>
          </w:p>
        </w:tc>
        <w:tc>
          <w:tcPr>
            <w:tcW w:w="1276" w:type="dxa"/>
            <w:shd w:val="clear" w:color="000000" w:fill="FFFFFF"/>
            <w:noWrap/>
            <w:vAlign w:val="center"/>
            <w:hideMark/>
          </w:tcPr>
          <w:p w14:paraId="7C8F720A" w14:textId="77777777" w:rsidR="00CB3AA6" w:rsidRPr="007F7D21" w:rsidRDefault="00CB3AA6" w:rsidP="00E32606">
            <w:pPr>
              <w:pStyle w:val="Tablebodycopy"/>
              <w:rPr>
                <w:lang w:eastAsia="en-AU"/>
              </w:rPr>
            </w:pPr>
            <w:r w:rsidRPr="007F7D21">
              <w:t>4.2</w:t>
            </w:r>
          </w:p>
        </w:tc>
      </w:tr>
      <w:tr w:rsidR="00CB3AA6" w:rsidRPr="008D475A" w14:paraId="252078EA" w14:textId="77777777" w:rsidTr="002546E6">
        <w:trPr>
          <w:trHeight w:val="290"/>
        </w:trPr>
        <w:tc>
          <w:tcPr>
            <w:tcW w:w="4962" w:type="dxa"/>
            <w:shd w:val="clear" w:color="auto" w:fill="D9D9D9" w:themeFill="background1" w:themeFillShade="D9"/>
            <w:noWrap/>
            <w:vAlign w:val="center"/>
            <w:hideMark/>
          </w:tcPr>
          <w:p w14:paraId="558EC5A9" w14:textId="77777777" w:rsidR="00CB3AA6" w:rsidRPr="007F7D21" w:rsidRDefault="00CB3AA6" w:rsidP="00E32606">
            <w:pPr>
              <w:pStyle w:val="Tablebodycopy"/>
              <w:rPr>
                <w:lang w:eastAsia="en-AU"/>
              </w:rPr>
            </w:pPr>
            <w:r w:rsidRPr="007F7D21">
              <w:rPr>
                <w:lang w:eastAsia="en-AU"/>
              </w:rPr>
              <w:t>Technicians and Trades Workers</w:t>
            </w:r>
          </w:p>
        </w:tc>
        <w:tc>
          <w:tcPr>
            <w:tcW w:w="1842" w:type="dxa"/>
            <w:shd w:val="clear" w:color="auto" w:fill="D9D9D9" w:themeFill="background1" w:themeFillShade="D9"/>
            <w:noWrap/>
            <w:vAlign w:val="center"/>
            <w:hideMark/>
          </w:tcPr>
          <w:p w14:paraId="6141D23D" w14:textId="77777777" w:rsidR="00CB3AA6" w:rsidRPr="007F7D21" w:rsidRDefault="00CB3AA6" w:rsidP="00E32606">
            <w:pPr>
              <w:pStyle w:val="Tablebodycopy"/>
              <w:rPr>
                <w:lang w:eastAsia="en-AU"/>
              </w:rPr>
            </w:pPr>
            <w:r w:rsidRPr="007F7D21">
              <w:t>1,927.8</w:t>
            </w:r>
          </w:p>
        </w:tc>
        <w:tc>
          <w:tcPr>
            <w:tcW w:w="1701" w:type="dxa"/>
            <w:shd w:val="clear" w:color="auto" w:fill="D9D9D9" w:themeFill="background1" w:themeFillShade="D9"/>
            <w:noWrap/>
            <w:vAlign w:val="center"/>
            <w:hideMark/>
          </w:tcPr>
          <w:p w14:paraId="352B52F1" w14:textId="77777777" w:rsidR="00CB3AA6" w:rsidRPr="007F7D21" w:rsidRDefault="00CB3AA6" w:rsidP="00E32606">
            <w:pPr>
              <w:pStyle w:val="Tablebodycopy"/>
              <w:rPr>
                <w:lang w:eastAsia="en-AU"/>
              </w:rPr>
            </w:pPr>
            <w:r w:rsidRPr="007F7D21">
              <w:t>65.1</w:t>
            </w:r>
          </w:p>
        </w:tc>
        <w:tc>
          <w:tcPr>
            <w:tcW w:w="1276" w:type="dxa"/>
            <w:shd w:val="clear" w:color="auto" w:fill="D9D9D9" w:themeFill="background1" w:themeFillShade="D9"/>
            <w:noWrap/>
            <w:vAlign w:val="center"/>
            <w:hideMark/>
          </w:tcPr>
          <w:p w14:paraId="5A19A6CA" w14:textId="77777777" w:rsidR="00CB3AA6" w:rsidRPr="007F7D21" w:rsidRDefault="00CB3AA6" w:rsidP="00E32606">
            <w:pPr>
              <w:pStyle w:val="Tablebodycopy"/>
              <w:rPr>
                <w:lang w:eastAsia="en-AU"/>
              </w:rPr>
            </w:pPr>
            <w:r w:rsidRPr="007F7D21">
              <w:t>3.5</w:t>
            </w:r>
          </w:p>
        </w:tc>
      </w:tr>
      <w:tr w:rsidR="00CB3AA6" w:rsidRPr="008D475A" w14:paraId="60A5B42D" w14:textId="77777777" w:rsidTr="002546E6">
        <w:trPr>
          <w:trHeight w:val="290"/>
        </w:trPr>
        <w:tc>
          <w:tcPr>
            <w:tcW w:w="4962" w:type="dxa"/>
            <w:shd w:val="clear" w:color="000000" w:fill="FFFFFF"/>
            <w:noWrap/>
            <w:vAlign w:val="center"/>
            <w:hideMark/>
          </w:tcPr>
          <w:p w14:paraId="69CB6134" w14:textId="77777777" w:rsidR="00CB3AA6" w:rsidRPr="007F7D21" w:rsidRDefault="00CB3AA6" w:rsidP="00E32606">
            <w:pPr>
              <w:pStyle w:val="Tablebodycopy"/>
              <w:rPr>
                <w:lang w:eastAsia="en-AU"/>
              </w:rPr>
            </w:pPr>
            <w:r w:rsidRPr="007F7D21">
              <w:rPr>
                <w:lang w:eastAsia="en-AU"/>
              </w:rPr>
              <w:t>Community and Personal Service Workers</w:t>
            </w:r>
          </w:p>
        </w:tc>
        <w:tc>
          <w:tcPr>
            <w:tcW w:w="1842" w:type="dxa"/>
            <w:shd w:val="clear" w:color="000000" w:fill="FFFFFF"/>
            <w:noWrap/>
            <w:vAlign w:val="center"/>
            <w:hideMark/>
          </w:tcPr>
          <w:p w14:paraId="3A5CEA92" w14:textId="77777777" w:rsidR="00CB3AA6" w:rsidRPr="007F7D21" w:rsidRDefault="00CB3AA6" w:rsidP="00E32606">
            <w:pPr>
              <w:pStyle w:val="Tablebodycopy"/>
              <w:rPr>
                <w:lang w:eastAsia="en-AU"/>
              </w:rPr>
            </w:pPr>
            <w:r w:rsidRPr="007F7D21">
              <w:t>1,559.1</w:t>
            </w:r>
          </w:p>
        </w:tc>
        <w:tc>
          <w:tcPr>
            <w:tcW w:w="1701" w:type="dxa"/>
            <w:shd w:val="clear" w:color="000000" w:fill="FFFFFF"/>
            <w:noWrap/>
            <w:vAlign w:val="center"/>
            <w:hideMark/>
          </w:tcPr>
          <w:p w14:paraId="199FC559" w14:textId="77777777" w:rsidR="00CB3AA6" w:rsidRPr="007F7D21" w:rsidRDefault="00CB3AA6" w:rsidP="00E32606">
            <w:pPr>
              <w:pStyle w:val="Tablebodycopy"/>
              <w:rPr>
                <w:lang w:eastAsia="en-AU"/>
              </w:rPr>
            </w:pPr>
            <w:r w:rsidRPr="007F7D21">
              <w:t>88.1</w:t>
            </w:r>
          </w:p>
        </w:tc>
        <w:tc>
          <w:tcPr>
            <w:tcW w:w="1276" w:type="dxa"/>
            <w:shd w:val="clear" w:color="000000" w:fill="FFFFFF"/>
            <w:noWrap/>
            <w:vAlign w:val="center"/>
            <w:hideMark/>
          </w:tcPr>
          <w:p w14:paraId="2162A6CC" w14:textId="77777777" w:rsidR="00CB3AA6" w:rsidRPr="007F7D21" w:rsidRDefault="00CB3AA6" w:rsidP="00E32606">
            <w:pPr>
              <w:pStyle w:val="Tablebodycopy"/>
              <w:rPr>
                <w:lang w:eastAsia="en-AU"/>
              </w:rPr>
            </w:pPr>
            <w:r w:rsidRPr="007F7D21">
              <w:t>6.0</w:t>
            </w:r>
          </w:p>
        </w:tc>
      </w:tr>
      <w:tr w:rsidR="00CB3AA6" w:rsidRPr="008D475A" w14:paraId="5ABF6F2C" w14:textId="77777777" w:rsidTr="002546E6">
        <w:trPr>
          <w:trHeight w:val="290"/>
        </w:trPr>
        <w:tc>
          <w:tcPr>
            <w:tcW w:w="4962" w:type="dxa"/>
            <w:shd w:val="clear" w:color="auto" w:fill="D9D9D9" w:themeFill="background1" w:themeFillShade="D9"/>
            <w:noWrap/>
            <w:vAlign w:val="center"/>
            <w:hideMark/>
          </w:tcPr>
          <w:p w14:paraId="4FFE1AE8" w14:textId="77777777" w:rsidR="00CB3AA6" w:rsidRPr="007F7D21" w:rsidRDefault="00CB3AA6" w:rsidP="00E32606">
            <w:pPr>
              <w:pStyle w:val="Tablebodycopy"/>
              <w:rPr>
                <w:lang w:eastAsia="en-AU"/>
              </w:rPr>
            </w:pPr>
            <w:r w:rsidRPr="007F7D21">
              <w:rPr>
                <w:lang w:eastAsia="en-AU"/>
              </w:rPr>
              <w:t>Clerical and Administrative Workers</w:t>
            </w:r>
          </w:p>
        </w:tc>
        <w:tc>
          <w:tcPr>
            <w:tcW w:w="1842" w:type="dxa"/>
            <w:shd w:val="clear" w:color="auto" w:fill="D9D9D9" w:themeFill="background1" w:themeFillShade="D9"/>
            <w:noWrap/>
            <w:vAlign w:val="center"/>
            <w:hideMark/>
          </w:tcPr>
          <w:p w14:paraId="625B1A15" w14:textId="77777777" w:rsidR="00CB3AA6" w:rsidRPr="007F7D21" w:rsidRDefault="00CB3AA6" w:rsidP="00E32606">
            <w:pPr>
              <w:pStyle w:val="Tablebodycopy"/>
              <w:rPr>
                <w:lang w:eastAsia="en-AU"/>
              </w:rPr>
            </w:pPr>
            <w:r w:rsidRPr="007F7D21">
              <w:t>1,801.6</w:t>
            </w:r>
          </w:p>
        </w:tc>
        <w:tc>
          <w:tcPr>
            <w:tcW w:w="1701" w:type="dxa"/>
            <w:shd w:val="clear" w:color="auto" w:fill="D9D9D9" w:themeFill="background1" w:themeFillShade="D9"/>
            <w:noWrap/>
            <w:vAlign w:val="center"/>
            <w:hideMark/>
          </w:tcPr>
          <w:p w14:paraId="5C0495BB" w14:textId="77777777" w:rsidR="00CB3AA6" w:rsidRPr="007F7D21" w:rsidRDefault="00CB3AA6" w:rsidP="00E32606">
            <w:pPr>
              <w:pStyle w:val="Tablebodycopy"/>
              <w:rPr>
                <w:lang w:eastAsia="en-AU"/>
              </w:rPr>
            </w:pPr>
            <w:r w:rsidRPr="007F7D21">
              <w:t>33.5</w:t>
            </w:r>
          </w:p>
        </w:tc>
        <w:tc>
          <w:tcPr>
            <w:tcW w:w="1276" w:type="dxa"/>
            <w:shd w:val="clear" w:color="auto" w:fill="D9D9D9" w:themeFill="background1" w:themeFillShade="D9"/>
            <w:noWrap/>
            <w:vAlign w:val="center"/>
            <w:hideMark/>
          </w:tcPr>
          <w:p w14:paraId="36F11BAC" w14:textId="77777777" w:rsidR="00CB3AA6" w:rsidRPr="007F7D21" w:rsidRDefault="00CB3AA6" w:rsidP="00E32606">
            <w:pPr>
              <w:pStyle w:val="Tablebodycopy"/>
              <w:rPr>
                <w:lang w:eastAsia="en-AU"/>
              </w:rPr>
            </w:pPr>
            <w:r w:rsidRPr="007F7D21">
              <w:t>1.9</w:t>
            </w:r>
          </w:p>
        </w:tc>
      </w:tr>
      <w:tr w:rsidR="00CB3AA6" w:rsidRPr="008D475A" w14:paraId="113ADCED" w14:textId="77777777" w:rsidTr="002546E6">
        <w:trPr>
          <w:trHeight w:val="290"/>
        </w:trPr>
        <w:tc>
          <w:tcPr>
            <w:tcW w:w="4962" w:type="dxa"/>
            <w:shd w:val="clear" w:color="000000" w:fill="FFFFFF"/>
            <w:noWrap/>
            <w:vAlign w:val="center"/>
            <w:hideMark/>
          </w:tcPr>
          <w:p w14:paraId="7D18D514" w14:textId="77777777" w:rsidR="00CB3AA6" w:rsidRPr="007F7D21" w:rsidRDefault="00CB3AA6" w:rsidP="00E32606">
            <w:pPr>
              <w:pStyle w:val="Tablebodycopy"/>
              <w:rPr>
                <w:lang w:eastAsia="en-AU"/>
              </w:rPr>
            </w:pPr>
            <w:r w:rsidRPr="007F7D21">
              <w:rPr>
                <w:lang w:eastAsia="en-AU"/>
              </w:rPr>
              <w:t>Sales Workers</w:t>
            </w:r>
          </w:p>
        </w:tc>
        <w:tc>
          <w:tcPr>
            <w:tcW w:w="1842" w:type="dxa"/>
            <w:shd w:val="clear" w:color="000000" w:fill="FFFFFF"/>
            <w:noWrap/>
            <w:vAlign w:val="center"/>
            <w:hideMark/>
          </w:tcPr>
          <w:p w14:paraId="3CB36843" w14:textId="77777777" w:rsidR="00CB3AA6" w:rsidRPr="007F7D21" w:rsidRDefault="00CB3AA6" w:rsidP="00E32606">
            <w:pPr>
              <w:pStyle w:val="Tablebodycopy"/>
              <w:rPr>
                <w:lang w:eastAsia="en-AU"/>
              </w:rPr>
            </w:pPr>
            <w:r w:rsidRPr="007F7D21">
              <w:t>1,119.9</w:t>
            </w:r>
          </w:p>
        </w:tc>
        <w:tc>
          <w:tcPr>
            <w:tcW w:w="1701" w:type="dxa"/>
            <w:shd w:val="clear" w:color="000000" w:fill="FFFFFF"/>
            <w:noWrap/>
            <w:vAlign w:val="center"/>
            <w:hideMark/>
          </w:tcPr>
          <w:p w14:paraId="49B39FE4" w14:textId="77777777" w:rsidR="00CB3AA6" w:rsidRPr="007F7D21" w:rsidRDefault="00CB3AA6" w:rsidP="00E32606">
            <w:pPr>
              <w:pStyle w:val="Tablebodycopy"/>
              <w:rPr>
                <w:lang w:eastAsia="en-AU"/>
              </w:rPr>
            </w:pPr>
            <w:r w:rsidRPr="007F7D21">
              <w:t>13.8</w:t>
            </w:r>
          </w:p>
        </w:tc>
        <w:tc>
          <w:tcPr>
            <w:tcW w:w="1276" w:type="dxa"/>
            <w:shd w:val="clear" w:color="000000" w:fill="FFFFFF"/>
            <w:noWrap/>
            <w:vAlign w:val="center"/>
            <w:hideMark/>
          </w:tcPr>
          <w:p w14:paraId="0B09C799" w14:textId="77777777" w:rsidR="00CB3AA6" w:rsidRPr="007F7D21" w:rsidRDefault="00CB3AA6" w:rsidP="00E32606">
            <w:pPr>
              <w:pStyle w:val="Tablebodycopy"/>
              <w:rPr>
                <w:lang w:eastAsia="en-AU"/>
              </w:rPr>
            </w:pPr>
            <w:r w:rsidRPr="007F7D21">
              <w:t>1.2</w:t>
            </w:r>
          </w:p>
        </w:tc>
      </w:tr>
      <w:tr w:rsidR="00CB3AA6" w:rsidRPr="008D475A" w14:paraId="36C4B7CB" w14:textId="77777777" w:rsidTr="002546E6">
        <w:trPr>
          <w:trHeight w:val="290"/>
        </w:trPr>
        <w:tc>
          <w:tcPr>
            <w:tcW w:w="4962" w:type="dxa"/>
            <w:shd w:val="clear" w:color="auto" w:fill="D9D9D9" w:themeFill="background1" w:themeFillShade="D9"/>
            <w:noWrap/>
            <w:vAlign w:val="center"/>
            <w:hideMark/>
          </w:tcPr>
          <w:p w14:paraId="1A3A273F" w14:textId="77777777" w:rsidR="00CB3AA6" w:rsidRPr="007F7D21" w:rsidRDefault="00CB3AA6" w:rsidP="00E32606">
            <w:pPr>
              <w:pStyle w:val="Tablebodycopy"/>
              <w:rPr>
                <w:lang w:eastAsia="en-AU"/>
              </w:rPr>
            </w:pPr>
            <w:r w:rsidRPr="007F7D21">
              <w:rPr>
                <w:lang w:eastAsia="en-AU"/>
              </w:rPr>
              <w:t>Machinery Operators and Drivers</w:t>
            </w:r>
          </w:p>
        </w:tc>
        <w:tc>
          <w:tcPr>
            <w:tcW w:w="1842" w:type="dxa"/>
            <w:shd w:val="clear" w:color="auto" w:fill="D9D9D9" w:themeFill="background1" w:themeFillShade="D9"/>
            <w:noWrap/>
            <w:vAlign w:val="center"/>
            <w:hideMark/>
          </w:tcPr>
          <w:p w14:paraId="440069BD" w14:textId="77777777" w:rsidR="00CB3AA6" w:rsidRPr="007F7D21" w:rsidRDefault="00CB3AA6" w:rsidP="00E32606">
            <w:pPr>
              <w:pStyle w:val="Tablebodycopy"/>
              <w:rPr>
                <w:lang w:eastAsia="en-AU"/>
              </w:rPr>
            </w:pPr>
            <w:r w:rsidRPr="007F7D21">
              <w:t>887.5</w:t>
            </w:r>
          </w:p>
        </w:tc>
        <w:tc>
          <w:tcPr>
            <w:tcW w:w="1701" w:type="dxa"/>
            <w:shd w:val="clear" w:color="auto" w:fill="D9D9D9" w:themeFill="background1" w:themeFillShade="D9"/>
            <w:noWrap/>
            <w:vAlign w:val="center"/>
            <w:hideMark/>
          </w:tcPr>
          <w:p w14:paraId="5EE546EF" w14:textId="77777777" w:rsidR="00CB3AA6" w:rsidRPr="007F7D21" w:rsidRDefault="00CB3AA6" w:rsidP="00E32606">
            <w:pPr>
              <w:pStyle w:val="Tablebodycopy"/>
              <w:rPr>
                <w:lang w:eastAsia="en-AU"/>
              </w:rPr>
            </w:pPr>
            <w:r w:rsidRPr="007F7D21">
              <w:t>12.0</w:t>
            </w:r>
          </w:p>
        </w:tc>
        <w:tc>
          <w:tcPr>
            <w:tcW w:w="1276" w:type="dxa"/>
            <w:shd w:val="clear" w:color="auto" w:fill="D9D9D9" w:themeFill="background1" w:themeFillShade="D9"/>
            <w:noWrap/>
            <w:vAlign w:val="center"/>
            <w:hideMark/>
          </w:tcPr>
          <w:p w14:paraId="1CDF1F69" w14:textId="77777777" w:rsidR="00CB3AA6" w:rsidRPr="007F7D21" w:rsidRDefault="00CB3AA6" w:rsidP="00E32606">
            <w:pPr>
              <w:pStyle w:val="Tablebodycopy"/>
              <w:rPr>
                <w:lang w:eastAsia="en-AU"/>
              </w:rPr>
            </w:pPr>
            <w:r w:rsidRPr="007F7D21">
              <w:t>1.4</w:t>
            </w:r>
          </w:p>
        </w:tc>
      </w:tr>
      <w:tr w:rsidR="00CB3AA6" w:rsidRPr="008D475A" w14:paraId="4F441EBF" w14:textId="77777777" w:rsidTr="002546E6">
        <w:trPr>
          <w:trHeight w:val="290"/>
        </w:trPr>
        <w:tc>
          <w:tcPr>
            <w:tcW w:w="4962" w:type="dxa"/>
            <w:shd w:val="clear" w:color="000000" w:fill="FFFFFF"/>
            <w:noWrap/>
            <w:vAlign w:val="center"/>
            <w:hideMark/>
          </w:tcPr>
          <w:p w14:paraId="33CBA683" w14:textId="77777777" w:rsidR="00CB3AA6" w:rsidRPr="007F7D21" w:rsidRDefault="00CB3AA6" w:rsidP="00E32606">
            <w:pPr>
              <w:pStyle w:val="Tablebodycopy"/>
              <w:rPr>
                <w:lang w:eastAsia="en-AU"/>
              </w:rPr>
            </w:pPr>
            <w:proofErr w:type="spellStart"/>
            <w:r w:rsidRPr="007F7D21">
              <w:rPr>
                <w:lang w:eastAsia="en-AU"/>
              </w:rPr>
              <w:t>Labourers</w:t>
            </w:r>
            <w:proofErr w:type="spellEnd"/>
          </w:p>
        </w:tc>
        <w:tc>
          <w:tcPr>
            <w:tcW w:w="1842" w:type="dxa"/>
            <w:shd w:val="clear" w:color="000000" w:fill="FFFFFF"/>
            <w:noWrap/>
            <w:vAlign w:val="center"/>
            <w:hideMark/>
          </w:tcPr>
          <w:p w14:paraId="26BFB92C" w14:textId="77777777" w:rsidR="00CB3AA6" w:rsidRPr="007F7D21" w:rsidRDefault="00CB3AA6" w:rsidP="00E32606">
            <w:pPr>
              <w:pStyle w:val="Tablebodycopy"/>
              <w:rPr>
                <w:lang w:eastAsia="en-AU"/>
              </w:rPr>
            </w:pPr>
            <w:r w:rsidRPr="007F7D21">
              <w:t>1,227.5</w:t>
            </w:r>
          </w:p>
        </w:tc>
        <w:tc>
          <w:tcPr>
            <w:tcW w:w="1701" w:type="dxa"/>
            <w:shd w:val="clear" w:color="000000" w:fill="FFFFFF"/>
            <w:noWrap/>
            <w:vAlign w:val="center"/>
            <w:hideMark/>
          </w:tcPr>
          <w:p w14:paraId="242F8EB3" w14:textId="77777777" w:rsidR="00CB3AA6" w:rsidRPr="007F7D21" w:rsidRDefault="00CB3AA6" w:rsidP="00E32606">
            <w:pPr>
              <w:pStyle w:val="Tablebodycopy"/>
              <w:rPr>
                <w:lang w:eastAsia="en-AU"/>
              </w:rPr>
            </w:pPr>
            <w:r w:rsidRPr="007F7D21">
              <w:t>50.1</w:t>
            </w:r>
          </w:p>
        </w:tc>
        <w:tc>
          <w:tcPr>
            <w:tcW w:w="1276" w:type="dxa"/>
            <w:shd w:val="clear" w:color="000000" w:fill="FFFFFF"/>
            <w:noWrap/>
            <w:vAlign w:val="center"/>
            <w:hideMark/>
          </w:tcPr>
          <w:p w14:paraId="4F8227F7" w14:textId="77777777" w:rsidR="00CB3AA6" w:rsidRPr="007F7D21" w:rsidRDefault="00CB3AA6" w:rsidP="00E32606">
            <w:pPr>
              <w:pStyle w:val="Tablebodycopy"/>
              <w:rPr>
                <w:lang w:eastAsia="en-AU"/>
              </w:rPr>
            </w:pPr>
            <w:r w:rsidRPr="007F7D21">
              <w:t>4.3</w:t>
            </w:r>
          </w:p>
        </w:tc>
      </w:tr>
    </w:tbl>
    <w:p w14:paraId="035C746F" w14:textId="77777777" w:rsidR="00CB3AA6" w:rsidRPr="00361487" w:rsidRDefault="00CB3AA6" w:rsidP="00CB3AA6">
      <w:pPr>
        <w:pStyle w:val="Source"/>
        <w:numPr>
          <w:ilvl w:val="0"/>
          <w:numId w:val="0"/>
        </w:numPr>
        <w:ind w:left="510" w:hanging="510"/>
      </w:pPr>
      <w:r>
        <w:t>Source: ABS, Labour Force, Australia, Detailed, May 2023, data trended by Jobs and Skills Australia.</w:t>
      </w:r>
    </w:p>
    <w:p w14:paraId="0CEB8125" w14:textId="77777777" w:rsidR="00CB3AA6" w:rsidRPr="003C7C2E" w:rsidRDefault="00CB3AA6" w:rsidP="00E32606">
      <w:pPr>
        <w:pStyle w:val="Bodycopy"/>
      </w:pPr>
      <w:r w:rsidRPr="00B05E44">
        <w:t xml:space="preserve">Five </w:t>
      </w:r>
      <w:r w:rsidRPr="003C7C2E">
        <w:t>of the 10 detailed occupations with the largest increases in employment over the year to May 2023 are Skill Level 1 occupations requiring a Bachelor Degree or higher</w:t>
      </w:r>
      <w:r>
        <w:t xml:space="preserve"> (</w:t>
      </w:r>
      <w:r w:rsidRPr="003C7C2E">
        <w:t>Table 7</w:t>
      </w:r>
      <w:r>
        <w:t>)</w:t>
      </w:r>
      <w:r w:rsidRPr="003C7C2E">
        <w:t xml:space="preserve">. Further, </w:t>
      </w:r>
      <w:r w:rsidRPr="003C7C2E">
        <w:rPr>
          <w:rStyle w:val="Strong"/>
        </w:rPr>
        <w:t>the top three growing occupations are caring occupations</w:t>
      </w:r>
      <w:r w:rsidRPr="003C7C2E">
        <w:t xml:space="preserve">, underscoring the </w:t>
      </w:r>
      <w:r w:rsidRPr="003C7C2E">
        <w:lastRenderedPageBreak/>
        <w:t>continued need for diverse skills required to provide affordable, efficient and equitable access to care across the lifespan.</w:t>
      </w:r>
    </w:p>
    <w:p w14:paraId="1A7346CB" w14:textId="77777777" w:rsidR="000418EC" w:rsidRPr="00DB5940" w:rsidRDefault="000418EC" w:rsidP="000418EC">
      <w:pPr>
        <w:pStyle w:val="ChartandTablelabel"/>
      </w:pPr>
      <w:r w:rsidRPr="003C7C2E">
        <w:t>Table 7: Highest</w:t>
      </w:r>
      <w:r w:rsidRPr="000F6E42">
        <w:t xml:space="preserve"> and lowest 10 occupations by change in employment</w:t>
      </w:r>
      <w:r>
        <w:t xml:space="preserve"> from May 2022 </w:t>
      </w:r>
      <w:r w:rsidRPr="000F6E42">
        <w:t>to May 2023</w:t>
      </w:r>
    </w:p>
    <w:tbl>
      <w:tblPr>
        <w:tblW w:w="9498" w:type="dxa"/>
        <w:tblLayout w:type="fixed"/>
        <w:tblLook w:val="04A0" w:firstRow="1" w:lastRow="0" w:firstColumn="1" w:lastColumn="0" w:noHBand="0" w:noVBand="1"/>
      </w:tblPr>
      <w:tblGrid>
        <w:gridCol w:w="2552"/>
        <w:gridCol w:w="850"/>
        <w:gridCol w:w="1560"/>
        <w:gridCol w:w="2093"/>
        <w:gridCol w:w="883"/>
        <w:gridCol w:w="1560"/>
      </w:tblGrid>
      <w:tr w:rsidR="000418EC" w14:paraId="59A0976C" w14:textId="77777777" w:rsidTr="000418EC">
        <w:trPr>
          <w:trHeight w:val="271"/>
        </w:trPr>
        <w:tc>
          <w:tcPr>
            <w:tcW w:w="4962" w:type="dxa"/>
            <w:gridSpan w:val="3"/>
            <w:shd w:val="clear" w:color="auto" w:fill="441170" w:themeFill="text2"/>
            <w:tcMar>
              <w:left w:w="108" w:type="dxa"/>
              <w:right w:w="108" w:type="dxa"/>
            </w:tcMar>
            <w:vAlign w:val="center"/>
          </w:tcPr>
          <w:p w14:paraId="536F8940" w14:textId="77777777" w:rsidR="000418EC" w:rsidRPr="002846FB" w:rsidRDefault="000418EC" w:rsidP="000418EC">
            <w:pPr>
              <w:pStyle w:val="Tableheader"/>
            </w:pPr>
            <w:r w:rsidRPr="002846FB">
              <w:t>Highest occupations by change in employment</w:t>
            </w:r>
          </w:p>
        </w:tc>
        <w:tc>
          <w:tcPr>
            <w:tcW w:w="4536" w:type="dxa"/>
            <w:gridSpan w:val="3"/>
            <w:shd w:val="clear" w:color="auto" w:fill="441170" w:themeFill="text2"/>
            <w:tcMar>
              <w:left w:w="108" w:type="dxa"/>
              <w:right w:w="108" w:type="dxa"/>
            </w:tcMar>
            <w:vAlign w:val="center"/>
          </w:tcPr>
          <w:p w14:paraId="78F13C3B" w14:textId="77777777" w:rsidR="000418EC" w:rsidRPr="002846FB" w:rsidRDefault="000418EC" w:rsidP="000418EC">
            <w:pPr>
              <w:pStyle w:val="Tableheader"/>
            </w:pPr>
            <w:r w:rsidRPr="002846FB">
              <w:t>Lowest occupations by change in employment</w:t>
            </w:r>
          </w:p>
        </w:tc>
      </w:tr>
      <w:tr w:rsidR="000418EC" w14:paraId="4F042539" w14:textId="77777777" w:rsidTr="000418EC">
        <w:trPr>
          <w:trHeight w:val="271"/>
        </w:trPr>
        <w:tc>
          <w:tcPr>
            <w:tcW w:w="2552" w:type="dxa"/>
            <w:shd w:val="clear" w:color="auto" w:fill="441170" w:themeFill="text2"/>
            <w:tcMar>
              <w:left w:w="108" w:type="dxa"/>
              <w:right w:w="108" w:type="dxa"/>
            </w:tcMar>
            <w:vAlign w:val="center"/>
          </w:tcPr>
          <w:p w14:paraId="00DDEAF9" w14:textId="77777777" w:rsidR="000418EC" w:rsidRPr="002846FB" w:rsidRDefault="000418EC" w:rsidP="000418EC">
            <w:pPr>
              <w:pStyle w:val="Tableheader"/>
            </w:pPr>
            <w:r w:rsidRPr="002846FB">
              <w:t>Occupation</w:t>
            </w:r>
          </w:p>
        </w:tc>
        <w:tc>
          <w:tcPr>
            <w:tcW w:w="850" w:type="dxa"/>
            <w:shd w:val="clear" w:color="auto" w:fill="441170" w:themeFill="text2"/>
            <w:tcMar>
              <w:left w:w="108" w:type="dxa"/>
              <w:right w:w="108" w:type="dxa"/>
            </w:tcMar>
            <w:vAlign w:val="center"/>
          </w:tcPr>
          <w:p w14:paraId="5C8BF2AD" w14:textId="77777777" w:rsidR="000418EC" w:rsidRPr="002846FB" w:rsidRDefault="000418EC" w:rsidP="000418EC">
            <w:pPr>
              <w:pStyle w:val="Tableheader"/>
            </w:pPr>
            <w:r w:rsidRPr="002846FB">
              <w:t>Skill Level</w:t>
            </w:r>
          </w:p>
        </w:tc>
        <w:tc>
          <w:tcPr>
            <w:tcW w:w="1560" w:type="dxa"/>
            <w:shd w:val="clear" w:color="auto" w:fill="441170" w:themeFill="text2"/>
            <w:tcMar>
              <w:left w:w="108" w:type="dxa"/>
              <w:right w:w="108" w:type="dxa"/>
            </w:tcMar>
            <w:vAlign w:val="center"/>
          </w:tcPr>
          <w:p w14:paraId="7FE9B4BB" w14:textId="77777777" w:rsidR="000418EC" w:rsidRPr="002846FB" w:rsidRDefault="000418EC" w:rsidP="000418EC">
            <w:pPr>
              <w:pStyle w:val="Tableheader"/>
            </w:pPr>
            <w:r w:rsidRPr="002846FB">
              <w:t>Change in employment since May 2022 ('000)</w:t>
            </w:r>
          </w:p>
        </w:tc>
        <w:tc>
          <w:tcPr>
            <w:tcW w:w="2093" w:type="dxa"/>
            <w:shd w:val="clear" w:color="auto" w:fill="441170" w:themeFill="text2"/>
            <w:tcMar>
              <w:left w:w="108" w:type="dxa"/>
              <w:right w:w="108" w:type="dxa"/>
            </w:tcMar>
            <w:vAlign w:val="center"/>
          </w:tcPr>
          <w:p w14:paraId="43C76617" w14:textId="77777777" w:rsidR="000418EC" w:rsidRPr="002846FB" w:rsidRDefault="000418EC" w:rsidP="000418EC">
            <w:pPr>
              <w:pStyle w:val="Tableheader"/>
            </w:pPr>
            <w:r w:rsidRPr="002846FB">
              <w:t>Occupation</w:t>
            </w:r>
          </w:p>
        </w:tc>
        <w:tc>
          <w:tcPr>
            <w:tcW w:w="883" w:type="dxa"/>
            <w:shd w:val="clear" w:color="auto" w:fill="441170" w:themeFill="text2"/>
            <w:tcMar>
              <w:left w:w="108" w:type="dxa"/>
              <w:right w:w="108" w:type="dxa"/>
            </w:tcMar>
            <w:vAlign w:val="center"/>
          </w:tcPr>
          <w:p w14:paraId="53A45972" w14:textId="77777777" w:rsidR="000418EC" w:rsidRPr="002846FB" w:rsidRDefault="000418EC" w:rsidP="000418EC">
            <w:pPr>
              <w:pStyle w:val="Tableheader"/>
            </w:pPr>
            <w:r w:rsidRPr="002846FB">
              <w:t>Skill Level</w:t>
            </w:r>
          </w:p>
        </w:tc>
        <w:tc>
          <w:tcPr>
            <w:tcW w:w="1560" w:type="dxa"/>
            <w:shd w:val="clear" w:color="auto" w:fill="441170" w:themeFill="text2"/>
            <w:tcMar>
              <w:left w:w="108" w:type="dxa"/>
              <w:right w:w="108" w:type="dxa"/>
            </w:tcMar>
            <w:vAlign w:val="center"/>
          </w:tcPr>
          <w:p w14:paraId="63084321" w14:textId="77777777" w:rsidR="000418EC" w:rsidRPr="002846FB" w:rsidRDefault="000418EC" w:rsidP="000418EC">
            <w:pPr>
              <w:pStyle w:val="Tableheader"/>
            </w:pPr>
            <w:r w:rsidRPr="002846FB">
              <w:t>Change in employment since May 2022 ('000)</w:t>
            </w:r>
          </w:p>
        </w:tc>
      </w:tr>
      <w:tr w:rsidR="000418EC" w14:paraId="629CE9B4" w14:textId="77777777" w:rsidTr="000418EC">
        <w:trPr>
          <w:trHeight w:val="7"/>
        </w:trPr>
        <w:tc>
          <w:tcPr>
            <w:tcW w:w="2552" w:type="dxa"/>
            <w:shd w:val="clear" w:color="auto" w:fill="D9D9D9" w:themeFill="background1" w:themeFillShade="D9"/>
            <w:tcMar>
              <w:left w:w="108" w:type="dxa"/>
              <w:right w:w="108" w:type="dxa"/>
            </w:tcMar>
            <w:vAlign w:val="center"/>
          </w:tcPr>
          <w:p w14:paraId="6D14EC8C" w14:textId="77777777" w:rsidR="000418EC" w:rsidRPr="00B05E44" w:rsidRDefault="000418EC" w:rsidP="00B61A93">
            <w:r w:rsidRPr="00B05E44">
              <w:t>Aged and Disabled Carers</w:t>
            </w:r>
          </w:p>
        </w:tc>
        <w:tc>
          <w:tcPr>
            <w:tcW w:w="850" w:type="dxa"/>
            <w:shd w:val="clear" w:color="auto" w:fill="D9D9D9" w:themeFill="background1" w:themeFillShade="D9"/>
            <w:tcMar>
              <w:left w:w="108" w:type="dxa"/>
              <w:right w:w="108" w:type="dxa"/>
            </w:tcMar>
            <w:vAlign w:val="center"/>
          </w:tcPr>
          <w:p w14:paraId="56C3A5D4" w14:textId="77777777" w:rsidR="000418EC" w:rsidRPr="00B05E44" w:rsidRDefault="000418EC" w:rsidP="00B61A93">
            <w:r w:rsidRPr="00B05E44">
              <w:t>4</w:t>
            </w:r>
          </w:p>
        </w:tc>
        <w:tc>
          <w:tcPr>
            <w:tcW w:w="1560" w:type="dxa"/>
            <w:shd w:val="clear" w:color="auto" w:fill="D9D9D9" w:themeFill="background1" w:themeFillShade="D9"/>
            <w:tcMar>
              <w:left w:w="108" w:type="dxa"/>
              <w:right w:w="108" w:type="dxa"/>
            </w:tcMar>
            <w:vAlign w:val="center"/>
          </w:tcPr>
          <w:p w14:paraId="2ABD904E" w14:textId="77777777" w:rsidR="000418EC" w:rsidRPr="00B05E44" w:rsidRDefault="000418EC" w:rsidP="00B61A93">
            <w:r w:rsidRPr="00B05E44">
              <w:t>23.3</w:t>
            </w:r>
          </w:p>
        </w:tc>
        <w:tc>
          <w:tcPr>
            <w:tcW w:w="2093" w:type="dxa"/>
            <w:shd w:val="clear" w:color="auto" w:fill="D9D9D9" w:themeFill="background1" w:themeFillShade="D9"/>
            <w:tcMar>
              <w:left w:w="108" w:type="dxa"/>
              <w:right w:w="108" w:type="dxa"/>
            </w:tcMar>
            <w:vAlign w:val="center"/>
          </w:tcPr>
          <w:p w14:paraId="4555D574" w14:textId="77777777" w:rsidR="000418EC" w:rsidRPr="00B05E44" w:rsidRDefault="000418EC" w:rsidP="00B61A93">
            <w:r w:rsidRPr="00B05E44">
              <w:t>Checkout Operators and Office Cashiers</w:t>
            </w:r>
          </w:p>
        </w:tc>
        <w:tc>
          <w:tcPr>
            <w:tcW w:w="883" w:type="dxa"/>
            <w:shd w:val="clear" w:color="auto" w:fill="D9D9D9" w:themeFill="background1" w:themeFillShade="D9"/>
            <w:tcMar>
              <w:left w:w="108" w:type="dxa"/>
              <w:right w:w="108" w:type="dxa"/>
            </w:tcMar>
            <w:vAlign w:val="center"/>
          </w:tcPr>
          <w:p w14:paraId="08EAAA2C" w14:textId="77777777" w:rsidR="000418EC" w:rsidRPr="00B05E44" w:rsidRDefault="000418EC" w:rsidP="00B61A93">
            <w:r w:rsidRPr="00B05E44">
              <w:t>5</w:t>
            </w:r>
          </w:p>
        </w:tc>
        <w:tc>
          <w:tcPr>
            <w:tcW w:w="1560" w:type="dxa"/>
            <w:shd w:val="clear" w:color="auto" w:fill="D9D9D9" w:themeFill="background1" w:themeFillShade="D9"/>
            <w:tcMar>
              <w:left w:w="108" w:type="dxa"/>
              <w:right w:w="108" w:type="dxa"/>
            </w:tcMar>
            <w:vAlign w:val="center"/>
          </w:tcPr>
          <w:p w14:paraId="2D8F0418" w14:textId="77777777" w:rsidR="000418EC" w:rsidRPr="00B05E44" w:rsidRDefault="000418EC" w:rsidP="00B61A93">
            <w:r w:rsidRPr="00B05E44">
              <w:t>-6.1</w:t>
            </w:r>
          </w:p>
        </w:tc>
      </w:tr>
      <w:tr w:rsidR="000418EC" w14:paraId="7A3EA52F" w14:textId="77777777" w:rsidTr="000418EC">
        <w:trPr>
          <w:trHeight w:val="7"/>
        </w:trPr>
        <w:tc>
          <w:tcPr>
            <w:tcW w:w="2552" w:type="dxa"/>
            <w:tcMar>
              <w:left w:w="108" w:type="dxa"/>
              <w:right w:w="108" w:type="dxa"/>
            </w:tcMar>
            <w:vAlign w:val="center"/>
          </w:tcPr>
          <w:p w14:paraId="38BE8831" w14:textId="77777777" w:rsidR="000418EC" w:rsidRPr="00B05E44" w:rsidRDefault="000418EC" w:rsidP="00B61A93">
            <w:r w:rsidRPr="00B05E44">
              <w:t>Registered Nurses</w:t>
            </w:r>
          </w:p>
        </w:tc>
        <w:tc>
          <w:tcPr>
            <w:tcW w:w="850" w:type="dxa"/>
            <w:tcMar>
              <w:left w:w="108" w:type="dxa"/>
              <w:right w:w="108" w:type="dxa"/>
            </w:tcMar>
            <w:vAlign w:val="center"/>
          </w:tcPr>
          <w:p w14:paraId="007B8590" w14:textId="77777777" w:rsidR="000418EC" w:rsidRPr="00B05E44" w:rsidRDefault="000418EC" w:rsidP="00B61A93">
            <w:r w:rsidRPr="00B05E44">
              <w:t>1</w:t>
            </w:r>
          </w:p>
        </w:tc>
        <w:tc>
          <w:tcPr>
            <w:tcW w:w="1560" w:type="dxa"/>
            <w:tcMar>
              <w:left w:w="108" w:type="dxa"/>
              <w:right w:w="108" w:type="dxa"/>
            </w:tcMar>
            <w:vAlign w:val="center"/>
          </w:tcPr>
          <w:p w14:paraId="1DBF9CE9" w14:textId="77777777" w:rsidR="000418EC" w:rsidRPr="00B05E44" w:rsidRDefault="000418EC" w:rsidP="00B61A93">
            <w:r w:rsidRPr="00B05E44">
              <w:t>12.9</w:t>
            </w:r>
          </w:p>
        </w:tc>
        <w:tc>
          <w:tcPr>
            <w:tcW w:w="2093" w:type="dxa"/>
            <w:tcMar>
              <w:left w:w="108" w:type="dxa"/>
              <w:right w:w="108" w:type="dxa"/>
            </w:tcMar>
            <w:vAlign w:val="center"/>
          </w:tcPr>
          <w:p w14:paraId="5AF367F1" w14:textId="77777777" w:rsidR="000418EC" w:rsidRPr="00B05E44" w:rsidRDefault="000418EC" w:rsidP="00B61A93">
            <w:r w:rsidRPr="00B05E44">
              <w:t>Office Managers</w:t>
            </w:r>
          </w:p>
        </w:tc>
        <w:tc>
          <w:tcPr>
            <w:tcW w:w="883" w:type="dxa"/>
            <w:tcMar>
              <w:left w:w="108" w:type="dxa"/>
              <w:right w:w="108" w:type="dxa"/>
            </w:tcMar>
            <w:vAlign w:val="center"/>
          </w:tcPr>
          <w:p w14:paraId="46E770F7" w14:textId="77777777" w:rsidR="000418EC" w:rsidRPr="00B05E44" w:rsidRDefault="000418EC" w:rsidP="00B61A93">
            <w:r w:rsidRPr="00B05E44">
              <w:t>2</w:t>
            </w:r>
          </w:p>
        </w:tc>
        <w:tc>
          <w:tcPr>
            <w:tcW w:w="1560" w:type="dxa"/>
            <w:tcMar>
              <w:left w:w="108" w:type="dxa"/>
              <w:right w:w="108" w:type="dxa"/>
            </w:tcMar>
            <w:vAlign w:val="center"/>
          </w:tcPr>
          <w:p w14:paraId="37E57ECF" w14:textId="77777777" w:rsidR="000418EC" w:rsidRPr="00B05E44" w:rsidRDefault="000418EC" w:rsidP="00B61A93">
            <w:r w:rsidRPr="00B05E44">
              <w:t>-3.6</w:t>
            </w:r>
          </w:p>
        </w:tc>
      </w:tr>
      <w:tr w:rsidR="000418EC" w14:paraId="6B212712" w14:textId="77777777" w:rsidTr="000418EC">
        <w:trPr>
          <w:trHeight w:val="7"/>
        </w:trPr>
        <w:tc>
          <w:tcPr>
            <w:tcW w:w="2552" w:type="dxa"/>
            <w:shd w:val="clear" w:color="auto" w:fill="D9D9D9" w:themeFill="background1" w:themeFillShade="D9"/>
            <w:tcMar>
              <w:left w:w="108" w:type="dxa"/>
              <w:right w:w="108" w:type="dxa"/>
            </w:tcMar>
            <w:vAlign w:val="center"/>
          </w:tcPr>
          <w:p w14:paraId="5054020C" w14:textId="77777777" w:rsidR="000418EC" w:rsidRPr="00B05E44" w:rsidRDefault="000418EC" w:rsidP="00B61A93">
            <w:r w:rsidRPr="00B05E44">
              <w:t>Child Carers</w:t>
            </w:r>
          </w:p>
        </w:tc>
        <w:tc>
          <w:tcPr>
            <w:tcW w:w="850" w:type="dxa"/>
            <w:shd w:val="clear" w:color="auto" w:fill="D9D9D9" w:themeFill="background1" w:themeFillShade="D9"/>
            <w:tcMar>
              <w:left w:w="108" w:type="dxa"/>
              <w:right w:w="108" w:type="dxa"/>
            </w:tcMar>
            <w:vAlign w:val="center"/>
          </w:tcPr>
          <w:p w14:paraId="41DF5782" w14:textId="77777777" w:rsidR="000418EC" w:rsidRPr="00B05E44" w:rsidRDefault="000418EC" w:rsidP="00B61A93">
            <w:r w:rsidRPr="00B05E44">
              <w:t>3</w:t>
            </w:r>
          </w:p>
        </w:tc>
        <w:tc>
          <w:tcPr>
            <w:tcW w:w="1560" w:type="dxa"/>
            <w:shd w:val="clear" w:color="auto" w:fill="D9D9D9" w:themeFill="background1" w:themeFillShade="D9"/>
            <w:tcMar>
              <w:left w:w="108" w:type="dxa"/>
              <w:right w:w="108" w:type="dxa"/>
            </w:tcMar>
            <w:vAlign w:val="center"/>
          </w:tcPr>
          <w:p w14:paraId="302CE534" w14:textId="77777777" w:rsidR="000418EC" w:rsidRPr="00B05E44" w:rsidRDefault="000418EC" w:rsidP="00B61A93">
            <w:r w:rsidRPr="00B05E44">
              <w:t>11.7</w:t>
            </w:r>
          </w:p>
        </w:tc>
        <w:tc>
          <w:tcPr>
            <w:tcW w:w="2093" w:type="dxa"/>
            <w:shd w:val="clear" w:color="auto" w:fill="D9D9D9" w:themeFill="background1" w:themeFillShade="D9"/>
            <w:tcMar>
              <w:left w:w="108" w:type="dxa"/>
              <w:right w:w="108" w:type="dxa"/>
            </w:tcMar>
            <w:vAlign w:val="center"/>
          </w:tcPr>
          <w:p w14:paraId="4561C09A" w14:textId="77777777" w:rsidR="000418EC" w:rsidRPr="00B05E44" w:rsidRDefault="000418EC" w:rsidP="00B61A93">
            <w:r w:rsidRPr="00B05E44">
              <w:t>Livestock Farmers</w:t>
            </w:r>
          </w:p>
        </w:tc>
        <w:tc>
          <w:tcPr>
            <w:tcW w:w="883" w:type="dxa"/>
            <w:shd w:val="clear" w:color="auto" w:fill="D9D9D9" w:themeFill="background1" w:themeFillShade="D9"/>
            <w:tcMar>
              <w:left w:w="108" w:type="dxa"/>
              <w:right w:w="108" w:type="dxa"/>
            </w:tcMar>
            <w:vAlign w:val="center"/>
          </w:tcPr>
          <w:p w14:paraId="52269D13" w14:textId="77777777" w:rsidR="000418EC" w:rsidRPr="00B05E44" w:rsidRDefault="000418EC" w:rsidP="00B61A93">
            <w:r w:rsidRPr="00B05E44">
              <w:t>1</w:t>
            </w:r>
          </w:p>
        </w:tc>
        <w:tc>
          <w:tcPr>
            <w:tcW w:w="1560" w:type="dxa"/>
            <w:shd w:val="clear" w:color="auto" w:fill="D9D9D9" w:themeFill="background1" w:themeFillShade="D9"/>
            <w:tcMar>
              <w:left w:w="108" w:type="dxa"/>
              <w:right w:w="108" w:type="dxa"/>
            </w:tcMar>
            <w:vAlign w:val="center"/>
          </w:tcPr>
          <w:p w14:paraId="2E64C688" w14:textId="77777777" w:rsidR="000418EC" w:rsidRPr="00B05E44" w:rsidRDefault="000418EC" w:rsidP="00B61A93">
            <w:r w:rsidRPr="00B05E44">
              <w:t>-3.2</w:t>
            </w:r>
          </w:p>
        </w:tc>
      </w:tr>
      <w:tr w:rsidR="000418EC" w14:paraId="676FD448" w14:textId="77777777" w:rsidTr="000418EC">
        <w:trPr>
          <w:trHeight w:val="7"/>
        </w:trPr>
        <w:tc>
          <w:tcPr>
            <w:tcW w:w="2552" w:type="dxa"/>
            <w:tcMar>
              <w:left w:w="108" w:type="dxa"/>
              <w:right w:w="108" w:type="dxa"/>
            </w:tcMar>
            <w:vAlign w:val="center"/>
          </w:tcPr>
          <w:p w14:paraId="71E4CB4E" w14:textId="77777777" w:rsidR="000418EC" w:rsidRPr="00B05E44" w:rsidRDefault="000418EC" w:rsidP="00B61A93">
            <w:r w:rsidRPr="00B05E44">
              <w:t>Sales Assistants (General)</w:t>
            </w:r>
          </w:p>
        </w:tc>
        <w:tc>
          <w:tcPr>
            <w:tcW w:w="850" w:type="dxa"/>
            <w:tcMar>
              <w:left w:w="108" w:type="dxa"/>
              <w:right w:w="108" w:type="dxa"/>
            </w:tcMar>
            <w:vAlign w:val="center"/>
          </w:tcPr>
          <w:p w14:paraId="71587395" w14:textId="77777777" w:rsidR="000418EC" w:rsidRPr="00B05E44" w:rsidRDefault="000418EC" w:rsidP="00B61A93">
            <w:r w:rsidRPr="00B05E44">
              <w:t>5</w:t>
            </w:r>
          </w:p>
        </w:tc>
        <w:tc>
          <w:tcPr>
            <w:tcW w:w="1560" w:type="dxa"/>
            <w:tcMar>
              <w:left w:w="108" w:type="dxa"/>
              <w:right w:w="108" w:type="dxa"/>
            </w:tcMar>
            <w:vAlign w:val="center"/>
          </w:tcPr>
          <w:p w14:paraId="69570BE5" w14:textId="77777777" w:rsidR="000418EC" w:rsidRPr="00B05E44" w:rsidRDefault="000418EC" w:rsidP="00B61A93">
            <w:r w:rsidRPr="00B05E44">
              <w:t>11.7</w:t>
            </w:r>
          </w:p>
        </w:tc>
        <w:tc>
          <w:tcPr>
            <w:tcW w:w="2093" w:type="dxa"/>
            <w:tcMar>
              <w:left w:w="108" w:type="dxa"/>
              <w:right w:w="108" w:type="dxa"/>
            </w:tcMar>
            <w:vAlign w:val="center"/>
          </w:tcPr>
          <w:p w14:paraId="4B703844" w14:textId="77777777" w:rsidR="000418EC" w:rsidRPr="00B05E44" w:rsidRDefault="000418EC" w:rsidP="00B61A93">
            <w:r w:rsidRPr="00B05E44">
              <w:t>Commercial Cleaners</w:t>
            </w:r>
          </w:p>
        </w:tc>
        <w:tc>
          <w:tcPr>
            <w:tcW w:w="883" w:type="dxa"/>
            <w:tcMar>
              <w:left w:w="108" w:type="dxa"/>
              <w:right w:w="108" w:type="dxa"/>
            </w:tcMar>
            <w:vAlign w:val="center"/>
          </w:tcPr>
          <w:p w14:paraId="2B2B6E02" w14:textId="77777777" w:rsidR="000418EC" w:rsidRPr="00B05E44" w:rsidRDefault="000418EC" w:rsidP="00B61A93">
            <w:r w:rsidRPr="00B05E44">
              <w:t>5</w:t>
            </w:r>
          </w:p>
        </w:tc>
        <w:tc>
          <w:tcPr>
            <w:tcW w:w="1560" w:type="dxa"/>
            <w:tcMar>
              <w:left w:w="108" w:type="dxa"/>
              <w:right w:w="108" w:type="dxa"/>
            </w:tcMar>
            <w:vAlign w:val="center"/>
          </w:tcPr>
          <w:p w14:paraId="3C280C62" w14:textId="77777777" w:rsidR="000418EC" w:rsidRPr="00B05E44" w:rsidRDefault="000418EC" w:rsidP="00B61A93">
            <w:r w:rsidRPr="00B05E44">
              <w:t>-3.1</w:t>
            </w:r>
          </w:p>
        </w:tc>
      </w:tr>
      <w:tr w:rsidR="000418EC" w14:paraId="0A662F4A" w14:textId="77777777" w:rsidTr="000418EC">
        <w:trPr>
          <w:trHeight w:val="7"/>
        </w:trPr>
        <w:tc>
          <w:tcPr>
            <w:tcW w:w="2552" w:type="dxa"/>
            <w:shd w:val="clear" w:color="auto" w:fill="D9D9D9" w:themeFill="background1" w:themeFillShade="D9"/>
            <w:tcMar>
              <w:left w:w="108" w:type="dxa"/>
              <w:right w:w="108" w:type="dxa"/>
            </w:tcMar>
            <w:vAlign w:val="center"/>
          </w:tcPr>
          <w:p w14:paraId="482FAF57" w14:textId="77777777" w:rsidR="000418EC" w:rsidRPr="00B05E44" w:rsidRDefault="000418EC" w:rsidP="00B61A93">
            <w:r w:rsidRPr="00B05E44">
              <w:t>Contract, Program and Project Administrators</w:t>
            </w:r>
          </w:p>
        </w:tc>
        <w:tc>
          <w:tcPr>
            <w:tcW w:w="850" w:type="dxa"/>
            <w:shd w:val="clear" w:color="auto" w:fill="D9D9D9" w:themeFill="background1" w:themeFillShade="D9"/>
            <w:tcMar>
              <w:left w:w="108" w:type="dxa"/>
              <w:right w:w="108" w:type="dxa"/>
            </w:tcMar>
            <w:vAlign w:val="center"/>
          </w:tcPr>
          <w:p w14:paraId="686666A2" w14:textId="77777777" w:rsidR="000418EC" w:rsidRPr="00B05E44" w:rsidRDefault="000418EC" w:rsidP="00B61A93">
            <w:r w:rsidRPr="00B05E44">
              <w:t>2</w:t>
            </w:r>
          </w:p>
        </w:tc>
        <w:tc>
          <w:tcPr>
            <w:tcW w:w="1560" w:type="dxa"/>
            <w:shd w:val="clear" w:color="auto" w:fill="D9D9D9" w:themeFill="background1" w:themeFillShade="D9"/>
            <w:tcMar>
              <w:left w:w="108" w:type="dxa"/>
              <w:right w:w="108" w:type="dxa"/>
            </w:tcMar>
            <w:vAlign w:val="center"/>
          </w:tcPr>
          <w:p w14:paraId="3B7C4060" w14:textId="77777777" w:rsidR="000418EC" w:rsidRPr="00B05E44" w:rsidRDefault="000418EC" w:rsidP="00B61A93">
            <w:r w:rsidRPr="00B05E44">
              <w:t>10.7</w:t>
            </w:r>
          </w:p>
        </w:tc>
        <w:tc>
          <w:tcPr>
            <w:tcW w:w="2093" w:type="dxa"/>
            <w:shd w:val="clear" w:color="auto" w:fill="D9D9D9" w:themeFill="background1" w:themeFillShade="D9"/>
            <w:tcMar>
              <w:left w:w="108" w:type="dxa"/>
              <w:right w:w="108" w:type="dxa"/>
            </w:tcMar>
            <w:vAlign w:val="center"/>
          </w:tcPr>
          <w:p w14:paraId="28BE6F74" w14:textId="77777777" w:rsidR="000418EC" w:rsidRPr="00B05E44" w:rsidRDefault="000418EC" w:rsidP="00B61A93">
            <w:r w:rsidRPr="00B05E44">
              <w:t>Keyboard Operators</w:t>
            </w:r>
          </w:p>
        </w:tc>
        <w:tc>
          <w:tcPr>
            <w:tcW w:w="883" w:type="dxa"/>
            <w:shd w:val="clear" w:color="auto" w:fill="D9D9D9" w:themeFill="background1" w:themeFillShade="D9"/>
            <w:tcMar>
              <w:left w:w="108" w:type="dxa"/>
              <w:right w:w="108" w:type="dxa"/>
            </w:tcMar>
            <w:vAlign w:val="center"/>
          </w:tcPr>
          <w:p w14:paraId="2CC6810B" w14:textId="77777777" w:rsidR="000418EC" w:rsidRPr="00B05E44" w:rsidRDefault="000418EC" w:rsidP="00B61A93">
            <w:r w:rsidRPr="00B05E44">
              <w:t>4</w:t>
            </w:r>
          </w:p>
        </w:tc>
        <w:tc>
          <w:tcPr>
            <w:tcW w:w="1560" w:type="dxa"/>
            <w:shd w:val="clear" w:color="auto" w:fill="D9D9D9" w:themeFill="background1" w:themeFillShade="D9"/>
            <w:tcMar>
              <w:left w:w="108" w:type="dxa"/>
              <w:right w:w="108" w:type="dxa"/>
            </w:tcMar>
            <w:vAlign w:val="center"/>
          </w:tcPr>
          <w:p w14:paraId="56515CE9" w14:textId="77777777" w:rsidR="000418EC" w:rsidRPr="00B05E44" w:rsidRDefault="000418EC" w:rsidP="00B61A93">
            <w:r w:rsidRPr="00B05E44">
              <w:t>-3.1</w:t>
            </w:r>
          </w:p>
        </w:tc>
      </w:tr>
      <w:tr w:rsidR="000418EC" w14:paraId="149406DA" w14:textId="77777777" w:rsidTr="000418EC">
        <w:trPr>
          <w:trHeight w:val="7"/>
        </w:trPr>
        <w:tc>
          <w:tcPr>
            <w:tcW w:w="2552" w:type="dxa"/>
            <w:tcMar>
              <w:left w:w="108" w:type="dxa"/>
              <w:right w:w="108" w:type="dxa"/>
            </w:tcMar>
            <w:vAlign w:val="center"/>
          </w:tcPr>
          <w:p w14:paraId="0D30D8CB" w14:textId="77777777" w:rsidR="000418EC" w:rsidRPr="00B05E44" w:rsidRDefault="000418EC" w:rsidP="00B61A93">
            <w:r w:rsidRPr="00B05E44">
              <w:t>Human Resource Managers</w:t>
            </w:r>
          </w:p>
        </w:tc>
        <w:tc>
          <w:tcPr>
            <w:tcW w:w="850" w:type="dxa"/>
            <w:tcMar>
              <w:left w:w="108" w:type="dxa"/>
              <w:right w:w="108" w:type="dxa"/>
            </w:tcMar>
            <w:vAlign w:val="center"/>
          </w:tcPr>
          <w:p w14:paraId="25F98BFC" w14:textId="77777777" w:rsidR="000418EC" w:rsidRPr="00B05E44" w:rsidRDefault="000418EC" w:rsidP="00B61A93">
            <w:r w:rsidRPr="00B05E44">
              <w:t>1</w:t>
            </w:r>
          </w:p>
        </w:tc>
        <w:tc>
          <w:tcPr>
            <w:tcW w:w="1560" w:type="dxa"/>
            <w:tcMar>
              <w:left w:w="108" w:type="dxa"/>
              <w:right w:w="108" w:type="dxa"/>
            </w:tcMar>
            <w:vAlign w:val="center"/>
          </w:tcPr>
          <w:p w14:paraId="717C0AC6" w14:textId="77777777" w:rsidR="000418EC" w:rsidRPr="00B05E44" w:rsidRDefault="000418EC" w:rsidP="00B61A93">
            <w:r w:rsidRPr="00B05E44">
              <w:t>10.3</w:t>
            </w:r>
          </w:p>
        </w:tc>
        <w:tc>
          <w:tcPr>
            <w:tcW w:w="2093" w:type="dxa"/>
            <w:tcMar>
              <w:left w:w="108" w:type="dxa"/>
              <w:right w:w="108" w:type="dxa"/>
            </w:tcMar>
            <w:vAlign w:val="center"/>
          </w:tcPr>
          <w:p w14:paraId="3EB65207" w14:textId="77777777" w:rsidR="000418EC" w:rsidRPr="00B05E44" w:rsidRDefault="000418EC" w:rsidP="00B61A93">
            <w:r w:rsidRPr="00B05E44">
              <w:t>Sales Representatives</w:t>
            </w:r>
          </w:p>
        </w:tc>
        <w:tc>
          <w:tcPr>
            <w:tcW w:w="883" w:type="dxa"/>
            <w:tcMar>
              <w:left w:w="108" w:type="dxa"/>
              <w:right w:w="108" w:type="dxa"/>
            </w:tcMar>
            <w:vAlign w:val="center"/>
          </w:tcPr>
          <w:p w14:paraId="7375B95F" w14:textId="77777777" w:rsidR="000418EC" w:rsidRPr="00B05E44" w:rsidRDefault="000418EC" w:rsidP="00B61A93">
            <w:r w:rsidRPr="00B05E44">
              <w:t>4</w:t>
            </w:r>
          </w:p>
        </w:tc>
        <w:tc>
          <w:tcPr>
            <w:tcW w:w="1560" w:type="dxa"/>
            <w:tcMar>
              <w:left w:w="108" w:type="dxa"/>
              <w:right w:w="108" w:type="dxa"/>
            </w:tcMar>
            <w:vAlign w:val="center"/>
          </w:tcPr>
          <w:p w14:paraId="065561C2" w14:textId="77777777" w:rsidR="000418EC" w:rsidRPr="00B05E44" w:rsidRDefault="000418EC" w:rsidP="00B61A93">
            <w:r w:rsidRPr="00B05E44">
              <w:t>-2.8</w:t>
            </w:r>
          </w:p>
        </w:tc>
      </w:tr>
      <w:tr w:rsidR="000418EC" w14:paraId="042CD76D" w14:textId="77777777" w:rsidTr="000418EC">
        <w:trPr>
          <w:trHeight w:val="7"/>
        </w:trPr>
        <w:tc>
          <w:tcPr>
            <w:tcW w:w="2552" w:type="dxa"/>
            <w:shd w:val="clear" w:color="auto" w:fill="D9D9D9" w:themeFill="background1" w:themeFillShade="D9"/>
            <w:tcMar>
              <w:left w:w="108" w:type="dxa"/>
              <w:right w:w="108" w:type="dxa"/>
            </w:tcMar>
            <w:vAlign w:val="center"/>
          </w:tcPr>
          <w:p w14:paraId="0DD79597" w14:textId="77777777" w:rsidR="000418EC" w:rsidRPr="00B05E44" w:rsidRDefault="000418EC" w:rsidP="00B61A93">
            <w:r w:rsidRPr="00B05E44">
              <w:t>Management and Organisation Analysts</w:t>
            </w:r>
          </w:p>
        </w:tc>
        <w:tc>
          <w:tcPr>
            <w:tcW w:w="850" w:type="dxa"/>
            <w:shd w:val="clear" w:color="auto" w:fill="D9D9D9" w:themeFill="background1" w:themeFillShade="D9"/>
            <w:tcMar>
              <w:left w:w="108" w:type="dxa"/>
              <w:right w:w="108" w:type="dxa"/>
            </w:tcMar>
            <w:vAlign w:val="center"/>
          </w:tcPr>
          <w:p w14:paraId="229284C5" w14:textId="77777777" w:rsidR="000418EC" w:rsidRPr="00B05E44" w:rsidRDefault="000418EC" w:rsidP="00B61A93">
            <w:r w:rsidRPr="00B05E44">
              <w:t>1</w:t>
            </w:r>
          </w:p>
        </w:tc>
        <w:tc>
          <w:tcPr>
            <w:tcW w:w="1560" w:type="dxa"/>
            <w:shd w:val="clear" w:color="auto" w:fill="D9D9D9" w:themeFill="background1" w:themeFillShade="D9"/>
            <w:tcMar>
              <w:left w:w="108" w:type="dxa"/>
              <w:right w:w="108" w:type="dxa"/>
            </w:tcMar>
            <w:vAlign w:val="center"/>
          </w:tcPr>
          <w:p w14:paraId="69FC34E8" w14:textId="77777777" w:rsidR="000418EC" w:rsidRPr="00B05E44" w:rsidRDefault="000418EC" w:rsidP="00B61A93">
            <w:r w:rsidRPr="00B05E44">
              <w:t>10.2</w:t>
            </w:r>
          </w:p>
        </w:tc>
        <w:tc>
          <w:tcPr>
            <w:tcW w:w="2093" w:type="dxa"/>
            <w:shd w:val="clear" w:color="auto" w:fill="D9D9D9" w:themeFill="background1" w:themeFillShade="D9"/>
            <w:tcMar>
              <w:left w:w="108" w:type="dxa"/>
              <w:right w:w="108" w:type="dxa"/>
            </w:tcMar>
            <w:vAlign w:val="center"/>
          </w:tcPr>
          <w:p w14:paraId="0B86A318" w14:textId="77777777" w:rsidR="000418EC" w:rsidRPr="00B05E44" w:rsidRDefault="000418EC" w:rsidP="00B61A93">
            <w:r w:rsidRPr="00B05E44">
              <w:t>Bus and Coach Drivers</w:t>
            </w:r>
          </w:p>
        </w:tc>
        <w:tc>
          <w:tcPr>
            <w:tcW w:w="883" w:type="dxa"/>
            <w:shd w:val="clear" w:color="auto" w:fill="D9D9D9" w:themeFill="background1" w:themeFillShade="D9"/>
            <w:tcMar>
              <w:left w:w="108" w:type="dxa"/>
              <w:right w:w="108" w:type="dxa"/>
            </w:tcMar>
            <w:vAlign w:val="center"/>
          </w:tcPr>
          <w:p w14:paraId="472B7808" w14:textId="77777777" w:rsidR="000418EC" w:rsidRPr="00B05E44" w:rsidRDefault="000418EC" w:rsidP="00B61A93">
            <w:r w:rsidRPr="00B05E44">
              <w:t>4</w:t>
            </w:r>
          </w:p>
        </w:tc>
        <w:tc>
          <w:tcPr>
            <w:tcW w:w="1560" w:type="dxa"/>
            <w:shd w:val="clear" w:color="auto" w:fill="D9D9D9" w:themeFill="background1" w:themeFillShade="D9"/>
            <w:tcMar>
              <w:left w:w="108" w:type="dxa"/>
              <w:right w:w="108" w:type="dxa"/>
            </w:tcMar>
            <w:vAlign w:val="center"/>
          </w:tcPr>
          <w:p w14:paraId="69A89A1A" w14:textId="77777777" w:rsidR="000418EC" w:rsidRPr="00B05E44" w:rsidRDefault="000418EC" w:rsidP="00B61A93">
            <w:r w:rsidRPr="00B05E44">
              <w:t>-2.8</w:t>
            </w:r>
          </w:p>
        </w:tc>
      </w:tr>
      <w:tr w:rsidR="000418EC" w14:paraId="0FFB1142" w14:textId="77777777" w:rsidTr="000418EC">
        <w:trPr>
          <w:trHeight w:val="7"/>
        </w:trPr>
        <w:tc>
          <w:tcPr>
            <w:tcW w:w="2552" w:type="dxa"/>
            <w:tcMar>
              <w:left w:w="108" w:type="dxa"/>
              <w:right w:w="108" w:type="dxa"/>
            </w:tcMar>
            <w:vAlign w:val="center"/>
          </w:tcPr>
          <w:p w14:paraId="47512D5D" w14:textId="77777777" w:rsidR="000418EC" w:rsidRPr="00B05E44" w:rsidRDefault="000418EC" w:rsidP="00B61A93">
            <w:r w:rsidRPr="00B05E44">
              <w:t>ICT Managers</w:t>
            </w:r>
          </w:p>
        </w:tc>
        <w:tc>
          <w:tcPr>
            <w:tcW w:w="850" w:type="dxa"/>
            <w:tcMar>
              <w:left w:w="108" w:type="dxa"/>
              <w:right w:w="108" w:type="dxa"/>
            </w:tcMar>
            <w:vAlign w:val="center"/>
          </w:tcPr>
          <w:p w14:paraId="10462E8A" w14:textId="77777777" w:rsidR="000418EC" w:rsidRPr="00B05E44" w:rsidRDefault="000418EC" w:rsidP="00B61A93">
            <w:r w:rsidRPr="00B05E44">
              <w:t>1</w:t>
            </w:r>
          </w:p>
        </w:tc>
        <w:tc>
          <w:tcPr>
            <w:tcW w:w="1560" w:type="dxa"/>
            <w:tcMar>
              <w:left w:w="108" w:type="dxa"/>
              <w:right w:w="108" w:type="dxa"/>
            </w:tcMar>
            <w:vAlign w:val="center"/>
          </w:tcPr>
          <w:p w14:paraId="6F74313B" w14:textId="77777777" w:rsidR="000418EC" w:rsidRPr="00B05E44" w:rsidRDefault="000418EC" w:rsidP="00B61A93">
            <w:r w:rsidRPr="00B05E44">
              <w:t>8.4</w:t>
            </w:r>
          </w:p>
        </w:tc>
        <w:tc>
          <w:tcPr>
            <w:tcW w:w="2093" w:type="dxa"/>
            <w:tcMar>
              <w:left w:w="108" w:type="dxa"/>
              <w:right w:w="108" w:type="dxa"/>
            </w:tcMar>
            <w:vAlign w:val="center"/>
          </w:tcPr>
          <w:p w14:paraId="5791A11D" w14:textId="77777777" w:rsidR="000418EC" w:rsidRPr="00B05E44" w:rsidRDefault="000418EC" w:rsidP="00B61A93">
            <w:r w:rsidRPr="00B05E44">
              <w:t>Bookkeepers</w:t>
            </w:r>
          </w:p>
        </w:tc>
        <w:tc>
          <w:tcPr>
            <w:tcW w:w="883" w:type="dxa"/>
            <w:tcMar>
              <w:left w:w="108" w:type="dxa"/>
              <w:right w:w="108" w:type="dxa"/>
            </w:tcMar>
            <w:vAlign w:val="center"/>
          </w:tcPr>
          <w:p w14:paraId="08DEB8F8" w14:textId="77777777" w:rsidR="000418EC" w:rsidRPr="00B05E44" w:rsidRDefault="000418EC" w:rsidP="00B61A93">
            <w:r w:rsidRPr="00B05E44">
              <w:t>3</w:t>
            </w:r>
          </w:p>
        </w:tc>
        <w:tc>
          <w:tcPr>
            <w:tcW w:w="1560" w:type="dxa"/>
            <w:tcMar>
              <w:left w:w="108" w:type="dxa"/>
              <w:right w:w="108" w:type="dxa"/>
            </w:tcMar>
            <w:vAlign w:val="center"/>
          </w:tcPr>
          <w:p w14:paraId="636AB6FE" w14:textId="77777777" w:rsidR="000418EC" w:rsidRPr="00B05E44" w:rsidRDefault="000418EC" w:rsidP="00B61A93">
            <w:r w:rsidRPr="00B05E44">
              <w:t>-2.5</w:t>
            </w:r>
          </w:p>
        </w:tc>
      </w:tr>
      <w:tr w:rsidR="000418EC" w14:paraId="1A013368" w14:textId="77777777" w:rsidTr="000418EC">
        <w:trPr>
          <w:trHeight w:val="7"/>
        </w:trPr>
        <w:tc>
          <w:tcPr>
            <w:tcW w:w="2552" w:type="dxa"/>
            <w:shd w:val="clear" w:color="auto" w:fill="D9D9D9" w:themeFill="background1" w:themeFillShade="D9"/>
            <w:tcMar>
              <w:left w:w="108" w:type="dxa"/>
              <w:right w:w="108" w:type="dxa"/>
            </w:tcMar>
            <w:vAlign w:val="center"/>
          </w:tcPr>
          <w:p w14:paraId="2DD1C26E" w14:textId="77777777" w:rsidR="000418EC" w:rsidRPr="00B05E44" w:rsidRDefault="000418EC" w:rsidP="00B61A93">
            <w:r w:rsidRPr="00B05E44">
              <w:t>Software and Applications Programmers</w:t>
            </w:r>
          </w:p>
        </w:tc>
        <w:tc>
          <w:tcPr>
            <w:tcW w:w="850" w:type="dxa"/>
            <w:shd w:val="clear" w:color="auto" w:fill="D9D9D9" w:themeFill="background1" w:themeFillShade="D9"/>
            <w:tcMar>
              <w:left w:w="108" w:type="dxa"/>
              <w:right w:w="108" w:type="dxa"/>
            </w:tcMar>
            <w:vAlign w:val="center"/>
          </w:tcPr>
          <w:p w14:paraId="631CCB4D" w14:textId="77777777" w:rsidR="000418EC" w:rsidRPr="00B05E44" w:rsidRDefault="000418EC" w:rsidP="00B61A93">
            <w:r w:rsidRPr="00B05E44">
              <w:t>1</w:t>
            </w:r>
          </w:p>
        </w:tc>
        <w:tc>
          <w:tcPr>
            <w:tcW w:w="1560" w:type="dxa"/>
            <w:shd w:val="clear" w:color="auto" w:fill="D9D9D9" w:themeFill="background1" w:themeFillShade="D9"/>
            <w:tcMar>
              <w:left w:w="108" w:type="dxa"/>
              <w:right w:w="108" w:type="dxa"/>
            </w:tcMar>
            <w:vAlign w:val="center"/>
          </w:tcPr>
          <w:p w14:paraId="62B044E7" w14:textId="77777777" w:rsidR="000418EC" w:rsidRPr="00B05E44" w:rsidRDefault="000418EC" w:rsidP="00B61A93">
            <w:r w:rsidRPr="00B05E44">
              <w:t>8.4</w:t>
            </w:r>
          </w:p>
        </w:tc>
        <w:tc>
          <w:tcPr>
            <w:tcW w:w="2093" w:type="dxa"/>
            <w:shd w:val="clear" w:color="auto" w:fill="D9D9D9" w:themeFill="background1" w:themeFillShade="D9"/>
            <w:tcMar>
              <w:left w:w="108" w:type="dxa"/>
              <w:right w:w="108" w:type="dxa"/>
            </w:tcMar>
            <w:vAlign w:val="center"/>
          </w:tcPr>
          <w:p w14:paraId="1F503C65" w14:textId="77777777" w:rsidR="000418EC" w:rsidRPr="00B05E44" w:rsidRDefault="000418EC" w:rsidP="00B61A93">
            <w:r w:rsidRPr="00B05E44">
              <w:t>Crop Farmers</w:t>
            </w:r>
          </w:p>
        </w:tc>
        <w:tc>
          <w:tcPr>
            <w:tcW w:w="883" w:type="dxa"/>
            <w:shd w:val="clear" w:color="auto" w:fill="D9D9D9" w:themeFill="background1" w:themeFillShade="D9"/>
            <w:tcMar>
              <w:left w:w="108" w:type="dxa"/>
              <w:right w:w="108" w:type="dxa"/>
            </w:tcMar>
            <w:vAlign w:val="center"/>
          </w:tcPr>
          <w:p w14:paraId="6429A670" w14:textId="77777777" w:rsidR="000418EC" w:rsidRPr="00B05E44" w:rsidRDefault="000418EC" w:rsidP="00B61A93">
            <w:r w:rsidRPr="00B05E44">
              <w:t>1</w:t>
            </w:r>
          </w:p>
        </w:tc>
        <w:tc>
          <w:tcPr>
            <w:tcW w:w="1560" w:type="dxa"/>
            <w:shd w:val="clear" w:color="auto" w:fill="D9D9D9" w:themeFill="background1" w:themeFillShade="D9"/>
            <w:tcMar>
              <w:left w:w="108" w:type="dxa"/>
              <w:right w:w="108" w:type="dxa"/>
            </w:tcMar>
            <w:vAlign w:val="center"/>
          </w:tcPr>
          <w:p w14:paraId="2CE2F5EC" w14:textId="77777777" w:rsidR="000418EC" w:rsidRPr="00B05E44" w:rsidRDefault="000418EC" w:rsidP="00B61A93">
            <w:r w:rsidRPr="00B05E44">
              <w:t>-2.1</w:t>
            </w:r>
          </w:p>
        </w:tc>
      </w:tr>
      <w:tr w:rsidR="000418EC" w14:paraId="227CF919" w14:textId="77777777" w:rsidTr="000418EC">
        <w:trPr>
          <w:trHeight w:val="7"/>
        </w:trPr>
        <w:tc>
          <w:tcPr>
            <w:tcW w:w="2552" w:type="dxa"/>
            <w:tcMar>
              <w:left w:w="108" w:type="dxa"/>
              <w:right w:w="108" w:type="dxa"/>
            </w:tcMar>
            <w:vAlign w:val="center"/>
          </w:tcPr>
          <w:p w14:paraId="3B1DDA00" w14:textId="77777777" w:rsidR="000418EC" w:rsidRPr="00B05E44" w:rsidRDefault="000418EC" w:rsidP="00B61A93">
            <w:r w:rsidRPr="00B05E44">
              <w:t>Electricians</w:t>
            </w:r>
          </w:p>
        </w:tc>
        <w:tc>
          <w:tcPr>
            <w:tcW w:w="850" w:type="dxa"/>
            <w:tcMar>
              <w:left w:w="108" w:type="dxa"/>
              <w:right w:w="108" w:type="dxa"/>
            </w:tcMar>
            <w:vAlign w:val="center"/>
          </w:tcPr>
          <w:p w14:paraId="0340F4D7" w14:textId="77777777" w:rsidR="000418EC" w:rsidRPr="00B05E44" w:rsidRDefault="000418EC" w:rsidP="00B61A93">
            <w:r w:rsidRPr="00B05E44">
              <w:t>3</w:t>
            </w:r>
          </w:p>
        </w:tc>
        <w:tc>
          <w:tcPr>
            <w:tcW w:w="1560" w:type="dxa"/>
            <w:tcMar>
              <w:left w:w="108" w:type="dxa"/>
              <w:right w:w="108" w:type="dxa"/>
            </w:tcMar>
            <w:vAlign w:val="center"/>
          </w:tcPr>
          <w:p w14:paraId="6DFD907A" w14:textId="77777777" w:rsidR="000418EC" w:rsidRPr="00B05E44" w:rsidRDefault="000418EC" w:rsidP="00B61A93">
            <w:r w:rsidRPr="00B05E44">
              <w:t>7.5</w:t>
            </w:r>
          </w:p>
        </w:tc>
        <w:tc>
          <w:tcPr>
            <w:tcW w:w="2093" w:type="dxa"/>
            <w:tcMar>
              <w:left w:w="108" w:type="dxa"/>
              <w:right w:w="108" w:type="dxa"/>
            </w:tcMar>
            <w:vAlign w:val="center"/>
          </w:tcPr>
          <w:p w14:paraId="339C9741" w14:textId="77777777" w:rsidR="000418EC" w:rsidRPr="00B05E44" w:rsidRDefault="000418EC" w:rsidP="00B61A93">
            <w:r w:rsidRPr="00B05E44">
              <w:t>Graphic and Web Designers, and Illustrators</w:t>
            </w:r>
          </w:p>
        </w:tc>
        <w:tc>
          <w:tcPr>
            <w:tcW w:w="883" w:type="dxa"/>
            <w:tcMar>
              <w:left w:w="108" w:type="dxa"/>
              <w:right w:w="108" w:type="dxa"/>
            </w:tcMar>
            <w:vAlign w:val="center"/>
          </w:tcPr>
          <w:p w14:paraId="196357A1" w14:textId="77777777" w:rsidR="000418EC" w:rsidRPr="00B05E44" w:rsidRDefault="000418EC" w:rsidP="00B61A93">
            <w:r w:rsidRPr="00B05E44">
              <w:t>1</w:t>
            </w:r>
          </w:p>
        </w:tc>
        <w:tc>
          <w:tcPr>
            <w:tcW w:w="1560" w:type="dxa"/>
            <w:tcMar>
              <w:left w:w="108" w:type="dxa"/>
              <w:right w:w="108" w:type="dxa"/>
            </w:tcMar>
            <w:vAlign w:val="center"/>
          </w:tcPr>
          <w:p w14:paraId="13258C1D" w14:textId="77777777" w:rsidR="000418EC" w:rsidRPr="00B05E44" w:rsidRDefault="000418EC" w:rsidP="00B61A93">
            <w:r w:rsidRPr="00B05E44">
              <w:t>-2.0</w:t>
            </w:r>
          </w:p>
        </w:tc>
      </w:tr>
    </w:tbl>
    <w:p w14:paraId="2F6CEF47" w14:textId="77777777" w:rsidR="000418EC" w:rsidRDefault="000418EC" w:rsidP="000418EC">
      <w:pPr>
        <w:pStyle w:val="Source"/>
        <w:numPr>
          <w:ilvl w:val="0"/>
          <w:numId w:val="0"/>
        </w:numPr>
        <w:ind w:left="510" w:hanging="510"/>
      </w:pPr>
      <w:r>
        <w:t>Source: ABS, Labour Force, Australia, Detailed, May 2023, data trended by Jobs and Skills Australia.</w:t>
      </w:r>
    </w:p>
    <w:p w14:paraId="68632FED" w14:textId="77777777" w:rsidR="00E9583F" w:rsidRDefault="00E9583F" w:rsidP="00E9583F">
      <w:pPr>
        <w:pStyle w:val="ListBullet"/>
        <w:numPr>
          <w:ilvl w:val="0"/>
          <w:numId w:val="0"/>
        </w:numPr>
        <w:ind w:left="340"/>
      </w:pPr>
    </w:p>
    <w:p w14:paraId="78CB083B" w14:textId="77777777" w:rsidR="0071300C" w:rsidRPr="00B05E44" w:rsidRDefault="0071300C" w:rsidP="0071300C">
      <w:pPr>
        <w:pStyle w:val="Heading2"/>
      </w:pPr>
      <w:bookmarkStart w:id="21" w:name="_Toc144893802"/>
      <w:bookmarkStart w:id="22" w:name="_Toc144992575"/>
      <w:r>
        <w:t>Recruitment difficulty by selected industries and occupations</w:t>
      </w:r>
      <w:bookmarkEnd w:id="21"/>
      <w:bookmarkEnd w:id="22"/>
    </w:p>
    <w:p w14:paraId="2007A749" w14:textId="28089018" w:rsidR="0071300C" w:rsidRPr="00B05E44" w:rsidRDefault="0071300C" w:rsidP="0071300C">
      <w:pPr>
        <w:pStyle w:val="Bodycopy"/>
      </w:pPr>
      <w:r w:rsidRPr="00B05E44">
        <w:t xml:space="preserve">The selected industries in </w:t>
      </w:r>
      <w:r w:rsidR="00336A5A">
        <w:t xml:space="preserve">Figure 12 </w:t>
      </w:r>
      <w:r w:rsidRPr="00B05E44">
        <w:t xml:space="preserve">show that broadly all major divisions experienced increased recruitment difficulty from 2020 through to 2022. These industries have since recorded declining difficulty rates from 2022 to 2023. </w:t>
      </w:r>
    </w:p>
    <w:p w14:paraId="60A96C11" w14:textId="77777777" w:rsidR="0071300C" w:rsidRPr="00B05E44" w:rsidRDefault="0071300C" w:rsidP="0071300C">
      <w:pPr>
        <w:pStyle w:val="Bodycopy"/>
      </w:pPr>
      <w:r w:rsidRPr="00B05E44">
        <w:lastRenderedPageBreak/>
        <w:t>Recruitment difficulty trends are not uniform and are not felt equally by employers across varying industries – with acute pressure points having differing effects on employers. The Accommodation and Food Services industry in 2023 has the smallest proportion of employers experiencing recruitment difficulty (53</w:t>
      </w:r>
      <w:r>
        <w:t>%</w:t>
      </w:r>
      <w:r w:rsidRPr="00B05E44">
        <w:t>). Conversely, Manufacturing (71</w:t>
      </w:r>
      <w:r>
        <w:t>%</w:t>
      </w:r>
      <w:r w:rsidRPr="00B05E44">
        <w:t>) and Wholesale Trade (68</w:t>
      </w:r>
      <w:r>
        <w:t>%</w:t>
      </w:r>
      <w:r w:rsidRPr="00B05E44">
        <w:t>) had some of the largest proportions of employers experiencing recruitment difficulty.</w:t>
      </w:r>
    </w:p>
    <w:p w14:paraId="4B78E6F8" w14:textId="77777777" w:rsidR="00537E3E" w:rsidRPr="000F6E42" w:rsidRDefault="00537E3E" w:rsidP="00537E3E">
      <w:pPr>
        <w:pStyle w:val="ChartandTablelabel"/>
      </w:pPr>
      <w:bookmarkStart w:id="23" w:name="_Ref144198735"/>
      <w:bookmarkStart w:id="24" w:name="_Toc144198451"/>
      <w:bookmarkStart w:id="25" w:name="_Toc144237615"/>
      <w:r w:rsidRPr="000F6E42">
        <w:t xml:space="preserve">Figure </w:t>
      </w:r>
      <w:r>
        <w:t>12:</w:t>
      </w:r>
      <w:bookmarkEnd w:id="23"/>
      <w:r w:rsidRPr="000F6E42">
        <w:t xml:space="preserve"> Annual recruitment difficulty rate by </w:t>
      </w:r>
      <w:r>
        <w:t>industry</w:t>
      </w:r>
      <w:r w:rsidRPr="000F6E42">
        <w:t xml:space="preserve"> (proportion of recruiting employers), 2020 to 2023</w:t>
      </w:r>
      <w:bookmarkEnd w:id="24"/>
      <w:bookmarkEnd w:id="25"/>
    </w:p>
    <w:p w14:paraId="7841A09E" w14:textId="77777777" w:rsidR="00537E3E" w:rsidRPr="00B05E44" w:rsidRDefault="00537E3E" w:rsidP="00537E3E">
      <w:r w:rsidRPr="00B05E44">
        <w:rPr>
          <w:noProof/>
        </w:rPr>
        <w:drawing>
          <wp:inline distT="0" distB="0" distL="0" distR="0" wp14:anchorId="3F1F2578" wp14:editId="50246368">
            <wp:extent cx="5656580" cy="2495550"/>
            <wp:effectExtent l="0" t="0" r="1270" b="0"/>
            <wp:docPr id="43" name="Chart 43" descr="Column chart. Annual recruitment difficulty by selected industry. Compares 2020 to 2023 to date - to date refers to Jan 2023 through to June 2023. Difficulty lower across selected industries comparing 2020 to 2023 to date. Current difficulty rates by selected industry as follows. Accommodation and Food Services 53%, Construction 65%, Health Care and Social Assistance 66%, Manufacturing 71%, Professional Scientific and Technical Services 59%., Retail Trade 61%, Transport Postal and Warehousing 65%, Wholesale Trade 68%.">
              <a:extLst xmlns:a="http://schemas.openxmlformats.org/drawingml/2006/main">
                <a:ext uri="{FF2B5EF4-FFF2-40B4-BE49-F238E27FC236}">
                  <a16:creationId xmlns:a16="http://schemas.microsoft.com/office/drawing/2014/main" id="{3D7920E0-5753-3E95-52B1-276F21BFDA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71EC4FF" w14:textId="77ACCBD1" w:rsidR="00537E3E" w:rsidRDefault="00537E3E" w:rsidP="00537E3E">
      <w:pPr>
        <w:pStyle w:val="Source"/>
        <w:ind w:left="510"/>
      </w:pPr>
      <w:r>
        <w:t>JSA, Recruitment Experiences and Outlook Survey, June 2023</w:t>
      </w:r>
    </w:p>
    <w:p w14:paraId="08BBB627" w14:textId="6532C4A6" w:rsidR="00537E3E" w:rsidRPr="00B05E44" w:rsidRDefault="00537E3E" w:rsidP="00537E3E">
      <w:pPr>
        <w:pStyle w:val="Bodycopy"/>
      </w:pPr>
      <w:r w:rsidRPr="00537E3E">
        <w:rPr>
          <w:sz w:val="18"/>
          <w:szCs w:val="18"/>
        </w:rPr>
        <w:t>*2020 data covers the period from August 2020 to December 2020. As a result, it does not reflect recruitment conditions at the height of the restrictions that were put in place in response to the pandemic. ^2023 to date covers the period from January 2023 to June 2023. The Transport, Postal and Warehousing industry is unable to be reported on for 2020.</w:t>
      </w:r>
    </w:p>
    <w:p w14:paraId="2447A73F" w14:textId="26BB977D" w:rsidR="00537E3E" w:rsidRDefault="00537E3E" w:rsidP="00537E3E">
      <w:pPr>
        <w:pStyle w:val="Bodycopy"/>
      </w:pPr>
      <w:r w:rsidRPr="00EC20EB">
        <w:t>Figure</w:t>
      </w:r>
      <w:r w:rsidR="002C0B5F">
        <w:t>s</w:t>
      </w:r>
      <w:r w:rsidRPr="00EC20EB">
        <w:t xml:space="preserve"> 13a </w:t>
      </w:r>
      <w:r w:rsidR="002C0B5F">
        <w:t xml:space="preserve">and 13b </w:t>
      </w:r>
      <w:r w:rsidRPr="00EC20EB">
        <w:t>show that in June 2023, more employers had difficulty recruiting for higher skilled occupations (72</w:t>
      </w:r>
      <w:r>
        <w:t>%</w:t>
      </w:r>
      <w:r w:rsidRPr="00EC20EB">
        <w:t xml:space="preserve"> for Skill Level 1 to 3 occupations) than those with vacancies for lower-skilled occupations (55</w:t>
      </w:r>
      <w:r>
        <w:t>%</w:t>
      </w:r>
      <w:r w:rsidRPr="00EC20EB">
        <w:t xml:space="preserve"> for Skill</w:t>
      </w:r>
      <w:r w:rsidRPr="00B05E44">
        <w:t xml:space="preserve"> Level 4 and 5 occupations). Notably, since mid-2022, there has been a decreasing trend in difficulty for lower-skilled occupations, in parallel with a decreasing level of internet vacancies as recorded by JSA’s Internet Vacancy Index. </w:t>
      </w:r>
    </w:p>
    <w:p w14:paraId="3B7F80CC" w14:textId="77777777" w:rsidR="00686EFC" w:rsidRDefault="00686EFC" w:rsidP="00686EFC">
      <w:pPr>
        <w:pStyle w:val="ChartandTablelabel"/>
      </w:pPr>
      <w:bookmarkStart w:id="26" w:name="_Ref141712141"/>
      <w:bookmarkStart w:id="27" w:name="_Toc142665153"/>
      <w:bookmarkStart w:id="28" w:name="_Toc144198452"/>
      <w:bookmarkStart w:id="29" w:name="_Toc144237616"/>
      <w:r>
        <w:br w:type="page"/>
      </w:r>
    </w:p>
    <w:p w14:paraId="6BE7F4C0" w14:textId="46440BA5" w:rsidR="00537E3E" w:rsidRPr="000F6E42" w:rsidRDefault="00537E3E" w:rsidP="00686EFC">
      <w:pPr>
        <w:pStyle w:val="ChartandTablelabel"/>
      </w:pPr>
      <w:r w:rsidRPr="000F6E42">
        <w:lastRenderedPageBreak/>
        <w:t xml:space="preserve">Figure </w:t>
      </w:r>
      <w:r>
        <w:t>13</w:t>
      </w:r>
      <w:bookmarkEnd w:id="26"/>
      <w:r w:rsidRPr="000F6E42">
        <w:t xml:space="preserve"> (a-b) Monthly recruitment difficulty rate and Internet vacancies by skill level of occupation, August 2020 to June 2023</w:t>
      </w:r>
      <w:bookmarkEnd w:id="27"/>
      <w:bookmarkEnd w:id="28"/>
      <w:bookmarkEnd w:id="29"/>
    </w:p>
    <w:p w14:paraId="3CA553ED" w14:textId="77777777" w:rsidR="00537E3E" w:rsidRPr="00B05E44" w:rsidRDefault="00537E3E" w:rsidP="00537E3E">
      <w:r w:rsidRPr="00B05E44">
        <w:rPr>
          <w:noProof/>
        </w:rPr>
        <w:drawing>
          <wp:inline distT="0" distB="0" distL="0" distR="0" wp14:anchorId="3015F49F" wp14:editId="55563CC5">
            <wp:extent cx="5629275" cy="1885950"/>
            <wp:effectExtent l="0" t="0" r="0" b="0"/>
            <wp:docPr id="46" name="Chart 46" descr="Combined line chart. Recruitment difficulty rate and internet vacancy index from august 2020 to June 2023. Higher skilled occupations. Recruitment difficulty and the number of internet vacancies both increase over time for higher skilled occupations. June 2023 figures as follows. Recruitment difficulty 72%. Internet vacancy index 174919.">
              <a:extLst xmlns:a="http://schemas.openxmlformats.org/drawingml/2006/main">
                <a:ext uri="{FF2B5EF4-FFF2-40B4-BE49-F238E27FC236}">
                  <a16:creationId xmlns:a16="http://schemas.microsoft.com/office/drawing/2014/main" id="{51AAF4A7-C892-7625-3DC8-4C22A2C166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B05E44">
        <w:br/>
      </w:r>
      <w:r w:rsidRPr="00B05E44">
        <w:rPr>
          <w:noProof/>
        </w:rPr>
        <w:drawing>
          <wp:inline distT="0" distB="0" distL="0" distR="0" wp14:anchorId="68663691" wp14:editId="3448532F">
            <wp:extent cx="5534025" cy="2038350"/>
            <wp:effectExtent l="0" t="0" r="0" b="0"/>
            <wp:docPr id="49" name="Chart 49" descr="Combined line chart. Recruitment difficulty rate and internet vacancy index from august 2020 to June 2023. Lower skilled occupations. Recruitment difficulty and the number of internet vacancies both increased over time for lower skilled occupations until mid-2022. Both difficulty and number of vacancies decreased into 2023. June 2023 figures as follows. Recruitment difficulty 55%. Internet vacancy index 101615.">
              <a:extLst xmlns:a="http://schemas.openxmlformats.org/drawingml/2006/main">
                <a:ext uri="{FF2B5EF4-FFF2-40B4-BE49-F238E27FC236}">
                  <a16:creationId xmlns:a16="http://schemas.microsoft.com/office/drawing/2014/main" id="{FBA7B7BB-AFEA-C3BA-8F39-CFB1255D00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D916D69" w14:textId="77777777" w:rsidR="00537E3E" w:rsidRPr="00B05E44" w:rsidRDefault="00537E3E" w:rsidP="00537E3E">
      <w:pPr>
        <w:pStyle w:val="Source"/>
        <w:numPr>
          <w:ilvl w:val="0"/>
          <w:numId w:val="0"/>
        </w:numPr>
      </w:pPr>
      <w:r>
        <w:t>Source: JSA, Recruitment Experiences and Outlook Survey, June 2023; JSA, Internet Vacancy Index, June 2023. Note: Disaggregated data was not publishable in January of each year; hence relevant data points have been joined by a dotted line.</w:t>
      </w:r>
    </w:p>
    <w:p w14:paraId="37918EA0" w14:textId="77777777" w:rsidR="002B5502" w:rsidRPr="002B5502" w:rsidRDefault="002B5502" w:rsidP="002B5502"/>
    <w:p w14:paraId="0A321B5C" w14:textId="77777777" w:rsidR="00514AAB" w:rsidRPr="00514AAB" w:rsidRDefault="00514AAB" w:rsidP="00514AAB">
      <w:pPr>
        <w:pStyle w:val="Heading1"/>
      </w:pPr>
      <w:bookmarkStart w:id="30" w:name="_Toc142062939"/>
      <w:bookmarkStart w:id="31" w:name="_Toc142665323"/>
      <w:bookmarkStart w:id="32" w:name="_Toc143175391"/>
      <w:bookmarkStart w:id="33" w:name="_Toc144893803"/>
      <w:bookmarkStart w:id="34" w:name="_Toc144992576"/>
      <w:r w:rsidRPr="00514AAB">
        <w:t>Signs of labour market softening</w:t>
      </w:r>
      <w:bookmarkEnd w:id="30"/>
      <w:bookmarkEnd w:id="31"/>
      <w:bookmarkEnd w:id="32"/>
      <w:bookmarkEnd w:id="33"/>
      <w:bookmarkEnd w:id="34"/>
      <w:r w:rsidRPr="00514AAB">
        <w:t xml:space="preserve"> </w:t>
      </w:r>
    </w:p>
    <w:p w14:paraId="3F505929" w14:textId="77777777" w:rsidR="00514AAB" w:rsidRPr="00B05E44" w:rsidRDefault="00514AAB" w:rsidP="00514AAB">
      <w:pPr>
        <w:pStyle w:val="Heading2"/>
      </w:pPr>
      <w:bookmarkStart w:id="35" w:name="_Toc144893804"/>
      <w:bookmarkStart w:id="36" w:name="_Toc144992577"/>
      <w:r>
        <w:t>Update from the recruitment surveys</w:t>
      </w:r>
      <w:bookmarkEnd w:id="35"/>
      <w:bookmarkEnd w:id="36"/>
      <w:r>
        <w:t xml:space="preserve"> </w:t>
      </w:r>
    </w:p>
    <w:p w14:paraId="08795157" w14:textId="77777777" w:rsidR="00514AAB" w:rsidRPr="00B05E44" w:rsidRDefault="00514AAB" w:rsidP="00514AAB">
      <w:pPr>
        <w:pStyle w:val="Bodycopy"/>
      </w:pPr>
      <w:r w:rsidRPr="00B05E44">
        <w:t xml:space="preserve">While labour market conditions in Australia over the last year have been </w:t>
      </w:r>
      <w:r>
        <w:t>reasonably strong</w:t>
      </w:r>
      <w:r w:rsidRPr="00B05E44">
        <w:t xml:space="preserve">, weaker economic growth, together with movements in a number of partial forward indicators, suggests that the labour market is likely to soften over the period ahead. </w:t>
      </w:r>
    </w:p>
    <w:p w14:paraId="3132291C" w14:textId="77777777" w:rsidR="00514AAB" w:rsidRPr="00B05E44" w:rsidRDefault="00514AAB" w:rsidP="00514AAB">
      <w:pPr>
        <w:pStyle w:val="Bodycopy"/>
      </w:pPr>
      <w:r w:rsidRPr="00B05E44">
        <w:t>The June 2023 Recruitment Experience and Outlook Survey results show that the proportion of employers recruiting fell by 9 percentage points over the year and is now 10 percentage points lower than the peak of 59</w:t>
      </w:r>
      <w:r>
        <w:t>%</w:t>
      </w:r>
      <w:r w:rsidRPr="00B05E44">
        <w:t xml:space="preserve"> recorded in May and July last year. </w:t>
      </w:r>
    </w:p>
    <w:p w14:paraId="6C5FDAFB" w14:textId="30B93F9B" w:rsidR="00514AAB" w:rsidRPr="00B05E44" w:rsidRDefault="00514AAB" w:rsidP="00514AAB">
      <w:pPr>
        <w:pStyle w:val="Bodycopy"/>
      </w:pPr>
      <w:r w:rsidRPr="00B05E44">
        <w:rPr>
          <w:rStyle w:val="Strong"/>
        </w:rPr>
        <w:t>Monthly job advertisements have stabilised but remain below their mid-2022 peak.</w:t>
      </w:r>
      <w:r w:rsidRPr="00B05E44">
        <w:t xml:space="preserve"> JSA’s Internet Vacancy Index (IVI) shows that there has been an overall decrease in recruitment activity over the 12 months to </w:t>
      </w:r>
      <w:r>
        <w:t>June</w:t>
      </w:r>
      <w:r w:rsidRPr="00B05E44">
        <w:t xml:space="preserve"> 2023, with job advertisements </w:t>
      </w:r>
      <w:r>
        <w:t>8.9%</w:t>
      </w:r>
      <w:r w:rsidRPr="00B05E44">
        <w:t xml:space="preserve"> (or </w:t>
      </w:r>
      <w:r>
        <w:t>27,0</w:t>
      </w:r>
      <w:r w:rsidRPr="00B05E44">
        <w:t xml:space="preserve">00 job advertisements) lower than in </w:t>
      </w:r>
      <w:r>
        <w:t>June</w:t>
      </w:r>
      <w:r w:rsidRPr="00B05E44">
        <w:t xml:space="preserve"> 2022</w:t>
      </w:r>
      <w:r w:rsidR="002C0B5F">
        <w:t xml:space="preserve"> (Figure 14).</w:t>
      </w:r>
      <w:r w:rsidRPr="00280139">
        <w:t xml:space="preserve"> That said, the level of job advertisements nationally remains significantly elevated compared to pre-COVID</w:t>
      </w:r>
      <w:r w:rsidRPr="00B05E44">
        <w:t xml:space="preserve">-19 levels. </w:t>
      </w:r>
    </w:p>
    <w:p w14:paraId="3460B7C9" w14:textId="77777777" w:rsidR="00514AAB" w:rsidRPr="00B05E44" w:rsidRDefault="00514AAB" w:rsidP="00514AAB">
      <w:pPr>
        <w:pStyle w:val="Bodycopy"/>
      </w:pPr>
      <w:r w:rsidRPr="00B05E44">
        <w:lastRenderedPageBreak/>
        <w:t>Recent trends in ABS Job Vacancies data reflect similarly stable patterns in recruitment activity. The most recent ABS data recorded 432,000 job vacancies in the May 2023 quarter, representing a decrease of 9,000 job vacancies (or 2.0</w:t>
      </w:r>
      <w:r>
        <w:t>%</w:t>
      </w:r>
      <w:r w:rsidRPr="00B05E44">
        <w:t>) over the quarter, following an increase of 47,800 (or 10.0</w:t>
      </w:r>
      <w:r>
        <w:t>%</w:t>
      </w:r>
      <w:r w:rsidRPr="00B05E44">
        <w:t>) over the year. Vacancy numbers, though, are at high levels historically with this decline coming from a near series peak recorded in mid-2022.</w:t>
      </w:r>
    </w:p>
    <w:p w14:paraId="7D77635F" w14:textId="77777777" w:rsidR="00514AAB" w:rsidRDefault="00514AAB" w:rsidP="00514AAB">
      <w:pPr>
        <w:pStyle w:val="ChartandTablelabel"/>
      </w:pPr>
      <w:bookmarkStart w:id="37" w:name="_Ref141712333"/>
      <w:bookmarkStart w:id="38" w:name="_Toc142665155"/>
      <w:bookmarkStart w:id="39" w:name="_Toc144198459"/>
      <w:bookmarkStart w:id="40" w:name="_Toc144237623"/>
      <w:r w:rsidRPr="28758E90">
        <w:t>Figure 14:</w:t>
      </w:r>
      <w:bookmarkEnd w:id="37"/>
      <w:r w:rsidRPr="28758E90">
        <w:t xml:space="preserve"> Internet Vacancy Index job advertisements and unemployment rate, January 2006 to May 2023</w:t>
      </w:r>
      <w:bookmarkEnd w:id="38"/>
      <w:bookmarkEnd w:id="39"/>
      <w:bookmarkEnd w:id="40"/>
    </w:p>
    <w:p w14:paraId="089B91F8" w14:textId="366C51DE" w:rsidR="002B235E" w:rsidRDefault="002B235E" w:rsidP="00514AAB">
      <w:pPr>
        <w:pStyle w:val="ChartandTablelabel"/>
      </w:pPr>
      <w:r>
        <w:rPr>
          <w:noProof/>
        </w:rPr>
        <w:drawing>
          <wp:inline distT="0" distB="0" distL="0" distR="0" wp14:anchorId="748D857E" wp14:editId="5ECEF28D">
            <wp:extent cx="5731510" cy="3123565"/>
            <wp:effectExtent l="0" t="0" r="2540" b="635"/>
            <wp:docPr id="9" name="Chart 9" descr="Figure 14 is a combination chart with bars representing the number of job advertisements based on the Internet Vacancy Index on the left-hand side and a line mapping the unemployment rate as a percentage on the right-hand side, between January 2006 and June 2023. The chart shows that while job advertisements plummeted with the onset of COVID-19, falling to a low 68,000 in April 2020 but they since recovered strongly rising well-above pre-pandemic levels to a high of 305,100 in June 2022 close to the record highs that preceded the GFC, before declining to 276,400 by June 2023. ">
              <a:extLst xmlns:a="http://schemas.openxmlformats.org/drawingml/2006/main">
                <a:ext uri="{FF2B5EF4-FFF2-40B4-BE49-F238E27FC236}">
                  <a16:creationId xmlns:a16="http://schemas.microsoft.com/office/drawing/2014/main" id="{5BE869B8-5DAD-2569-FB50-F0BE1CC396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1C8F0D1" w14:textId="77777777" w:rsidR="00514AAB" w:rsidRPr="00B05E44" w:rsidRDefault="00514AAB" w:rsidP="00514AAB">
      <w:pPr>
        <w:pStyle w:val="Source"/>
        <w:numPr>
          <w:ilvl w:val="0"/>
          <w:numId w:val="0"/>
        </w:numPr>
        <w:ind w:left="510" w:hanging="510"/>
      </w:pPr>
      <w:r>
        <w:t>Source: ABS, Labour Force Australia, May 2023, seasonally adjusted data; JSA, Internet Vacancy Index, May 2023, seasonally adjusted data.</w:t>
      </w:r>
    </w:p>
    <w:p w14:paraId="14CB3208" w14:textId="77777777" w:rsidR="00514AAB" w:rsidRPr="001F4FE3" w:rsidRDefault="00514AAB" w:rsidP="00514AAB">
      <w:pPr>
        <w:pStyle w:val="Bodycopy"/>
      </w:pPr>
      <w:r w:rsidRPr="00B05E44">
        <w:rPr>
          <w:rStyle w:val="Strong"/>
        </w:rPr>
        <w:t>Recruitment difficulty and labour demand have eased slightly, but filling advertised roles remains a challenge.</w:t>
      </w:r>
      <w:r w:rsidRPr="00B05E44">
        <w:t xml:space="preserve"> Data from JSA’s Survey of Employers who have Recently Advertised (SERA), shows that the percentage of occupation vacancies that have been filled (or the fill rate) </w:t>
      </w:r>
      <w:r w:rsidRPr="001F4FE3">
        <w:t>fell in June 2023 quarter, after consistent rises</w:t>
      </w:r>
      <w:r>
        <w:t xml:space="preserve"> over the previous three quarters</w:t>
      </w:r>
      <w:r w:rsidRPr="001F4FE3">
        <w:t xml:space="preserve">. </w:t>
      </w:r>
    </w:p>
    <w:p w14:paraId="524B27E9" w14:textId="493F3D27" w:rsidR="00514AAB" w:rsidRPr="00B05E44" w:rsidRDefault="00514AAB" w:rsidP="00514AAB">
      <w:pPr>
        <w:pStyle w:val="Bodycopy"/>
      </w:pPr>
      <w:r>
        <w:t>The fill rate fell to 56% in June 2023 quarter from 62% the previous quarter (</w:t>
      </w:r>
      <w:r w:rsidR="002C0B5F">
        <w:t>Figure 15</w:t>
      </w:r>
      <w:r>
        <w:t xml:space="preserve">). The fill rate is now back to the levels last seen during the onset of the tight labour market conditions around late 2021. </w:t>
      </w:r>
    </w:p>
    <w:p w14:paraId="2846FFAB" w14:textId="77777777" w:rsidR="00514AAB" w:rsidRDefault="00514AAB" w:rsidP="00514AAB">
      <w:pPr>
        <w:pStyle w:val="Bodycopy"/>
      </w:pPr>
      <w:r w:rsidRPr="00B05E44">
        <w:t>The drop in the June 2023 quarter national fill rate has coincided with falls in the number of internet vacancies and the most recent month recruitment difficulty rate (as measured by JSA’s Recruitment Experiences and Outlook Survey). But IVI and the difficulty rate remains elevated, and the fill rate is at the level seen back in March 2022 quarter where labour market conditions were tight. Moreover, the low unemployment rate published by Australian Bureau of Statistics data indicates persistent tightness in the labour market.</w:t>
      </w:r>
    </w:p>
    <w:p w14:paraId="53C00D13" w14:textId="77777777" w:rsidR="00AD1F69" w:rsidRDefault="00AD1F69" w:rsidP="00AD1F69">
      <w:pPr>
        <w:pStyle w:val="ChartandTablelabel"/>
      </w:pPr>
      <w:bookmarkStart w:id="41" w:name="_Ref141712408"/>
      <w:bookmarkStart w:id="42" w:name="_Toc142665156"/>
      <w:bookmarkStart w:id="43" w:name="_Toc144198460"/>
      <w:bookmarkStart w:id="44" w:name="_Toc144237624"/>
      <w:r>
        <w:br w:type="page"/>
      </w:r>
    </w:p>
    <w:p w14:paraId="6F8FFFFD" w14:textId="65EC1FC7" w:rsidR="00AD1F69" w:rsidRDefault="00AD1F69" w:rsidP="00AD1F69">
      <w:pPr>
        <w:pStyle w:val="ChartandTablelabel"/>
      </w:pPr>
      <w:r w:rsidRPr="000F6E42">
        <w:lastRenderedPageBreak/>
        <w:t xml:space="preserve">Figure </w:t>
      </w:r>
      <w:r>
        <w:t>15:</w:t>
      </w:r>
      <w:bookmarkEnd w:id="41"/>
      <w:r w:rsidRPr="000F6E42">
        <w:t xml:space="preserve"> Monthly fill rate (SERA), recruitment difficulty (REOS) and internet vacancies (IVI), June 2021 to June 2023</w:t>
      </w:r>
      <w:bookmarkEnd w:id="42"/>
      <w:bookmarkEnd w:id="43"/>
      <w:bookmarkEnd w:id="44"/>
    </w:p>
    <w:p w14:paraId="025C8ACB" w14:textId="18B537CD" w:rsidR="00AD1F69" w:rsidRDefault="001303A8" w:rsidP="001303A8">
      <w:pPr>
        <w:pStyle w:val="ChartandTablelabel"/>
      </w:pPr>
      <w:r>
        <w:rPr>
          <w:noProof/>
        </w:rPr>
        <w:drawing>
          <wp:inline distT="0" distB="0" distL="0" distR="0" wp14:anchorId="0C5D513C" wp14:editId="443BFA57">
            <wp:extent cx="5731510" cy="2865755"/>
            <wp:effectExtent l="0" t="0" r="2540" b="0"/>
            <wp:docPr id="6" name="Chart 6" descr="Figure 15 is a line chart comparing seasonally adjusted online job advertisements to the recruitment difficulty rate and also to the fill rate (that is, the proportion of advertised roles that are filled), from June 2021 to June 2023. Seasonally adjusted job advertisements and the recruitment difficulty rate both generally increased over the period to August 2022 but have declined since then. Conversely, the fill rate generally declined, particularly in the period from July 2021 to May 2022.">
              <a:extLst xmlns:a="http://schemas.openxmlformats.org/drawingml/2006/main">
                <a:ext uri="{FF2B5EF4-FFF2-40B4-BE49-F238E27FC236}">
                  <a16:creationId xmlns:a16="http://schemas.microsoft.com/office/drawing/2014/main" id="{96C08DA1-F7E9-41C6-9D0E-D175E9809A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3454738" w14:textId="77777777" w:rsidR="00AD1F69" w:rsidRPr="00B05E44" w:rsidRDefault="00AD1F69" w:rsidP="00AD1F69">
      <w:pPr>
        <w:pStyle w:val="Source"/>
        <w:numPr>
          <w:ilvl w:val="0"/>
          <w:numId w:val="0"/>
        </w:numPr>
      </w:pPr>
      <w:r>
        <w:t>Source: JSA, Survey of Employers who have Recently Advertised, 2023; JSA, Recruitment Experiences and Outlook Survey, June 2023; JSA, Internet Vacancy Index, June 2023.</w:t>
      </w:r>
    </w:p>
    <w:p w14:paraId="03C9EF0A" w14:textId="0EC181CE" w:rsidR="00AD1F69" w:rsidRPr="00B05E44" w:rsidRDefault="00AD1F69" w:rsidP="00AD1F69">
      <w:pPr>
        <w:pStyle w:val="Bodycopy"/>
      </w:pPr>
      <w:r w:rsidRPr="4EC4BE97">
        <w:rPr>
          <w:rStyle w:val="Strong"/>
        </w:rPr>
        <w:t>Higher average applicant numbers per vacancy have not translated into better fill rates.</w:t>
      </w:r>
      <w:r>
        <w:t xml:space="preserve"> The lower fill rates have coincided with higher average applicant numbers per vacancy in June 2023 quarter compared to past quarters (up 1.3 to 15.7 compared to 14.4 in March 2023 quarter). However, the average number of suitable applicants per vacancy has dropped to 2.3 compared to 2.5 in December 2022 </w:t>
      </w:r>
      <w:r w:rsidR="009D259D">
        <w:t>(Figure 16)</w:t>
      </w:r>
      <w:r>
        <w:t xml:space="preserve">. This may suggest that, along with the fall in the fill rate, employers are still struggling to fill vacant positions: an implication being that skill shortage pressures persist. </w:t>
      </w:r>
    </w:p>
    <w:p w14:paraId="09DF0691" w14:textId="77777777" w:rsidR="006B47CC" w:rsidRDefault="006B47CC" w:rsidP="006B47CC">
      <w:pPr>
        <w:pStyle w:val="ChartandTablelabel"/>
      </w:pPr>
      <w:bookmarkStart w:id="45" w:name="_Ref141712574"/>
      <w:bookmarkStart w:id="46" w:name="_Toc142665157"/>
      <w:bookmarkStart w:id="47" w:name="_Toc144198461"/>
      <w:bookmarkStart w:id="48" w:name="_Toc144237625"/>
      <w:r>
        <w:br w:type="page"/>
      </w:r>
    </w:p>
    <w:p w14:paraId="74E405E2" w14:textId="127ABE31" w:rsidR="00AD1F69" w:rsidRDefault="00AD1F69" w:rsidP="006B47CC">
      <w:pPr>
        <w:pStyle w:val="ChartandTablelabel"/>
      </w:pPr>
      <w:r w:rsidRPr="000F6E42">
        <w:lastRenderedPageBreak/>
        <w:t xml:space="preserve">Figure </w:t>
      </w:r>
      <w:r>
        <w:t>16:</w:t>
      </w:r>
      <w:bookmarkEnd w:id="45"/>
      <w:r w:rsidRPr="000F6E42">
        <w:t xml:space="preserve"> Quarterly fill rate (</w:t>
      </w:r>
      <w:r>
        <w:t>%</w:t>
      </w:r>
      <w:r w:rsidRPr="000F6E42">
        <w:t>), applicants and suitable applicants per vacancy (no.), 2022 to 2023</w:t>
      </w:r>
      <w:bookmarkEnd w:id="46"/>
      <w:bookmarkEnd w:id="47"/>
      <w:bookmarkEnd w:id="48"/>
    </w:p>
    <w:p w14:paraId="6AC2923B" w14:textId="6276AFFA" w:rsidR="00AD1F69" w:rsidRDefault="00785299" w:rsidP="009C15D5">
      <w:pPr>
        <w:pStyle w:val="ChartandTablelabel"/>
      </w:pPr>
      <w:r>
        <w:rPr>
          <w:noProof/>
        </w:rPr>
        <w:drawing>
          <wp:inline distT="0" distB="0" distL="0" distR="0" wp14:anchorId="3ACA6A93" wp14:editId="4BFFC3C1">
            <wp:extent cx="5514975" cy="3267075"/>
            <wp:effectExtent l="0" t="0" r="0" b="0"/>
            <wp:docPr id="3" name="Chart 3" descr="Figure 16 is a combination chart showing the average number of applicants per vacancy and the average number of suitable applicants per vacancy as bars, and the proportion of vacancies filled as dots, for Q2 2022 through to Q2 2023. The average number of applicants per vacancy has increased from 11.9 in the second quarter of 2022, to 15.7 in the second quarter of 2023. Similarly, the average number of suitable applicants per vacancy has increased from 2.0 in the second quarter of 2022, to 2.3 in the first quarter of 2023. ">
              <a:extLst xmlns:a="http://schemas.openxmlformats.org/drawingml/2006/main">
                <a:ext uri="{FF2B5EF4-FFF2-40B4-BE49-F238E27FC236}">
                  <a16:creationId xmlns:a16="http://schemas.microsoft.com/office/drawing/2014/main" id="{D412DEC9-4ADA-43E0-B103-297179B170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570C743" w14:textId="77777777" w:rsidR="00AD1F69" w:rsidRPr="00B05E44" w:rsidRDefault="00AD1F69" w:rsidP="00AD1F69">
      <w:pPr>
        <w:pStyle w:val="Source"/>
        <w:numPr>
          <w:ilvl w:val="0"/>
          <w:numId w:val="0"/>
        </w:numPr>
        <w:ind w:left="510" w:hanging="510"/>
      </w:pPr>
      <w:r>
        <w:t>Source: JSA, Survey of Employers who have Recently Advertised, 2022 – 2023.</w:t>
      </w:r>
    </w:p>
    <w:p w14:paraId="1299296A" w14:textId="77777777" w:rsidR="00AD1F69" w:rsidRPr="00B05E44" w:rsidRDefault="00AD1F69" w:rsidP="006B47CC">
      <w:pPr>
        <w:pStyle w:val="Bodycopy"/>
      </w:pPr>
      <w:r>
        <w:t xml:space="preserve">From a major occupational group perspective, employers had the most difficulty filling vacancies for Technicians and Trades Workers, with just 47% of vacancies filled in the June 2023 quarter. Shortages within this broad group of occupations appear to be persistent over time. </w:t>
      </w:r>
    </w:p>
    <w:p w14:paraId="18D67358" w14:textId="77777777" w:rsidR="00AD1F69" w:rsidRPr="00B05E44" w:rsidRDefault="00AD1F69" w:rsidP="006B47CC">
      <w:pPr>
        <w:pStyle w:val="ListBullet"/>
      </w:pPr>
      <w:r>
        <w:t xml:space="preserve">JSA analysis suggests that employers seek skills beyond those provided by qualifications. At the national level and across all occupations, among the most common reason employers stated for applicants not being suitable was a lack of experience and specific skills. On average, employers received 5.7 qualified applicants per vacancy, more than twice the number of applicants than were deemed suitable (2.3 applicants per vacancy). </w:t>
      </w:r>
    </w:p>
    <w:p w14:paraId="7613B468" w14:textId="77777777" w:rsidR="00AD1F69" w:rsidRPr="00B05E44" w:rsidRDefault="00AD1F69" w:rsidP="006B47CC">
      <w:pPr>
        <w:pStyle w:val="ListBullet"/>
      </w:pPr>
      <w:r>
        <w:t>This implies that the issues with low fill rates are not simply a matter of not enough people being formally educated in the field – but a mismatch between employer requirements for experienced staff with the required skills and the availability of such staff.</w:t>
      </w:r>
    </w:p>
    <w:p w14:paraId="6CFCF7E2" w14:textId="240BD2FE" w:rsidR="00AD1F69" w:rsidRPr="001F4FE3" w:rsidRDefault="00AD1F69" w:rsidP="006B47CC">
      <w:pPr>
        <w:pStyle w:val="Bodycopy"/>
      </w:pPr>
      <w:r w:rsidRPr="00B05E44">
        <w:t xml:space="preserve">Further analysis using SERA data shows the attributes that employers place emphasis on when filling </w:t>
      </w:r>
      <w:r w:rsidRPr="001F4FE3">
        <w:t>vacancies. For the 2022-23 year, the data reveals that more than 60</w:t>
      </w:r>
      <w:r>
        <w:t>%</w:t>
      </w:r>
      <w:r w:rsidRPr="001F4FE3">
        <w:t xml:space="preserve"> of employers identified work experience as paramount for employment, followed by less than 50</w:t>
      </w:r>
      <w:r>
        <w:t>%</w:t>
      </w:r>
      <w:r w:rsidRPr="001F4FE3">
        <w:t xml:space="preserve"> of employers that place weight on qualifications (</w:t>
      </w:r>
      <w:r w:rsidR="006B47CC">
        <w:t>Figure 17</w:t>
      </w:r>
      <w:r w:rsidRPr="001F4FE3">
        <w:t>).</w:t>
      </w:r>
    </w:p>
    <w:p w14:paraId="3FBE8DEA" w14:textId="77777777" w:rsidR="00AD1F69" w:rsidRPr="00B05E44" w:rsidRDefault="00AD1F69" w:rsidP="006B47CC">
      <w:pPr>
        <w:pStyle w:val="Bodycopy"/>
      </w:pPr>
      <w:r w:rsidRPr="001F4FE3">
        <w:t>When considering communication skills</w:t>
      </w:r>
      <w:r w:rsidRPr="00B05E44">
        <w:t xml:space="preserve"> along with experience, about seven out of ten employers seek these attributes in applicants when seeking to fill advertised vacancies. Communication and experience, taken together, can be used as a proxy for ‘employability skills’. This means that on average, employers place greater weight on ‘employability skills’ over and above technical skills attainted through qualifications. </w:t>
      </w:r>
    </w:p>
    <w:p w14:paraId="3DFC3FCE" w14:textId="77777777" w:rsidR="006B47CC" w:rsidRDefault="006B47CC" w:rsidP="006B47CC">
      <w:pPr>
        <w:pStyle w:val="ChartandTablelabel"/>
      </w:pPr>
      <w:bookmarkStart w:id="49" w:name="_Ref141712660"/>
      <w:bookmarkStart w:id="50" w:name="_Toc142665158"/>
      <w:bookmarkStart w:id="51" w:name="_Toc144198462"/>
      <w:bookmarkStart w:id="52" w:name="_Toc144237626"/>
      <w:r>
        <w:br w:type="page"/>
      </w:r>
    </w:p>
    <w:p w14:paraId="0C572ABE" w14:textId="6AB1B1BB" w:rsidR="00AD1F69" w:rsidRDefault="00AD1F69" w:rsidP="006B47CC">
      <w:pPr>
        <w:pStyle w:val="ChartandTablelabel"/>
      </w:pPr>
      <w:r w:rsidRPr="000F6E42">
        <w:lastRenderedPageBreak/>
        <w:t xml:space="preserve">Figure </w:t>
      </w:r>
      <w:r>
        <w:t>17:</w:t>
      </w:r>
      <w:bookmarkEnd w:id="49"/>
      <w:r w:rsidRPr="000F6E42">
        <w:t xml:space="preserve"> Drivers of applicant suitability, 2022 to 2023</w:t>
      </w:r>
      <w:bookmarkEnd w:id="50"/>
      <w:bookmarkEnd w:id="51"/>
      <w:bookmarkEnd w:id="52"/>
    </w:p>
    <w:p w14:paraId="395DD99C" w14:textId="189468D6" w:rsidR="00027A63" w:rsidRDefault="008700B6" w:rsidP="006B47CC">
      <w:pPr>
        <w:pStyle w:val="ChartandTablelabel"/>
      </w:pPr>
      <w:r>
        <w:rPr>
          <w:noProof/>
        </w:rPr>
        <w:drawing>
          <wp:inline distT="0" distB="0" distL="0" distR="0" wp14:anchorId="10868714" wp14:editId="09C487BB">
            <wp:extent cx="5312569" cy="3133725"/>
            <wp:effectExtent l="0" t="0" r="2540" b="0"/>
            <wp:docPr id="8" name="Chart 8" descr="Figure 17 is a bar graph of the proportion of employers who identified a particular factor as being important for job suitability. Experience was the most identified issues (by more than 60% of employers), followed by qualifications.">
              <a:extLst xmlns:a="http://schemas.openxmlformats.org/drawingml/2006/main">
                <a:ext uri="{FF2B5EF4-FFF2-40B4-BE49-F238E27FC236}">
                  <a16:creationId xmlns:a16="http://schemas.microsoft.com/office/drawing/2014/main" id="{0E1B6EC2-2D7D-F69E-0931-966209CC1D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8EBF531" w14:textId="77777777" w:rsidR="00AD1F69" w:rsidRPr="00B05E44" w:rsidRDefault="00AD1F69" w:rsidP="00AD1F69">
      <w:pPr>
        <w:pStyle w:val="Source"/>
        <w:numPr>
          <w:ilvl w:val="0"/>
          <w:numId w:val="0"/>
        </w:numPr>
        <w:ind w:left="510" w:hanging="510"/>
      </w:pPr>
      <w:r>
        <w:t>Source: JSA, Survey of Employers who have Recently Advertised</w:t>
      </w:r>
    </w:p>
    <w:p w14:paraId="79E5E552" w14:textId="63BCD052" w:rsidR="006B4495" w:rsidRDefault="00AD1F69" w:rsidP="005A655C">
      <w:pPr>
        <w:pStyle w:val="Bodycopy"/>
      </w:pPr>
      <w:r w:rsidRPr="00B05E44">
        <w:t xml:space="preserve">Employer priorities on worker attributes are generally consistent in metro and regional </w:t>
      </w:r>
      <w:r w:rsidRPr="00EC20EB">
        <w:t>areas</w:t>
      </w:r>
      <w:r w:rsidR="005A655C">
        <w:t xml:space="preserve"> (Figure 18).</w:t>
      </w:r>
      <w:r w:rsidRPr="00EC20EB">
        <w:t xml:space="preserve"> However, in metro regions there is higher demand among employers for general experience, and specific skills/experience. Among regional employers, qualifications and location in particular matter</w:t>
      </w:r>
      <w:r w:rsidRPr="00B05E44">
        <w:t xml:space="preserve"> more than employers in metro areas. </w:t>
      </w:r>
    </w:p>
    <w:p w14:paraId="43998C4B" w14:textId="48081A4D" w:rsidR="00AD1F69" w:rsidRPr="00B05E44" w:rsidRDefault="001C0AE9" w:rsidP="006B47CC">
      <w:pPr>
        <w:pStyle w:val="Bodycopy"/>
      </w:pPr>
      <w:r>
        <w:t>T</w:t>
      </w:r>
      <w:r w:rsidR="00AD1F69" w:rsidRPr="00B05E44">
        <w:t>he result</w:t>
      </w:r>
      <w:r>
        <w:t>s</w:t>
      </w:r>
      <w:r w:rsidR="00AD1F69" w:rsidRPr="00B05E44">
        <w:t xml:space="preserve"> suggest</w:t>
      </w:r>
      <w:r>
        <w:t xml:space="preserve"> </w:t>
      </w:r>
      <w:r w:rsidR="00AD1F69" w:rsidRPr="00B05E44">
        <w:t>that location of employer or the location of an applicant is more of a barrier to regional employers finding skilled workers. For metro area employers, the attribute of specific skills or experience being a more likely factor for suitability may be due to metro employers having access to a larger pool of skilled workers to choose from and therefore can be more selective with respect to suitable skills.</w:t>
      </w:r>
    </w:p>
    <w:p w14:paraId="3B9D7A15" w14:textId="77777777" w:rsidR="006B4495" w:rsidRDefault="006B4495" w:rsidP="006B47CC">
      <w:pPr>
        <w:pStyle w:val="ChartandTablelabel"/>
      </w:pPr>
      <w:bookmarkStart w:id="53" w:name="_Ref141712709"/>
      <w:bookmarkStart w:id="54" w:name="_Toc142665159"/>
      <w:bookmarkStart w:id="55" w:name="_Toc144198463"/>
      <w:bookmarkStart w:id="56" w:name="_Toc144237627"/>
      <w:r>
        <w:br w:type="page"/>
      </w:r>
    </w:p>
    <w:p w14:paraId="74A7E6A5" w14:textId="0A3558D4" w:rsidR="00AD1F69" w:rsidRDefault="00AD1F69" w:rsidP="006B47CC">
      <w:pPr>
        <w:pStyle w:val="ChartandTablelabel"/>
      </w:pPr>
      <w:r w:rsidRPr="000F6E42">
        <w:lastRenderedPageBreak/>
        <w:t xml:space="preserve">Figure </w:t>
      </w:r>
      <w:r>
        <w:t>18:</w:t>
      </w:r>
      <w:bookmarkEnd w:id="53"/>
      <w:r w:rsidRPr="000F6E42">
        <w:t xml:space="preserve"> Drivers of applicant suitability, metro and regional, 2022 to 2023</w:t>
      </w:r>
      <w:bookmarkEnd w:id="54"/>
      <w:bookmarkEnd w:id="55"/>
      <w:bookmarkEnd w:id="56"/>
    </w:p>
    <w:p w14:paraId="6FBAA06D" w14:textId="27F091FF" w:rsidR="00027A63" w:rsidRDefault="0082151E" w:rsidP="006B47CC">
      <w:pPr>
        <w:pStyle w:val="ChartandTablelabel"/>
      </w:pPr>
      <w:r>
        <w:rPr>
          <w:noProof/>
        </w:rPr>
        <w:drawing>
          <wp:inline distT="0" distB="0" distL="0" distR="0" wp14:anchorId="531DA7BF" wp14:editId="5397CB60">
            <wp:extent cx="5281614" cy="3328989"/>
            <wp:effectExtent l="0" t="0" r="0" b="5080"/>
            <wp:docPr id="7" name="Chart 7" descr="Figure 18 is a bar graph of the proportion of employers who identified a particular factor as being important for job suitability, disaggregated by metro and regional employers. Experience was the most identified issue (by more than 60% of employers in both metro and regional areas), followed by qualifications (identified by more than 40% of employers in both metro and regional areas).">
              <a:extLst xmlns:a="http://schemas.openxmlformats.org/drawingml/2006/main">
                <a:ext uri="{FF2B5EF4-FFF2-40B4-BE49-F238E27FC236}">
                  <a16:creationId xmlns:a16="http://schemas.microsoft.com/office/drawing/2014/main" id="{6DC9883C-FEB0-D729-D65D-75A7C90ECB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5EAFD4C" w14:textId="77777777" w:rsidR="00AD1F69" w:rsidRPr="00B05E44" w:rsidRDefault="00AD1F69" w:rsidP="00AD1F69">
      <w:pPr>
        <w:pStyle w:val="Source"/>
        <w:numPr>
          <w:ilvl w:val="0"/>
          <w:numId w:val="0"/>
        </w:numPr>
        <w:ind w:left="510" w:hanging="510"/>
      </w:pPr>
      <w:r>
        <w:t>Source: JSA, Survey of Employers who have Recently Advertised</w:t>
      </w:r>
    </w:p>
    <w:p w14:paraId="67B5D7CE" w14:textId="77777777" w:rsidR="006B4495" w:rsidRDefault="006B4495" w:rsidP="006B4495">
      <w:pPr>
        <w:pStyle w:val="Bodycopy"/>
      </w:pPr>
      <w:bookmarkStart w:id="57" w:name="_Toc144893805"/>
    </w:p>
    <w:p w14:paraId="13042960" w14:textId="236152E5" w:rsidR="00AD1F69" w:rsidRPr="008F3408" w:rsidRDefault="00AD1F69" w:rsidP="00AD1F69">
      <w:pPr>
        <w:pStyle w:val="Heading1"/>
      </w:pPr>
      <w:bookmarkStart w:id="58" w:name="_Toc144992578"/>
      <w:r>
        <w:t>Wages: variability in annual growth between different indicators</w:t>
      </w:r>
      <w:bookmarkEnd w:id="57"/>
      <w:bookmarkEnd w:id="58"/>
      <w:r>
        <w:t xml:space="preserve"> </w:t>
      </w:r>
    </w:p>
    <w:p w14:paraId="21B3F668" w14:textId="77777777" w:rsidR="00AD1F69" w:rsidRPr="005123F9" w:rsidRDefault="00AD1F69" w:rsidP="007508B9">
      <w:pPr>
        <w:pStyle w:val="Bodycopy"/>
        <w:rPr>
          <w:i/>
        </w:rPr>
      </w:pPr>
      <w:r w:rsidRPr="005123F9">
        <w:t xml:space="preserve">The most recent wage price index for the </w:t>
      </w:r>
      <w:r>
        <w:t xml:space="preserve">June </w:t>
      </w:r>
      <w:r w:rsidRPr="005123F9">
        <w:t xml:space="preserve">2023 quarter showed wages growth of 3.7% through the year, the highest rate of annual growth since 2012. The Federal Budget released by the Treasurer on 12 May 2023 showed Treasury’s forecast for nominal growth in the wage price index is 4% through the year to June 2024. </w:t>
      </w:r>
    </w:p>
    <w:p w14:paraId="1000C5E8" w14:textId="77777777" w:rsidR="00AD1F69" w:rsidRPr="00F31333" w:rsidRDefault="00AD1F69" w:rsidP="007508B9">
      <w:pPr>
        <w:pStyle w:val="Bodycopy"/>
        <w:rPr>
          <w:lang w:eastAsia="en-AU"/>
        </w:rPr>
      </w:pPr>
      <w:r w:rsidRPr="00F31333">
        <w:rPr>
          <w:lang w:eastAsia="en-AU"/>
        </w:rPr>
        <w:t xml:space="preserve">It is important to note that the wage price index does not reflect the impact on overall wages of job mobility – such as movements towards more highly-skilled jobs, or movement of workers from lower-productivity firms to higher-productivity firms. Alternative measures of wage growth seek to reflect job mobility in different ways, leading to different measures of wages growth. </w:t>
      </w:r>
    </w:p>
    <w:p w14:paraId="08B50BC2" w14:textId="77777777" w:rsidR="00AD1F69" w:rsidRPr="002D48BC" w:rsidRDefault="00AD1F69" w:rsidP="007508B9">
      <w:pPr>
        <w:pStyle w:val="Bodycopy"/>
        <w:rPr>
          <w:color w:val="auto"/>
          <w:lang w:eastAsia="en-AU"/>
        </w:rPr>
      </w:pPr>
      <w:r w:rsidRPr="2E9325EB">
        <w:rPr>
          <w:lang w:eastAsia="en-AU"/>
        </w:rPr>
        <w:t>For example, ABS National Accounts data can be used to calculate Average Earnings on National Accounts (AENA). AENA is designed to measure the average level of labour cost per employee and is measured as total comp</w:t>
      </w:r>
      <w:r w:rsidRPr="2E9325EB">
        <w:rPr>
          <w:color w:val="auto"/>
          <w:lang w:eastAsia="en-AU"/>
        </w:rPr>
        <w:t xml:space="preserve">ensation of employees divided by the total number of employees – irrespective of whether employees have changed jobs or stayed in </w:t>
      </w:r>
      <w:r w:rsidRPr="2E9325EB">
        <w:rPr>
          <w:color w:val="auto"/>
          <w:lang w:eastAsia="en-AU"/>
        </w:rPr>
        <w:lastRenderedPageBreak/>
        <w:t>the same job. The most recent National Accounts data showed annual growth in AENA of 6.9% for the year to March 2023.</w:t>
      </w:r>
    </w:p>
    <w:p w14:paraId="2490C6FA" w14:textId="77777777" w:rsidR="00AD1F69" w:rsidRDefault="00AD1F69" w:rsidP="007508B9">
      <w:pPr>
        <w:pStyle w:val="Bodycopy"/>
        <w:rPr>
          <w:lang w:eastAsia="en-AU"/>
        </w:rPr>
      </w:pPr>
      <w:r w:rsidRPr="2E9325EB">
        <w:rPr>
          <w:color w:val="auto"/>
          <w:lang w:eastAsia="en-AU"/>
        </w:rPr>
        <w:t xml:space="preserve">Over the year to May 2023, an increase in Average </w:t>
      </w:r>
      <w:r w:rsidRPr="2E9325EB">
        <w:rPr>
          <w:lang w:eastAsia="en-AU"/>
        </w:rPr>
        <w:t>Weekly Ordinary Time Earnings (AWOTE) of 3.9% was also recorded. The increase in AWOTE over the year to May 2023 was the second largest increase since the 5.3</w:t>
      </w:r>
      <w:r>
        <w:rPr>
          <w:lang w:eastAsia="en-AU"/>
        </w:rPr>
        <w:t>%</w:t>
      </w:r>
      <w:r w:rsidRPr="2E9325EB">
        <w:rPr>
          <w:lang w:eastAsia="en-AU"/>
        </w:rPr>
        <w:t xml:space="preserve"> recorded over the year to May 2013 (only behind the 4.8% recorded over the year to May 2020, when low paid jobs were particularly impacted during the lockdowns early in the COVID-19 pandemic). The strength of this increase was reflected across a variety of cohorts, such as gender, public and private sector, industry and </w:t>
      </w:r>
      <w:r>
        <w:rPr>
          <w:lang w:eastAsia="en-AU"/>
        </w:rPr>
        <w:t>s</w:t>
      </w:r>
      <w:r w:rsidRPr="2E9325EB">
        <w:rPr>
          <w:lang w:eastAsia="en-AU"/>
        </w:rPr>
        <w:t xml:space="preserve">tates and </w:t>
      </w:r>
      <w:r>
        <w:rPr>
          <w:lang w:eastAsia="en-AU"/>
        </w:rPr>
        <w:t>t</w:t>
      </w:r>
      <w:r w:rsidRPr="2E9325EB">
        <w:rPr>
          <w:lang w:eastAsia="en-AU"/>
        </w:rPr>
        <w:t>erritories.</w:t>
      </w:r>
    </w:p>
    <w:p w14:paraId="612E32D2" w14:textId="77777777" w:rsidR="00AD1F69" w:rsidRDefault="00AD1F69" w:rsidP="007508B9">
      <w:pPr>
        <w:pStyle w:val="Bodycopy"/>
        <w:rPr>
          <w:color w:val="FF0000"/>
          <w:lang w:eastAsia="en-AU"/>
        </w:rPr>
      </w:pPr>
      <w:r w:rsidRPr="00581D1C">
        <w:rPr>
          <w:lang w:eastAsia="en-AU"/>
        </w:rPr>
        <w:t>A recent addition to published data sources with respect to measures of wages growth is the SEEK Advertised Salary Index (ASI). This measures the growth in advertised salaries for jobs posted on SEEK, an employment marketplace in Australia</w:t>
      </w:r>
      <w:r w:rsidRPr="00581D1C">
        <w:t xml:space="preserve">, after </w:t>
      </w:r>
      <w:r w:rsidRPr="00581D1C">
        <w:rPr>
          <w:lang w:eastAsia="en-AU"/>
        </w:rPr>
        <w:t xml:space="preserve">removing much of the effect of any compositional change in jobs being advertised. As this </w:t>
      </w:r>
      <w:r w:rsidRPr="0023670A">
        <w:rPr>
          <w:lang w:eastAsia="en-AU"/>
        </w:rPr>
        <w:t>data measures growth in advertised salaries for advertised jobs, it does not reflect wages growth for workers who remain in their existing job. Nonetheless, it offers additional insight into the wages that employers are offering when trying to attract new workers. The SEEK ASI for June 2023 showed annual growth in advertised salaries of 4.5% for the year</w:t>
      </w:r>
      <w:r w:rsidRPr="0023670A">
        <w:rPr>
          <w:rStyle w:val="FootnoteReference"/>
          <w:rFonts w:cs="Arial"/>
          <w:lang w:eastAsia="en-AU"/>
        </w:rPr>
        <w:footnoteReference w:id="11"/>
      </w:r>
      <w:r w:rsidRPr="0023670A">
        <w:rPr>
          <w:lang w:eastAsia="en-AU"/>
        </w:rPr>
        <w:t>.</w:t>
      </w:r>
    </w:p>
    <w:p w14:paraId="44607F80" w14:textId="77777777" w:rsidR="00AD1F69" w:rsidRPr="00B74D93" w:rsidRDefault="00AD1F69" w:rsidP="00AD1F69">
      <w:pPr>
        <w:pStyle w:val="BodyText"/>
        <w:rPr>
          <w:rFonts w:cs="Arial"/>
          <w:color w:val="FF0000"/>
          <w:lang w:eastAsia="en-AU"/>
        </w:rPr>
      </w:pPr>
    </w:p>
    <w:p w14:paraId="450829D7" w14:textId="784792A3" w:rsidR="00AD1F69" w:rsidRPr="001B0404" w:rsidRDefault="00AD1F69" w:rsidP="001B0404">
      <w:pPr>
        <w:pStyle w:val="Heading1"/>
      </w:pPr>
      <w:bookmarkStart w:id="59" w:name="_Toc144893806"/>
      <w:bookmarkStart w:id="60" w:name="_Toc144992579"/>
      <w:r w:rsidRPr="001B0404">
        <w:t>Trends in recruitment activity in capital cities and regional areas</w:t>
      </w:r>
      <w:bookmarkEnd w:id="59"/>
      <w:bookmarkEnd w:id="60"/>
    </w:p>
    <w:p w14:paraId="6539FCDD" w14:textId="77777777" w:rsidR="00AD1F69" w:rsidRDefault="00AD1F69" w:rsidP="001B0404">
      <w:pPr>
        <w:pStyle w:val="Bodycopy"/>
      </w:pPr>
      <w:r w:rsidRPr="429151DF">
        <w:t>From June 2020 to October 2022, there was significant growth in internet vacancies in both capital cities and across regional Australia. Vacancies, though, have declined from this series high over the past year, but advertisements in regional Australia have remained more buoyant than their capital city counterparts. This is due to an increase in vacancies for Professionals across regional Australia (particular in the healthcare sector), while vacancies for some large employing corporate and ICT occupations declined in the capital cities.</w:t>
      </w:r>
    </w:p>
    <w:p w14:paraId="7CA6895E" w14:textId="77777777" w:rsidR="00AD1F69" w:rsidRPr="00E46A09" w:rsidRDefault="00AD1F69" w:rsidP="001B0404">
      <w:pPr>
        <w:pStyle w:val="Bodycopy"/>
      </w:pPr>
      <w:r w:rsidRPr="429151DF">
        <w:t xml:space="preserve">Recent Vacancy Reports have highlighted a contraction in recruitment activity in capital cities compared to twelve months ago. This has been paralleled by continuing growth outside capital cities, although at declining intensity. To contextualise these </w:t>
      </w:r>
      <w:r w:rsidRPr="00E46A09">
        <w:t>annual change values, Figure 19 shows the recent trend in IVI results for capital cities and regional areas. From the low in June 2020, recruitment activity in capital cities increased by 248.2% (or 158,500 job advertisements) and 215.5% (or 55,400) in regional Australia by October 2022. Since the peak in October 2022, recruitment activity in capital cities decreased by 12.7% (or 28,200 job advertisements) and 7.5% (or 6,100) in regional Australia by June 2023.</w:t>
      </w:r>
    </w:p>
    <w:p w14:paraId="42291088" w14:textId="77777777" w:rsidR="00243FA4" w:rsidRDefault="00243FA4" w:rsidP="001B0404">
      <w:pPr>
        <w:pStyle w:val="ChartandTablelabel"/>
      </w:pPr>
      <w:r>
        <w:br w:type="page"/>
      </w:r>
    </w:p>
    <w:p w14:paraId="1BF0C83F" w14:textId="382D6FDC" w:rsidR="00AD1F69" w:rsidRDefault="00AD1F69" w:rsidP="001B0404">
      <w:pPr>
        <w:pStyle w:val="ChartandTablelabel"/>
      </w:pPr>
      <w:r w:rsidRPr="00E46A09">
        <w:lastRenderedPageBreak/>
        <w:t>Figure 19: Online job advertisements</w:t>
      </w:r>
      <w:r w:rsidRPr="429151DF">
        <w:t xml:space="preserve"> in capital cities and regional Australia, January 2019 to June 2023</w:t>
      </w:r>
    </w:p>
    <w:p w14:paraId="7F3EDE57" w14:textId="77777777" w:rsidR="00AD1F69" w:rsidRDefault="00AD1F69" w:rsidP="00AD1F69">
      <w:pPr>
        <w:spacing w:before="240" w:line="257" w:lineRule="auto"/>
      </w:pPr>
      <w:r>
        <w:rPr>
          <w:noProof/>
        </w:rPr>
        <w:drawing>
          <wp:inline distT="0" distB="0" distL="0" distR="0" wp14:anchorId="4789FEAF" wp14:editId="13FC5166">
            <wp:extent cx="5456904" cy="2819400"/>
            <wp:effectExtent l="0" t="0" r="0" b="0"/>
            <wp:docPr id="514809017" name="Picture 514809017" descr="Figure 19 is a line chart mapping capital city online job advertisements on the left-hand axis with regional on the job advertisements on the right-hand axis. It shows that growth in capital cities was stronger than growth in regions from 2020 until October 2022, but has since declined by more than has been the case in the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09017" name="Picture 514809017" descr="Figure 19 is a line chart mapping capital city online job advertisements on the left-hand axis with regional on the job advertisements on the right-hand axis. It shows that growth in capital cities was stronger than growth in regions from 2020 until October 2022, but has since declined by more than has been the case in the regions."/>
                    <pic:cNvPicPr/>
                  </pic:nvPicPr>
                  <pic:blipFill>
                    <a:blip r:embed="rId29">
                      <a:extLst>
                        <a:ext uri="{28A0092B-C50C-407E-A947-70E740481C1C}">
                          <a14:useLocalDpi xmlns:a14="http://schemas.microsoft.com/office/drawing/2010/main" val="0"/>
                        </a:ext>
                      </a:extLst>
                    </a:blip>
                    <a:stretch>
                      <a:fillRect/>
                    </a:stretch>
                  </pic:blipFill>
                  <pic:spPr>
                    <a:xfrm>
                      <a:off x="0" y="0"/>
                      <a:ext cx="5456904" cy="2819400"/>
                    </a:xfrm>
                    <a:prstGeom prst="rect">
                      <a:avLst/>
                    </a:prstGeom>
                  </pic:spPr>
                </pic:pic>
              </a:graphicData>
            </a:graphic>
          </wp:inline>
        </w:drawing>
      </w:r>
    </w:p>
    <w:p w14:paraId="29E4BE6C" w14:textId="77777777" w:rsidR="00AD1F69" w:rsidRDefault="00AD1F69" w:rsidP="00AD1F69">
      <w:pPr>
        <w:spacing w:before="240" w:after="200"/>
      </w:pPr>
      <w:r w:rsidRPr="429151DF">
        <w:rPr>
          <w:rFonts w:eastAsia="Arial" w:cs="Arial"/>
          <w:i/>
          <w:iCs/>
          <w:color w:val="44546A"/>
          <w:sz w:val="16"/>
          <w:szCs w:val="16"/>
        </w:rPr>
        <w:t>Source: Jobs and Skills Australia, Internet Vacancy Index, June 2023, 3-month average data.</w:t>
      </w:r>
    </w:p>
    <w:p w14:paraId="4769F0CD" w14:textId="77777777" w:rsidR="00AD1F69" w:rsidRDefault="00AD1F69" w:rsidP="001B0404">
      <w:pPr>
        <w:pStyle w:val="Bodycopy"/>
      </w:pPr>
      <w:r w:rsidRPr="429151DF">
        <w:t>During the growth period, online job advertisements for each major occupation group recorded robust growth, with most doubling or trebling by the October 2022 peak</w:t>
      </w:r>
      <w:r>
        <w:t xml:space="preserve"> (Table 8).</w:t>
      </w:r>
      <w:r w:rsidRPr="429151DF">
        <w:t xml:space="preserve"> During the recent period of contraction in online job advertisements, almost all major occupation groups recorded decreases. Labourers and Sales Workers experienced the strongest decline from October 2022 to June 2023 in both capital cities (down by 32.2% and 24.5% respectively) and regional Australia (down by 21.5% and 22.1% respectively). Internet vacancies for Managers and Machinery Operator and Drivers in regional Australia recorded the smallest declines for any occupation group across Australia (down by 3.7% and 3.8%).</w:t>
      </w:r>
    </w:p>
    <w:p w14:paraId="4647D1D2" w14:textId="77777777" w:rsidR="00AD1F69" w:rsidRDefault="00AD1F69" w:rsidP="001B0404">
      <w:pPr>
        <w:pStyle w:val="Bodycopy"/>
      </w:pPr>
      <w:r w:rsidRPr="429151DF">
        <w:t>Vacancies for Professionals in regional Australia increased by 5.1% (or 1,000 job advertisements) in complete contradiction to the aggregate trend in this period. Within this occupation group, recruitment activity for various healthcare occupations recorded meaningful increases during this period across capital cities and regional areas. In regional Australia, vacancies increased for General Practitioners and Resident Medical Professionals (34.2%), Audiologists and Speech Pathologists/Therapists (32.7%) and Registered Nurses (6.2%).</w:t>
      </w:r>
    </w:p>
    <w:p w14:paraId="4C494DF7" w14:textId="77777777" w:rsidR="00AD1F69" w:rsidRPr="00E46A09" w:rsidRDefault="00AD1F69" w:rsidP="001B0404">
      <w:pPr>
        <w:pStyle w:val="Bodycopy"/>
      </w:pPr>
      <w:r w:rsidRPr="429151DF">
        <w:t xml:space="preserve">The key point of distinction between the two </w:t>
      </w:r>
      <w:r>
        <w:t>areas</w:t>
      </w:r>
      <w:r w:rsidRPr="429151DF">
        <w:t xml:space="preserve"> was the large decline in vacancy numbers for some large employing corporate and ICT occupations in capital cities, which was not evident in regional areas. This included Software and Applications Programmers, ICT Business and Systems Analysts, Advertising and </w:t>
      </w:r>
      <w:r w:rsidRPr="00E46A09">
        <w:t>Marketing Professionals and Human Resource Professionals. While declines were observed for most of these occupations in regional areas, the magnitude was far smaller by both frequency and proportion, such that the persistent demand for healthcare roles remained visible in context of the decline in aggregate recruitment activity.</w:t>
      </w:r>
    </w:p>
    <w:p w14:paraId="7467B81C" w14:textId="77777777" w:rsidR="00F07E47" w:rsidRDefault="00F07E47" w:rsidP="00761449">
      <w:pPr>
        <w:pStyle w:val="ChartandTablelabel"/>
      </w:pPr>
      <w:r>
        <w:br w:type="page"/>
      </w:r>
    </w:p>
    <w:p w14:paraId="0C7CD5DA" w14:textId="147555C2" w:rsidR="00761449" w:rsidRDefault="00AD1F69" w:rsidP="00761449">
      <w:pPr>
        <w:pStyle w:val="ChartandTablelabel"/>
      </w:pPr>
      <w:r w:rsidRPr="00E46A09">
        <w:lastRenderedPageBreak/>
        <w:t>Table 8: Change in internet</w:t>
      </w:r>
      <w:r w:rsidRPr="429151DF">
        <w:t xml:space="preserve"> advertisements during the growth period following the COVID-19 shock and the recent contraction period for capital cities and regional Australia</w:t>
      </w:r>
    </w:p>
    <w:tbl>
      <w:tblPr>
        <w:tblW w:w="9615" w:type="dxa"/>
        <w:tblLayout w:type="fixed"/>
        <w:tblLook w:val="04A0" w:firstRow="1" w:lastRow="0" w:firstColumn="1" w:lastColumn="0" w:noHBand="0" w:noVBand="1"/>
      </w:tblPr>
      <w:tblGrid>
        <w:gridCol w:w="1701"/>
        <w:gridCol w:w="1134"/>
        <w:gridCol w:w="851"/>
        <w:gridCol w:w="786"/>
        <w:gridCol w:w="206"/>
        <w:gridCol w:w="30"/>
        <w:gridCol w:w="236"/>
        <w:gridCol w:w="726"/>
        <w:gridCol w:w="993"/>
        <w:gridCol w:w="1134"/>
        <w:gridCol w:w="21"/>
        <w:gridCol w:w="236"/>
        <w:gridCol w:w="593"/>
        <w:gridCol w:w="968"/>
      </w:tblGrid>
      <w:tr w:rsidR="00761449" w14:paraId="0A7D8B62" w14:textId="77777777" w:rsidTr="00F07E47">
        <w:trPr>
          <w:trHeight w:val="298"/>
        </w:trPr>
        <w:tc>
          <w:tcPr>
            <w:tcW w:w="1701" w:type="dxa"/>
            <w:shd w:val="clear" w:color="auto" w:fill="441170" w:themeFill="text2"/>
            <w:tcMar>
              <w:left w:w="108" w:type="dxa"/>
              <w:right w:w="108" w:type="dxa"/>
            </w:tcMar>
            <w:vAlign w:val="bottom"/>
          </w:tcPr>
          <w:p w14:paraId="2C24C032" w14:textId="77777777" w:rsidR="00761449" w:rsidRDefault="00761449" w:rsidP="00761449">
            <w:pPr>
              <w:pStyle w:val="Tableheader"/>
            </w:pPr>
            <w:r w:rsidRPr="429151DF">
              <w:t xml:space="preserve"> </w:t>
            </w:r>
          </w:p>
        </w:tc>
        <w:tc>
          <w:tcPr>
            <w:tcW w:w="3969" w:type="dxa"/>
            <w:gridSpan w:val="7"/>
            <w:shd w:val="clear" w:color="auto" w:fill="441170" w:themeFill="text2"/>
            <w:tcMar>
              <w:left w:w="108" w:type="dxa"/>
              <w:right w:w="108" w:type="dxa"/>
            </w:tcMar>
            <w:vAlign w:val="bottom"/>
          </w:tcPr>
          <w:p w14:paraId="18EE1A41" w14:textId="0DA9D1BC" w:rsidR="00761449" w:rsidRDefault="00761449" w:rsidP="00761449">
            <w:pPr>
              <w:pStyle w:val="Tableheader"/>
            </w:pPr>
            <w:r w:rsidRPr="429151DF">
              <w:t>Growth period: Jun</w:t>
            </w:r>
            <w:r w:rsidR="006D025E">
              <w:t xml:space="preserve">e </w:t>
            </w:r>
            <w:r w:rsidRPr="429151DF">
              <w:t>2</w:t>
            </w:r>
            <w:r w:rsidR="006D025E">
              <w:t>02</w:t>
            </w:r>
            <w:r w:rsidRPr="429151DF">
              <w:t>0 to Oct</w:t>
            </w:r>
            <w:r w:rsidR="006D025E">
              <w:t>ober 202</w:t>
            </w:r>
            <w:r w:rsidRPr="429151DF">
              <w:t>2</w:t>
            </w:r>
          </w:p>
        </w:tc>
        <w:tc>
          <w:tcPr>
            <w:tcW w:w="3945" w:type="dxa"/>
            <w:gridSpan w:val="6"/>
            <w:shd w:val="clear" w:color="auto" w:fill="441170" w:themeFill="text2"/>
            <w:tcMar>
              <w:left w:w="108" w:type="dxa"/>
              <w:right w:w="108" w:type="dxa"/>
            </w:tcMar>
            <w:vAlign w:val="bottom"/>
          </w:tcPr>
          <w:p w14:paraId="0171EC29" w14:textId="7B6558F9" w:rsidR="00761449" w:rsidRDefault="00761449" w:rsidP="00761449">
            <w:pPr>
              <w:pStyle w:val="Tableheader"/>
            </w:pPr>
            <w:r w:rsidRPr="429151DF">
              <w:t>Contraction period: Oct</w:t>
            </w:r>
            <w:r w:rsidR="006D025E">
              <w:t>ober 20</w:t>
            </w:r>
            <w:r w:rsidRPr="429151DF">
              <w:t>22 to Jun</w:t>
            </w:r>
            <w:r w:rsidR="006D025E">
              <w:t>e 2023</w:t>
            </w:r>
          </w:p>
        </w:tc>
      </w:tr>
      <w:tr w:rsidR="00F07E47" w14:paraId="4BB73610" w14:textId="77777777" w:rsidTr="00F07E47">
        <w:trPr>
          <w:trHeight w:val="298"/>
        </w:trPr>
        <w:tc>
          <w:tcPr>
            <w:tcW w:w="1701" w:type="dxa"/>
            <w:shd w:val="clear" w:color="auto" w:fill="441170" w:themeFill="text2"/>
            <w:tcMar>
              <w:left w:w="108" w:type="dxa"/>
              <w:right w:w="108" w:type="dxa"/>
            </w:tcMar>
            <w:vAlign w:val="bottom"/>
          </w:tcPr>
          <w:p w14:paraId="0D58E1B5" w14:textId="77777777" w:rsidR="00761449" w:rsidRDefault="00761449" w:rsidP="00761449">
            <w:pPr>
              <w:pStyle w:val="Tableheader"/>
            </w:pPr>
            <w:r w:rsidRPr="429151DF">
              <w:t xml:space="preserve"> </w:t>
            </w:r>
          </w:p>
        </w:tc>
        <w:tc>
          <w:tcPr>
            <w:tcW w:w="2771" w:type="dxa"/>
            <w:gridSpan w:val="3"/>
            <w:shd w:val="clear" w:color="auto" w:fill="441170" w:themeFill="text2"/>
            <w:tcMar>
              <w:left w:w="108" w:type="dxa"/>
              <w:right w:w="108" w:type="dxa"/>
            </w:tcMar>
            <w:vAlign w:val="bottom"/>
          </w:tcPr>
          <w:p w14:paraId="25D79716" w14:textId="77777777" w:rsidR="00761449" w:rsidRDefault="00761449" w:rsidP="00761449">
            <w:pPr>
              <w:pStyle w:val="Tableheader"/>
            </w:pPr>
            <w:r w:rsidRPr="429151DF">
              <w:t>Capital cities</w:t>
            </w:r>
          </w:p>
        </w:tc>
        <w:tc>
          <w:tcPr>
            <w:tcW w:w="1198" w:type="dxa"/>
            <w:gridSpan w:val="4"/>
            <w:shd w:val="clear" w:color="auto" w:fill="441170" w:themeFill="text2"/>
            <w:tcMar>
              <w:left w:w="108" w:type="dxa"/>
              <w:right w:w="108" w:type="dxa"/>
            </w:tcMar>
            <w:vAlign w:val="bottom"/>
          </w:tcPr>
          <w:p w14:paraId="5ACBFD45" w14:textId="77777777" w:rsidR="00761449" w:rsidRDefault="00761449" w:rsidP="00761449">
            <w:pPr>
              <w:pStyle w:val="Tableheader"/>
            </w:pPr>
            <w:r w:rsidRPr="429151DF">
              <w:t>Regional</w:t>
            </w:r>
          </w:p>
        </w:tc>
        <w:tc>
          <w:tcPr>
            <w:tcW w:w="2148" w:type="dxa"/>
            <w:gridSpan w:val="3"/>
            <w:shd w:val="clear" w:color="auto" w:fill="441170" w:themeFill="text2"/>
            <w:tcMar>
              <w:left w:w="108" w:type="dxa"/>
              <w:right w:w="108" w:type="dxa"/>
            </w:tcMar>
            <w:vAlign w:val="bottom"/>
          </w:tcPr>
          <w:p w14:paraId="5EC03331" w14:textId="77777777" w:rsidR="00761449" w:rsidRDefault="00761449" w:rsidP="00761449">
            <w:pPr>
              <w:pStyle w:val="Tableheader"/>
            </w:pPr>
            <w:r w:rsidRPr="429151DF">
              <w:t>Capital cities</w:t>
            </w:r>
          </w:p>
        </w:tc>
        <w:tc>
          <w:tcPr>
            <w:tcW w:w="1797" w:type="dxa"/>
            <w:gridSpan w:val="3"/>
            <w:shd w:val="clear" w:color="auto" w:fill="441170" w:themeFill="text2"/>
            <w:tcMar>
              <w:left w:w="108" w:type="dxa"/>
              <w:right w:w="108" w:type="dxa"/>
            </w:tcMar>
            <w:vAlign w:val="bottom"/>
          </w:tcPr>
          <w:p w14:paraId="0E78CF59" w14:textId="77777777" w:rsidR="00761449" w:rsidRDefault="00761449" w:rsidP="00761449">
            <w:pPr>
              <w:pStyle w:val="Tableheader"/>
            </w:pPr>
            <w:r w:rsidRPr="429151DF">
              <w:t>Regional</w:t>
            </w:r>
          </w:p>
        </w:tc>
      </w:tr>
      <w:tr w:rsidR="00411E1F" w14:paraId="28AABE64" w14:textId="77777777" w:rsidTr="00056BFE">
        <w:trPr>
          <w:trHeight w:val="298"/>
        </w:trPr>
        <w:tc>
          <w:tcPr>
            <w:tcW w:w="1701" w:type="dxa"/>
            <w:shd w:val="clear" w:color="auto" w:fill="441170" w:themeFill="text2"/>
            <w:tcMar>
              <w:left w:w="108" w:type="dxa"/>
              <w:right w:w="108" w:type="dxa"/>
            </w:tcMar>
            <w:vAlign w:val="bottom"/>
          </w:tcPr>
          <w:p w14:paraId="4EA1EE83" w14:textId="77777777" w:rsidR="00761449" w:rsidRDefault="00761449" w:rsidP="00761449">
            <w:pPr>
              <w:pStyle w:val="Tableheader"/>
            </w:pPr>
          </w:p>
        </w:tc>
        <w:tc>
          <w:tcPr>
            <w:tcW w:w="1134" w:type="dxa"/>
            <w:shd w:val="clear" w:color="auto" w:fill="441170" w:themeFill="text2"/>
            <w:tcMar>
              <w:left w:w="108" w:type="dxa"/>
              <w:right w:w="108" w:type="dxa"/>
            </w:tcMar>
            <w:vAlign w:val="bottom"/>
          </w:tcPr>
          <w:p w14:paraId="3547E43E" w14:textId="77777777" w:rsidR="00761449" w:rsidRDefault="00761449" w:rsidP="00761449">
            <w:pPr>
              <w:pStyle w:val="Tableheader"/>
            </w:pPr>
            <w:r w:rsidRPr="429151DF">
              <w:t>No.</w:t>
            </w:r>
          </w:p>
        </w:tc>
        <w:tc>
          <w:tcPr>
            <w:tcW w:w="851" w:type="dxa"/>
            <w:shd w:val="clear" w:color="auto" w:fill="441170" w:themeFill="text2"/>
            <w:tcMar>
              <w:left w:w="108" w:type="dxa"/>
              <w:right w:w="108" w:type="dxa"/>
            </w:tcMar>
            <w:vAlign w:val="bottom"/>
          </w:tcPr>
          <w:p w14:paraId="220BF165" w14:textId="77777777" w:rsidR="00761449" w:rsidRDefault="00761449" w:rsidP="00761449">
            <w:pPr>
              <w:pStyle w:val="Tableheader"/>
            </w:pPr>
            <w:r w:rsidRPr="429151DF">
              <w:t>%</w:t>
            </w:r>
          </w:p>
        </w:tc>
        <w:tc>
          <w:tcPr>
            <w:tcW w:w="992" w:type="dxa"/>
            <w:gridSpan w:val="2"/>
            <w:shd w:val="clear" w:color="auto" w:fill="441170" w:themeFill="text2"/>
            <w:tcMar>
              <w:left w:w="108" w:type="dxa"/>
              <w:right w:w="108" w:type="dxa"/>
            </w:tcMar>
            <w:vAlign w:val="bottom"/>
          </w:tcPr>
          <w:p w14:paraId="3F38857C" w14:textId="77777777" w:rsidR="00761449" w:rsidRDefault="00761449" w:rsidP="00761449">
            <w:pPr>
              <w:pStyle w:val="Tableheader"/>
            </w:pPr>
            <w:r w:rsidRPr="429151DF">
              <w:t>No.</w:t>
            </w:r>
          </w:p>
        </w:tc>
        <w:tc>
          <w:tcPr>
            <w:tcW w:w="992" w:type="dxa"/>
            <w:gridSpan w:val="3"/>
            <w:shd w:val="clear" w:color="auto" w:fill="441170" w:themeFill="text2"/>
            <w:tcMar>
              <w:left w:w="108" w:type="dxa"/>
              <w:right w:w="108" w:type="dxa"/>
            </w:tcMar>
            <w:vAlign w:val="bottom"/>
          </w:tcPr>
          <w:p w14:paraId="7665BF0F" w14:textId="77777777" w:rsidR="00761449" w:rsidRDefault="00761449" w:rsidP="00761449">
            <w:pPr>
              <w:pStyle w:val="Tableheader"/>
            </w:pPr>
            <w:r w:rsidRPr="429151DF">
              <w:t>%</w:t>
            </w:r>
          </w:p>
        </w:tc>
        <w:tc>
          <w:tcPr>
            <w:tcW w:w="993" w:type="dxa"/>
            <w:shd w:val="clear" w:color="auto" w:fill="441170" w:themeFill="text2"/>
            <w:tcMar>
              <w:left w:w="108" w:type="dxa"/>
              <w:right w:w="108" w:type="dxa"/>
            </w:tcMar>
            <w:vAlign w:val="bottom"/>
          </w:tcPr>
          <w:p w14:paraId="385F9A8F" w14:textId="77777777" w:rsidR="00761449" w:rsidRDefault="00761449" w:rsidP="00761449">
            <w:pPr>
              <w:pStyle w:val="Tableheader"/>
            </w:pPr>
            <w:r w:rsidRPr="429151DF">
              <w:t>No.</w:t>
            </w:r>
          </w:p>
        </w:tc>
        <w:tc>
          <w:tcPr>
            <w:tcW w:w="1134" w:type="dxa"/>
            <w:shd w:val="clear" w:color="auto" w:fill="441170" w:themeFill="text2"/>
            <w:tcMar>
              <w:left w:w="108" w:type="dxa"/>
              <w:right w:w="108" w:type="dxa"/>
            </w:tcMar>
            <w:vAlign w:val="bottom"/>
          </w:tcPr>
          <w:p w14:paraId="46B94062" w14:textId="77777777" w:rsidR="00761449" w:rsidRDefault="00761449" w:rsidP="00761449">
            <w:pPr>
              <w:pStyle w:val="Tableheader"/>
            </w:pPr>
            <w:r w:rsidRPr="429151DF">
              <w:t>%</w:t>
            </w:r>
          </w:p>
        </w:tc>
        <w:tc>
          <w:tcPr>
            <w:tcW w:w="850" w:type="dxa"/>
            <w:gridSpan w:val="3"/>
            <w:shd w:val="clear" w:color="auto" w:fill="441170" w:themeFill="text2"/>
            <w:tcMar>
              <w:left w:w="108" w:type="dxa"/>
              <w:right w:w="108" w:type="dxa"/>
            </w:tcMar>
            <w:vAlign w:val="bottom"/>
          </w:tcPr>
          <w:p w14:paraId="4BE7C0AC" w14:textId="77777777" w:rsidR="00761449" w:rsidRDefault="00761449" w:rsidP="00761449">
            <w:pPr>
              <w:pStyle w:val="Tableheader"/>
            </w:pPr>
            <w:r w:rsidRPr="429151DF">
              <w:t>No.</w:t>
            </w:r>
          </w:p>
        </w:tc>
        <w:tc>
          <w:tcPr>
            <w:tcW w:w="968" w:type="dxa"/>
            <w:shd w:val="clear" w:color="auto" w:fill="441170" w:themeFill="text2"/>
            <w:tcMar>
              <w:left w:w="108" w:type="dxa"/>
              <w:right w:w="108" w:type="dxa"/>
            </w:tcMar>
            <w:vAlign w:val="bottom"/>
          </w:tcPr>
          <w:p w14:paraId="14D774DB" w14:textId="77777777" w:rsidR="00761449" w:rsidRDefault="00761449" w:rsidP="00761449">
            <w:pPr>
              <w:pStyle w:val="Tableheader"/>
            </w:pPr>
            <w:r w:rsidRPr="429151DF">
              <w:t>%</w:t>
            </w:r>
          </w:p>
        </w:tc>
      </w:tr>
      <w:tr w:rsidR="00411E1F" w14:paraId="7998415A" w14:textId="77777777" w:rsidTr="00056BFE">
        <w:trPr>
          <w:trHeight w:val="298"/>
        </w:trPr>
        <w:tc>
          <w:tcPr>
            <w:tcW w:w="1701" w:type="dxa"/>
            <w:shd w:val="clear" w:color="auto" w:fill="D9D9D9" w:themeFill="background1" w:themeFillShade="D9"/>
            <w:tcMar>
              <w:left w:w="108" w:type="dxa"/>
              <w:right w:w="108" w:type="dxa"/>
            </w:tcMar>
            <w:vAlign w:val="bottom"/>
          </w:tcPr>
          <w:p w14:paraId="3956CB16" w14:textId="77777777" w:rsidR="00761449" w:rsidRDefault="00761449" w:rsidP="00761449">
            <w:pPr>
              <w:pStyle w:val="Tablebodycopy"/>
            </w:pPr>
            <w:r w:rsidRPr="429151DF">
              <w:t>Managers</w:t>
            </w:r>
          </w:p>
        </w:tc>
        <w:tc>
          <w:tcPr>
            <w:tcW w:w="1134" w:type="dxa"/>
            <w:shd w:val="clear" w:color="auto" w:fill="D9D9D9" w:themeFill="background1" w:themeFillShade="D9"/>
            <w:tcMar>
              <w:left w:w="108" w:type="dxa"/>
              <w:right w:w="108" w:type="dxa"/>
            </w:tcMar>
            <w:vAlign w:val="bottom"/>
          </w:tcPr>
          <w:p w14:paraId="51B9CCC7" w14:textId="77777777" w:rsidR="00761449" w:rsidRDefault="00761449" w:rsidP="00761449">
            <w:pPr>
              <w:pStyle w:val="Tablebodycopy"/>
            </w:pPr>
            <w:r w:rsidRPr="429151DF">
              <w:t xml:space="preserve"> 18,500</w:t>
            </w:r>
          </w:p>
        </w:tc>
        <w:tc>
          <w:tcPr>
            <w:tcW w:w="851" w:type="dxa"/>
            <w:shd w:val="clear" w:color="auto" w:fill="D9D9D9" w:themeFill="background1" w:themeFillShade="D9"/>
            <w:tcMar>
              <w:left w:w="108" w:type="dxa"/>
              <w:right w:w="108" w:type="dxa"/>
            </w:tcMar>
            <w:vAlign w:val="bottom"/>
          </w:tcPr>
          <w:p w14:paraId="5FF1DA90" w14:textId="06F41BE3" w:rsidR="00761449" w:rsidRDefault="00761449" w:rsidP="00761449">
            <w:pPr>
              <w:pStyle w:val="Tablebodycopy"/>
            </w:pPr>
            <w:r w:rsidRPr="429151DF">
              <w:t>24</w:t>
            </w:r>
            <w:r w:rsidR="00056BFE">
              <w:t>3</w:t>
            </w:r>
            <w:r w:rsidRPr="429151DF">
              <w:t>%</w:t>
            </w:r>
          </w:p>
        </w:tc>
        <w:tc>
          <w:tcPr>
            <w:tcW w:w="992" w:type="dxa"/>
            <w:gridSpan w:val="2"/>
            <w:shd w:val="clear" w:color="auto" w:fill="D9D9D9" w:themeFill="background1" w:themeFillShade="D9"/>
            <w:tcMar>
              <w:left w:w="108" w:type="dxa"/>
              <w:right w:w="108" w:type="dxa"/>
            </w:tcMar>
            <w:vAlign w:val="bottom"/>
          </w:tcPr>
          <w:p w14:paraId="5C5AB235" w14:textId="77777777" w:rsidR="00761449" w:rsidRDefault="00761449" w:rsidP="00761449">
            <w:pPr>
              <w:pStyle w:val="Tablebodycopy"/>
            </w:pPr>
            <w:r w:rsidRPr="429151DF">
              <w:t xml:space="preserve"> 4,700 </w:t>
            </w:r>
          </w:p>
        </w:tc>
        <w:tc>
          <w:tcPr>
            <w:tcW w:w="992" w:type="dxa"/>
            <w:gridSpan w:val="3"/>
            <w:shd w:val="clear" w:color="auto" w:fill="D9D9D9" w:themeFill="background1" w:themeFillShade="D9"/>
            <w:tcMar>
              <w:left w:w="108" w:type="dxa"/>
              <w:right w:w="108" w:type="dxa"/>
            </w:tcMar>
            <w:vAlign w:val="bottom"/>
          </w:tcPr>
          <w:p w14:paraId="1E738AAD" w14:textId="095AC2C1" w:rsidR="00761449" w:rsidRDefault="00761449" w:rsidP="00761449">
            <w:pPr>
              <w:pStyle w:val="Tablebodycopy"/>
            </w:pPr>
            <w:r w:rsidRPr="429151DF">
              <w:t>23</w:t>
            </w:r>
            <w:r w:rsidR="00056BFE">
              <w:t>3</w:t>
            </w:r>
            <w:r w:rsidRPr="429151DF">
              <w:t>%</w:t>
            </w:r>
          </w:p>
        </w:tc>
        <w:tc>
          <w:tcPr>
            <w:tcW w:w="993" w:type="dxa"/>
            <w:shd w:val="clear" w:color="auto" w:fill="D9D9D9" w:themeFill="background1" w:themeFillShade="D9"/>
            <w:tcMar>
              <w:left w:w="108" w:type="dxa"/>
              <w:right w:w="108" w:type="dxa"/>
            </w:tcMar>
            <w:vAlign w:val="bottom"/>
          </w:tcPr>
          <w:p w14:paraId="519BC625" w14:textId="77777777" w:rsidR="00761449" w:rsidRDefault="00761449" w:rsidP="00761449">
            <w:pPr>
              <w:pStyle w:val="Tablebodycopy"/>
            </w:pPr>
            <w:r w:rsidRPr="429151DF">
              <w:t>-1,600</w:t>
            </w:r>
          </w:p>
        </w:tc>
        <w:tc>
          <w:tcPr>
            <w:tcW w:w="1134" w:type="dxa"/>
            <w:shd w:val="clear" w:color="auto" w:fill="D9D9D9" w:themeFill="background1" w:themeFillShade="D9"/>
            <w:tcMar>
              <w:left w:w="108" w:type="dxa"/>
              <w:right w:w="108" w:type="dxa"/>
            </w:tcMar>
            <w:vAlign w:val="bottom"/>
          </w:tcPr>
          <w:p w14:paraId="600D553A" w14:textId="2FE021CC" w:rsidR="00761449" w:rsidRDefault="00761449" w:rsidP="00761449">
            <w:pPr>
              <w:pStyle w:val="Tablebodycopy"/>
            </w:pPr>
            <w:r w:rsidRPr="429151DF">
              <w:t>-6</w:t>
            </w:r>
            <w:r w:rsidR="00D13273">
              <w:t>.2</w:t>
            </w:r>
            <w:r w:rsidRPr="429151DF">
              <w:t>%</w:t>
            </w:r>
          </w:p>
        </w:tc>
        <w:tc>
          <w:tcPr>
            <w:tcW w:w="850" w:type="dxa"/>
            <w:gridSpan w:val="3"/>
            <w:shd w:val="clear" w:color="auto" w:fill="D9D9D9" w:themeFill="background1" w:themeFillShade="D9"/>
            <w:tcMar>
              <w:left w:w="108" w:type="dxa"/>
              <w:right w:w="108" w:type="dxa"/>
            </w:tcMar>
            <w:vAlign w:val="bottom"/>
          </w:tcPr>
          <w:p w14:paraId="7A8B7F76" w14:textId="77777777" w:rsidR="00761449" w:rsidRDefault="00761449" w:rsidP="00761449">
            <w:pPr>
              <w:pStyle w:val="Tablebodycopy"/>
            </w:pPr>
            <w:r w:rsidRPr="429151DF">
              <w:t>-250</w:t>
            </w:r>
          </w:p>
        </w:tc>
        <w:tc>
          <w:tcPr>
            <w:tcW w:w="968" w:type="dxa"/>
            <w:shd w:val="clear" w:color="auto" w:fill="D9D9D9" w:themeFill="background1" w:themeFillShade="D9"/>
            <w:tcMar>
              <w:left w:w="108" w:type="dxa"/>
              <w:right w:w="108" w:type="dxa"/>
            </w:tcMar>
            <w:vAlign w:val="bottom"/>
          </w:tcPr>
          <w:p w14:paraId="54A5D990" w14:textId="77777777" w:rsidR="00761449" w:rsidRDefault="00761449" w:rsidP="00761449">
            <w:pPr>
              <w:pStyle w:val="Tablebodycopy"/>
            </w:pPr>
            <w:r w:rsidRPr="429151DF">
              <w:t>-3.7%</w:t>
            </w:r>
          </w:p>
        </w:tc>
      </w:tr>
      <w:tr w:rsidR="00411E1F" w14:paraId="07E64E49" w14:textId="77777777" w:rsidTr="00056BFE">
        <w:trPr>
          <w:trHeight w:val="298"/>
        </w:trPr>
        <w:tc>
          <w:tcPr>
            <w:tcW w:w="1701" w:type="dxa"/>
            <w:tcMar>
              <w:left w:w="108" w:type="dxa"/>
              <w:right w:w="108" w:type="dxa"/>
            </w:tcMar>
            <w:vAlign w:val="bottom"/>
          </w:tcPr>
          <w:p w14:paraId="611003F1" w14:textId="77777777" w:rsidR="00761449" w:rsidRDefault="00761449" w:rsidP="00761449">
            <w:pPr>
              <w:pStyle w:val="Tablebodycopy"/>
            </w:pPr>
            <w:r w:rsidRPr="429151DF">
              <w:t>Professionals</w:t>
            </w:r>
          </w:p>
        </w:tc>
        <w:tc>
          <w:tcPr>
            <w:tcW w:w="1134" w:type="dxa"/>
            <w:tcMar>
              <w:left w:w="108" w:type="dxa"/>
              <w:right w:w="108" w:type="dxa"/>
            </w:tcMar>
            <w:vAlign w:val="bottom"/>
          </w:tcPr>
          <w:p w14:paraId="3E742445" w14:textId="77777777" w:rsidR="00761449" w:rsidRDefault="00761449" w:rsidP="00761449">
            <w:pPr>
              <w:pStyle w:val="Tablebodycopy"/>
            </w:pPr>
            <w:r w:rsidRPr="429151DF">
              <w:t xml:space="preserve"> 41,300</w:t>
            </w:r>
          </w:p>
        </w:tc>
        <w:tc>
          <w:tcPr>
            <w:tcW w:w="851" w:type="dxa"/>
            <w:tcMar>
              <w:left w:w="108" w:type="dxa"/>
              <w:right w:w="108" w:type="dxa"/>
            </w:tcMar>
            <w:vAlign w:val="bottom"/>
          </w:tcPr>
          <w:p w14:paraId="08A03E3E" w14:textId="0A674597" w:rsidR="00761449" w:rsidRDefault="00761449" w:rsidP="00761449">
            <w:pPr>
              <w:pStyle w:val="Tablebodycopy"/>
            </w:pPr>
            <w:r w:rsidRPr="429151DF">
              <w:t>18</w:t>
            </w:r>
            <w:r w:rsidR="00056BFE">
              <w:t>8</w:t>
            </w:r>
            <w:r w:rsidRPr="429151DF">
              <w:t>%</w:t>
            </w:r>
          </w:p>
        </w:tc>
        <w:tc>
          <w:tcPr>
            <w:tcW w:w="992" w:type="dxa"/>
            <w:gridSpan w:val="2"/>
            <w:tcMar>
              <w:left w:w="108" w:type="dxa"/>
              <w:right w:w="108" w:type="dxa"/>
            </w:tcMar>
            <w:vAlign w:val="bottom"/>
          </w:tcPr>
          <w:p w14:paraId="06807578" w14:textId="77777777" w:rsidR="00761449" w:rsidRDefault="00761449" w:rsidP="00761449">
            <w:pPr>
              <w:pStyle w:val="Tablebodycopy"/>
            </w:pPr>
            <w:r w:rsidRPr="429151DF">
              <w:t xml:space="preserve"> 12,700</w:t>
            </w:r>
          </w:p>
        </w:tc>
        <w:tc>
          <w:tcPr>
            <w:tcW w:w="992" w:type="dxa"/>
            <w:gridSpan w:val="3"/>
            <w:tcMar>
              <w:left w:w="108" w:type="dxa"/>
              <w:right w:w="108" w:type="dxa"/>
            </w:tcMar>
            <w:vAlign w:val="bottom"/>
          </w:tcPr>
          <w:p w14:paraId="09271EC4" w14:textId="4BA20CAB" w:rsidR="00761449" w:rsidRDefault="00761449" w:rsidP="00761449">
            <w:pPr>
              <w:pStyle w:val="Tablebodycopy"/>
            </w:pPr>
            <w:r w:rsidRPr="429151DF">
              <w:t>176%</w:t>
            </w:r>
          </w:p>
        </w:tc>
        <w:tc>
          <w:tcPr>
            <w:tcW w:w="993" w:type="dxa"/>
            <w:tcMar>
              <w:left w:w="108" w:type="dxa"/>
              <w:right w:w="108" w:type="dxa"/>
            </w:tcMar>
            <w:vAlign w:val="bottom"/>
          </w:tcPr>
          <w:p w14:paraId="3CD3F216" w14:textId="77777777" w:rsidR="00761449" w:rsidRDefault="00761449" w:rsidP="00761449">
            <w:pPr>
              <w:pStyle w:val="Tablebodycopy"/>
            </w:pPr>
            <w:r w:rsidRPr="429151DF">
              <w:t>-3,500</w:t>
            </w:r>
          </w:p>
        </w:tc>
        <w:tc>
          <w:tcPr>
            <w:tcW w:w="1134" w:type="dxa"/>
            <w:tcMar>
              <w:left w:w="108" w:type="dxa"/>
              <w:right w:w="108" w:type="dxa"/>
            </w:tcMar>
            <w:vAlign w:val="bottom"/>
          </w:tcPr>
          <w:p w14:paraId="29FB0844" w14:textId="77777777" w:rsidR="00761449" w:rsidRDefault="00761449" w:rsidP="00761449">
            <w:pPr>
              <w:pStyle w:val="Tablebodycopy"/>
            </w:pPr>
            <w:r w:rsidRPr="429151DF">
              <w:t>-5.6%</w:t>
            </w:r>
          </w:p>
        </w:tc>
        <w:tc>
          <w:tcPr>
            <w:tcW w:w="850" w:type="dxa"/>
            <w:gridSpan w:val="3"/>
            <w:tcMar>
              <w:left w:w="108" w:type="dxa"/>
              <w:right w:w="108" w:type="dxa"/>
            </w:tcMar>
            <w:vAlign w:val="bottom"/>
          </w:tcPr>
          <w:p w14:paraId="1E78DD1D" w14:textId="77777777" w:rsidR="00761449" w:rsidRDefault="00761449" w:rsidP="00761449">
            <w:pPr>
              <w:pStyle w:val="Tablebodycopy"/>
            </w:pPr>
            <w:r w:rsidRPr="429151DF">
              <w:t>1,000</w:t>
            </w:r>
          </w:p>
        </w:tc>
        <w:tc>
          <w:tcPr>
            <w:tcW w:w="968" w:type="dxa"/>
            <w:tcMar>
              <w:left w:w="108" w:type="dxa"/>
              <w:right w:w="108" w:type="dxa"/>
            </w:tcMar>
            <w:vAlign w:val="bottom"/>
          </w:tcPr>
          <w:p w14:paraId="1DC77528" w14:textId="77777777" w:rsidR="00761449" w:rsidRDefault="00761449" w:rsidP="00761449">
            <w:pPr>
              <w:pStyle w:val="Tablebodycopy"/>
            </w:pPr>
            <w:r w:rsidRPr="429151DF">
              <w:t>5.1%</w:t>
            </w:r>
          </w:p>
        </w:tc>
      </w:tr>
      <w:tr w:rsidR="00411E1F" w14:paraId="10ABAAE5" w14:textId="77777777" w:rsidTr="00056BFE">
        <w:trPr>
          <w:trHeight w:val="298"/>
        </w:trPr>
        <w:tc>
          <w:tcPr>
            <w:tcW w:w="1701" w:type="dxa"/>
            <w:shd w:val="clear" w:color="auto" w:fill="D9D9D9" w:themeFill="background1" w:themeFillShade="D9"/>
            <w:tcMar>
              <w:left w:w="108" w:type="dxa"/>
              <w:right w:w="108" w:type="dxa"/>
            </w:tcMar>
            <w:vAlign w:val="bottom"/>
          </w:tcPr>
          <w:p w14:paraId="2955F653" w14:textId="77777777" w:rsidR="00761449" w:rsidRDefault="00761449" w:rsidP="00761449">
            <w:pPr>
              <w:pStyle w:val="Tablebodycopy"/>
            </w:pPr>
            <w:r w:rsidRPr="429151DF">
              <w:t>Technicians and Trades Workers</w:t>
            </w:r>
          </w:p>
        </w:tc>
        <w:tc>
          <w:tcPr>
            <w:tcW w:w="1134" w:type="dxa"/>
            <w:shd w:val="clear" w:color="auto" w:fill="D9D9D9" w:themeFill="background1" w:themeFillShade="D9"/>
            <w:tcMar>
              <w:left w:w="108" w:type="dxa"/>
              <w:right w:w="108" w:type="dxa"/>
            </w:tcMar>
            <w:vAlign w:val="bottom"/>
          </w:tcPr>
          <w:p w14:paraId="61D7A3A5" w14:textId="77777777" w:rsidR="00761449" w:rsidRDefault="00761449" w:rsidP="00761449">
            <w:pPr>
              <w:pStyle w:val="Tablebodycopy"/>
            </w:pPr>
            <w:r w:rsidRPr="429151DF">
              <w:t xml:space="preserve"> 19,100</w:t>
            </w:r>
          </w:p>
        </w:tc>
        <w:tc>
          <w:tcPr>
            <w:tcW w:w="851" w:type="dxa"/>
            <w:shd w:val="clear" w:color="auto" w:fill="D9D9D9" w:themeFill="background1" w:themeFillShade="D9"/>
            <w:tcMar>
              <w:left w:w="108" w:type="dxa"/>
              <w:right w:w="108" w:type="dxa"/>
            </w:tcMar>
            <w:vAlign w:val="bottom"/>
          </w:tcPr>
          <w:p w14:paraId="28ADD473" w14:textId="5B37BC77" w:rsidR="00761449" w:rsidRDefault="00761449" w:rsidP="00761449">
            <w:pPr>
              <w:pStyle w:val="Tablebodycopy"/>
            </w:pPr>
            <w:r w:rsidRPr="429151DF">
              <w:t>24</w:t>
            </w:r>
            <w:r w:rsidR="00056BFE">
              <w:t>3</w:t>
            </w:r>
            <w:r w:rsidRPr="429151DF">
              <w:t>%</w:t>
            </w:r>
          </w:p>
        </w:tc>
        <w:tc>
          <w:tcPr>
            <w:tcW w:w="992" w:type="dxa"/>
            <w:gridSpan w:val="2"/>
            <w:shd w:val="clear" w:color="auto" w:fill="D9D9D9" w:themeFill="background1" w:themeFillShade="D9"/>
            <w:tcMar>
              <w:left w:w="108" w:type="dxa"/>
              <w:right w:w="108" w:type="dxa"/>
            </w:tcMar>
            <w:vAlign w:val="bottom"/>
          </w:tcPr>
          <w:p w14:paraId="2FBBFBA5" w14:textId="77777777" w:rsidR="00761449" w:rsidRDefault="00761449" w:rsidP="00761449">
            <w:pPr>
              <w:pStyle w:val="Tablebodycopy"/>
            </w:pPr>
            <w:r w:rsidRPr="429151DF">
              <w:t xml:space="preserve"> 8,900 </w:t>
            </w:r>
          </w:p>
        </w:tc>
        <w:tc>
          <w:tcPr>
            <w:tcW w:w="992" w:type="dxa"/>
            <w:gridSpan w:val="3"/>
            <w:shd w:val="clear" w:color="auto" w:fill="D9D9D9" w:themeFill="background1" w:themeFillShade="D9"/>
            <w:tcMar>
              <w:left w:w="108" w:type="dxa"/>
              <w:right w:w="108" w:type="dxa"/>
            </w:tcMar>
            <w:vAlign w:val="bottom"/>
          </w:tcPr>
          <w:p w14:paraId="59B1C7CD" w14:textId="71475355" w:rsidR="00761449" w:rsidRDefault="00761449" w:rsidP="00761449">
            <w:pPr>
              <w:pStyle w:val="Tablebodycopy"/>
            </w:pPr>
            <w:r w:rsidRPr="429151DF">
              <w:t>20</w:t>
            </w:r>
            <w:r w:rsidR="00056BFE">
              <w:t>5</w:t>
            </w:r>
            <w:r w:rsidRPr="429151DF">
              <w:t>%</w:t>
            </w:r>
          </w:p>
        </w:tc>
        <w:tc>
          <w:tcPr>
            <w:tcW w:w="993" w:type="dxa"/>
            <w:shd w:val="clear" w:color="auto" w:fill="D9D9D9" w:themeFill="background1" w:themeFillShade="D9"/>
            <w:tcMar>
              <w:left w:w="108" w:type="dxa"/>
              <w:right w:w="108" w:type="dxa"/>
            </w:tcMar>
            <w:vAlign w:val="bottom"/>
          </w:tcPr>
          <w:p w14:paraId="144ADBAB" w14:textId="77777777" w:rsidR="00761449" w:rsidRDefault="00761449" w:rsidP="00761449">
            <w:pPr>
              <w:pStyle w:val="Tablebodycopy"/>
            </w:pPr>
            <w:r w:rsidRPr="429151DF">
              <w:t>-2,800</w:t>
            </w:r>
          </w:p>
        </w:tc>
        <w:tc>
          <w:tcPr>
            <w:tcW w:w="1134" w:type="dxa"/>
            <w:shd w:val="clear" w:color="auto" w:fill="D9D9D9" w:themeFill="background1" w:themeFillShade="D9"/>
            <w:tcMar>
              <w:left w:w="108" w:type="dxa"/>
              <w:right w:w="108" w:type="dxa"/>
            </w:tcMar>
            <w:vAlign w:val="bottom"/>
          </w:tcPr>
          <w:p w14:paraId="16D9DA95" w14:textId="77777777" w:rsidR="00761449" w:rsidRDefault="00761449" w:rsidP="00761449">
            <w:pPr>
              <w:pStyle w:val="Tablebodycopy"/>
            </w:pPr>
            <w:r w:rsidRPr="429151DF">
              <w:t>-10.5%</w:t>
            </w:r>
          </w:p>
        </w:tc>
        <w:tc>
          <w:tcPr>
            <w:tcW w:w="850" w:type="dxa"/>
            <w:gridSpan w:val="3"/>
            <w:shd w:val="clear" w:color="auto" w:fill="D9D9D9" w:themeFill="background1" w:themeFillShade="D9"/>
            <w:tcMar>
              <w:left w:w="108" w:type="dxa"/>
              <w:right w:w="108" w:type="dxa"/>
            </w:tcMar>
            <w:vAlign w:val="bottom"/>
          </w:tcPr>
          <w:p w14:paraId="3EA34718" w14:textId="77777777" w:rsidR="00761449" w:rsidRDefault="00761449" w:rsidP="00761449">
            <w:pPr>
              <w:pStyle w:val="Tablebodycopy"/>
            </w:pPr>
            <w:r w:rsidRPr="429151DF">
              <w:t>-800</w:t>
            </w:r>
          </w:p>
        </w:tc>
        <w:tc>
          <w:tcPr>
            <w:tcW w:w="968" w:type="dxa"/>
            <w:shd w:val="clear" w:color="auto" w:fill="D9D9D9" w:themeFill="background1" w:themeFillShade="D9"/>
            <w:tcMar>
              <w:left w:w="108" w:type="dxa"/>
              <w:right w:w="108" w:type="dxa"/>
            </w:tcMar>
            <w:vAlign w:val="bottom"/>
          </w:tcPr>
          <w:p w14:paraId="18EB29B4" w14:textId="77777777" w:rsidR="00761449" w:rsidRDefault="00761449" w:rsidP="00761449">
            <w:pPr>
              <w:pStyle w:val="Tablebodycopy"/>
            </w:pPr>
            <w:r w:rsidRPr="429151DF">
              <w:t>-6.1%</w:t>
            </w:r>
          </w:p>
        </w:tc>
      </w:tr>
      <w:tr w:rsidR="00411E1F" w14:paraId="5DD2CCB9" w14:textId="77777777" w:rsidTr="00056BFE">
        <w:trPr>
          <w:trHeight w:val="298"/>
        </w:trPr>
        <w:tc>
          <w:tcPr>
            <w:tcW w:w="1701" w:type="dxa"/>
            <w:tcMar>
              <w:left w:w="108" w:type="dxa"/>
              <w:right w:w="108" w:type="dxa"/>
            </w:tcMar>
            <w:vAlign w:val="bottom"/>
          </w:tcPr>
          <w:p w14:paraId="24C7D821" w14:textId="77777777" w:rsidR="00761449" w:rsidRDefault="00761449" w:rsidP="00761449">
            <w:pPr>
              <w:pStyle w:val="Tablebodycopy"/>
            </w:pPr>
            <w:r w:rsidRPr="429151DF">
              <w:t>Community and Personal Service Workers</w:t>
            </w:r>
          </w:p>
        </w:tc>
        <w:tc>
          <w:tcPr>
            <w:tcW w:w="1134" w:type="dxa"/>
            <w:tcMar>
              <w:left w:w="108" w:type="dxa"/>
              <w:right w:w="108" w:type="dxa"/>
            </w:tcMar>
            <w:vAlign w:val="bottom"/>
          </w:tcPr>
          <w:p w14:paraId="21BB21AA" w14:textId="77777777" w:rsidR="00761449" w:rsidRDefault="00761449" w:rsidP="00761449">
            <w:pPr>
              <w:pStyle w:val="Tablebodycopy"/>
            </w:pPr>
            <w:r w:rsidRPr="429151DF">
              <w:t xml:space="preserve"> 19,000</w:t>
            </w:r>
          </w:p>
        </w:tc>
        <w:tc>
          <w:tcPr>
            <w:tcW w:w="851" w:type="dxa"/>
            <w:tcMar>
              <w:left w:w="108" w:type="dxa"/>
              <w:right w:w="108" w:type="dxa"/>
            </w:tcMar>
            <w:vAlign w:val="bottom"/>
          </w:tcPr>
          <w:p w14:paraId="230728AA" w14:textId="2168264B" w:rsidR="00761449" w:rsidRDefault="00761449" w:rsidP="00761449">
            <w:pPr>
              <w:pStyle w:val="Tablebodycopy"/>
            </w:pPr>
            <w:r w:rsidRPr="429151DF">
              <w:t>357%</w:t>
            </w:r>
          </w:p>
        </w:tc>
        <w:tc>
          <w:tcPr>
            <w:tcW w:w="992" w:type="dxa"/>
            <w:gridSpan w:val="2"/>
            <w:tcMar>
              <w:left w:w="108" w:type="dxa"/>
              <w:right w:w="108" w:type="dxa"/>
            </w:tcMar>
            <w:vAlign w:val="bottom"/>
          </w:tcPr>
          <w:p w14:paraId="64AFB42F" w14:textId="77777777" w:rsidR="00761449" w:rsidRDefault="00761449" w:rsidP="00761449">
            <w:pPr>
              <w:pStyle w:val="Tablebodycopy"/>
            </w:pPr>
            <w:r w:rsidRPr="429151DF">
              <w:t xml:space="preserve"> 8,800 </w:t>
            </w:r>
          </w:p>
        </w:tc>
        <w:tc>
          <w:tcPr>
            <w:tcW w:w="992" w:type="dxa"/>
            <w:gridSpan w:val="3"/>
            <w:tcMar>
              <w:left w:w="108" w:type="dxa"/>
              <w:right w:w="108" w:type="dxa"/>
            </w:tcMar>
            <w:vAlign w:val="bottom"/>
          </w:tcPr>
          <w:p w14:paraId="43A05248" w14:textId="533C96CA" w:rsidR="00761449" w:rsidRDefault="00761449" w:rsidP="00761449">
            <w:pPr>
              <w:pStyle w:val="Tablebodycopy"/>
            </w:pPr>
            <w:r w:rsidRPr="429151DF">
              <w:t>295%</w:t>
            </w:r>
          </w:p>
        </w:tc>
        <w:tc>
          <w:tcPr>
            <w:tcW w:w="993" w:type="dxa"/>
            <w:tcMar>
              <w:left w:w="108" w:type="dxa"/>
              <w:right w:w="108" w:type="dxa"/>
            </w:tcMar>
            <w:vAlign w:val="bottom"/>
          </w:tcPr>
          <w:p w14:paraId="78815A83" w14:textId="77777777" w:rsidR="00761449" w:rsidRDefault="00761449" w:rsidP="00761449">
            <w:pPr>
              <w:pStyle w:val="Tablebodycopy"/>
            </w:pPr>
            <w:r w:rsidRPr="429151DF">
              <w:t>-5,200</w:t>
            </w:r>
          </w:p>
        </w:tc>
        <w:tc>
          <w:tcPr>
            <w:tcW w:w="1134" w:type="dxa"/>
            <w:tcMar>
              <w:left w:w="108" w:type="dxa"/>
              <w:right w:w="108" w:type="dxa"/>
            </w:tcMar>
            <w:vAlign w:val="bottom"/>
          </w:tcPr>
          <w:p w14:paraId="157A42F0" w14:textId="77777777" w:rsidR="00761449" w:rsidRDefault="00761449" w:rsidP="00761449">
            <w:pPr>
              <w:pStyle w:val="Tablebodycopy"/>
            </w:pPr>
            <w:r w:rsidRPr="429151DF">
              <w:t>-21.3%</w:t>
            </w:r>
          </w:p>
        </w:tc>
        <w:tc>
          <w:tcPr>
            <w:tcW w:w="850" w:type="dxa"/>
            <w:gridSpan w:val="3"/>
            <w:tcMar>
              <w:left w:w="108" w:type="dxa"/>
              <w:right w:w="108" w:type="dxa"/>
            </w:tcMar>
            <w:vAlign w:val="bottom"/>
          </w:tcPr>
          <w:p w14:paraId="0E66A1AB" w14:textId="77777777" w:rsidR="00761449" w:rsidRDefault="00761449" w:rsidP="00761449">
            <w:pPr>
              <w:pStyle w:val="Tablebodycopy"/>
            </w:pPr>
            <w:r w:rsidRPr="429151DF">
              <w:t>-1,400</w:t>
            </w:r>
          </w:p>
        </w:tc>
        <w:tc>
          <w:tcPr>
            <w:tcW w:w="968" w:type="dxa"/>
            <w:tcMar>
              <w:left w:w="108" w:type="dxa"/>
              <w:right w:w="108" w:type="dxa"/>
            </w:tcMar>
            <w:vAlign w:val="bottom"/>
          </w:tcPr>
          <w:p w14:paraId="1254E49B" w14:textId="77777777" w:rsidR="00761449" w:rsidRDefault="00761449" w:rsidP="00761449">
            <w:pPr>
              <w:pStyle w:val="Tablebodycopy"/>
            </w:pPr>
            <w:r w:rsidRPr="429151DF">
              <w:t>-11.8%</w:t>
            </w:r>
          </w:p>
        </w:tc>
      </w:tr>
      <w:tr w:rsidR="00411E1F" w14:paraId="49181174" w14:textId="77777777" w:rsidTr="00056BFE">
        <w:trPr>
          <w:trHeight w:val="298"/>
        </w:trPr>
        <w:tc>
          <w:tcPr>
            <w:tcW w:w="1701" w:type="dxa"/>
            <w:shd w:val="clear" w:color="auto" w:fill="D9D9D9" w:themeFill="background1" w:themeFillShade="D9"/>
            <w:tcMar>
              <w:left w:w="108" w:type="dxa"/>
              <w:right w:w="108" w:type="dxa"/>
            </w:tcMar>
            <w:vAlign w:val="bottom"/>
          </w:tcPr>
          <w:p w14:paraId="7B04BACE" w14:textId="77777777" w:rsidR="00761449" w:rsidRDefault="00761449" w:rsidP="00761449">
            <w:pPr>
              <w:pStyle w:val="Tablebodycopy"/>
            </w:pPr>
            <w:r w:rsidRPr="429151DF">
              <w:t>Clerical and Administrative Workers</w:t>
            </w:r>
          </w:p>
        </w:tc>
        <w:tc>
          <w:tcPr>
            <w:tcW w:w="1134" w:type="dxa"/>
            <w:shd w:val="clear" w:color="auto" w:fill="D9D9D9" w:themeFill="background1" w:themeFillShade="D9"/>
            <w:tcMar>
              <w:left w:w="108" w:type="dxa"/>
              <w:right w:w="108" w:type="dxa"/>
            </w:tcMar>
            <w:vAlign w:val="bottom"/>
          </w:tcPr>
          <w:p w14:paraId="7F7F7CB9" w14:textId="77777777" w:rsidR="00761449" w:rsidRDefault="00761449" w:rsidP="00761449">
            <w:pPr>
              <w:pStyle w:val="Tablebodycopy"/>
            </w:pPr>
            <w:r w:rsidRPr="429151DF">
              <w:t xml:space="preserve"> 27,000</w:t>
            </w:r>
          </w:p>
        </w:tc>
        <w:tc>
          <w:tcPr>
            <w:tcW w:w="851" w:type="dxa"/>
            <w:shd w:val="clear" w:color="auto" w:fill="D9D9D9" w:themeFill="background1" w:themeFillShade="D9"/>
            <w:tcMar>
              <w:left w:w="108" w:type="dxa"/>
              <w:right w:w="108" w:type="dxa"/>
            </w:tcMar>
            <w:vAlign w:val="bottom"/>
          </w:tcPr>
          <w:p w14:paraId="58E0CA34" w14:textId="131E0476" w:rsidR="00761449" w:rsidRDefault="00761449" w:rsidP="00761449">
            <w:pPr>
              <w:pStyle w:val="Tablebodycopy"/>
            </w:pPr>
            <w:r w:rsidRPr="429151DF">
              <w:t>2</w:t>
            </w:r>
            <w:r w:rsidR="00056BFE">
              <w:t>80</w:t>
            </w:r>
            <w:r w:rsidRPr="429151DF">
              <w:t>%</w:t>
            </w:r>
          </w:p>
        </w:tc>
        <w:tc>
          <w:tcPr>
            <w:tcW w:w="992" w:type="dxa"/>
            <w:gridSpan w:val="2"/>
            <w:shd w:val="clear" w:color="auto" w:fill="D9D9D9" w:themeFill="background1" w:themeFillShade="D9"/>
            <w:tcMar>
              <w:left w:w="108" w:type="dxa"/>
              <w:right w:w="108" w:type="dxa"/>
            </w:tcMar>
            <w:vAlign w:val="bottom"/>
          </w:tcPr>
          <w:p w14:paraId="42BA169D" w14:textId="77777777" w:rsidR="00761449" w:rsidRDefault="00761449" w:rsidP="00761449">
            <w:pPr>
              <w:pStyle w:val="Tablebodycopy"/>
            </w:pPr>
            <w:r w:rsidRPr="429151DF">
              <w:t xml:space="preserve"> 7,500 </w:t>
            </w:r>
          </w:p>
        </w:tc>
        <w:tc>
          <w:tcPr>
            <w:tcW w:w="992" w:type="dxa"/>
            <w:gridSpan w:val="3"/>
            <w:shd w:val="clear" w:color="auto" w:fill="D9D9D9" w:themeFill="background1" w:themeFillShade="D9"/>
            <w:tcMar>
              <w:left w:w="108" w:type="dxa"/>
              <w:right w:w="108" w:type="dxa"/>
            </w:tcMar>
            <w:vAlign w:val="bottom"/>
          </w:tcPr>
          <w:p w14:paraId="78026A2F" w14:textId="00304A6F" w:rsidR="00761449" w:rsidRDefault="00761449" w:rsidP="00761449">
            <w:pPr>
              <w:pStyle w:val="Tablebodycopy"/>
            </w:pPr>
            <w:r w:rsidRPr="429151DF">
              <w:t>253%</w:t>
            </w:r>
          </w:p>
        </w:tc>
        <w:tc>
          <w:tcPr>
            <w:tcW w:w="993" w:type="dxa"/>
            <w:shd w:val="clear" w:color="auto" w:fill="D9D9D9" w:themeFill="background1" w:themeFillShade="D9"/>
            <w:tcMar>
              <w:left w:w="108" w:type="dxa"/>
              <w:right w:w="108" w:type="dxa"/>
            </w:tcMar>
            <w:vAlign w:val="bottom"/>
          </w:tcPr>
          <w:p w14:paraId="0FB09586" w14:textId="77777777" w:rsidR="00761449" w:rsidRDefault="00761449" w:rsidP="00761449">
            <w:pPr>
              <w:pStyle w:val="Tablebodycopy"/>
            </w:pPr>
            <w:r w:rsidRPr="429151DF">
              <w:t>-3,700</w:t>
            </w:r>
          </w:p>
        </w:tc>
        <w:tc>
          <w:tcPr>
            <w:tcW w:w="1134" w:type="dxa"/>
            <w:shd w:val="clear" w:color="auto" w:fill="D9D9D9" w:themeFill="background1" w:themeFillShade="D9"/>
            <w:tcMar>
              <w:left w:w="108" w:type="dxa"/>
              <w:right w:w="108" w:type="dxa"/>
            </w:tcMar>
            <w:vAlign w:val="bottom"/>
          </w:tcPr>
          <w:p w14:paraId="0464E051" w14:textId="77777777" w:rsidR="00761449" w:rsidRDefault="00761449" w:rsidP="00761449">
            <w:pPr>
              <w:pStyle w:val="Tablebodycopy"/>
            </w:pPr>
            <w:r w:rsidRPr="429151DF">
              <w:t>-10.1%</w:t>
            </w:r>
          </w:p>
        </w:tc>
        <w:tc>
          <w:tcPr>
            <w:tcW w:w="850" w:type="dxa"/>
            <w:gridSpan w:val="3"/>
            <w:shd w:val="clear" w:color="auto" w:fill="D9D9D9" w:themeFill="background1" w:themeFillShade="D9"/>
            <w:tcMar>
              <w:left w:w="108" w:type="dxa"/>
              <w:right w:w="108" w:type="dxa"/>
            </w:tcMar>
            <w:vAlign w:val="bottom"/>
          </w:tcPr>
          <w:p w14:paraId="2CFE4477" w14:textId="77777777" w:rsidR="00761449" w:rsidRDefault="00761449" w:rsidP="00761449">
            <w:pPr>
              <w:pStyle w:val="Tablebodycopy"/>
            </w:pPr>
            <w:r w:rsidRPr="429151DF">
              <w:t>-1,100</w:t>
            </w:r>
          </w:p>
        </w:tc>
        <w:tc>
          <w:tcPr>
            <w:tcW w:w="968" w:type="dxa"/>
            <w:shd w:val="clear" w:color="auto" w:fill="D9D9D9" w:themeFill="background1" w:themeFillShade="D9"/>
            <w:tcMar>
              <w:left w:w="108" w:type="dxa"/>
              <w:right w:w="108" w:type="dxa"/>
            </w:tcMar>
            <w:vAlign w:val="bottom"/>
          </w:tcPr>
          <w:p w14:paraId="3195562F" w14:textId="77777777" w:rsidR="00761449" w:rsidRDefault="00761449" w:rsidP="00761449">
            <w:pPr>
              <w:pStyle w:val="Tablebodycopy"/>
            </w:pPr>
            <w:r w:rsidRPr="429151DF">
              <w:t>-10.8%</w:t>
            </w:r>
          </w:p>
        </w:tc>
      </w:tr>
      <w:tr w:rsidR="00411E1F" w14:paraId="49B5F802" w14:textId="77777777" w:rsidTr="00056BFE">
        <w:trPr>
          <w:trHeight w:val="298"/>
        </w:trPr>
        <w:tc>
          <w:tcPr>
            <w:tcW w:w="1701" w:type="dxa"/>
            <w:tcMar>
              <w:left w:w="108" w:type="dxa"/>
              <w:right w:w="108" w:type="dxa"/>
            </w:tcMar>
            <w:vAlign w:val="bottom"/>
          </w:tcPr>
          <w:p w14:paraId="3B627AD0" w14:textId="77777777" w:rsidR="00761449" w:rsidRDefault="00761449" w:rsidP="00761449">
            <w:pPr>
              <w:pStyle w:val="Tablebodycopy"/>
            </w:pPr>
            <w:r w:rsidRPr="429151DF">
              <w:t>Sales Workers</w:t>
            </w:r>
          </w:p>
        </w:tc>
        <w:tc>
          <w:tcPr>
            <w:tcW w:w="1134" w:type="dxa"/>
            <w:tcMar>
              <w:left w:w="108" w:type="dxa"/>
              <w:right w:w="108" w:type="dxa"/>
            </w:tcMar>
            <w:vAlign w:val="bottom"/>
          </w:tcPr>
          <w:p w14:paraId="4C0E5813" w14:textId="77777777" w:rsidR="00761449" w:rsidRDefault="00761449" w:rsidP="00761449">
            <w:pPr>
              <w:pStyle w:val="Tablebodycopy"/>
            </w:pPr>
            <w:r w:rsidRPr="429151DF">
              <w:t xml:space="preserve"> 14,400</w:t>
            </w:r>
          </w:p>
        </w:tc>
        <w:tc>
          <w:tcPr>
            <w:tcW w:w="851" w:type="dxa"/>
            <w:tcMar>
              <w:left w:w="108" w:type="dxa"/>
              <w:right w:w="108" w:type="dxa"/>
            </w:tcMar>
            <w:vAlign w:val="bottom"/>
          </w:tcPr>
          <w:p w14:paraId="5D55BAED" w14:textId="724F6C68" w:rsidR="00761449" w:rsidRDefault="00761449" w:rsidP="00761449">
            <w:pPr>
              <w:pStyle w:val="Tablebodycopy"/>
            </w:pPr>
            <w:r w:rsidRPr="429151DF">
              <w:t>34</w:t>
            </w:r>
            <w:r w:rsidR="00056BFE">
              <w:t>1</w:t>
            </w:r>
            <w:r w:rsidRPr="429151DF">
              <w:t>%</w:t>
            </w:r>
          </w:p>
        </w:tc>
        <w:tc>
          <w:tcPr>
            <w:tcW w:w="992" w:type="dxa"/>
            <w:gridSpan w:val="2"/>
            <w:tcMar>
              <w:left w:w="108" w:type="dxa"/>
              <w:right w:w="108" w:type="dxa"/>
            </w:tcMar>
            <w:vAlign w:val="bottom"/>
          </w:tcPr>
          <w:p w14:paraId="3CF0F0C3" w14:textId="77777777" w:rsidR="00761449" w:rsidRDefault="00761449" w:rsidP="00761449">
            <w:pPr>
              <w:pStyle w:val="Tablebodycopy"/>
            </w:pPr>
            <w:r w:rsidRPr="429151DF">
              <w:t xml:space="preserve"> 5,500 </w:t>
            </w:r>
          </w:p>
        </w:tc>
        <w:tc>
          <w:tcPr>
            <w:tcW w:w="992" w:type="dxa"/>
            <w:gridSpan w:val="3"/>
            <w:tcMar>
              <w:left w:w="108" w:type="dxa"/>
              <w:right w:w="108" w:type="dxa"/>
            </w:tcMar>
            <w:vAlign w:val="bottom"/>
          </w:tcPr>
          <w:p w14:paraId="02513A71" w14:textId="11F87CF9" w:rsidR="00761449" w:rsidRDefault="00761449" w:rsidP="00761449">
            <w:pPr>
              <w:pStyle w:val="Tablebodycopy"/>
            </w:pPr>
            <w:r w:rsidRPr="429151DF">
              <w:t>319%</w:t>
            </w:r>
          </w:p>
        </w:tc>
        <w:tc>
          <w:tcPr>
            <w:tcW w:w="993" w:type="dxa"/>
            <w:tcMar>
              <w:left w:w="108" w:type="dxa"/>
              <w:right w:w="108" w:type="dxa"/>
            </w:tcMar>
            <w:vAlign w:val="bottom"/>
          </w:tcPr>
          <w:p w14:paraId="013BAD1D" w14:textId="77777777" w:rsidR="00761449" w:rsidRDefault="00761449" w:rsidP="00761449">
            <w:pPr>
              <w:pStyle w:val="Tablebodycopy"/>
            </w:pPr>
            <w:r w:rsidRPr="429151DF">
              <w:t>-4,600</w:t>
            </w:r>
          </w:p>
        </w:tc>
        <w:tc>
          <w:tcPr>
            <w:tcW w:w="1134" w:type="dxa"/>
            <w:tcMar>
              <w:left w:w="108" w:type="dxa"/>
              <w:right w:w="108" w:type="dxa"/>
            </w:tcMar>
            <w:vAlign w:val="bottom"/>
          </w:tcPr>
          <w:p w14:paraId="696CDD85" w14:textId="77777777" w:rsidR="00761449" w:rsidRDefault="00761449" w:rsidP="00761449">
            <w:pPr>
              <w:pStyle w:val="Tablebodycopy"/>
            </w:pPr>
            <w:r w:rsidRPr="429151DF">
              <w:t>-24.5%</w:t>
            </w:r>
          </w:p>
        </w:tc>
        <w:tc>
          <w:tcPr>
            <w:tcW w:w="850" w:type="dxa"/>
            <w:gridSpan w:val="3"/>
            <w:tcMar>
              <w:left w:w="108" w:type="dxa"/>
              <w:right w:w="108" w:type="dxa"/>
            </w:tcMar>
            <w:vAlign w:val="bottom"/>
          </w:tcPr>
          <w:p w14:paraId="107B19B2" w14:textId="77777777" w:rsidR="00761449" w:rsidRDefault="00761449" w:rsidP="00761449">
            <w:pPr>
              <w:pStyle w:val="Tablebodycopy"/>
            </w:pPr>
            <w:r w:rsidRPr="429151DF">
              <w:t>-1,600</w:t>
            </w:r>
          </w:p>
        </w:tc>
        <w:tc>
          <w:tcPr>
            <w:tcW w:w="968" w:type="dxa"/>
            <w:tcMar>
              <w:left w:w="108" w:type="dxa"/>
              <w:right w:w="108" w:type="dxa"/>
            </w:tcMar>
            <w:vAlign w:val="bottom"/>
          </w:tcPr>
          <w:p w14:paraId="5D9574FD" w14:textId="77777777" w:rsidR="00761449" w:rsidRDefault="00761449" w:rsidP="00761449">
            <w:pPr>
              <w:pStyle w:val="Tablebodycopy"/>
            </w:pPr>
            <w:r w:rsidRPr="429151DF">
              <w:t>-22.1%</w:t>
            </w:r>
          </w:p>
        </w:tc>
      </w:tr>
      <w:tr w:rsidR="00411E1F" w14:paraId="5E61E249" w14:textId="77777777" w:rsidTr="00056BFE">
        <w:trPr>
          <w:trHeight w:val="298"/>
        </w:trPr>
        <w:tc>
          <w:tcPr>
            <w:tcW w:w="1701" w:type="dxa"/>
            <w:shd w:val="clear" w:color="auto" w:fill="D9D9D9" w:themeFill="background1" w:themeFillShade="D9"/>
            <w:tcMar>
              <w:left w:w="108" w:type="dxa"/>
              <w:right w:w="108" w:type="dxa"/>
            </w:tcMar>
            <w:vAlign w:val="bottom"/>
          </w:tcPr>
          <w:p w14:paraId="64F8465B" w14:textId="77777777" w:rsidR="00761449" w:rsidRDefault="00761449" w:rsidP="00761449">
            <w:pPr>
              <w:pStyle w:val="Tablebodycopy"/>
            </w:pPr>
            <w:r w:rsidRPr="429151DF">
              <w:t>Machinery Operators and Drivers</w:t>
            </w:r>
          </w:p>
        </w:tc>
        <w:tc>
          <w:tcPr>
            <w:tcW w:w="1134" w:type="dxa"/>
            <w:shd w:val="clear" w:color="auto" w:fill="D9D9D9" w:themeFill="background1" w:themeFillShade="D9"/>
            <w:tcMar>
              <w:left w:w="108" w:type="dxa"/>
              <w:right w:w="108" w:type="dxa"/>
            </w:tcMar>
            <w:vAlign w:val="bottom"/>
          </w:tcPr>
          <w:p w14:paraId="23B004E6" w14:textId="77777777" w:rsidR="00761449" w:rsidRDefault="00761449" w:rsidP="00761449">
            <w:pPr>
              <w:pStyle w:val="Tablebodycopy"/>
            </w:pPr>
            <w:r w:rsidRPr="429151DF">
              <w:t xml:space="preserve"> 7,500 </w:t>
            </w:r>
          </w:p>
        </w:tc>
        <w:tc>
          <w:tcPr>
            <w:tcW w:w="851" w:type="dxa"/>
            <w:shd w:val="clear" w:color="auto" w:fill="D9D9D9" w:themeFill="background1" w:themeFillShade="D9"/>
            <w:tcMar>
              <w:left w:w="108" w:type="dxa"/>
              <w:right w:w="108" w:type="dxa"/>
            </w:tcMar>
            <w:vAlign w:val="bottom"/>
          </w:tcPr>
          <w:p w14:paraId="32B8BE5A" w14:textId="1AF0631D" w:rsidR="00761449" w:rsidRDefault="00761449" w:rsidP="00761449">
            <w:pPr>
              <w:pStyle w:val="Tablebodycopy"/>
            </w:pPr>
            <w:r w:rsidRPr="429151DF">
              <w:t>22</w:t>
            </w:r>
            <w:r w:rsidR="00056BFE">
              <w:t>5</w:t>
            </w:r>
            <w:r w:rsidRPr="429151DF">
              <w:t>%</w:t>
            </w:r>
          </w:p>
        </w:tc>
        <w:tc>
          <w:tcPr>
            <w:tcW w:w="992" w:type="dxa"/>
            <w:gridSpan w:val="2"/>
            <w:shd w:val="clear" w:color="auto" w:fill="D9D9D9" w:themeFill="background1" w:themeFillShade="D9"/>
            <w:tcMar>
              <w:left w:w="108" w:type="dxa"/>
              <w:right w:w="108" w:type="dxa"/>
            </w:tcMar>
            <w:vAlign w:val="bottom"/>
          </w:tcPr>
          <w:p w14:paraId="746B5184" w14:textId="77777777" w:rsidR="00761449" w:rsidRDefault="00761449" w:rsidP="00761449">
            <w:pPr>
              <w:pStyle w:val="Tablebodycopy"/>
            </w:pPr>
            <w:r w:rsidRPr="429151DF">
              <w:t xml:space="preserve"> 3,300 </w:t>
            </w:r>
          </w:p>
        </w:tc>
        <w:tc>
          <w:tcPr>
            <w:tcW w:w="992" w:type="dxa"/>
            <w:gridSpan w:val="3"/>
            <w:shd w:val="clear" w:color="auto" w:fill="D9D9D9" w:themeFill="background1" w:themeFillShade="D9"/>
            <w:tcMar>
              <w:left w:w="108" w:type="dxa"/>
              <w:right w:w="108" w:type="dxa"/>
            </w:tcMar>
            <w:vAlign w:val="bottom"/>
          </w:tcPr>
          <w:p w14:paraId="54233874" w14:textId="168844BC" w:rsidR="00761449" w:rsidRDefault="00761449" w:rsidP="00761449">
            <w:pPr>
              <w:pStyle w:val="Tablebodycopy"/>
            </w:pPr>
            <w:r w:rsidRPr="429151DF">
              <w:t>1</w:t>
            </w:r>
            <w:r w:rsidR="00056BFE">
              <w:t>50</w:t>
            </w:r>
            <w:r w:rsidRPr="429151DF">
              <w:t>%</w:t>
            </w:r>
          </w:p>
        </w:tc>
        <w:tc>
          <w:tcPr>
            <w:tcW w:w="993" w:type="dxa"/>
            <w:shd w:val="clear" w:color="auto" w:fill="D9D9D9" w:themeFill="background1" w:themeFillShade="D9"/>
            <w:tcMar>
              <w:left w:w="108" w:type="dxa"/>
              <w:right w:w="108" w:type="dxa"/>
            </w:tcMar>
            <w:vAlign w:val="bottom"/>
          </w:tcPr>
          <w:p w14:paraId="66398B96" w14:textId="77777777" w:rsidR="00761449" w:rsidRDefault="00761449" w:rsidP="00761449">
            <w:pPr>
              <w:pStyle w:val="Tablebodycopy"/>
            </w:pPr>
            <w:r w:rsidRPr="429151DF">
              <w:t>-1,700</w:t>
            </w:r>
          </w:p>
        </w:tc>
        <w:tc>
          <w:tcPr>
            <w:tcW w:w="1134" w:type="dxa"/>
            <w:shd w:val="clear" w:color="auto" w:fill="D9D9D9" w:themeFill="background1" w:themeFillShade="D9"/>
            <w:tcMar>
              <w:left w:w="108" w:type="dxa"/>
              <w:right w:w="108" w:type="dxa"/>
            </w:tcMar>
            <w:vAlign w:val="bottom"/>
          </w:tcPr>
          <w:p w14:paraId="48ACE457" w14:textId="77777777" w:rsidR="00761449" w:rsidRDefault="00761449" w:rsidP="00761449">
            <w:pPr>
              <w:pStyle w:val="Tablebodycopy"/>
            </w:pPr>
            <w:r w:rsidRPr="429151DF">
              <w:t>-15.9%</w:t>
            </w:r>
          </w:p>
        </w:tc>
        <w:tc>
          <w:tcPr>
            <w:tcW w:w="850" w:type="dxa"/>
            <w:gridSpan w:val="3"/>
            <w:shd w:val="clear" w:color="auto" w:fill="D9D9D9" w:themeFill="background1" w:themeFillShade="D9"/>
            <w:tcMar>
              <w:left w:w="108" w:type="dxa"/>
              <w:right w:w="108" w:type="dxa"/>
            </w:tcMar>
            <w:vAlign w:val="bottom"/>
          </w:tcPr>
          <w:p w14:paraId="2BC0B832" w14:textId="77777777" w:rsidR="00761449" w:rsidRDefault="00761449" w:rsidP="00761449">
            <w:pPr>
              <w:pStyle w:val="Tablebodycopy"/>
            </w:pPr>
            <w:r w:rsidRPr="429151DF">
              <w:t>-210</w:t>
            </w:r>
          </w:p>
        </w:tc>
        <w:tc>
          <w:tcPr>
            <w:tcW w:w="968" w:type="dxa"/>
            <w:shd w:val="clear" w:color="auto" w:fill="D9D9D9" w:themeFill="background1" w:themeFillShade="D9"/>
            <w:tcMar>
              <w:left w:w="108" w:type="dxa"/>
              <w:right w:w="108" w:type="dxa"/>
            </w:tcMar>
            <w:vAlign w:val="bottom"/>
          </w:tcPr>
          <w:p w14:paraId="1B6720CC" w14:textId="77777777" w:rsidR="00761449" w:rsidRDefault="00761449" w:rsidP="00761449">
            <w:pPr>
              <w:pStyle w:val="Tablebodycopy"/>
            </w:pPr>
            <w:r w:rsidRPr="429151DF">
              <w:t>-3.8%</w:t>
            </w:r>
          </w:p>
        </w:tc>
      </w:tr>
      <w:tr w:rsidR="00411E1F" w14:paraId="1418F82C" w14:textId="77777777" w:rsidTr="00056BFE">
        <w:trPr>
          <w:trHeight w:val="298"/>
        </w:trPr>
        <w:tc>
          <w:tcPr>
            <w:tcW w:w="1701" w:type="dxa"/>
            <w:tcMar>
              <w:left w:w="108" w:type="dxa"/>
              <w:right w:w="108" w:type="dxa"/>
            </w:tcMar>
            <w:vAlign w:val="bottom"/>
          </w:tcPr>
          <w:p w14:paraId="6C3302DA" w14:textId="77777777" w:rsidR="00761449" w:rsidRDefault="00761449" w:rsidP="00761449">
            <w:pPr>
              <w:pStyle w:val="Tablebodycopy"/>
            </w:pPr>
            <w:proofErr w:type="spellStart"/>
            <w:r w:rsidRPr="429151DF">
              <w:t>Labourers</w:t>
            </w:r>
            <w:proofErr w:type="spellEnd"/>
          </w:p>
        </w:tc>
        <w:tc>
          <w:tcPr>
            <w:tcW w:w="1134" w:type="dxa"/>
            <w:tcMar>
              <w:left w:w="108" w:type="dxa"/>
              <w:right w:w="108" w:type="dxa"/>
            </w:tcMar>
            <w:vAlign w:val="bottom"/>
          </w:tcPr>
          <w:p w14:paraId="7C015A74" w14:textId="77777777" w:rsidR="00761449" w:rsidRDefault="00761449" w:rsidP="00761449">
            <w:pPr>
              <w:pStyle w:val="Tablebodycopy"/>
            </w:pPr>
            <w:r w:rsidRPr="429151DF">
              <w:t xml:space="preserve"> 11,600</w:t>
            </w:r>
          </w:p>
        </w:tc>
        <w:tc>
          <w:tcPr>
            <w:tcW w:w="851" w:type="dxa"/>
            <w:tcMar>
              <w:left w:w="108" w:type="dxa"/>
              <w:right w:w="108" w:type="dxa"/>
            </w:tcMar>
            <w:vAlign w:val="bottom"/>
          </w:tcPr>
          <w:p w14:paraId="5AF81EAF" w14:textId="3A1C4B99" w:rsidR="00761449" w:rsidRDefault="00761449" w:rsidP="00761449">
            <w:pPr>
              <w:pStyle w:val="Tablebodycopy"/>
            </w:pPr>
            <w:r w:rsidRPr="429151DF">
              <w:t>305%</w:t>
            </w:r>
          </w:p>
        </w:tc>
        <w:tc>
          <w:tcPr>
            <w:tcW w:w="992" w:type="dxa"/>
            <w:gridSpan w:val="2"/>
            <w:tcMar>
              <w:left w:w="108" w:type="dxa"/>
              <w:right w:w="108" w:type="dxa"/>
            </w:tcMar>
            <w:vAlign w:val="bottom"/>
          </w:tcPr>
          <w:p w14:paraId="7BBDF3DD" w14:textId="77777777" w:rsidR="00761449" w:rsidRDefault="00761449" w:rsidP="00761449">
            <w:pPr>
              <w:pStyle w:val="Tablebodycopy"/>
            </w:pPr>
            <w:r w:rsidRPr="429151DF">
              <w:t xml:space="preserve"> 5,900 </w:t>
            </w:r>
          </w:p>
        </w:tc>
        <w:tc>
          <w:tcPr>
            <w:tcW w:w="992" w:type="dxa"/>
            <w:gridSpan w:val="3"/>
            <w:tcMar>
              <w:left w:w="108" w:type="dxa"/>
              <w:right w:w="108" w:type="dxa"/>
            </w:tcMar>
            <w:vAlign w:val="bottom"/>
          </w:tcPr>
          <w:p w14:paraId="414172C0" w14:textId="5BB8DCF1" w:rsidR="00761449" w:rsidRDefault="00761449" w:rsidP="00761449">
            <w:pPr>
              <w:pStyle w:val="Tablebodycopy"/>
            </w:pPr>
            <w:r w:rsidRPr="429151DF">
              <w:t>207%</w:t>
            </w:r>
          </w:p>
        </w:tc>
        <w:tc>
          <w:tcPr>
            <w:tcW w:w="993" w:type="dxa"/>
            <w:tcMar>
              <w:left w:w="108" w:type="dxa"/>
              <w:right w:w="108" w:type="dxa"/>
            </w:tcMar>
            <w:vAlign w:val="bottom"/>
          </w:tcPr>
          <w:p w14:paraId="06DC0732" w14:textId="77777777" w:rsidR="00761449" w:rsidRDefault="00761449" w:rsidP="00761449">
            <w:pPr>
              <w:pStyle w:val="Tablebodycopy"/>
            </w:pPr>
            <w:r w:rsidRPr="429151DF">
              <w:t>-5,000</w:t>
            </w:r>
          </w:p>
        </w:tc>
        <w:tc>
          <w:tcPr>
            <w:tcW w:w="1134" w:type="dxa"/>
            <w:tcMar>
              <w:left w:w="108" w:type="dxa"/>
              <w:right w:w="108" w:type="dxa"/>
            </w:tcMar>
            <w:vAlign w:val="bottom"/>
          </w:tcPr>
          <w:p w14:paraId="420CBBAA" w14:textId="77777777" w:rsidR="00761449" w:rsidRDefault="00761449" w:rsidP="00761449">
            <w:pPr>
              <w:pStyle w:val="Tablebodycopy"/>
            </w:pPr>
            <w:r w:rsidRPr="429151DF">
              <w:t>-32.2%</w:t>
            </w:r>
          </w:p>
        </w:tc>
        <w:tc>
          <w:tcPr>
            <w:tcW w:w="850" w:type="dxa"/>
            <w:gridSpan w:val="3"/>
            <w:tcMar>
              <w:left w:w="108" w:type="dxa"/>
              <w:right w:w="108" w:type="dxa"/>
            </w:tcMar>
            <w:vAlign w:val="bottom"/>
          </w:tcPr>
          <w:p w14:paraId="7D8852EE" w14:textId="77777777" w:rsidR="00761449" w:rsidRDefault="00761449" w:rsidP="00761449">
            <w:pPr>
              <w:pStyle w:val="Tablebodycopy"/>
            </w:pPr>
            <w:r w:rsidRPr="429151DF">
              <w:t>-1,900</w:t>
            </w:r>
          </w:p>
        </w:tc>
        <w:tc>
          <w:tcPr>
            <w:tcW w:w="968" w:type="dxa"/>
            <w:tcMar>
              <w:left w:w="108" w:type="dxa"/>
              <w:right w:w="108" w:type="dxa"/>
            </w:tcMar>
            <w:vAlign w:val="bottom"/>
          </w:tcPr>
          <w:p w14:paraId="71E25D0F" w14:textId="77777777" w:rsidR="00761449" w:rsidRDefault="00761449" w:rsidP="00761449">
            <w:pPr>
              <w:pStyle w:val="Tablebodycopy"/>
            </w:pPr>
            <w:r w:rsidRPr="429151DF">
              <w:t>-21.5%</w:t>
            </w:r>
          </w:p>
        </w:tc>
      </w:tr>
      <w:tr w:rsidR="00411E1F" w14:paraId="5FEED307" w14:textId="77777777" w:rsidTr="00056BFE">
        <w:trPr>
          <w:trHeight w:val="298"/>
        </w:trPr>
        <w:tc>
          <w:tcPr>
            <w:tcW w:w="1701" w:type="dxa"/>
            <w:shd w:val="clear" w:color="auto" w:fill="D9D9D9" w:themeFill="background1" w:themeFillShade="D9"/>
            <w:tcMar>
              <w:left w:w="108" w:type="dxa"/>
              <w:right w:w="108" w:type="dxa"/>
            </w:tcMar>
            <w:vAlign w:val="bottom"/>
          </w:tcPr>
          <w:p w14:paraId="1CF55CDE" w14:textId="77777777" w:rsidR="00761449" w:rsidRPr="00C65F2C" w:rsidRDefault="00761449" w:rsidP="00761449">
            <w:pPr>
              <w:pStyle w:val="Tablebodycopy"/>
              <w:rPr>
                <w:b/>
                <w:bCs/>
              </w:rPr>
            </w:pPr>
            <w:r w:rsidRPr="00C65F2C">
              <w:rPr>
                <w:b/>
                <w:bCs/>
              </w:rPr>
              <w:t>Australia</w:t>
            </w:r>
          </w:p>
        </w:tc>
        <w:tc>
          <w:tcPr>
            <w:tcW w:w="1134" w:type="dxa"/>
            <w:shd w:val="clear" w:color="auto" w:fill="D9D9D9" w:themeFill="background1" w:themeFillShade="D9"/>
            <w:tcMar>
              <w:left w:w="108" w:type="dxa"/>
              <w:right w:w="108" w:type="dxa"/>
            </w:tcMar>
            <w:vAlign w:val="bottom"/>
          </w:tcPr>
          <w:p w14:paraId="0BF882EC" w14:textId="77777777" w:rsidR="00761449" w:rsidRPr="00C65F2C" w:rsidRDefault="00761449" w:rsidP="00761449">
            <w:pPr>
              <w:pStyle w:val="Tablebodycopy"/>
              <w:rPr>
                <w:b/>
                <w:bCs/>
              </w:rPr>
            </w:pPr>
            <w:r w:rsidRPr="00C65F2C">
              <w:rPr>
                <w:b/>
                <w:bCs/>
              </w:rPr>
              <w:t>158,50</w:t>
            </w:r>
            <w:r w:rsidRPr="31D79971">
              <w:rPr>
                <w:b/>
                <w:bCs/>
              </w:rPr>
              <w:t>0</w:t>
            </w:r>
          </w:p>
        </w:tc>
        <w:tc>
          <w:tcPr>
            <w:tcW w:w="851" w:type="dxa"/>
            <w:shd w:val="clear" w:color="auto" w:fill="D9D9D9" w:themeFill="background1" w:themeFillShade="D9"/>
            <w:tcMar>
              <w:left w:w="108" w:type="dxa"/>
              <w:right w:w="108" w:type="dxa"/>
            </w:tcMar>
            <w:vAlign w:val="bottom"/>
          </w:tcPr>
          <w:p w14:paraId="57C35C25" w14:textId="0CA23883" w:rsidR="00761449" w:rsidRPr="00C65F2C" w:rsidRDefault="00761449" w:rsidP="00761449">
            <w:pPr>
              <w:pStyle w:val="Tablebodycopy"/>
              <w:rPr>
                <w:b/>
                <w:bCs/>
              </w:rPr>
            </w:pPr>
            <w:r w:rsidRPr="00C65F2C">
              <w:rPr>
                <w:b/>
                <w:bCs/>
              </w:rPr>
              <w:t>248%</w:t>
            </w:r>
          </w:p>
        </w:tc>
        <w:tc>
          <w:tcPr>
            <w:tcW w:w="992" w:type="dxa"/>
            <w:gridSpan w:val="2"/>
            <w:shd w:val="clear" w:color="auto" w:fill="D9D9D9" w:themeFill="background1" w:themeFillShade="D9"/>
            <w:tcMar>
              <w:left w:w="108" w:type="dxa"/>
              <w:right w:w="108" w:type="dxa"/>
            </w:tcMar>
            <w:vAlign w:val="bottom"/>
          </w:tcPr>
          <w:p w14:paraId="7CB2CB0F" w14:textId="77777777" w:rsidR="00761449" w:rsidRPr="00C65F2C" w:rsidRDefault="00761449" w:rsidP="00761449">
            <w:pPr>
              <w:pStyle w:val="Tablebodycopy"/>
              <w:rPr>
                <w:b/>
                <w:bCs/>
              </w:rPr>
            </w:pPr>
            <w:r w:rsidRPr="00C65F2C">
              <w:rPr>
                <w:b/>
                <w:bCs/>
              </w:rPr>
              <w:t xml:space="preserve">55,400 </w:t>
            </w:r>
          </w:p>
        </w:tc>
        <w:tc>
          <w:tcPr>
            <w:tcW w:w="992" w:type="dxa"/>
            <w:gridSpan w:val="3"/>
            <w:shd w:val="clear" w:color="auto" w:fill="D9D9D9" w:themeFill="background1" w:themeFillShade="D9"/>
            <w:tcMar>
              <w:left w:w="108" w:type="dxa"/>
              <w:right w:w="108" w:type="dxa"/>
            </w:tcMar>
            <w:vAlign w:val="bottom"/>
          </w:tcPr>
          <w:p w14:paraId="7224F38F" w14:textId="4447410E" w:rsidR="00761449" w:rsidRPr="00C65F2C" w:rsidRDefault="00761449" w:rsidP="00761449">
            <w:pPr>
              <w:pStyle w:val="Tablebodycopy"/>
              <w:rPr>
                <w:b/>
                <w:bCs/>
              </w:rPr>
            </w:pPr>
            <w:r w:rsidRPr="00C65F2C">
              <w:rPr>
                <w:b/>
                <w:bCs/>
              </w:rPr>
              <w:t>21</w:t>
            </w:r>
            <w:r w:rsidR="00056BFE">
              <w:rPr>
                <w:b/>
                <w:bCs/>
              </w:rPr>
              <w:t>6</w:t>
            </w:r>
            <w:r w:rsidRPr="00C65F2C">
              <w:rPr>
                <w:b/>
                <w:bCs/>
              </w:rPr>
              <w:t>%</w:t>
            </w:r>
          </w:p>
        </w:tc>
        <w:tc>
          <w:tcPr>
            <w:tcW w:w="993" w:type="dxa"/>
            <w:shd w:val="clear" w:color="auto" w:fill="D9D9D9" w:themeFill="background1" w:themeFillShade="D9"/>
            <w:tcMar>
              <w:left w:w="108" w:type="dxa"/>
              <w:right w:w="108" w:type="dxa"/>
            </w:tcMar>
            <w:vAlign w:val="bottom"/>
          </w:tcPr>
          <w:p w14:paraId="0EA0B18F" w14:textId="77777777" w:rsidR="00761449" w:rsidRPr="00C65F2C" w:rsidRDefault="00761449" w:rsidP="00761449">
            <w:pPr>
              <w:pStyle w:val="Tablebodycopy"/>
              <w:rPr>
                <w:b/>
                <w:bCs/>
              </w:rPr>
            </w:pPr>
            <w:r w:rsidRPr="00C65F2C">
              <w:rPr>
                <w:b/>
                <w:bCs/>
              </w:rPr>
              <w:t>-28,200</w:t>
            </w:r>
          </w:p>
        </w:tc>
        <w:tc>
          <w:tcPr>
            <w:tcW w:w="1134" w:type="dxa"/>
            <w:shd w:val="clear" w:color="auto" w:fill="D9D9D9" w:themeFill="background1" w:themeFillShade="D9"/>
            <w:tcMar>
              <w:left w:w="108" w:type="dxa"/>
              <w:right w:w="108" w:type="dxa"/>
            </w:tcMar>
            <w:vAlign w:val="bottom"/>
          </w:tcPr>
          <w:p w14:paraId="45C8711F" w14:textId="77777777" w:rsidR="00761449" w:rsidRPr="00C65F2C" w:rsidRDefault="00761449" w:rsidP="00761449">
            <w:pPr>
              <w:pStyle w:val="Tablebodycopy"/>
              <w:rPr>
                <w:b/>
                <w:bCs/>
              </w:rPr>
            </w:pPr>
            <w:r w:rsidRPr="00C65F2C">
              <w:rPr>
                <w:b/>
                <w:bCs/>
              </w:rPr>
              <w:t>-12.7%</w:t>
            </w:r>
          </w:p>
        </w:tc>
        <w:tc>
          <w:tcPr>
            <w:tcW w:w="850" w:type="dxa"/>
            <w:gridSpan w:val="3"/>
            <w:shd w:val="clear" w:color="auto" w:fill="D9D9D9" w:themeFill="background1" w:themeFillShade="D9"/>
            <w:tcMar>
              <w:left w:w="108" w:type="dxa"/>
              <w:right w:w="108" w:type="dxa"/>
            </w:tcMar>
            <w:vAlign w:val="bottom"/>
          </w:tcPr>
          <w:p w14:paraId="35A8989D" w14:textId="77777777" w:rsidR="00761449" w:rsidRPr="00C65F2C" w:rsidRDefault="00761449" w:rsidP="00761449">
            <w:pPr>
              <w:pStyle w:val="Tablebodycopy"/>
              <w:rPr>
                <w:b/>
                <w:bCs/>
              </w:rPr>
            </w:pPr>
            <w:r w:rsidRPr="00C65F2C">
              <w:rPr>
                <w:b/>
                <w:bCs/>
              </w:rPr>
              <w:t>-6,100</w:t>
            </w:r>
          </w:p>
        </w:tc>
        <w:tc>
          <w:tcPr>
            <w:tcW w:w="968" w:type="dxa"/>
            <w:shd w:val="clear" w:color="auto" w:fill="D9D9D9" w:themeFill="background1" w:themeFillShade="D9"/>
            <w:tcMar>
              <w:left w:w="108" w:type="dxa"/>
              <w:right w:w="108" w:type="dxa"/>
            </w:tcMar>
            <w:vAlign w:val="bottom"/>
          </w:tcPr>
          <w:p w14:paraId="1FF39D86" w14:textId="77777777" w:rsidR="00761449" w:rsidRPr="00C65F2C" w:rsidRDefault="00761449" w:rsidP="00761449">
            <w:pPr>
              <w:pStyle w:val="Tablebodycopy"/>
              <w:rPr>
                <w:b/>
                <w:bCs/>
              </w:rPr>
            </w:pPr>
            <w:r w:rsidRPr="00C65F2C">
              <w:rPr>
                <w:b/>
                <w:bCs/>
              </w:rPr>
              <w:t>-7.5%</w:t>
            </w:r>
          </w:p>
        </w:tc>
      </w:tr>
      <w:tr w:rsidR="00411E1F" w14:paraId="50794BA1" w14:textId="77777777" w:rsidTr="00056BFE">
        <w:trPr>
          <w:trHeight w:val="298"/>
        </w:trPr>
        <w:tc>
          <w:tcPr>
            <w:tcW w:w="1701" w:type="dxa"/>
            <w:tcBorders>
              <w:left w:val="nil"/>
              <w:bottom w:val="nil"/>
              <w:right w:val="nil"/>
            </w:tcBorders>
            <w:vAlign w:val="center"/>
          </w:tcPr>
          <w:p w14:paraId="682299F8" w14:textId="77777777" w:rsidR="00761449" w:rsidRDefault="00761449" w:rsidP="00B61A93"/>
        </w:tc>
        <w:tc>
          <w:tcPr>
            <w:tcW w:w="1134" w:type="dxa"/>
            <w:tcBorders>
              <w:left w:val="nil"/>
              <w:bottom w:val="nil"/>
              <w:right w:val="nil"/>
            </w:tcBorders>
            <w:vAlign w:val="center"/>
          </w:tcPr>
          <w:p w14:paraId="1279A48D" w14:textId="77777777" w:rsidR="00761449" w:rsidRDefault="00761449" w:rsidP="00B61A93"/>
        </w:tc>
        <w:tc>
          <w:tcPr>
            <w:tcW w:w="1637" w:type="dxa"/>
            <w:gridSpan w:val="2"/>
            <w:tcBorders>
              <w:left w:val="nil"/>
              <w:bottom w:val="nil"/>
              <w:right w:val="nil"/>
            </w:tcBorders>
            <w:vAlign w:val="center"/>
          </w:tcPr>
          <w:p w14:paraId="5FAA6673" w14:textId="77777777" w:rsidR="00761449" w:rsidRDefault="00761449" w:rsidP="00B61A93"/>
        </w:tc>
        <w:tc>
          <w:tcPr>
            <w:tcW w:w="236" w:type="dxa"/>
            <w:gridSpan w:val="2"/>
            <w:tcBorders>
              <w:top w:val="nil"/>
              <w:left w:val="nil"/>
              <w:bottom w:val="nil"/>
              <w:right w:val="nil"/>
            </w:tcBorders>
            <w:vAlign w:val="center"/>
          </w:tcPr>
          <w:p w14:paraId="27293095" w14:textId="77777777" w:rsidR="00761449" w:rsidRDefault="00761449" w:rsidP="00B61A93"/>
        </w:tc>
        <w:tc>
          <w:tcPr>
            <w:tcW w:w="236" w:type="dxa"/>
            <w:tcBorders>
              <w:left w:val="nil"/>
              <w:bottom w:val="nil"/>
              <w:right w:val="nil"/>
            </w:tcBorders>
            <w:vAlign w:val="center"/>
          </w:tcPr>
          <w:p w14:paraId="72397FB2" w14:textId="77777777" w:rsidR="00761449" w:rsidRDefault="00761449" w:rsidP="00B61A93"/>
        </w:tc>
        <w:tc>
          <w:tcPr>
            <w:tcW w:w="726" w:type="dxa"/>
            <w:tcBorders>
              <w:left w:val="nil"/>
              <w:bottom w:val="nil"/>
              <w:right w:val="nil"/>
            </w:tcBorders>
            <w:vAlign w:val="center"/>
          </w:tcPr>
          <w:p w14:paraId="22E4B904" w14:textId="77777777" w:rsidR="00761449" w:rsidRDefault="00761449" w:rsidP="00B61A93"/>
        </w:tc>
        <w:tc>
          <w:tcPr>
            <w:tcW w:w="993" w:type="dxa"/>
            <w:tcBorders>
              <w:left w:val="nil"/>
              <w:bottom w:val="nil"/>
              <w:right w:val="nil"/>
            </w:tcBorders>
            <w:vAlign w:val="center"/>
          </w:tcPr>
          <w:p w14:paraId="3B9A90EA" w14:textId="77777777" w:rsidR="00761449" w:rsidRDefault="00761449" w:rsidP="00B61A93"/>
        </w:tc>
        <w:tc>
          <w:tcPr>
            <w:tcW w:w="1155" w:type="dxa"/>
            <w:gridSpan w:val="2"/>
            <w:tcBorders>
              <w:left w:val="nil"/>
              <w:bottom w:val="nil"/>
              <w:right w:val="nil"/>
            </w:tcBorders>
            <w:vAlign w:val="center"/>
          </w:tcPr>
          <w:p w14:paraId="33B63F45" w14:textId="77777777" w:rsidR="00761449" w:rsidRDefault="00761449" w:rsidP="00B61A93"/>
        </w:tc>
        <w:tc>
          <w:tcPr>
            <w:tcW w:w="236" w:type="dxa"/>
            <w:tcBorders>
              <w:top w:val="nil"/>
              <w:left w:val="nil"/>
              <w:bottom w:val="nil"/>
              <w:right w:val="nil"/>
            </w:tcBorders>
            <w:vAlign w:val="center"/>
          </w:tcPr>
          <w:p w14:paraId="71A600DF" w14:textId="77777777" w:rsidR="00761449" w:rsidRDefault="00761449" w:rsidP="00B61A93"/>
        </w:tc>
        <w:tc>
          <w:tcPr>
            <w:tcW w:w="593" w:type="dxa"/>
            <w:tcBorders>
              <w:left w:val="nil"/>
              <w:bottom w:val="nil"/>
              <w:right w:val="nil"/>
            </w:tcBorders>
            <w:vAlign w:val="center"/>
          </w:tcPr>
          <w:p w14:paraId="087C5DCE" w14:textId="77777777" w:rsidR="00761449" w:rsidRDefault="00761449" w:rsidP="00B61A93"/>
        </w:tc>
        <w:tc>
          <w:tcPr>
            <w:tcW w:w="968" w:type="dxa"/>
            <w:tcBorders>
              <w:left w:val="nil"/>
              <w:bottom w:val="nil"/>
              <w:right w:val="nil"/>
            </w:tcBorders>
            <w:vAlign w:val="center"/>
          </w:tcPr>
          <w:p w14:paraId="262765CE" w14:textId="77777777" w:rsidR="00761449" w:rsidRDefault="00761449" w:rsidP="00B61A93"/>
        </w:tc>
      </w:tr>
    </w:tbl>
    <w:p w14:paraId="58573761" w14:textId="77777777" w:rsidR="00761449" w:rsidRDefault="00761449" w:rsidP="00761449">
      <w:pPr>
        <w:spacing w:before="240" w:line="257" w:lineRule="auto"/>
      </w:pPr>
      <w:r w:rsidRPr="429151DF">
        <w:rPr>
          <w:rFonts w:eastAsia="Arial" w:cs="Arial"/>
          <w:i/>
          <w:iCs/>
          <w:sz w:val="16"/>
          <w:szCs w:val="16"/>
        </w:rPr>
        <w:t>Source: Jobs and Skills Australia, Internet Vacancy Index, June 2023, 3-month average data.</w:t>
      </w:r>
    </w:p>
    <w:p w14:paraId="4F7D1433" w14:textId="77777777" w:rsidR="00761449" w:rsidRDefault="00761449" w:rsidP="00FD7EA6">
      <w:pPr>
        <w:pStyle w:val="ChartandTablelabel"/>
      </w:pPr>
    </w:p>
    <w:p w14:paraId="2C29C40E" w14:textId="77777777" w:rsidR="00AD1F69" w:rsidRDefault="00AD1F69" w:rsidP="00AD1F69"/>
    <w:p w14:paraId="3BEFB4AA" w14:textId="77777777" w:rsidR="00243FA4" w:rsidRDefault="00243FA4" w:rsidP="00AD1F69">
      <w:pPr>
        <w:pStyle w:val="Heading1"/>
      </w:pPr>
      <w:bookmarkStart w:id="61" w:name="_Toc144893807"/>
      <w:bookmarkStart w:id="62" w:name="_Toc134785341"/>
      <w:r>
        <w:br w:type="page"/>
      </w:r>
    </w:p>
    <w:p w14:paraId="59532833" w14:textId="167FB281" w:rsidR="00AD1F69" w:rsidRDefault="00AD1F69" w:rsidP="00AD1F69">
      <w:pPr>
        <w:pStyle w:val="Heading1"/>
      </w:pPr>
      <w:bookmarkStart w:id="63" w:name="_Toc144992580"/>
      <w:r w:rsidRPr="00BD2DE9">
        <w:lastRenderedPageBreak/>
        <w:t xml:space="preserve">Regional skills pressure case study: </w:t>
      </w:r>
      <w:r>
        <w:t>Electricians</w:t>
      </w:r>
      <w:bookmarkEnd w:id="61"/>
      <w:bookmarkEnd w:id="63"/>
      <w:r>
        <w:t xml:space="preserve"> </w:t>
      </w:r>
    </w:p>
    <w:bookmarkEnd w:id="62"/>
    <w:p w14:paraId="663A0192" w14:textId="5059755F" w:rsidR="00AD1F69" w:rsidRDefault="00AD1F69" w:rsidP="004E47E6">
      <w:pPr>
        <w:pStyle w:val="Bodycopy"/>
      </w:pPr>
      <w:r w:rsidRPr="00BD2DE9">
        <w:t xml:space="preserve">One occupation that has been the subject of regular public discussion with respect to regional skills shortages is </w:t>
      </w:r>
      <w:r>
        <w:t>Electricians. Previous JSA analysis has highlighted Electricians as one of the top 20 occupations in national demand, with such demand likely to be increased by Australia’s clean energy transformation.</w:t>
      </w:r>
      <w:r w:rsidRPr="00E56F4E">
        <w:t xml:space="preserve"> </w:t>
      </w:r>
      <w:r w:rsidRPr="00B05E44">
        <w:t xml:space="preserve">The clean energy transition </w:t>
      </w:r>
      <w:r>
        <w:t>may have</w:t>
      </w:r>
      <w:r w:rsidRPr="00B05E44">
        <w:t xml:space="preserve"> particularly important implications for a number of key regions that are actively planning the transition from fossil fuels to renewable energy, such as Central Queensland, North-west Western Australia</w:t>
      </w:r>
      <w:r w:rsidR="006D025E">
        <w:t>,</w:t>
      </w:r>
      <w:r w:rsidRPr="00B05E44">
        <w:t xml:space="preserve"> and the Hunter in N</w:t>
      </w:r>
      <w:r w:rsidR="006D025E">
        <w:t xml:space="preserve">ew </w:t>
      </w:r>
      <w:r w:rsidRPr="00B05E44">
        <w:t>S</w:t>
      </w:r>
      <w:r w:rsidR="006D025E">
        <w:t xml:space="preserve">outh </w:t>
      </w:r>
      <w:r w:rsidRPr="00B05E44">
        <w:t>W</w:t>
      </w:r>
      <w:r w:rsidR="006D025E">
        <w:t>ales</w:t>
      </w:r>
      <w:r w:rsidRPr="00B05E44">
        <w:t>.</w:t>
      </w:r>
    </w:p>
    <w:p w14:paraId="5A5B1E19" w14:textId="69A085BA" w:rsidR="00AD1F69" w:rsidRDefault="00AD1F69" w:rsidP="004E47E6">
      <w:pPr>
        <w:pStyle w:val="Bodycopy"/>
      </w:pPr>
      <w:bookmarkStart w:id="64" w:name="_Hlk134775381"/>
      <w:r w:rsidRPr="00631CDE">
        <w:t>To help gain a better understanding of regional skills pressures, an indicator based on the ratio of online job ad</w:t>
      </w:r>
      <w:r w:rsidR="006D025E">
        <w:t>vertisement</w:t>
      </w:r>
      <w:r w:rsidRPr="00631CDE">
        <w:t>s to employment at the regional</w:t>
      </w:r>
      <w:r w:rsidRPr="0064562E">
        <w:t xml:space="preserve"> level, can be combined with findings from the </w:t>
      </w:r>
      <w:r w:rsidRPr="0064562E">
        <w:rPr>
          <w:rFonts w:cs="Arial"/>
        </w:rPr>
        <w:t>2022 Skills Priority List</w:t>
      </w:r>
      <w:r w:rsidRPr="0064562E">
        <w:t xml:space="preserve"> to test current labour demand pressures for occupations on a region-by-region basis</w:t>
      </w:r>
      <w:r w:rsidRPr="0064562E">
        <w:rPr>
          <w:rStyle w:val="FootnoteReference"/>
        </w:rPr>
        <w:footnoteReference w:id="12"/>
      </w:r>
      <w:r w:rsidRPr="0064562E">
        <w:t>.</w:t>
      </w:r>
      <w:r>
        <w:t xml:space="preserve"> </w:t>
      </w:r>
      <w:r w:rsidRPr="0064562E">
        <w:t xml:space="preserve">By examining similar figures for particular occupations that are assessed as being in shortage, the regions also experiencing high vacancy rates can also be identified. In effect, this provides an indication of the variations in regional skills pressures for any given occupation. </w:t>
      </w:r>
    </w:p>
    <w:bookmarkEnd w:id="64"/>
    <w:p w14:paraId="749E79AC" w14:textId="77777777" w:rsidR="00AD1F69" w:rsidRPr="00BD2DE9" w:rsidRDefault="00AD1F69" w:rsidP="004E47E6">
      <w:pPr>
        <w:pStyle w:val="Bodycopy"/>
      </w:pPr>
      <w:r w:rsidRPr="00BD2DE9">
        <w:t xml:space="preserve">Table </w:t>
      </w:r>
      <w:r>
        <w:t>9</w:t>
      </w:r>
      <w:r w:rsidRPr="00BD2DE9">
        <w:t xml:space="preserve"> presents these results for </w:t>
      </w:r>
      <w:r>
        <w:t>Electricians</w:t>
      </w:r>
      <w:r w:rsidRPr="00BD2DE9">
        <w:t xml:space="preserve">, which is an occupation that was found to be in shortage (both nationally and for each state and territory) in the 2022 Skills Priority List. However, as the table illustrates, the current degree of skills pressure is far from uniform across regions. </w:t>
      </w:r>
    </w:p>
    <w:p w14:paraId="7EAEBE75" w14:textId="77777777" w:rsidR="00AD1F69" w:rsidRDefault="00AD1F69" w:rsidP="00AD1F69">
      <w:pPr>
        <w:pStyle w:val="Heading5"/>
      </w:pPr>
      <w:r>
        <w:br w:type="page"/>
      </w:r>
    </w:p>
    <w:p w14:paraId="20D045C9" w14:textId="3DB2755E" w:rsidR="004E47E6" w:rsidRPr="00BD2DE9" w:rsidRDefault="00AD1F69" w:rsidP="004E47E6">
      <w:pPr>
        <w:pStyle w:val="ChartandTablelabel"/>
      </w:pPr>
      <w:r>
        <w:lastRenderedPageBreak/>
        <w:t xml:space="preserve">Table 9: IVI vacancy ratios (IVI </w:t>
      </w:r>
      <w:r w:rsidRPr="31D79971">
        <w:rPr>
          <w:rFonts w:asciiTheme="minorHAnsi" w:hAnsiTheme="minorHAnsi"/>
        </w:rPr>
        <w:t xml:space="preserve">online job advertisements </w:t>
      </w:r>
      <w:r>
        <w:t>as a proportion of employment) for Electricians, by region</w:t>
      </w:r>
    </w:p>
    <w:tbl>
      <w:tblPr>
        <w:tblStyle w:val="PlainTable4"/>
        <w:tblW w:w="9064" w:type="dxa"/>
        <w:tblLayout w:type="fixed"/>
        <w:tblLook w:val="04A0" w:firstRow="1" w:lastRow="0" w:firstColumn="1" w:lastColumn="0" w:noHBand="0" w:noVBand="1"/>
      </w:tblPr>
      <w:tblGrid>
        <w:gridCol w:w="701"/>
        <w:gridCol w:w="2843"/>
        <w:gridCol w:w="1134"/>
        <w:gridCol w:w="709"/>
        <w:gridCol w:w="2543"/>
        <w:gridCol w:w="1134"/>
      </w:tblGrid>
      <w:tr w:rsidR="004E47E6" w14:paraId="13D2BC00" w14:textId="77777777" w:rsidTr="00287472">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701" w:type="dxa"/>
            <w:shd w:val="clear" w:color="auto" w:fill="441170" w:themeFill="text2"/>
            <w:tcMar>
              <w:left w:w="105" w:type="dxa"/>
              <w:right w:w="105" w:type="dxa"/>
            </w:tcMar>
          </w:tcPr>
          <w:p w14:paraId="7111FD31" w14:textId="7A341103" w:rsidR="004E47E6" w:rsidRPr="004E47E6" w:rsidRDefault="004E47E6" w:rsidP="004E47E6">
            <w:pPr>
              <w:pStyle w:val="Tableheader"/>
              <w:rPr>
                <w:b/>
                <w:bCs w:val="0"/>
              </w:rPr>
            </w:pPr>
            <w:r w:rsidRPr="004E47E6">
              <w:rPr>
                <w:b/>
                <w:bCs w:val="0"/>
              </w:rPr>
              <w:t>No</w:t>
            </w:r>
            <w:r>
              <w:rPr>
                <w:b/>
                <w:bCs w:val="0"/>
              </w:rPr>
              <w:t>.</w:t>
            </w:r>
          </w:p>
        </w:tc>
        <w:tc>
          <w:tcPr>
            <w:tcW w:w="2843" w:type="dxa"/>
            <w:shd w:val="clear" w:color="auto" w:fill="441170" w:themeFill="text2"/>
            <w:tcMar>
              <w:left w:w="105" w:type="dxa"/>
              <w:right w:w="105" w:type="dxa"/>
            </w:tcMar>
          </w:tcPr>
          <w:p w14:paraId="5A2B4473" w14:textId="77777777" w:rsidR="004E47E6" w:rsidRPr="004E47E6" w:rsidRDefault="004E47E6" w:rsidP="004E47E6">
            <w:pPr>
              <w:pStyle w:val="Tableheader"/>
              <w:cnfStyle w:val="100000000000" w:firstRow="1" w:lastRow="0" w:firstColumn="0" w:lastColumn="0" w:oddVBand="0" w:evenVBand="0" w:oddHBand="0" w:evenHBand="0" w:firstRowFirstColumn="0" w:firstRowLastColumn="0" w:lastRowFirstColumn="0" w:lastRowLastColumn="0"/>
              <w:rPr>
                <w:b/>
                <w:bCs w:val="0"/>
              </w:rPr>
            </w:pPr>
            <w:r w:rsidRPr="004E47E6">
              <w:rPr>
                <w:b/>
                <w:bCs w:val="0"/>
              </w:rPr>
              <w:t>Region</w:t>
            </w:r>
          </w:p>
        </w:tc>
        <w:tc>
          <w:tcPr>
            <w:tcW w:w="1134" w:type="dxa"/>
            <w:shd w:val="clear" w:color="auto" w:fill="441170" w:themeFill="text2"/>
            <w:tcMar>
              <w:left w:w="105" w:type="dxa"/>
              <w:right w:w="105" w:type="dxa"/>
            </w:tcMar>
          </w:tcPr>
          <w:p w14:paraId="48EDCF29" w14:textId="04C2D39C" w:rsidR="004E47E6" w:rsidRPr="004E47E6" w:rsidRDefault="004E47E6" w:rsidP="004E47E6">
            <w:pPr>
              <w:pStyle w:val="Tableheader"/>
              <w:cnfStyle w:val="100000000000" w:firstRow="1" w:lastRow="0" w:firstColumn="0" w:lastColumn="0" w:oddVBand="0" w:evenVBand="0" w:oddHBand="0" w:evenHBand="0" w:firstRowFirstColumn="0" w:firstRowLastColumn="0" w:lastRowFirstColumn="0" w:lastRowLastColumn="0"/>
              <w:rPr>
                <w:b/>
                <w:bCs w:val="0"/>
              </w:rPr>
            </w:pPr>
            <w:r w:rsidRPr="004E47E6">
              <w:rPr>
                <w:b/>
                <w:bCs w:val="0"/>
              </w:rPr>
              <w:t xml:space="preserve">IVI vacancy ratio </w:t>
            </w:r>
            <w:r>
              <w:rPr>
                <w:b/>
                <w:bCs w:val="0"/>
              </w:rPr>
              <w:t>(</w:t>
            </w:r>
            <w:r w:rsidRPr="004E47E6">
              <w:rPr>
                <w:b/>
                <w:bCs w:val="0"/>
              </w:rPr>
              <w:t>%)</w:t>
            </w:r>
          </w:p>
        </w:tc>
        <w:tc>
          <w:tcPr>
            <w:tcW w:w="709" w:type="dxa"/>
            <w:shd w:val="clear" w:color="auto" w:fill="441170" w:themeFill="text2"/>
            <w:tcMar>
              <w:left w:w="105" w:type="dxa"/>
              <w:right w:w="105" w:type="dxa"/>
            </w:tcMar>
          </w:tcPr>
          <w:p w14:paraId="66313A80" w14:textId="77777777" w:rsidR="004E47E6" w:rsidRPr="004E47E6" w:rsidRDefault="004E47E6" w:rsidP="004E47E6">
            <w:pPr>
              <w:pStyle w:val="Tableheader"/>
              <w:cnfStyle w:val="100000000000" w:firstRow="1" w:lastRow="0" w:firstColumn="0" w:lastColumn="0" w:oddVBand="0" w:evenVBand="0" w:oddHBand="0" w:evenHBand="0" w:firstRowFirstColumn="0" w:firstRowLastColumn="0" w:lastRowFirstColumn="0" w:lastRowLastColumn="0"/>
              <w:rPr>
                <w:b/>
                <w:bCs w:val="0"/>
              </w:rPr>
            </w:pPr>
            <w:r w:rsidRPr="004E47E6">
              <w:rPr>
                <w:b/>
                <w:bCs w:val="0"/>
              </w:rPr>
              <w:t>No.</w:t>
            </w:r>
          </w:p>
        </w:tc>
        <w:tc>
          <w:tcPr>
            <w:tcW w:w="2543" w:type="dxa"/>
            <w:shd w:val="clear" w:color="auto" w:fill="441170" w:themeFill="text2"/>
            <w:tcMar>
              <w:left w:w="105" w:type="dxa"/>
              <w:right w:w="105" w:type="dxa"/>
            </w:tcMar>
          </w:tcPr>
          <w:p w14:paraId="099E1BD7" w14:textId="77777777" w:rsidR="004E47E6" w:rsidRPr="004E47E6" w:rsidRDefault="004E47E6" w:rsidP="004E47E6">
            <w:pPr>
              <w:pStyle w:val="Tableheader"/>
              <w:cnfStyle w:val="100000000000" w:firstRow="1" w:lastRow="0" w:firstColumn="0" w:lastColumn="0" w:oddVBand="0" w:evenVBand="0" w:oddHBand="0" w:evenHBand="0" w:firstRowFirstColumn="0" w:firstRowLastColumn="0" w:lastRowFirstColumn="0" w:lastRowLastColumn="0"/>
              <w:rPr>
                <w:b/>
                <w:bCs w:val="0"/>
              </w:rPr>
            </w:pPr>
            <w:r w:rsidRPr="004E47E6">
              <w:rPr>
                <w:b/>
                <w:bCs w:val="0"/>
              </w:rPr>
              <w:t>Region</w:t>
            </w:r>
          </w:p>
        </w:tc>
        <w:tc>
          <w:tcPr>
            <w:tcW w:w="1134" w:type="dxa"/>
            <w:shd w:val="clear" w:color="auto" w:fill="441170" w:themeFill="text2"/>
            <w:tcMar>
              <w:left w:w="105" w:type="dxa"/>
              <w:right w:w="105" w:type="dxa"/>
            </w:tcMar>
          </w:tcPr>
          <w:p w14:paraId="119ECAB2" w14:textId="77777777" w:rsidR="004E47E6" w:rsidRPr="004E47E6" w:rsidRDefault="004E47E6" w:rsidP="004E47E6">
            <w:pPr>
              <w:pStyle w:val="Tableheader"/>
              <w:cnfStyle w:val="100000000000" w:firstRow="1" w:lastRow="0" w:firstColumn="0" w:lastColumn="0" w:oddVBand="0" w:evenVBand="0" w:oddHBand="0" w:evenHBand="0" w:firstRowFirstColumn="0" w:firstRowLastColumn="0" w:lastRowFirstColumn="0" w:lastRowLastColumn="0"/>
              <w:rPr>
                <w:b/>
                <w:bCs w:val="0"/>
              </w:rPr>
            </w:pPr>
            <w:r w:rsidRPr="004E47E6">
              <w:rPr>
                <w:b/>
                <w:bCs w:val="0"/>
              </w:rPr>
              <w:t>IVI vacancy ratio (%)</w:t>
            </w:r>
          </w:p>
        </w:tc>
      </w:tr>
      <w:tr w:rsidR="004E47E6" w:rsidRPr="00A21E71" w14:paraId="4F1DD2AA" w14:textId="77777777" w:rsidTr="00287472">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1682FB5C" w14:textId="77777777" w:rsidR="004E47E6" w:rsidRPr="00A21E71" w:rsidRDefault="004E47E6" w:rsidP="004E47E6">
            <w:pPr>
              <w:pStyle w:val="Tablebodycopy"/>
            </w:pPr>
            <w:r w:rsidRPr="00A21E71">
              <w:t>1</w:t>
            </w:r>
          </w:p>
        </w:tc>
        <w:tc>
          <w:tcPr>
            <w:tcW w:w="2843" w:type="dxa"/>
            <w:tcMar>
              <w:left w:w="105" w:type="dxa"/>
              <w:right w:w="105" w:type="dxa"/>
            </w:tcMar>
          </w:tcPr>
          <w:p w14:paraId="39F1A41B"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Western Australia – Outback (South)</w:t>
            </w:r>
          </w:p>
        </w:tc>
        <w:tc>
          <w:tcPr>
            <w:tcW w:w="1134" w:type="dxa"/>
            <w:tcMar>
              <w:left w:w="105" w:type="dxa"/>
              <w:right w:w="105" w:type="dxa"/>
            </w:tcMar>
          </w:tcPr>
          <w:p w14:paraId="063175AE"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4.4</w:t>
            </w:r>
          </w:p>
        </w:tc>
        <w:tc>
          <w:tcPr>
            <w:tcW w:w="709" w:type="dxa"/>
            <w:tcMar>
              <w:left w:w="105" w:type="dxa"/>
              <w:right w:w="105" w:type="dxa"/>
            </w:tcMar>
          </w:tcPr>
          <w:p w14:paraId="327C4DD5" w14:textId="77777777" w:rsidR="004E47E6" w:rsidRPr="00015275" w:rsidRDefault="004E47E6" w:rsidP="004E47E6">
            <w:pPr>
              <w:pStyle w:val="Tablebodycopy"/>
              <w:cnfStyle w:val="000000100000" w:firstRow="0" w:lastRow="0" w:firstColumn="0" w:lastColumn="0" w:oddVBand="0" w:evenVBand="0" w:oddHBand="1" w:evenHBand="0" w:firstRowFirstColumn="0" w:firstRowLastColumn="0" w:lastRowFirstColumn="0" w:lastRowLastColumn="0"/>
              <w:rPr>
                <w:b/>
                <w:bCs/>
              </w:rPr>
            </w:pPr>
            <w:r w:rsidRPr="00015275">
              <w:rPr>
                <w:b/>
                <w:bCs/>
              </w:rPr>
              <w:t>22</w:t>
            </w:r>
          </w:p>
        </w:tc>
        <w:tc>
          <w:tcPr>
            <w:tcW w:w="2543" w:type="dxa"/>
            <w:tcMar>
              <w:left w:w="105" w:type="dxa"/>
              <w:right w:w="105" w:type="dxa"/>
            </w:tcMar>
          </w:tcPr>
          <w:p w14:paraId="65C2B201"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 xml:space="preserve">Darling Downs - </w:t>
            </w:r>
            <w:proofErr w:type="spellStart"/>
            <w:r w:rsidRPr="00A21E71">
              <w:t>Maranoa</w:t>
            </w:r>
            <w:proofErr w:type="spellEnd"/>
          </w:p>
        </w:tc>
        <w:tc>
          <w:tcPr>
            <w:tcW w:w="1134" w:type="dxa"/>
            <w:tcMar>
              <w:left w:w="105" w:type="dxa"/>
              <w:right w:w="105" w:type="dxa"/>
            </w:tcMar>
          </w:tcPr>
          <w:p w14:paraId="7933B118"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1.5</w:t>
            </w:r>
          </w:p>
        </w:tc>
      </w:tr>
      <w:tr w:rsidR="004E47E6" w:rsidRPr="00A21E71" w14:paraId="72111509" w14:textId="77777777" w:rsidTr="00287472">
        <w:trPr>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4627A1CB" w14:textId="77777777" w:rsidR="004E47E6" w:rsidRPr="00A21E71" w:rsidRDefault="004E47E6" w:rsidP="004E47E6">
            <w:pPr>
              <w:pStyle w:val="Tablebodycopy"/>
            </w:pPr>
            <w:r w:rsidRPr="00A21E71">
              <w:t>2</w:t>
            </w:r>
          </w:p>
        </w:tc>
        <w:tc>
          <w:tcPr>
            <w:tcW w:w="2843" w:type="dxa"/>
            <w:tcMar>
              <w:left w:w="105" w:type="dxa"/>
              <w:right w:w="105" w:type="dxa"/>
            </w:tcMar>
          </w:tcPr>
          <w:p w14:paraId="7976C102"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Western Australia – Outback (North)</w:t>
            </w:r>
          </w:p>
        </w:tc>
        <w:tc>
          <w:tcPr>
            <w:tcW w:w="1134" w:type="dxa"/>
            <w:tcMar>
              <w:left w:w="105" w:type="dxa"/>
              <w:right w:w="105" w:type="dxa"/>
            </w:tcMar>
          </w:tcPr>
          <w:p w14:paraId="5BD768E1"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4.3</w:t>
            </w:r>
          </w:p>
        </w:tc>
        <w:tc>
          <w:tcPr>
            <w:tcW w:w="709" w:type="dxa"/>
            <w:tcMar>
              <w:left w:w="105" w:type="dxa"/>
              <w:right w:w="105" w:type="dxa"/>
            </w:tcMar>
          </w:tcPr>
          <w:p w14:paraId="71DF6304" w14:textId="77777777" w:rsidR="004E47E6" w:rsidRPr="00015275" w:rsidRDefault="004E47E6" w:rsidP="004E47E6">
            <w:pPr>
              <w:pStyle w:val="Tablebodycopy"/>
              <w:cnfStyle w:val="000000000000" w:firstRow="0" w:lastRow="0" w:firstColumn="0" w:lastColumn="0" w:oddVBand="0" w:evenVBand="0" w:oddHBand="0" w:evenHBand="0" w:firstRowFirstColumn="0" w:firstRowLastColumn="0" w:lastRowFirstColumn="0" w:lastRowLastColumn="0"/>
              <w:rPr>
                <w:b/>
                <w:bCs/>
              </w:rPr>
            </w:pPr>
            <w:r w:rsidRPr="00015275">
              <w:rPr>
                <w:b/>
                <w:bCs/>
              </w:rPr>
              <w:t>23</w:t>
            </w:r>
          </w:p>
        </w:tc>
        <w:tc>
          <w:tcPr>
            <w:tcW w:w="2543" w:type="dxa"/>
            <w:tcMar>
              <w:left w:w="105" w:type="dxa"/>
              <w:right w:w="105" w:type="dxa"/>
            </w:tcMar>
          </w:tcPr>
          <w:p w14:paraId="21E68425"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Melbourne</w:t>
            </w:r>
          </w:p>
        </w:tc>
        <w:tc>
          <w:tcPr>
            <w:tcW w:w="1134" w:type="dxa"/>
            <w:tcMar>
              <w:left w:w="105" w:type="dxa"/>
              <w:right w:w="105" w:type="dxa"/>
            </w:tcMar>
          </w:tcPr>
          <w:p w14:paraId="2368444D"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1.4</w:t>
            </w:r>
          </w:p>
        </w:tc>
      </w:tr>
      <w:tr w:rsidR="004E47E6" w:rsidRPr="00A21E71" w14:paraId="22D855F7" w14:textId="77777777" w:rsidTr="00287472">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1460FD06" w14:textId="77777777" w:rsidR="004E47E6" w:rsidRPr="00A21E71" w:rsidRDefault="004E47E6" w:rsidP="004E47E6">
            <w:pPr>
              <w:pStyle w:val="Tablebodycopy"/>
            </w:pPr>
            <w:r w:rsidRPr="00A21E71">
              <w:t>3</w:t>
            </w:r>
          </w:p>
        </w:tc>
        <w:tc>
          <w:tcPr>
            <w:tcW w:w="2843" w:type="dxa"/>
            <w:tcMar>
              <w:left w:w="105" w:type="dxa"/>
              <w:right w:w="105" w:type="dxa"/>
            </w:tcMar>
          </w:tcPr>
          <w:p w14:paraId="67D7814E"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Cairns</w:t>
            </w:r>
          </w:p>
        </w:tc>
        <w:tc>
          <w:tcPr>
            <w:tcW w:w="1134" w:type="dxa"/>
            <w:tcMar>
              <w:left w:w="105" w:type="dxa"/>
              <w:right w:w="105" w:type="dxa"/>
            </w:tcMar>
          </w:tcPr>
          <w:p w14:paraId="51887B08"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4.0</w:t>
            </w:r>
          </w:p>
        </w:tc>
        <w:tc>
          <w:tcPr>
            <w:tcW w:w="709" w:type="dxa"/>
            <w:tcMar>
              <w:left w:w="105" w:type="dxa"/>
              <w:right w:w="105" w:type="dxa"/>
            </w:tcMar>
          </w:tcPr>
          <w:p w14:paraId="7BE4B8BF" w14:textId="77777777" w:rsidR="004E47E6" w:rsidRPr="00015275" w:rsidRDefault="004E47E6" w:rsidP="004E47E6">
            <w:pPr>
              <w:pStyle w:val="Tablebodycopy"/>
              <w:cnfStyle w:val="000000100000" w:firstRow="0" w:lastRow="0" w:firstColumn="0" w:lastColumn="0" w:oddVBand="0" w:evenVBand="0" w:oddHBand="1" w:evenHBand="0" w:firstRowFirstColumn="0" w:firstRowLastColumn="0" w:lastRowFirstColumn="0" w:lastRowLastColumn="0"/>
              <w:rPr>
                <w:b/>
                <w:bCs/>
              </w:rPr>
            </w:pPr>
            <w:r w:rsidRPr="00015275">
              <w:rPr>
                <w:b/>
                <w:bCs/>
              </w:rPr>
              <w:t>24</w:t>
            </w:r>
          </w:p>
        </w:tc>
        <w:tc>
          <w:tcPr>
            <w:tcW w:w="2543" w:type="dxa"/>
            <w:tcMar>
              <w:left w:w="105" w:type="dxa"/>
              <w:right w:w="105" w:type="dxa"/>
            </w:tcMar>
          </w:tcPr>
          <w:p w14:paraId="1090653C"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Hobart</w:t>
            </w:r>
          </w:p>
        </w:tc>
        <w:tc>
          <w:tcPr>
            <w:tcW w:w="1134" w:type="dxa"/>
            <w:tcMar>
              <w:left w:w="105" w:type="dxa"/>
              <w:right w:w="105" w:type="dxa"/>
            </w:tcMar>
          </w:tcPr>
          <w:p w14:paraId="0E886D5E"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1.3</w:t>
            </w:r>
          </w:p>
        </w:tc>
      </w:tr>
      <w:tr w:rsidR="004E47E6" w:rsidRPr="00A21E71" w14:paraId="5EC67C86" w14:textId="77777777" w:rsidTr="00287472">
        <w:trPr>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60669BA7" w14:textId="77777777" w:rsidR="004E47E6" w:rsidRPr="00A21E71" w:rsidRDefault="004E47E6" w:rsidP="004E47E6">
            <w:pPr>
              <w:pStyle w:val="Tablebodycopy"/>
            </w:pPr>
            <w:r w:rsidRPr="00A21E71">
              <w:t>4</w:t>
            </w:r>
          </w:p>
        </w:tc>
        <w:tc>
          <w:tcPr>
            <w:tcW w:w="2843" w:type="dxa"/>
            <w:tcMar>
              <w:left w:w="105" w:type="dxa"/>
              <w:right w:w="105" w:type="dxa"/>
            </w:tcMar>
          </w:tcPr>
          <w:p w14:paraId="5B6E34FA"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Townsville</w:t>
            </w:r>
          </w:p>
        </w:tc>
        <w:tc>
          <w:tcPr>
            <w:tcW w:w="1134" w:type="dxa"/>
            <w:tcMar>
              <w:left w:w="105" w:type="dxa"/>
              <w:right w:w="105" w:type="dxa"/>
            </w:tcMar>
          </w:tcPr>
          <w:p w14:paraId="2DF33676"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3.5</w:t>
            </w:r>
          </w:p>
        </w:tc>
        <w:tc>
          <w:tcPr>
            <w:tcW w:w="709" w:type="dxa"/>
            <w:tcMar>
              <w:left w:w="105" w:type="dxa"/>
              <w:right w:w="105" w:type="dxa"/>
            </w:tcMar>
          </w:tcPr>
          <w:p w14:paraId="667D05F6" w14:textId="77777777" w:rsidR="004E47E6" w:rsidRPr="00015275" w:rsidRDefault="004E47E6" w:rsidP="004E47E6">
            <w:pPr>
              <w:pStyle w:val="Tablebodycopy"/>
              <w:cnfStyle w:val="000000000000" w:firstRow="0" w:lastRow="0" w:firstColumn="0" w:lastColumn="0" w:oddVBand="0" w:evenVBand="0" w:oddHBand="0" w:evenHBand="0" w:firstRowFirstColumn="0" w:firstRowLastColumn="0" w:lastRowFirstColumn="0" w:lastRowLastColumn="0"/>
              <w:rPr>
                <w:b/>
                <w:bCs/>
              </w:rPr>
            </w:pPr>
            <w:r w:rsidRPr="00015275">
              <w:rPr>
                <w:b/>
                <w:bCs/>
              </w:rPr>
              <w:t>25</w:t>
            </w:r>
          </w:p>
        </w:tc>
        <w:tc>
          <w:tcPr>
            <w:tcW w:w="2543" w:type="dxa"/>
            <w:tcMar>
              <w:left w:w="105" w:type="dxa"/>
              <w:right w:w="105" w:type="dxa"/>
            </w:tcMar>
          </w:tcPr>
          <w:p w14:paraId="655A97F0"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Southern Highlands and Shoalhaven</w:t>
            </w:r>
          </w:p>
        </w:tc>
        <w:tc>
          <w:tcPr>
            <w:tcW w:w="1134" w:type="dxa"/>
            <w:tcMar>
              <w:left w:w="105" w:type="dxa"/>
              <w:right w:w="105" w:type="dxa"/>
            </w:tcMar>
          </w:tcPr>
          <w:p w14:paraId="5F83CFC4"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1.2</w:t>
            </w:r>
          </w:p>
        </w:tc>
      </w:tr>
      <w:tr w:rsidR="004E47E6" w:rsidRPr="00A21E71" w14:paraId="2C27E1C3" w14:textId="77777777" w:rsidTr="00287472">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7FA41736" w14:textId="77777777" w:rsidR="004E47E6" w:rsidRPr="00A21E71" w:rsidRDefault="004E47E6" w:rsidP="004E47E6">
            <w:pPr>
              <w:pStyle w:val="Tablebodycopy"/>
            </w:pPr>
            <w:r w:rsidRPr="00A21E71">
              <w:t>5</w:t>
            </w:r>
          </w:p>
        </w:tc>
        <w:tc>
          <w:tcPr>
            <w:tcW w:w="2843" w:type="dxa"/>
            <w:tcMar>
              <w:left w:w="105" w:type="dxa"/>
              <w:right w:w="105" w:type="dxa"/>
            </w:tcMar>
          </w:tcPr>
          <w:p w14:paraId="551B8075"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South Australia - Outback</w:t>
            </w:r>
          </w:p>
        </w:tc>
        <w:tc>
          <w:tcPr>
            <w:tcW w:w="1134" w:type="dxa"/>
            <w:tcMar>
              <w:left w:w="105" w:type="dxa"/>
              <w:right w:w="105" w:type="dxa"/>
            </w:tcMar>
          </w:tcPr>
          <w:p w14:paraId="1B1BDC80"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3.4</w:t>
            </w:r>
          </w:p>
        </w:tc>
        <w:tc>
          <w:tcPr>
            <w:tcW w:w="709" w:type="dxa"/>
            <w:tcMar>
              <w:left w:w="105" w:type="dxa"/>
              <w:right w:w="105" w:type="dxa"/>
            </w:tcMar>
          </w:tcPr>
          <w:p w14:paraId="16E6E5BB" w14:textId="77777777" w:rsidR="004E47E6" w:rsidRPr="00015275" w:rsidRDefault="004E47E6" w:rsidP="004E47E6">
            <w:pPr>
              <w:pStyle w:val="Tablebodycopy"/>
              <w:cnfStyle w:val="000000100000" w:firstRow="0" w:lastRow="0" w:firstColumn="0" w:lastColumn="0" w:oddVBand="0" w:evenVBand="0" w:oddHBand="1" w:evenHBand="0" w:firstRowFirstColumn="0" w:firstRowLastColumn="0" w:lastRowFirstColumn="0" w:lastRowLastColumn="0"/>
              <w:rPr>
                <w:b/>
                <w:bCs/>
              </w:rPr>
            </w:pPr>
            <w:r w:rsidRPr="00015275">
              <w:rPr>
                <w:b/>
                <w:bCs/>
              </w:rPr>
              <w:t>26</w:t>
            </w:r>
          </w:p>
        </w:tc>
        <w:tc>
          <w:tcPr>
            <w:tcW w:w="2543" w:type="dxa"/>
            <w:tcMar>
              <w:left w:w="105" w:type="dxa"/>
              <w:right w:w="105" w:type="dxa"/>
            </w:tcMar>
          </w:tcPr>
          <w:p w14:paraId="3307F87F"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Launceston and North East</w:t>
            </w:r>
          </w:p>
        </w:tc>
        <w:tc>
          <w:tcPr>
            <w:tcW w:w="1134" w:type="dxa"/>
            <w:tcMar>
              <w:left w:w="105" w:type="dxa"/>
              <w:right w:w="105" w:type="dxa"/>
            </w:tcMar>
          </w:tcPr>
          <w:p w14:paraId="53D4F781"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1.2</w:t>
            </w:r>
          </w:p>
        </w:tc>
      </w:tr>
      <w:tr w:rsidR="004E47E6" w:rsidRPr="00A21E71" w14:paraId="63D74B52" w14:textId="77777777" w:rsidTr="00287472">
        <w:trPr>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110CBDC6" w14:textId="77777777" w:rsidR="004E47E6" w:rsidRPr="00A21E71" w:rsidRDefault="004E47E6" w:rsidP="004E47E6">
            <w:pPr>
              <w:pStyle w:val="Tablebodycopy"/>
            </w:pPr>
            <w:r w:rsidRPr="00A21E71">
              <w:t>6</w:t>
            </w:r>
          </w:p>
        </w:tc>
        <w:tc>
          <w:tcPr>
            <w:tcW w:w="2843" w:type="dxa"/>
            <w:tcMar>
              <w:left w:w="105" w:type="dxa"/>
              <w:right w:w="105" w:type="dxa"/>
            </w:tcMar>
          </w:tcPr>
          <w:p w14:paraId="30D916CB"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Darwin</w:t>
            </w:r>
          </w:p>
        </w:tc>
        <w:tc>
          <w:tcPr>
            <w:tcW w:w="1134" w:type="dxa"/>
            <w:tcMar>
              <w:left w:w="105" w:type="dxa"/>
              <w:right w:w="105" w:type="dxa"/>
            </w:tcMar>
          </w:tcPr>
          <w:p w14:paraId="134C36A0"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3.3</w:t>
            </w:r>
          </w:p>
        </w:tc>
        <w:tc>
          <w:tcPr>
            <w:tcW w:w="709" w:type="dxa"/>
            <w:tcMar>
              <w:left w:w="105" w:type="dxa"/>
              <w:right w:w="105" w:type="dxa"/>
            </w:tcMar>
          </w:tcPr>
          <w:p w14:paraId="6DD85989" w14:textId="77777777" w:rsidR="004E47E6" w:rsidRPr="00015275" w:rsidRDefault="004E47E6" w:rsidP="004E47E6">
            <w:pPr>
              <w:pStyle w:val="Tablebodycopy"/>
              <w:cnfStyle w:val="000000000000" w:firstRow="0" w:lastRow="0" w:firstColumn="0" w:lastColumn="0" w:oddVBand="0" w:evenVBand="0" w:oddHBand="0" w:evenHBand="0" w:firstRowFirstColumn="0" w:firstRowLastColumn="0" w:lastRowFirstColumn="0" w:lastRowLastColumn="0"/>
              <w:rPr>
                <w:b/>
                <w:bCs/>
              </w:rPr>
            </w:pPr>
            <w:r w:rsidRPr="00015275">
              <w:rPr>
                <w:b/>
                <w:bCs/>
              </w:rPr>
              <w:t>27</w:t>
            </w:r>
          </w:p>
        </w:tc>
        <w:tc>
          <w:tcPr>
            <w:tcW w:w="2543" w:type="dxa"/>
            <w:tcMar>
              <w:left w:w="105" w:type="dxa"/>
              <w:right w:w="105" w:type="dxa"/>
            </w:tcMar>
          </w:tcPr>
          <w:p w14:paraId="1FEFCC91"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Central West</w:t>
            </w:r>
          </w:p>
        </w:tc>
        <w:tc>
          <w:tcPr>
            <w:tcW w:w="1134" w:type="dxa"/>
            <w:tcMar>
              <w:left w:w="105" w:type="dxa"/>
              <w:right w:w="105" w:type="dxa"/>
            </w:tcMar>
          </w:tcPr>
          <w:p w14:paraId="4D878A73"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1.2</w:t>
            </w:r>
          </w:p>
        </w:tc>
      </w:tr>
      <w:tr w:rsidR="004E47E6" w:rsidRPr="00A21E71" w14:paraId="32287659" w14:textId="77777777" w:rsidTr="00287472">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5571780E" w14:textId="77777777" w:rsidR="004E47E6" w:rsidRPr="00A21E71" w:rsidRDefault="004E47E6" w:rsidP="004E47E6">
            <w:pPr>
              <w:pStyle w:val="Tablebodycopy"/>
            </w:pPr>
            <w:r w:rsidRPr="00A21E71">
              <w:t>7</w:t>
            </w:r>
          </w:p>
        </w:tc>
        <w:tc>
          <w:tcPr>
            <w:tcW w:w="2843" w:type="dxa"/>
            <w:tcMar>
              <w:left w:w="105" w:type="dxa"/>
              <w:right w:w="105" w:type="dxa"/>
            </w:tcMar>
          </w:tcPr>
          <w:p w14:paraId="7D17A72B"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Western Australia – Wheat Belt</w:t>
            </w:r>
          </w:p>
        </w:tc>
        <w:tc>
          <w:tcPr>
            <w:tcW w:w="1134" w:type="dxa"/>
            <w:tcMar>
              <w:left w:w="105" w:type="dxa"/>
              <w:right w:w="105" w:type="dxa"/>
            </w:tcMar>
          </w:tcPr>
          <w:p w14:paraId="0F752704"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2.8</w:t>
            </w:r>
          </w:p>
        </w:tc>
        <w:tc>
          <w:tcPr>
            <w:tcW w:w="709" w:type="dxa"/>
            <w:tcMar>
              <w:left w:w="105" w:type="dxa"/>
              <w:right w:w="105" w:type="dxa"/>
            </w:tcMar>
          </w:tcPr>
          <w:p w14:paraId="1C668AD0" w14:textId="77777777" w:rsidR="004E47E6" w:rsidRPr="00015275" w:rsidRDefault="004E47E6" w:rsidP="004E47E6">
            <w:pPr>
              <w:pStyle w:val="Tablebodycopy"/>
              <w:cnfStyle w:val="000000100000" w:firstRow="0" w:lastRow="0" w:firstColumn="0" w:lastColumn="0" w:oddVBand="0" w:evenVBand="0" w:oddHBand="1" w:evenHBand="0" w:firstRowFirstColumn="0" w:firstRowLastColumn="0" w:lastRowFirstColumn="0" w:lastRowLastColumn="0"/>
              <w:rPr>
                <w:b/>
                <w:bCs/>
              </w:rPr>
            </w:pPr>
            <w:r w:rsidRPr="00015275">
              <w:rPr>
                <w:b/>
                <w:bCs/>
              </w:rPr>
              <w:t>28</w:t>
            </w:r>
          </w:p>
        </w:tc>
        <w:tc>
          <w:tcPr>
            <w:tcW w:w="2543" w:type="dxa"/>
            <w:tcMar>
              <w:left w:w="105" w:type="dxa"/>
              <w:right w:w="105" w:type="dxa"/>
            </w:tcMar>
          </w:tcPr>
          <w:p w14:paraId="24E8168B"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South Australia – South East</w:t>
            </w:r>
          </w:p>
        </w:tc>
        <w:tc>
          <w:tcPr>
            <w:tcW w:w="1134" w:type="dxa"/>
            <w:tcMar>
              <w:left w:w="105" w:type="dxa"/>
              <w:right w:w="105" w:type="dxa"/>
            </w:tcMar>
          </w:tcPr>
          <w:p w14:paraId="76B5A92F"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1.2</w:t>
            </w:r>
          </w:p>
        </w:tc>
      </w:tr>
      <w:tr w:rsidR="004E47E6" w:rsidRPr="00A21E71" w14:paraId="345D0301" w14:textId="77777777" w:rsidTr="00287472">
        <w:trPr>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5550FAFD" w14:textId="77777777" w:rsidR="004E47E6" w:rsidRPr="00A21E71" w:rsidRDefault="004E47E6" w:rsidP="004E47E6">
            <w:pPr>
              <w:pStyle w:val="Tablebodycopy"/>
            </w:pPr>
            <w:r w:rsidRPr="00A21E71">
              <w:t>8</w:t>
            </w:r>
          </w:p>
        </w:tc>
        <w:tc>
          <w:tcPr>
            <w:tcW w:w="2843" w:type="dxa"/>
            <w:tcMar>
              <w:left w:w="105" w:type="dxa"/>
              <w:right w:w="105" w:type="dxa"/>
            </w:tcMar>
          </w:tcPr>
          <w:p w14:paraId="1EB9A0C4"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Queensland – Outback</w:t>
            </w:r>
          </w:p>
        </w:tc>
        <w:tc>
          <w:tcPr>
            <w:tcW w:w="1134" w:type="dxa"/>
            <w:tcMar>
              <w:left w:w="105" w:type="dxa"/>
              <w:right w:w="105" w:type="dxa"/>
            </w:tcMar>
          </w:tcPr>
          <w:p w14:paraId="52594569"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2.8</w:t>
            </w:r>
          </w:p>
        </w:tc>
        <w:tc>
          <w:tcPr>
            <w:tcW w:w="709" w:type="dxa"/>
            <w:tcMar>
              <w:left w:w="105" w:type="dxa"/>
              <w:right w:w="105" w:type="dxa"/>
            </w:tcMar>
          </w:tcPr>
          <w:p w14:paraId="45C8AE8D" w14:textId="77777777" w:rsidR="004E47E6" w:rsidRPr="00015275" w:rsidRDefault="004E47E6" w:rsidP="004E47E6">
            <w:pPr>
              <w:pStyle w:val="Tablebodycopy"/>
              <w:cnfStyle w:val="000000000000" w:firstRow="0" w:lastRow="0" w:firstColumn="0" w:lastColumn="0" w:oddVBand="0" w:evenVBand="0" w:oddHBand="0" w:evenHBand="0" w:firstRowFirstColumn="0" w:firstRowLastColumn="0" w:lastRowFirstColumn="0" w:lastRowLastColumn="0"/>
              <w:rPr>
                <w:b/>
                <w:bCs/>
              </w:rPr>
            </w:pPr>
            <w:r w:rsidRPr="00015275">
              <w:rPr>
                <w:b/>
                <w:bCs/>
              </w:rPr>
              <w:t>29</w:t>
            </w:r>
          </w:p>
        </w:tc>
        <w:tc>
          <w:tcPr>
            <w:tcW w:w="2543" w:type="dxa"/>
            <w:tcMar>
              <w:left w:w="105" w:type="dxa"/>
              <w:right w:w="105" w:type="dxa"/>
            </w:tcMar>
          </w:tcPr>
          <w:p w14:paraId="3EDD3628"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West and North West</w:t>
            </w:r>
          </w:p>
        </w:tc>
        <w:tc>
          <w:tcPr>
            <w:tcW w:w="1134" w:type="dxa"/>
            <w:tcMar>
              <w:left w:w="105" w:type="dxa"/>
              <w:right w:w="105" w:type="dxa"/>
            </w:tcMar>
          </w:tcPr>
          <w:p w14:paraId="47737BB1"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1.2</w:t>
            </w:r>
          </w:p>
        </w:tc>
      </w:tr>
      <w:tr w:rsidR="004E47E6" w:rsidRPr="00A21E71" w14:paraId="39F6D10E" w14:textId="77777777" w:rsidTr="00287472">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6F48FEB3" w14:textId="77777777" w:rsidR="004E47E6" w:rsidRPr="00A21E71" w:rsidRDefault="004E47E6" w:rsidP="004E47E6">
            <w:pPr>
              <w:pStyle w:val="Tablebodycopy"/>
            </w:pPr>
            <w:r w:rsidRPr="00A21E71">
              <w:t>9</w:t>
            </w:r>
          </w:p>
        </w:tc>
        <w:tc>
          <w:tcPr>
            <w:tcW w:w="2843" w:type="dxa"/>
            <w:tcMar>
              <w:left w:w="105" w:type="dxa"/>
              <w:right w:w="105" w:type="dxa"/>
            </w:tcMar>
          </w:tcPr>
          <w:p w14:paraId="5E6001DA"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Brisbane</w:t>
            </w:r>
          </w:p>
        </w:tc>
        <w:tc>
          <w:tcPr>
            <w:tcW w:w="1134" w:type="dxa"/>
            <w:tcMar>
              <w:left w:w="105" w:type="dxa"/>
              <w:right w:w="105" w:type="dxa"/>
            </w:tcMar>
          </w:tcPr>
          <w:p w14:paraId="2433E688"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2.7</w:t>
            </w:r>
          </w:p>
        </w:tc>
        <w:tc>
          <w:tcPr>
            <w:tcW w:w="709" w:type="dxa"/>
            <w:tcMar>
              <w:left w:w="105" w:type="dxa"/>
              <w:right w:w="105" w:type="dxa"/>
            </w:tcMar>
          </w:tcPr>
          <w:p w14:paraId="761FBD2E" w14:textId="77777777" w:rsidR="004E47E6" w:rsidRPr="00015275" w:rsidRDefault="004E47E6" w:rsidP="004E47E6">
            <w:pPr>
              <w:pStyle w:val="Tablebodycopy"/>
              <w:cnfStyle w:val="000000100000" w:firstRow="0" w:lastRow="0" w:firstColumn="0" w:lastColumn="0" w:oddVBand="0" w:evenVBand="0" w:oddHBand="1" w:evenHBand="0" w:firstRowFirstColumn="0" w:firstRowLastColumn="0" w:lastRowFirstColumn="0" w:lastRowLastColumn="0"/>
              <w:rPr>
                <w:b/>
                <w:bCs/>
              </w:rPr>
            </w:pPr>
            <w:r w:rsidRPr="00015275">
              <w:rPr>
                <w:b/>
                <w:bCs/>
              </w:rPr>
              <w:t>30</w:t>
            </w:r>
          </w:p>
        </w:tc>
        <w:tc>
          <w:tcPr>
            <w:tcW w:w="2543" w:type="dxa"/>
            <w:tcMar>
              <w:left w:w="105" w:type="dxa"/>
              <w:right w:w="105" w:type="dxa"/>
            </w:tcMar>
          </w:tcPr>
          <w:p w14:paraId="3AA97C61"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Toowoomba</w:t>
            </w:r>
          </w:p>
        </w:tc>
        <w:tc>
          <w:tcPr>
            <w:tcW w:w="1134" w:type="dxa"/>
            <w:tcMar>
              <w:left w:w="105" w:type="dxa"/>
              <w:right w:w="105" w:type="dxa"/>
            </w:tcMar>
          </w:tcPr>
          <w:p w14:paraId="13157A05"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1.1</w:t>
            </w:r>
          </w:p>
        </w:tc>
      </w:tr>
      <w:tr w:rsidR="004E47E6" w:rsidRPr="00A21E71" w14:paraId="732D8E7C" w14:textId="77777777" w:rsidTr="00287472">
        <w:trPr>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4CBEEB9D" w14:textId="77777777" w:rsidR="004E47E6" w:rsidRPr="00A21E71" w:rsidRDefault="004E47E6" w:rsidP="004E47E6">
            <w:pPr>
              <w:pStyle w:val="Tablebodycopy"/>
            </w:pPr>
            <w:r w:rsidRPr="00A21E71">
              <w:t>10</w:t>
            </w:r>
          </w:p>
        </w:tc>
        <w:tc>
          <w:tcPr>
            <w:tcW w:w="2843" w:type="dxa"/>
            <w:tcMar>
              <w:left w:w="105" w:type="dxa"/>
              <w:right w:w="105" w:type="dxa"/>
            </w:tcMar>
          </w:tcPr>
          <w:p w14:paraId="5361C498"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Wide Bay</w:t>
            </w:r>
          </w:p>
        </w:tc>
        <w:tc>
          <w:tcPr>
            <w:tcW w:w="1134" w:type="dxa"/>
            <w:tcMar>
              <w:left w:w="105" w:type="dxa"/>
              <w:right w:w="105" w:type="dxa"/>
            </w:tcMar>
          </w:tcPr>
          <w:p w14:paraId="68BFDDE6"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2.5</w:t>
            </w:r>
          </w:p>
        </w:tc>
        <w:tc>
          <w:tcPr>
            <w:tcW w:w="709" w:type="dxa"/>
            <w:tcMar>
              <w:left w:w="105" w:type="dxa"/>
              <w:right w:w="105" w:type="dxa"/>
            </w:tcMar>
          </w:tcPr>
          <w:p w14:paraId="23B0A2DD" w14:textId="77777777" w:rsidR="004E47E6" w:rsidRPr="00015275" w:rsidRDefault="004E47E6" w:rsidP="004E47E6">
            <w:pPr>
              <w:pStyle w:val="Tablebodycopy"/>
              <w:cnfStyle w:val="000000000000" w:firstRow="0" w:lastRow="0" w:firstColumn="0" w:lastColumn="0" w:oddVBand="0" w:evenVBand="0" w:oddHBand="0" w:evenHBand="0" w:firstRowFirstColumn="0" w:firstRowLastColumn="0" w:lastRowFirstColumn="0" w:lastRowLastColumn="0"/>
              <w:rPr>
                <w:b/>
                <w:bCs/>
              </w:rPr>
            </w:pPr>
            <w:r w:rsidRPr="00015275">
              <w:rPr>
                <w:b/>
                <w:bCs/>
              </w:rPr>
              <w:t>31</w:t>
            </w:r>
          </w:p>
        </w:tc>
        <w:tc>
          <w:tcPr>
            <w:tcW w:w="2543" w:type="dxa"/>
            <w:tcMar>
              <w:left w:w="105" w:type="dxa"/>
              <w:right w:w="105" w:type="dxa"/>
            </w:tcMar>
          </w:tcPr>
          <w:p w14:paraId="4A64B7C0"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Bendigo</w:t>
            </w:r>
          </w:p>
        </w:tc>
        <w:tc>
          <w:tcPr>
            <w:tcW w:w="1134" w:type="dxa"/>
            <w:tcMar>
              <w:left w:w="105" w:type="dxa"/>
              <w:right w:w="105" w:type="dxa"/>
            </w:tcMar>
          </w:tcPr>
          <w:p w14:paraId="14EA14D3"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1.1</w:t>
            </w:r>
          </w:p>
        </w:tc>
      </w:tr>
      <w:tr w:rsidR="004E47E6" w:rsidRPr="00A21E71" w14:paraId="4F42C6F5" w14:textId="77777777" w:rsidTr="00287472">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35C00EDA" w14:textId="77777777" w:rsidR="004E47E6" w:rsidRPr="00A21E71" w:rsidRDefault="004E47E6" w:rsidP="004E47E6">
            <w:pPr>
              <w:pStyle w:val="Tablebodycopy"/>
            </w:pPr>
            <w:r w:rsidRPr="00A21E71">
              <w:t>11</w:t>
            </w:r>
          </w:p>
        </w:tc>
        <w:tc>
          <w:tcPr>
            <w:tcW w:w="2843" w:type="dxa"/>
            <w:tcMar>
              <w:left w:w="105" w:type="dxa"/>
              <w:right w:w="105" w:type="dxa"/>
            </w:tcMar>
          </w:tcPr>
          <w:p w14:paraId="240698F0"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Perth</w:t>
            </w:r>
          </w:p>
        </w:tc>
        <w:tc>
          <w:tcPr>
            <w:tcW w:w="1134" w:type="dxa"/>
            <w:tcMar>
              <w:left w:w="105" w:type="dxa"/>
              <w:right w:w="105" w:type="dxa"/>
            </w:tcMar>
          </w:tcPr>
          <w:p w14:paraId="2C25FD90"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2.2</w:t>
            </w:r>
          </w:p>
        </w:tc>
        <w:tc>
          <w:tcPr>
            <w:tcW w:w="709" w:type="dxa"/>
            <w:tcMar>
              <w:left w:w="105" w:type="dxa"/>
              <w:right w:w="105" w:type="dxa"/>
            </w:tcMar>
          </w:tcPr>
          <w:p w14:paraId="487D5700" w14:textId="77777777" w:rsidR="004E47E6" w:rsidRPr="00015275" w:rsidRDefault="004E47E6" w:rsidP="004E47E6">
            <w:pPr>
              <w:pStyle w:val="Tablebodycopy"/>
              <w:cnfStyle w:val="000000100000" w:firstRow="0" w:lastRow="0" w:firstColumn="0" w:lastColumn="0" w:oddVBand="0" w:evenVBand="0" w:oddHBand="1" w:evenHBand="0" w:firstRowFirstColumn="0" w:firstRowLastColumn="0" w:lastRowFirstColumn="0" w:lastRowLastColumn="0"/>
              <w:rPr>
                <w:b/>
                <w:bCs/>
              </w:rPr>
            </w:pPr>
            <w:r w:rsidRPr="00015275">
              <w:rPr>
                <w:b/>
                <w:bCs/>
              </w:rPr>
              <w:t>32</w:t>
            </w:r>
          </w:p>
        </w:tc>
        <w:tc>
          <w:tcPr>
            <w:tcW w:w="2543" w:type="dxa"/>
            <w:tcMar>
              <w:left w:w="105" w:type="dxa"/>
              <w:right w:w="105" w:type="dxa"/>
            </w:tcMar>
          </w:tcPr>
          <w:p w14:paraId="0B7F851A"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Capital Region</w:t>
            </w:r>
          </w:p>
        </w:tc>
        <w:tc>
          <w:tcPr>
            <w:tcW w:w="1134" w:type="dxa"/>
            <w:tcMar>
              <w:left w:w="105" w:type="dxa"/>
              <w:right w:w="105" w:type="dxa"/>
            </w:tcMar>
          </w:tcPr>
          <w:p w14:paraId="3621F1B7"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1.1</w:t>
            </w:r>
          </w:p>
        </w:tc>
      </w:tr>
      <w:tr w:rsidR="004E47E6" w:rsidRPr="00A21E71" w14:paraId="4014309A" w14:textId="77777777" w:rsidTr="00287472">
        <w:trPr>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4FD777CD" w14:textId="77777777" w:rsidR="004E47E6" w:rsidRPr="00A21E71" w:rsidRDefault="004E47E6" w:rsidP="004E47E6">
            <w:pPr>
              <w:pStyle w:val="Tablebodycopy"/>
            </w:pPr>
            <w:r w:rsidRPr="00A21E71">
              <w:t>12</w:t>
            </w:r>
          </w:p>
        </w:tc>
        <w:tc>
          <w:tcPr>
            <w:tcW w:w="2843" w:type="dxa"/>
            <w:tcMar>
              <w:left w:w="105" w:type="dxa"/>
              <w:right w:w="105" w:type="dxa"/>
            </w:tcMar>
          </w:tcPr>
          <w:p w14:paraId="181BC24D"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Newcastle and Lake Macquarie</w:t>
            </w:r>
          </w:p>
        </w:tc>
        <w:tc>
          <w:tcPr>
            <w:tcW w:w="1134" w:type="dxa"/>
            <w:tcMar>
              <w:left w:w="105" w:type="dxa"/>
              <w:right w:w="105" w:type="dxa"/>
            </w:tcMar>
          </w:tcPr>
          <w:p w14:paraId="7BF9BABE"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2.1</w:t>
            </w:r>
          </w:p>
        </w:tc>
        <w:tc>
          <w:tcPr>
            <w:tcW w:w="709" w:type="dxa"/>
            <w:tcMar>
              <w:left w:w="105" w:type="dxa"/>
              <w:right w:w="105" w:type="dxa"/>
            </w:tcMar>
          </w:tcPr>
          <w:p w14:paraId="367E02C3" w14:textId="77777777" w:rsidR="004E47E6" w:rsidRPr="00015275" w:rsidRDefault="004E47E6" w:rsidP="004E47E6">
            <w:pPr>
              <w:pStyle w:val="Tablebodycopy"/>
              <w:cnfStyle w:val="000000000000" w:firstRow="0" w:lastRow="0" w:firstColumn="0" w:lastColumn="0" w:oddVBand="0" w:evenVBand="0" w:oddHBand="0" w:evenHBand="0" w:firstRowFirstColumn="0" w:firstRowLastColumn="0" w:lastRowFirstColumn="0" w:lastRowLastColumn="0"/>
              <w:rPr>
                <w:b/>
                <w:bCs/>
              </w:rPr>
            </w:pPr>
            <w:r w:rsidRPr="00015275">
              <w:rPr>
                <w:b/>
                <w:bCs/>
              </w:rPr>
              <w:t>33</w:t>
            </w:r>
          </w:p>
        </w:tc>
        <w:tc>
          <w:tcPr>
            <w:tcW w:w="2543" w:type="dxa"/>
            <w:tcMar>
              <w:left w:w="105" w:type="dxa"/>
              <w:right w:w="105" w:type="dxa"/>
            </w:tcMar>
          </w:tcPr>
          <w:p w14:paraId="1B3CB082"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Murray</w:t>
            </w:r>
          </w:p>
        </w:tc>
        <w:tc>
          <w:tcPr>
            <w:tcW w:w="1134" w:type="dxa"/>
            <w:tcMar>
              <w:left w:w="105" w:type="dxa"/>
              <w:right w:w="105" w:type="dxa"/>
            </w:tcMar>
          </w:tcPr>
          <w:p w14:paraId="024C3183"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1.0</w:t>
            </w:r>
          </w:p>
        </w:tc>
      </w:tr>
      <w:tr w:rsidR="004E47E6" w:rsidRPr="00A21E71" w14:paraId="481D7F29" w14:textId="77777777" w:rsidTr="00287472">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61995EC2" w14:textId="77777777" w:rsidR="004E47E6" w:rsidRPr="00A21E71" w:rsidRDefault="004E47E6" w:rsidP="004E47E6">
            <w:pPr>
              <w:pStyle w:val="Tablebodycopy"/>
            </w:pPr>
            <w:r w:rsidRPr="00A21E71">
              <w:t>13</w:t>
            </w:r>
          </w:p>
        </w:tc>
        <w:tc>
          <w:tcPr>
            <w:tcW w:w="2843" w:type="dxa"/>
            <w:tcMar>
              <w:left w:w="105" w:type="dxa"/>
              <w:right w:w="105" w:type="dxa"/>
            </w:tcMar>
          </w:tcPr>
          <w:p w14:paraId="53D52F03"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Central Queensland</w:t>
            </w:r>
          </w:p>
        </w:tc>
        <w:tc>
          <w:tcPr>
            <w:tcW w:w="1134" w:type="dxa"/>
            <w:tcMar>
              <w:left w:w="105" w:type="dxa"/>
              <w:right w:w="105" w:type="dxa"/>
            </w:tcMar>
          </w:tcPr>
          <w:p w14:paraId="34796D91"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2.0</w:t>
            </w:r>
          </w:p>
        </w:tc>
        <w:tc>
          <w:tcPr>
            <w:tcW w:w="709" w:type="dxa"/>
            <w:tcMar>
              <w:left w:w="105" w:type="dxa"/>
              <w:right w:w="105" w:type="dxa"/>
            </w:tcMar>
          </w:tcPr>
          <w:p w14:paraId="316D2799" w14:textId="77777777" w:rsidR="004E47E6" w:rsidRPr="00015275" w:rsidRDefault="004E47E6" w:rsidP="004E47E6">
            <w:pPr>
              <w:pStyle w:val="Tablebodycopy"/>
              <w:cnfStyle w:val="000000100000" w:firstRow="0" w:lastRow="0" w:firstColumn="0" w:lastColumn="0" w:oddVBand="0" w:evenVBand="0" w:oddHBand="1" w:evenHBand="0" w:firstRowFirstColumn="0" w:firstRowLastColumn="0" w:lastRowFirstColumn="0" w:lastRowLastColumn="0"/>
              <w:rPr>
                <w:b/>
                <w:bCs/>
              </w:rPr>
            </w:pPr>
            <w:r w:rsidRPr="00015275">
              <w:rPr>
                <w:b/>
                <w:bCs/>
              </w:rPr>
              <w:t>34</w:t>
            </w:r>
          </w:p>
        </w:tc>
        <w:tc>
          <w:tcPr>
            <w:tcW w:w="2543" w:type="dxa"/>
            <w:tcMar>
              <w:left w:w="105" w:type="dxa"/>
              <w:right w:w="105" w:type="dxa"/>
            </w:tcMar>
          </w:tcPr>
          <w:p w14:paraId="4394DCD8"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Latrobe - Gippsland</w:t>
            </w:r>
          </w:p>
        </w:tc>
        <w:tc>
          <w:tcPr>
            <w:tcW w:w="1134" w:type="dxa"/>
            <w:tcMar>
              <w:left w:w="105" w:type="dxa"/>
              <w:right w:w="105" w:type="dxa"/>
            </w:tcMar>
          </w:tcPr>
          <w:p w14:paraId="40E91027"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1.0</w:t>
            </w:r>
          </w:p>
        </w:tc>
      </w:tr>
      <w:tr w:rsidR="004E47E6" w:rsidRPr="00A21E71" w14:paraId="0E26CA92" w14:textId="77777777" w:rsidTr="00287472">
        <w:trPr>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2EA41D50" w14:textId="77777777" w:rsidR="004E47E6" w:rsidRPr="00A21E71" w:rsidRDefault="004E47E6" w:rsidP="004E47E6">
            <w:pPr>
              <w:pStyle w:val="Tablebodycopy"/>
            </w:pPr>
            <w:r w:rsidRPr="00A21E71">
              <w:t>14</w:t>
            </w:r>
          </w:p>
        </w:tc>
        <w:tc>
          <w:tcPr>
            <w:tcW w:w="2843" w:type="dxa"/>
            <w:tcMar>
              <w:left w:w="105" w:type="dxa"/>
              <w:right w:w="105" w:type="dxa"/>
            </w:tcMar>
          </w:tcPr>
          <w:p w14:paraId="69056299"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Adelaide</w:t>
            </w:r>
          </w:p>
        </w:tc>
        <w:tc>
          <w:tcPr>
            <w:tcW w:w="1134" w:type="dxa"/>
            <w:tcMar>
              <w:left w:w="105" w:type="dxa"/>
              <w:right w:w="105" w:type="dxa"/>
            </w:tcMar>
          </w:tcPr>
          <w:p w14:paraId="0EA46DF0"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1.9</w:t>
            </w:r>
          </w:p>
        </w:tc>
        <w:tc>
          <w:tcPr>
            <w:tcW w:w="709" w:type="dxa"/>
            <w:tcMar>
              <w:left w:w="105" w:type="dxa"/>
              <w:right w:w="105" w:type="dxa"/>
            </w:tcMar>
          </w:tcPr>
          <w:p w14:paraId="551A484F" w14:textId="77777777" w:rsidR="004E47E6" w:rsidRPr="00015275" w:rsidRDefault="004E47E6" w:rsidP="004E47E6">
            <w:pPr>
              <w:pStyle w:val="Tablebodycopy"/>
              <w:cnfStyle w:val="000000000000" w:firstRow="0" w:lastRow="0" w:firstColumn="0" w:lastColumn="0" w:oddVBand="0" w:evenVBand="0" w:oddHBand="0" w:evenHBand="0" w:firstRowFirstColumn="0" w:firstRowLastColumn="0" w:lastRowFirstColumn="0" w:lastRowLastColumn="0"/>
              <w:rPr>
                <w:b/>
                <w:bCs/>
              </w:rPr>
            </w:pPr>
            <w:r w:rsidRPr="00015275">
              <w:rPr>
                <w:b/>
                <w:bCs/>
              </w:rPr>
              <w:t>35</w:t>
            </w:r>
          </w:p>
        </w:tc>
        <w:tc>
          <w:tcPr>
            <w:tcW w:w="2543" w:type="dxa"/>
            <w:tcMar>
              <w:left w:w="105" w:type="dxa"/>
              <w:right w:w="105" w:type="dxa"/>
            </w:tcMar>
          </w:tcPr>
          <w:p w14:paraId="6C54DA69"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Mid North Coast</w:t>
            </w:r>
          </w:p>
        </w:tc>
        <w:tc>
          <w:tcPr>
            <w:tcW w:w="1134" w:type="dxa"/>
            <w:tcMar>
              <w:left w:w="105" w:type="dxa"/>
              <w:right w:w="105" w:type="dxa"/>
            </w:tcMar>
          </w:tcPr>
          <w:p w14:paraId="0E4BD493"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1.0</w:t>
            </w:r>
          </w:p>
        </w:tc>
      </w:tr>
      <w:tr w:rsidR="004E47E6" w:rsidRPr="00A21E71" w14:paraId="2077F0F0" w14:textId="77777777" w:rsidTr="00287472">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0135FB3D" w14:textId="77777777" w:rsidR="004E47E6" w:rsidRPr="00A21E71" w:rsidRDefault="004E47E6" w:rsidP="004E47E6">
            <w:pPr>
              <w:pStyle w:val="Tablebodycopy"/>
            </w:pPr>
            <w:r w:rsidRPr="00A21E71">
              <w:t>15</w:t>
            </w:r>
          </w:p>
        </w:tc>
        <w:tc>
          <w:tcPr>
            <w:tcW w:w="2843" w:type="dxa"/>
            <w:tcMar>
              <w:left w:w="105" w:type="dxa"/>
              <w:right w:w="105" w:type="dxa"/>
            </w:tcMar>
          </w:tcPr>
          <w:p w14:paraId="0EF40F7B"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New England and North West</w:t>
            </w:r>
          </w:p>
        </w:tc>
        <w:tc>
          <w:tcPr>
            <w:tcW w:w="1134" w:type="dxa"/>
            <w:tcMar>
              <w:left w:w="105" w:type="dxa"/>
              <w:right w:w="105" w:type="dxa"/>
            </w:tcMar>
          </w:tcPr>
          <w:p w14:paraId="44029DA1"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1.9</w:t>
            </w:r>
          </w:p>
        </w:tc>
        <w:tc>
          <w:tcPr>
            <w:tcW w:w="709" w:type="dxa"/>
            <w:tcMar>
              <w:left w:w="105" w:type="dxa"/>
              <w:right w:w="105" w:type="dxa"/>
            </w:tcMar>
          </w:tcPr>
          <w:p w14:paraId="3365F475" w14:textId="77777777" w:rsidR="004E47E6" w:rsidRPr="00015275" w:rsidRDefault="004E47E6" w:rsidP="004E47E6">
            <w:pPr>
              <w:pStyle w:val="Tablebodycopy"/>
              <w:cnfStyle w:val="000000100000" w:firstRow="0" w:lastRow="0" w:firstColumn="0" w:lastColumn="0" w:oddVBand="0" w:evenVBand="0" w:oddHBand="1" w:evenHBand="0" w:firstRowFirstColumn="0" w:firstRowLastColumn="0" w:lastRowFirstColumn="0" w:lastRowLastColumn="0"/>
              <w:rPr>
                <w:b/>
                <w:bCs/>
              </w:rPr>
            </w:pPr>
            <w:r w:rsidRPr="00015275">
              <w:rPr>
                <w:b/>
                <w:bCs/>
              </w:rPr>
              <w:t>36</w:t>
            </w:r>
          </w:p>
        </w:tc>
        <w:tc>
          <w:tcPr>
            <w:tcW w:w="2543" w:type="dxa"/>
            <w:tcMar>
              <w:left w:w="105" w:type="dxa"/>
              <w:right w:w="105" w:type="dxa"/>
            </w:tcMar>
          </w:tcPr>
          <w:p w14:paraId="695FE8E5"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Gold Coast</w:t>
            </w:r>
          </w:p>
        </w:tc>
        <w:tc>
          <w:tcPr>
            <w:tcW w:w="1134" w:type="dxa"/>
            <w:tcMar>
              <w:left w:w="105" w:type="dxa"/>
              <w:right w:w="105" w:type="dxa"/>
            </w:tcMar>
          </w:tcPr>
          <w:p w14:paraId="1F768278"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1.0</w:t>
            </w:r>
          </w:p>
        </w:tc>
      </w:tr>
      <w:tr w:rsidR="004E47E6" w:rsidRPr="00A21E71" w14:paraId="3923A6AE" w14:textId="77777777" w:rsidTr="00287472">
        <w:trPr>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3462FBA2" w14:textId="77777777" w:rsidR="004E47E6" w:rsidRPr="00A21E71" w:rsidRDefault="004E47E6" w:rsidP="004E47E6">
            <w:pPr>
              <w:pStyle w:val="Tablebodycopy"/>
            </w:pPr>
            <w:r w:rsidRPr="00A21E71">
              <w:t>16</w:t>
            </w:r>
          </w:p>
        </w:tc>
        <w:tc>
          <w:tcPr>
            <w:tcW w:w="2843" w:type="dxa"/>
            <w:tcMar>
              <w:left w:w="105" w:type="dxa"/>
              <w:right w:w="105" w:type="dxa"/>
            </w:tcMar>
          </w:tcPr>
          <w:p w14:paraId="545C4486"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Riverina</w:t>
            </w:r>
          </w:p>
        </w:tc>
        <w:tc>
          <w:tcPr>
            <w:tcW w:w="1134" w:type="dxa"/>
            <w:tcMar>
              <w:left w:w="105" w:type="dxa"/>
              <w:right w:w="105" w:type="dxa"/>
            </w:tcMar>
          </w:tcPr>
          <w:p w14:paraId="72BDBE3D"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1.8</w:t>
            </w:r>
          </w:p>
        </w:tc>
        <w:tc>
          <w:tcPr>
            <w:tcW w:w="709" w:type="dxa"/>
            <w:tcMar>
              <w:left w:w="105" w:type="dxa"/>
              <w:right w:w="105" w:type="dxa"/>
            </w:tcMar>
          </w:tcPr>
          <w:p w14:paraId="74382A23" w14:textId="77777777" w:rsidR="004E47E6" w:rsidRPr="00015275" w:rsidRDefault="004E47E6" w:rsidP="004E47E6">
            <w:pPr>
              <w:pStyle w:val="Tablebodycopy"/>
              <w:cnfStyle w:val="000000000000" w:firstRow="0" w:lastRow="0" w:firstColumn="0" w:lastColumn="0" w:oddVBand="0" w:evenVBand="0" w:oddHBand="0" w:evenHBand="0" w:firstRowFirstColumn="0" w:firstRowLastColumn="0" w:lastRowFirstColumn="0" w:lastRowLastColumn="0"/>
              <w:rPr>
                <w:b/>
                <w:bCs/>
              </w:rPr>
            </w:pPr>
            <w:r w:rsidRPr="00015275">
              <w:rPr>
                <w:b/>
                <w:bCs/>
              </w:rPr>
              <w:t>37</w:t>
            </w:r>
          </w:p>
        </w:tc>
        <w:tc>
          <w:tcPr>
            <w:tcW w:w="2543" w:type="dxa"/>
            <w:tcMar>
              <w:left w:w="105" w:type="dxa"/>
              <w:right w:w="105" w:type="dxa"/>
            </w:tcMar>
          </w:tcPr>
          <w:p w14:paraId="29B563D9"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Sunshine Coast</w:t>
            </w:r>
          </w:p>
        </w:tc>
        <w:tc>
          <w:tcPr>
            <w:tcW w:w="1134" w:type="dxa"/>
            <w:tcMar>
              <w:left w:w="105" w:type="dxa"/>
              <w:right w:w="105" w:type="dxa"/>
            </w:tcMar>
          </w:tcPr>
          <w:p w14:paraId="2EC43B4C"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1.0</w:t>
            </w:r>
          </w:p>
        </w:tc>
      </w:tr>
      <w:tr w:rsidR="004E47E6" w:rsidRPr="00A21E71" w14:paraId="1CDDCCC3" w14:textId="77777777" w:rsidTr="00287472">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27BE3369" w14:textId="77777777" w:rsidR="004E47E6" w:rsidRPr="00A21E71" w:rsidRDefault="004E47E6" w:rsidP="004E47E6">
            <w:pPr>
              <w:pStyle w:val="Tablebodycopy"/>
            </w:pPr>
            <w:r w:rsidRPr="00A21E71">
              <w:t>17</w:t>
            </w:r>
          </w:p>
        </w:tc>
        <w:tc>
          <w:tcPr>
            <w:tcW w:w="2843" w:type="dxa"/>
            <w:tcMar>
              <w:left w:w="105" w:type="dxa"/>
              <w:right w:w="105" w:type="dxa"/>
            </w:tcMar>
          </w:tcPr>
          <w:p w14:paraId="46C70096"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Sydney</w:t>
            </w:r>
          </w:p>
        </w:tc>
        <w:tc>
          <w:tcPr>
            <w:tcW w:w="1134" w:type="dxa"/>
            <w:tcMar>
              <w:left w:w="105" w:type="dxa"/>
              <w:right w:w="105" w:type="dxa"/>
            </w:tcMar>
          </w:tcPr>
          <w:p w14:paraId="5B6E523B"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1.7</w:t>
            </w:r>
          </w:p>
        </w:tc>
        <w:tc>
          <w:tcPr>
            <w:tcW w:w="709" w:type="dxa"/>
            <w:tcMar>
              <w:left w:w="105" w:type="dxa"/>
              <w:right w:w="105" w:type="dxa"/>
            </w:tcMar>
          </w:tcPr>
          <w:p w14:paraId="3255962C" w14:textId="77777777" w:rsidR="004E47E6" w:rsidRPr="00015275" w:rsidRDefault="004E47E6" w:rsidP="004E47E6">
            <w:pPr>
              <w:pStyle w:val="Tablebodycopy"/>
              <w:cnfStyle w:val="000000100000" w:firstRow="0" w:lastRow="0" w:firstColumn="0" w:lastColumn="0" w:oddVBand="0" w:evenVBand="0" w:oddHBand="1" w:evenHBand="0" w:firstRowFirstColumn="0" w:firstRowLastColumn="0" w:lastRowFirstColumn="0" w:lastRowLastColumn="0"/>
              <w:rPr>
                <w:b/>
                <w:bCs/>
              </w:rPr>
            </w:pPr>
            <w:r w:rsidRPr="00015275">
              <w:rPr>
                <w:b/>
                <w:bCs/>
              </w:rPr>
              <w:t>38</w:t>
            </w:r>
          </w:p>
        </w:tc>
        <w:tc>
          <w:tcPr>
            <w:tcW w:w="2543" w:type="dxa"/>
            <w:tcMar>
              <w:left w:w="105" w:type="dxa"/>
              <w:right w:w="105" w:type="dxa"/>
            </w:tcMar>
          </w:tcPr>
          <w:p w14:paraId="186EEFAD"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Hume</w:t>
            </w:r>
          </w:p>
        </w:tc>
        <w:tc>
          <w:tcPr>
            <w:tcW w:w="1134" w:type="dxa"/>
            <w:tcMar>
              <w:left w:w="105" w:type="dxa"/>
              <w:right w:w="105" w:type="dxa"/>
            </w:tcMar>
          </w:tcPr>
          <w:p w14:paraId="72ED8394"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0.9</w:t>
            </w:r>
          </w:p>
        </w:tc>
      </w:tr>
      <w:tr w:rsidR="004E47E6" w:rsidRPr="00A21E71" w14:paraId="555FBDC7" w14:textId="77777777" w:rsidTr="00287472">
        <w:trPr>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04052265" w14:textId="77777777" w:rsidR="004E47E6" w:rsidRPr="00A21E71" w:rsidRDefault="004E47E6" w:rsidP="004E47E6">
            <w:pPr>
              <w:pStyle w:val="Tablebodycopy"/>
            </w:pPr>
            <w:r w:rsidRPr="00A21E71">
              <w:t>18</w:t>
            </w:r>
          </w:p>
        </w:tc>
        <w:tc>
          <w:tcPr>
            <w:tcW w:w="2843" w:type="dxa"/>
            <w:tcMar>
              <w:left w:w="105" w:type="dxa"/>
              <w:right w:w="105" w:type="dxa"/>
            </w:tcMar>
          </w:tcPr>
          <w:p w14:paraId="54053017"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Mackay – Isaac - Whitsunday</w:t>
            </w:r>
          </w:p>
        </w:tc>
        <w:tc>
          <w:tcPr>
            <w:tcW w:w="1134" w:type="dxa"/>
            <w:tcMar>
              <w:left w:w="105" w:type="dxa"/>
              <w:right w:w="105" w:type="dxa"/>
            </w:tcMar>
          </w:tcPr>
          <w:p w14:paraId="6612D36C"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1.7</w:t>
            </w:r>
          </w:p>
        </w:tc>
        <w:tc>
          <w:tcPr>
            <w:tcW w:w="709" w:type="dxa"/>
            <w:tcMar>
              <w:left w:w="105" w:type="dxa"/>
              <w:right w:w="105" w:type="dxa"/>
            </w:tcMar>
          </w:tcPr>
          <w:p w14:paraId="7B45B3BE" w14:textId="77777777" w:rsidR="004E47E6" w:rsidRPr="00015275" w:rsidRDefault="004E47E6" w:rsidP="004E47E6">
            <w:pPr>
              <w:pStyle w:val="Tablebodycopy"/>
              <w:cnfStyle w:val="000000000000" w:firstRow="0" w:lastRow="0" w:firstColumn="0" w:lastColumn="0" w:oddVBand="0" w:evenVBand="0" w:oddHBand="0" w:evenHBand="0" w:firstRowFirstColumn="0" w:firstRowLastColumn="0" w:lastRowFirstColumn="0" w:lastRowLastColumn="0"/>
              <w:rPr>
                <w:b/>
                <w:bCs/>
              </w:rPr>
            </w:pPr>
            <w:r w:rsidRPr="00015275">
              <w:rPr>
                <w:b/>
                <w:bCs/>
              </w:rPr>
              <w:t>39</w:t>
            </w:r>
          </w:p>
        </w:tc>
        <w:tc>
          <w:tcPr>
            <w:tcW w:w="2543" w:type="dxa"/>
            <w:tcMar>
              <w:left w:w="105" w:type="dxa"/>
              <w:right w:w="105" w:type="dxa"/>
            </w:tcMar>
          </w:tcPr>
          <w:p w14:paraId="3C0D743D"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proofErr w:type="spellStart"/>
            <w:r w:rsidRPr="00A21E71">
              <w:t>Shepparton</w:t>
            </w:r>
            <w:proofErr w:type="spellEnd"/>
          </w:p>
        </w:tc>
        <w:tc>
          <w:tcPr>
            <w:tcW w:w="1134" w:type="dxa"/>
            <w:tcMar>
              <w:left w:w="105" w:type="dxa"/>
              <w:right w:w="105" w:type="dxa"/>
            </w:tcMar>
          </w:tcPr>
          <w:p w14:paraId="6B311782"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0.9</w:t>
            </w:r>
          </w:p>
        </w:tc>
      </w:tr>
      <w:tr w:rsidR="004E47E6" w:rsidRPr="00A21E71" w14:paraId="41FCFB30" w14:textId="77777777" w:rsidTr="00287472">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55005654" w14:textId="77777777" w:rsidR="004E47E6" w:rsidRPr="00A21E71" w:rsidRDefault="004E47E6" w:rsidP="004E47E6">
            <w:pPr>
              <w:pStyle w:val="Tablebodycopy"/>
            </w:pPr>
            <w:r w:rsidRPr="00A21E71">
              <w:t>19</w:t>
            </w:r>
          </w:p>
        </w:tc>
        <w:tc>
          <w:tcPr>
            <w:tcW w:w="2843" w:type="dxa"/>
            <w:tcMar>
              <w:left w:w="105" w:type="dxa"/>
              <w:right w:w="105" w:type="dxa"/>
            </w:tcMar>
          </w:tcPr>
          <w:p w14:paraId="08FCC8F5" w14:textId="4CA6BF0E"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Hunter Valley exc</w:t>
            </w:r>
            <w:r w:rsidR="00CA6231">
              <w:t>l.</w:t>
            </w:r>
            <w:r w:rsidRPr="00A21E71">
              <w:t xml:space="preserve"> Newcastle</w:t>
            </w:r>
          </w:p>
        </w:tc>
        <w:tc>
          <w:tcPr>
            <w:tcW w:w="1134" w:type="dxa"/>
            <w:tcMar>
              <w:left w:w="105" w:type="dxa"/>
              <w:right w:w="105" w:type="dxa"/>
            </w:tcMar>
          </w:tcPr>
          <w:p w14:paraId="64B61CD1"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1.5</w:t>
            </w:r>
          </w:p>
        </w:tc>
        <w:tc>
          <w:tcPr>
            <w:tcW w:w="709" w:type="dxa"/>
            <w:tcMar>
              <w:left w:w="105" w:type="dxa"/>
              <w:right w:w="105" w:type="dxa"/>
            </w:tcMar>
          </w:tcPr>
          <w:p w14:paraId="397C7882" w14:textId="77777777" w:rsidR="004E47E6" w:rsidRPr="00015275" w:rsidRDefault="004E47E6" w:rsidP="004E47E6">
            <w:pPr>
              <w:pStyle w:val="Tablebodycopy"/>
              <w:cnfStyle w:val="000000100000" w:firstRow="0" w:lastRow="0" w:firstColumn="0" w:lastColumn="0" w:oddVBand="0" w:evenVBand="0" w:oddHBand="1" w:evenHBand="0" w:firstRowFirstColumn="0" w:firstRowLastColumn="0" w:lastRowFirstColumn="0" w:lastRowLastColumn="0"/>
              <w:rPr>
                <w:b/>
                <w:bCs/>
              </w:rPr>
            </w:pPr>
            <w:r w:rsidRPr="00015275">
              <w:rPr>
                <w:b/>
                <w:bCs/>
              </w:rPr>
              <w:t>40</w:t>
            </w:r>
          </w:p>
        </w:tc>
        <w:tc>
          <w:tcPr>
            <w:tcW w:w="2543" w:type="dxa"/>
            <w:tcMar>
              <w:left w:w="105" w:type="dxa"/>
              <w:right w:w="105" w:type="dxa"/>
            </w:tcMar>
          </w:tcPr>
          <w:p w14:paraId="7727F35B"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Illawarra</w:t>
            </w:r>
          </w:p>
        </w:tc>
        <w:tc>
          <w:tcPr>
            <w:tcW w:w="1134" w:type="dxa"/>
            <w:tcMar>
              <w:left w:w="105" w:type="dxa"/>
              <w:right w:w="105" w:type="dxa"/>
            </w:tcMar>
          </w:tcPr>
          <w:p w14:paraId="52AFEBFC"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0.8</w:t>
            </w:r>
          </w:p>
        </w:tc>
      </w:tr>
      <w:tr w:rsidR="004E47E6" w:rsidRPr="00A21E71" w14:paraId="31189FC2" w14:textId="77777777" w:rsidTr="00287472">
        <w:trPr>
          <w:trHeight w:val="80"/>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213D35B5" w14:textId="77777777" w:rsidR="004E47E6" w:rsidRPr="00A21E71" w:rsidRDefault="004E47E6" w:rsidP="004E47E6">
            <w:pPr>
              <w:pStyle w:val="Tablebodycopy"/>
            </w:pPr>
            <w:r w:rsidRPr="00A21E71">
              <w:t>20</w:t>
            </w:r>
          </w:p>
        </w:tc>
        <w:tc>
          <w:tcPr>
            <w:tcW w:w="2843" w:type="dxa"/>
            <w:tcMar>
              <w:left w:w="105" w:type="dxa"/>
              <w:right w:w="105" w:type="dxa"/>
            </w:tcMar>
          </w:tcPr>
          <w:p w14:paraId="44422F5B"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Australian Capital Territory</w:t>
            </w:r>
          </w:p>
        </w:tc>
        <w:tc>
          <w:tcPr>
            <w:tcW w:w="1134" w:type="dxa"/>
            <w:tcMar>
              <w:left w:w="105" w:type="dxa"/>
              <w:right w:w="105" w:type="dxa"/>
            </w:tcMar>
          </w:tcPr>
          <w:p w14:paraId="3A1F7E4A"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1.5</w:t>
            </w:r>
          </w:p>
        </w:tc>
        <w:tc>
          <w:tcPr>
            <w:tcW w:w="709" w:type="dxa"/>
            <w:tcMar>
              <w:left w:w="105" w:type="dxa"/>
              <w:right w:w="105" w:type="dxa"/>
            </w:tcMar>
          </w:tcPr>
          <w:p w14:paraId="653CBA9E" w14:textId="77777777" w:rsidR="004E47E6" w:rsidRPr="00015275" w:rsidRDefault="004E47E6" w:rsidP="004E47E6">
            <w:pPr>
              <w:pStyle w:val="Tablebodycopy"/>
              <w:cnfStyle w:val="000000000000" w:firstRow="0" w:lastRow="0" w:firstColumn="0" w:lastColumn="0" w:oddVBand="0" w:evenVBand="0" w:oddHBand="0" w:evenHBand="0" w:firstRowFirstColumn="0" w:firstRowLastColumn="0" w:lastRowFirstColumn="0" w:lastRowLastColumn="0"/>
              <w:rPr>
                <w:b/>
                <w:bCs/>
              </w:rPr>
            </w:pPr>
            <w:r w:rsidRPr="00015275">
              <w:rPr>
                <w:b/>
                <w:bCs/>
              </w:rPr>
              <w:t>41</w:t>
            </w:r>
          </w:p>
        </w:tc>
        <w:tc>
          <w:tcPr>
            <w:tcW w:w="2543" w:type="dxa"/>
            <w:tcMar>
              <w:left w:w="105" w:type="dxa"/>
              <w:right w:w="105" w:type="dxa"/>
            </w:tcMar>
          </w:tcPr>
          <w:p w14:paraId="65D02227"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Richmond - Tweed</w:t>
            </w:r>
          </w:p>
        </w:tc>
        <w:tc>
          <w:tcPr>
            <w:tcW w:w="1134" w:type="dxa"/>
            <w:tcMar>
              <w:left w:w="105" w:type="dxa"/>
              <w:right w:w="105" w:type="dxa"/>
            </w:tcMar>
          </w:tcPr>
          <w:p w14:paraId="7CBB1B70" w14:textId="77777777" w:rsidR="004E47E6" w:rsidRPr="00A21E71" w:rsidRDefault="004E47E6" w:rsidP="004E47E6">
            <w:pPr>
              <w:pStyle w:val="Tablebodycopy"/>
              <w:cnfStyle w:val="000000000000" w:firstRow="0" w:lastRow="0" w:firstColumn="0" w:lastColumn="0" w:oddVBand="0" w:evenVBand="0" w:oddHBand="0" w:evenHBand="0" w:firstRowFirstColumn="0" w:firstRowLastColumn="0" w:lastRowFirstColumn="0" w:lastRowLastColumn="0"/>
            </w:pPr>
            <w:r w:rsidRPr="00A21E71">
              <w:t>0.8</w:t>
            </w:r>
          </w:p>
        </w:tc>
      </w:tr>
      <w:tr w:rsidR="004E47E6" w:rsidRPr="00A21E71" w14:paraId="3741EC09" w14:textId="77777777" w:rsidTr="00287472">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701" w:type="dxa"/>
            <w:tcMar>
              <w:left w:w="105" w:type="dxa"/>
              <w:right w:w="105" w:type="dxa"/>
            </w:tcMar>
          </w:tcPr>
          <w:p w14:paraId="18B5A9EC" w14:textId="77777777" w:rsidR="004E47E6" w:rsidRPr="00A21E71" w:rsidRDefault="004E47E6" w:rsidP="004E47E6">
            <w:pPr>
              <w:pStyle w:val="Tablebodycopy"/>
            </w:pPr>
            <w:r w:rsidRPr="00A21E71">
              <w:lastRenderedPageBreak/>
              <w:t>21</w:t>
            </w:r>
          </w:p>
        </w:tc>
        <w:tc>
          <w:tcPr>
            <w:tcW w:w="2843" w:type="dxa"/>
            <w:tcMar>
              <w:left w:w="105" w:type="dxa"/>
              <w:right w:w="105" w:type="dxa"/>
            </w:tcMar>
          </w:tcPr>
          <w:p w14:paraId="0C44916A"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 xml:space="preserve">Far West and </w:t>
            </w:r>
            <w:proofErr w:type="spellStart"/>
            <w:r w:rsidRPr="00A21E71">
              <w:t>Orana</w:t>
            </w:r>
            <w:proofErr w:type="spellEnd"/>
          </w:p>
        </w:tc>
        <w:tc>
          <w:tcPr>
            <w:tcW w:w="1134" w:type="dxa"/>
            <w:tcMar>
              <w:left w:w="105" w:type="dxa"/>
              <w:right w:w="105" w:type="dxa"/>
            </w:tcMar>
          </w:tcPr>
          <w:p w14:paraId="3D8B3858"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1.5</w:t>
            </w:r>
          </w:p>
        </w:tc>
        <w:tc>
          <w:tcPr>
            <w:tcW w:w="709" w:type="dxa"/>
            <w:tcMar>
              <w:left w:w="105" w:type="dxa"/>
              <w:right w:w="105" w:type="dxa"/>
            </w:tcMar>
          </w:tcPr>
          <w:p w14:paraId="20FD6196" w14:textId="77777777" w:rsidR="004E47E6" w:rsidRPr="00015275" w:rsidRDefault="004E47E6" w:rsidP="004E47E6">
            <w:pPr>
              <w:pStyle w:val="Tablebodycopy"/>
              <w:cnfStyle w:val="000000100000" w:firstRow="0" w:lastRow="0" w:firstColumn="0" w:lastColumn="0" w:oddVBand="0" w:evenVBand="0" w:oddHBand="1" w:evenHBand="0" w:firstRowFirstColumn="0" w:firstRowLastColumn="0" w:lastRowFirstColumn="0" w:lastRowLastColumn="0"/>
              <w:rPr>
                <w:b/>
                <w:bCs/>
              </w:rPr>
            </w:pPr>
            <w:r w:rsidRPr="00015275">
              <w:rPr>
                <w:b/>
                <w:bCs/>
              </w:rPr>
              <w:t>42</w:t>
            </w:r>
          </w:p>
        </w:tc>
        <w:tc>
          <w:tcPr>
            <w:tcW w:w="2543" w:type="dxa"/>
            <w:tcMar>
              <w:left w:w="105" w:type="dxa"/>
              <w:right w:w="105" w:type="dxa"/>
            </w:tcMar>
          </w:tcPr>
          <w:p w14:paraId="33957443"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Bunbury</w:t>
            </w:r>
          </w:p>
        </w:tc>
        <w:tc>
          <w:tcPr>
            <w:tcW w:w="1134" w:type="dxa"/>
            <w:tcMar>
              <w:left w:w="105" w:type="dxa"/>
              <w:right w:w="105" w:type="dxa"/>
            </w:tcMar>
          </w:tcPr>
          <w:p w14:paraId="0799EDBC" w14:textId="77777777" w:rsidR="004E47E6" w:rsidRPr="00A21E71" w:rsidRDefault="004E47E6" w:rsidP="004E47E6">
            <w:pPr>
              <w:pStyle w:val="Tablebodycopy"/>
              <w:cnfStyle w:val="000000100000" w:firstRow="0" w:lastRow="0" w:firstColumn="0" w:lastColumn="0" w:oddVBand="0" w:evenVBand="0" w:oddHBand="1" w:evenHBand="0" w:firstRowFirstColumn="0" w:firstRowLastColumn="0" w:lastRowFirstColumn="0" w:lastRowLastColumn="0"/>
            </w:pPr>
            <w:r w:rsidRPr="00A21E71">
              <w:t>0.7</w:t>
            </w:r>
          </w:p>
        </w:tc>
      </w:tr>
    </w:tbl>
    <w:p w14:paraId="7708EB95" w14:textId="77777777" w:rsidR="004E47E6" w:rsidRPr="00A21E71" w:rsidRDefault="004E47E6" w:rsidP="004E47E6">
      <w:pPr>
        <w:spacing w:after="120" w:line="276" w:lineRule="auto"/>
        <w:rPr>
          <w:rFonts w:eastAsia="Arial" w:cs="Arial"/>
          <w:sz w:val="16"/>
          <w:szCs w:val="16"/>
        </w:rPr>
      </w:pPr>
    </w:p>
    <w:p w14:paraId="2C42BCEC" w14:textId="77777777" w:rsidR="004E47E6" w:rsidRPr="00A5240D" w:rsidRDefault="004E47E6" w:rsidP="00A5240D">
      <w:pPr>
        <w:pStyle w:val="Bodycopy"/>
        <w:rPr>
          <w:sz w:val="18"/>
          <w:szCs w:val="18"/>
        </w:rPr>
      </w:pPr>
      <w:r w:rsidRPr="00A5240D">
        <w:rPr>
          <w:sz w:val="18"/>
          <w:szCs w:val="18"/>
        </w:rPr>
        <w:t>Notes: IVI data are January 2023 to June 2023 monthly average. Regions presented in this table are Statistical Area 4 (SA4) regions, with the exception of capital cities, where relevant SA4 regions are combined to present an overall result for that capital city. Results for Tasmania-South East, Coffs Harbour – Grafton, Northern Territory – Outback, Barossa – Yorke – Mid North, Ballarat, Victoria - North West, Warrnambool and South West and Geelong SA4 regions are excluded from the table, due to small sample sizes and accompanying low reliability of the result.</w:t>
      </w:r>
    </w:p>
    <w:p w14:paraId="3910FC0F" w14:textId="2A82F029" w:rsidR="00AD1F69" w:rsidRPr="004E47E6" w:rsidRDefault="004E47E6" w:rsidP="004E47E6">
      <w:pPr>
        <w:pStyle w:val="Source"/>
        <w:ind w:left="510"/>
        <w:rPr>
          <w:rFonts w:eastAsia="Calibri"/>
          <w:iCs/>
          <w:szCs w:val="16"/>
        </w:rPr>
      </w:pPr>
      <w:r w:rsidRPr="00CB111F">
        <w:rPr>
          <w:rFonts w:eastAsia="Calibri"/>
          <w:i w:val="0"/>
          <w:szCs w:val="16"/>
        </w:rPr>
        <w:t>JSA</w:t>
      </w:r>
      <w:r w:rsidRPr="00CB111F">
        <w:rPr>
          <w:rFonts w:eastAsia="Calibri"/>
          <w:iCs/>
          <w:szCs w:val="16"/>
        </w:rPr>
        <w:t xml:space="preserve">, Internet Vacancy Index, </w:t>
      </w:r>
      <w:r w:rsidRPr="00CB111F">
        <w:rPr>
          <w:rFonts w:eastAsia="Calibri"/>
          <w:i w:val="0"/>
          <w:szCs w:val="16"/>
        </w:rPr>
        <w:t>June 2023;</w:t>
      </w:r>
      <w:r w:rsidRPr="00CB111F">
        <w:rPr>
          <w:rFonts w:eastAsia="Calibri"/>
          <w:iCs/>
          <w:szCs w:val="16"/>
        </w:rPr>
        <w:t xml:space="preserve"> Nowcast of Employment by Region and Occupation, </w:t>
      </w:r>
      <w:r w:rsidRPr="00CB111F">
        <w:rPr>
          <w:rFonts w:eastAsia="Calibri"/>
          <w:i w:val="0"/>
          <w:szCs w:val="16"/>
        </w:rPr>
        <w:t>June 2023</w:t>
      </w:r>
    </w:p>
    <w:p w14:paraId="00537DC7" w14:textId="5BA29926" w:rsidR="00AD1F69" w:rsidRPr="004E47E6" w:rsidRDefault="00AD1F69" w:rsidP="00CA6231">
      <w:pPr>
        <w:pStyle w:val="Bodycopy"/>
      </w:pPr>
      <w:r w:rsidRPr="004E47E6">
        <w:t>Labour demand pressure is particularly acute in regional Western Australia and regional Queensland, with six of the top eight vacancy ratios relating to those two regional areas. More broadly, labour demand for Electricians appears to be more pronounced in northern Australia than in south-eastern Australia (as represented by lower vacancy ratios across most regions within New South Wales, Victoria, Tasmania and the Australian Capital Territory).</w:t>
      </w:r>
    </w:p>
    <w:p w14:paraId="1662B235" w14:textId="77777777" w:rsidR="00AD383B" w:rsidRDefault="00AD383B" w:rsidP="00CA6231">
      <w:pPr>
        <w:pStyle w:val="Bodycopy"/>
        <w:rPr>
          <w:rFonts w:cs="Arial"/>
        </w:rPr>
      </w:pPr>
    </w:p>
    <w:bookmarkEnd w:id="4"/>
    <w:p w14:paraId="728F250D" w14:textId="419602F8" w:rsidR="00D92118" w:rsidRPr="00CA6231" w:rsidRDefault="00D92118" w:rsidP="00CA6231">
      <w:pPr>
        <w:pStyle w:val="Heading1"/>
        <w:rPr>
          <w:rFonts w:cs="Arial"/>
        </w:rPr>
      </w:pPr>
    </w:p>
    <w:sectPr w:rsidR="00D92118" w:rsidRPr="00CA6231" w:rsidSect="00C40E20">
      <w:footerReference w:type="default" r:id="rId30"/>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798AF" w14:textId="77777777" w:rsidR="0017266E" w:rsidRDefault="0017266E" w:rsidP="000D6745">
      <w:r>
        <w:separator/>
      </w:r>
    </w:p>
  </w:endnote>
  <w:endnote w:type="continuationSeparator" w:id="0">
    <w:p w14:paraId="1A196334" w14:textId="77777777" w:rsidR="0017266E" w:rsidRDefault="0017266E" w:rsidP="000D6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E510" w14:textId="5CD4D7CA" w:rsidR="003708C1" w:rsidRPr="00C40E20" w:rsidRDefault="005E5AA3" w:rsidP="00C40E20">
    <w:pPr>
      <w:pStyle w:val="Footer"/>
    </w:pPr>
    <w:r>
      <w:rPr>
        <w:szCs w:val="18"/>
      </w:rPr>
      <w:t>Jobs and Skills Australia</w:t>
    </w:r>
    <w:r w:rsidRPr="00030D27">
      <w:rPr>
        <w:szCs w:val="18"/>
      </w:rPr>
      <w:t xml:space="preserve">: Labour Market Update, </w:t>
    </w:r>
    <w:r>
      <w:rPr>
        <w:szCs w:val="18"/>
      </w:rPr>
      <w:t xml:space="preserve">September 2023 </w:t>
    </w:r>
    <w:r w:rsidR="00C40E20" w:rsidRPr="007B237E">
      <w:t xml:space="preserve">| </w:t>
    </w:r>
    <w:sdt>
      <w:sdtPr>
        <w:id w:val="1230123552"/>
        <w:docPartObj>
          <w:docPartGallery w:val="Page Numbers (Bottom of Page)"/>
          <w:docPartUnique/>
        </w:docPartObj>
      </w:sdtPr>
      <w:sdtEndPr>
        <w:rPr>
          <w:noProof/>
        </w:rPr>
      </w:sdtEndPr>
      <w:sdtContent>
        <w:r w:rsidR="00C40E20" w:rsidRPr="007B237E">
          <w:fldChar w:fldCharType="begin"/>
        </w:r>
        <w:r w:rsidR="00C40E20" w:rsidRPr="007B237E">
          <w:instrText xml:space="preserve"> PAGE   \* MERGEFORMAT </w:instrText>
        </w:r>
        <w:r w:rsidR="00C40E20" w:rsidRPr="007B237E">
          <w:fldChar w:fldCharType="separate"/>
        </w:r>
        <w:r w:rsidR="00C40E20">
          <w:t>5</w:t>
        </w:r>
        <w:r w:rsidR="00C40E20" w:rsidRPr="007B237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95E86" w14:textId="77777777" w:rsidR="0017266E" w:rsidRDefault="0017266E" w:rsidP="000D6745">
      <w:r>
        <w:separator/>
      </w:r>
    </w:p>
  </w:footnote>
  <w:footnote w:type="continuationSeparator" w:id="0">
    <w:p w14:paraId="6C0C20D8" w14:textId="77777777" w:rsidR="0017266E" w:rsidRDefault="0017266E" w:rsidP="000D6745">
      <w:r>
        <w:continuationSeparator/>
      </w:r>
    </w:p>
  </w:footnote>
  <w:footnote w:id="1">
    <w:p w14:paraId="345BAA8D" w14:textId="77777777" w:rsidR="00BA25BD" w:rsidRDefault="00BA25BD" w:rsidP="00BA25BD">
      <w:pPr>
        <w:pStyle w:val="FootnoteText"/>
      </w:pPr>
      <w:r>
        <w:rPr>
          <w:rStyle w:val="FootnoteReference"/>
        </w:rPr>
        <w:footnoteRef/>
      </w:r>
      <w:r>
        <w:t xml:space="preserve"> </w:t>
      </w:r>
      <w:r w:rsidRPr="003A24F4">
        <w:t xml:space="preserve">Earliest available data in 12-month average </w:t>
      </w:r>
      <w:r w:rsidRPr="003A24F4">
        <w:rPr>
          <w:i/>
          <w:iCs/>
        </w:rPr>
        <w:t>original</w:t>
      </w:r>
      <w:r w:rsidRPr="003A24F4">
        <w:t xml:space="preserve"> terms are for December 1991.</w:t>
      </w:r>
    </w:p>
  </w:footnote>
  <w:footnote w:id="2">
    <w:p w14:paraId="44ADFB19" w14:textId="77777777" w:rsidR="00BA6960" w:rsidRPr="0008603C" w:rsidRDefault="00BA6960" w:rsidP="00BA6960">
      <w:pPr>
        <w:pStyle w:val="FootnoteText"/>
        <w:rPr>
          <w:rFonts w:cs="Arial"/>
          <w:sz w:val="18"/>
          <w:szCs w:val="18"/>
        </w:rPr>
      </w:pPr>
      <w:r w:rsidRPr="0008603C">
        <w:rPr>
          <w:rStyle w:val="FootnoteReference"/>
          <w:rFonts w:cs="Arial"/>
          <w:color w:val="auto"/>
          <w:sz w:val="18"/>
          <w:szCs w:val="18"/>
        </w:rPr>
        <w:footnoteRef/>
      </w:r>
      <w:r w:rsidRPr="0008603C">
        <w:rPr>
          <w:rFonts w:cs="Arial"/>
          <w:color w:val="auto"/>
          <w:sz w:val="18"/>
          <w:szCs w:val="18"/>
        </w:rPr>
        <w:t xml:space="preserve"> SA4 regions and GCC areas as attributed by ABS, Australian Statistical Geography Standard (ASGS) Edition 3.</w:t>
      </w:r>
    </w:p>
  </w:footnote>
  <w:footnote w:id="3">
    <w:p w14:paraId="20620C95" w14:textId="77777777" w:rsidR="002923C4" w:rsidRDefault="002923C4" w:rsidP="002923C4">
      <w:pPr>
        <w:pStyle w:val="FootnoteText"/>
      </w:pPr>
      <w:r>
        <w:rPr>
          <w:rStyle w:val="FootnoteReference"/>
        </w:rPr>
        <w:footnoteRef/>
      </w:r>
      <w:r>
        <w:t xml:space="preserve"> </w:t>
      </w:r>
      <w:r w:rsidRPr="00EC1F70">
        <w:rPr>
          <w:rFonts w:cs="Arial"/>
          <w:sz w:val="18"/>
          <w:szCs w:val="18"/>
        </w:rPr>
        <w:t>The University of Sydney</w:t>
      </w:r>
      <w:r w:rsidRPr="008F596A">
        <w:rPr>
          <w:rFonts w:cs="Arial"/>
          <w:i/>
          <w:iCs/>
          <w:sz w:val="18"/>
          <w:szCs w:val="18"/>
        </w:rPr>
        <w:t>, Moving on from COVID means facing its impact on mental health</w:t>
      </w:r>
      <w:r w:rsidRPr="00EC1F70">
        <w:rPr>
          <w:rFonts w:cs="Arial"/>
          <w:sz w:val="18"/>
          <w:szCs w:val="18"/>
        </w:rPr>
        <w:t>, March 2023</w:t>
      </w:r>
    </w:p>
  </w:footnote>
  <w:footnote w:id="4">
    <w:p w14:paraId="6C897BCE" w14:textId="77777777" w:rsidR="002923C4" w:rsidRPr="007D0376" w:rsidRDefault="002923C4" w:rsidP="002923C4">
      <w:pPr>
        <w:pStyle w:val="FootnoteText"/>
        <w:rPr>
          <w:rFonts w:cs="Arial"/>
          <w:sz w:val="18"/>
          <w:szCs w:val="18"/>
        </w:rPr>
      </w:pPr>
      <w:r w:rsidRPr="007D0376">
        <w:rPr>
          <w:rStyle w:val="FootnoteReference"/>
          <w:rFonts w:cs="Arial"/>
          <w:sz w:val="18"/>
          <w:szCs w:val="18"/>
        </w:rPr>
        <w:footnoteRef/>
      </w:r>
      <w:r w:rsidRPr="007D0376">
        <w:rPr>
          <w:rFonts w:cs="Arial"/>
          <w:sz w:val="18"/>
          <w:szCs w:val="18"/>
        </w:rPr>
        <w:t xml:space="preserve"> The Property Tribune, </w:t>
      </w:r>
      <w:r w:rsidRPr="008F596A">
        <w:rPr>
          <w:rFonts w:cs="Arial"/>
          <w:i/>
          <w:iCs/>
          <w:sz w:val="18"/>
          <w:szCs w:val="18"/>
        </w:rPr>
        <w:t>Childcare centre market poised for growth in 2023</w:t>
      </w:r>
      <w:r w:rsidRPr="007D0376">
        <w:rPr>
          <w:rFonts w:cs="Arial"/>
          <w:sz w:val="18"/>
          <w:szCs w:val="18"/>
        </w:rPr>
        <w:t>, 2023.</w:t>
      </w:r>
    </w:p>
  </w:footnote>
  <w:footnote w:id="5">
    <w:p w14:paraId="3AA81380" w14:textId="77777777" w:rsidR="00D90DB9" w:rsidRDefault="00D90DB9" w:rsidP="00D90DB9">
      <w:pPr>
        <w:pStyle w:val="FootnoteText"/>
      </w:pPr>
      <w:r>
        <w:rPr>
          <w:rStyle w:val="FootnoteReference"/>
        </w:rPr>
        <w:footnoteRef/>
      </w:r>
      <w:r>
        <w:t xml:space="preserve"> </w:t>
      </w:r>
      <w:r w:rsidRPr="00EC1F70">
        <w:rPr>
          <w:rFonts w:cs="Arial"/>
          <w:sz w:val="18"/>
          <w:szCs w:val="18"/>
        </w:rPr>
        <w:t xml:space="preserve">Australian Medical Association, </w:t>
      </w:r>
      <w:r w:rsidRPr="008F596A">
        <w:rPr>
          <w:rFonts w:cs="Arial"/>
          <w:i/>
          <w:iCs/>
          <w:sz w:val="18"/>
          <w:szCs w:val="18"/>
        </w:rPr>
        <w:t>Addressing the elective surgery backlog</w:t>
      </w:r>
      <w:r w:rsidRPr="00EC1F70">
        <w:rPr>
          <w:rFonts w:cs="Arial"/>
          <w:sz w:val="18"/>
          <w:szCs w:val="18"/>
        </w:rPr>
        <w:t>, January 2023</w:t>
      </w:r>
    </w:p>
  </w:footnote>
  <w:footnote w:id="6">
    <w:p w14:paraId="5D00E958" w14:textId="77777777" w:rsidR="00D90DB9" w:rsidRDefault="00D90DB9" w:rsidP="00D90DB9">
      <w:pPr>
        <w:pStyle w:val="FootnoteText"/>
      </w:pPr>
      <w:r>
        <w:rPr>
          <w:rStyle w:val="FootnoteReference"/>
        </w:rPr>
        <w:footnoteRef/>
      </w:r>
      <w:r>
        <w:t xml:space="preserve"> </w:t>
      </w:r>
      <w:r w:rsidRPr="007D0376">
        <w:rPr>
          <w:rFonts w:cs="Arial"/>
          <w:sz w:val="18"/>
          <w:szCs w:val="18"/>
        </w:rPr>
        <w:t xml:space="preserve">Australian Government, </w:t>
      </w:r>
      <w:r w:rsidRPr="008F596A">
        <w:rPr>
          <w:rFonts w:cs="Arial"/>
          <w:i/>
          <w:iCs/>
          <w:sz w:val="18"/>
          <w:szCs w:val="18"/>
        </w:rPr>
        <w:t>Budget strategy and outlook paper no. 1: 2022-23</w:t>
      </w:r>
      <w:r w:rsidRPr="007D0376">
        <w:rPr>
          <w:rFonts w:cs="Arial"/>
          <w:sz w:val="18"/>
          <w:szCs w:val="18"/>
        </w:rPr>
        <w:t>, (Canberra: Australian Government, 2022), 151.</w:t>
      </w:r>
    </w:p>
  </w:footnote>
  <w:footnote w:id="7">
    <w:p w14:paraId="0704B8A1" w14:textId="77777777" w:rsidR="00D90DB9" w:rsidRPr="00362156" w:rsidRDefault="00D90DB9" w:rsidP="00D90DB9">
      <w:pPr>
        <w:pStyle w:val="FootnoteText"/>
        <w:rPr>
          <w:rFonts w:cs="Arial"/>
          <w:sz w:val="18"/>
          <w:szCs w:val="18"/>
        </w:rPr>
      </w:pPr>
      <w:r>
        <w:rPr>
          <w:rStyle w:val="FootnoteReference"/>
        </w:rPr>
        <w:footnoteRef/>
      </w:r>
      <w:r>
        <w:t xml:space="preserve"> </w:t>
      </w:r>
      <w:r w:rsidRPr="007D0376">
        <w:rPr>
          <w:rFonts w:cs="Arial"/>
          <w:sz w:val="18"/>
          <w:szCs w:val="18"/>
        </w:rPr>
        <w:t xml:space="preserve">RBA, </w:t>
      </w:r>
      <w:r w:rsidRPr="007D0376">
        <w:rPr>
          <w:rFonts w:cs="Arial"/>
          <w:i/>
          <w:iCs/>
          <w:sz w:val="18"/>
          <w:szCs w:val="18"/>
        </w:rPr>
        <w:t>Statement on Monetary Policy</w:t>
      </w:r>
      <w:r w:rsidRPr="007D0376">
        <w:rPr>
          <w:rFonts w:cs="Arial"/>
          <w:sz w:val="18"/>
          <w:szCs w:val="18"/>
        </w:rPr>
        <w:t xml:space="preserve">, </w:t>
      </w:r>
      <w:r>
        <w:rPr>
          <w:rFonts w:cs="Arial"/>
          <w:sz w:val="18"/>
          <w:szCs w:val="18"/>
        </w:rPr>
        <w:t>May</w:t>
      </w:r>
      <w:r w:rsidRPr="007D0376">
        <w:rPr>
          <w:rFonts w:cs="Arial"/>
          <w:sz w:val="18"/>
          <w:szCs w:val="18"/>
        </w:rPr>
        <w:t xml:space="preserve"> 2023.</w:t>
      </w:r>
    </w:p>
  </w:footnote>
  <w:footnote w:id="8">
    <w:p w14:paraId="5B2B9BEE" w14:textId="77777777" w:rsidR="00D90DB9" w:rsidRPr="007D0376" w:rsidRDefault="00D90DB9" w:rsidP="00D90DB9">
      <w:pPr>
        <w:pStyle w:val="FootnoteText"/>
        <w:rPr>
          <w:rFonts w:cs="Arial"/>
          <w:sz w:val="18"/>
          <w:szCs w:val="18"/>
        </w:rPr>
      </w:pPr>
      <w:r w:rsidRPr="007D0376">
        <w:rPr>
          <w:rStyle w:val="FootnoteReference"/>
          <w:rFonts w:cs="Arial"/>
          <w:sz w:val="18"/>
          <w:szCs w:val="18"/>
        </w:rPr>
        <w:footnoteRef/>
      </w:r>
      <w:r w:rsidRPr="007D0376">
        <w:rPr>
          <w:rFonts w:cs="Arial"/>
          <w:sz w:val="18"/>
          <w:szCs w:val="18"/>
        </w:rPr>
        <w:t xml:space="preserve"> RBA, </w:t>
      </w:r>
      <w:r w:rsidRPr="007D0376">
        <w:rPr>
          <w:rFonts w:cs="Arial"/>
          <w:i/>
          <w:iCs/>
          <w:sz w:val="18"/>
          <w:szCs w:val="18"/>
        </w:rPr>
        <w:t>Statement on Monetary Policy</w:t>
      </w:r>
      <w:r w:rsidRPr="007D0376">
        <w:rPr>
          <w:rFonts w:cs="Arial"/>
          <w:sz w:val="18"/>
          <w:szCs w:val="18"/>
        </w:rPr>
        <w:t xml:space="preserve">, </w:t>
      </w:r>
      <w:r>
        <w:rPr>
          <w:rFonts w:cs="Arial"/>
          <w:sz w:val="18"/>
          <w:szCs w:val="18"/>
        </w:rPr>
        <w:t>May</w:t>
      </w:r>
      <w:r w:rsidRPr="007D0376">
        <w:rPr>
          <w:rFonts w:cs="Arial"/>
          <w:sz w:val="18"/>
          <w:szCs w:val="18"/>
        </w:rPr>
        <w:t xml:space="preserve"> 2023.</w:t>
      </w:r>
    </w:p>
  </w:footnote>
  <w:footnote w:id="9">
    <w:p w14:paraId="3309D014" w14:textId="77777777" w:rsidR="00D90DB9" w:rsidRDefault="00D90DB9" w:rsidP="00D90DB9">
      <w:pPr>
        <w:pStyle w:val="FootnoteText"/>
      </w:pPr>
      <w:r>
        <w:rPr>
          <w:rStyle w:val="FootnoteReference"/>
        </w:rPr>
        <w:footnoteRef/>
      </w:r>
      <w:r>
        <w:t xml:space="preserve"> </w:t>
      </w:r>
      <w:r w:rsidRPr="007D0376">
        <w:rPr>
          <w:rFonts w:cs="Arial"/>
          <w:sz w:val="18"/>
          <w:szCs w:val="18"/>
        </w:rPr>
        <w:t xml:space="preserve">The Property Tribune, </w:t>
      </w:r>
      <w:r w:rsidRPr="008F596A">
        <w:rPr>
          <w:rFonts w:cs="Arial"/>
          <w:i/>
          <w:iCs/>
          <w:sz w:val="18"/>
          <w:szCs w:val="18"/>
        </w:rPr>
        <w:t>Childcare centre market poised for growth in 2023</w:t>
      </w:r>
      <w:r w:rsidRPr="007D0376">
        <w:rPr>
          <w:rFonts w:cs="Arial"/>
          <w:sz w:val="18"/>
          <w:szCs w:val="18"/>
        </w:rPr>
        <w:t>, 2023.</w:t>
      </w:r>
    </w:p>
  </w:footnote>
  <w:footnote w:id="10">
    <w:p w14:paraId="1A806835" w14:textId="77777777" w:rsidR="00D90DB9" w:rsidRPr="00951FCE" w:rsidRDefault="00D90DB9" w:rsidP="00D90DB9">
      <w:pPr>
        <w:pStyle w:val="FootnoteText"/>
        <w:rPr>
          <w:rFonts w:cstheme="minorHAnsi"/>
          <w:sz w:val="18"/>
          <w:szCs w:val="18"/>
        </w:rPr>
      </w:pPr>
      <w:r w:rsidRPr="00951FCE">
        <w:rPr>
          <w:rStyle w:val="FootnoteReference"/>
          <w:rFonts w:cstheme="minorHAnsi"/>
          <w:sz w:val="18"/>
          <w:szCs w:val="18"/>
        </w:rPr>
        <w:footnoteRef/>
      </w:r>
      <w:r w:rsidRPr="00951FCE">
        <w:rPr>
          <w:rFonts w:cstheme="minorHAnsi"/>
          <w:sz w:val="18"/>
          <w:szCs w:val="18"/>
        </w:rPr>
        <w:t xml:space="preserve"> ABS, </w:t>
      </w:r>
      <w:r w:rsidRPr="00951FCE">
        <w:rPr>
          <w:rFonts w:cstheme="minorHAnsi"/>
          <w:i/>
          <w:iCs/>
          <w:sz w:val="18"/>
          <w:szCs w:val="18"/>
        </w:rPr>
        <w:t>Australian National Accounts: National Income, Expenditure and Product</w:t>
      </w:r>
      <w:r w:rsidRPr="00951FCE">
        <w:rPr>
          <w:rFonts w:cstheme="minorHAnsi"/>
          <w:sz w:val="18"/>
          <w:szCs w:val="18"/>
        </w:rPr>
        <w:t>, March 2023.</w:t>
      </w:r>
    </w:p>
  </w:footnote>
  <w:footnote w:id="11">
    <w:p w14:paraId="51CB7704" w14:textId="77777777" w:rsidR="00AD1F69" w:rsidRDefault="00AD1F69" w:rsidP="00AD1F69">
      <w:pPr>
        <w:pStyle w:val="FootnoteText"/>
        <w:rPr>
          <w:sz w:val="16"/>
          <w:szCs w:val="16"/>
        </w:rPr>
      </w:pPr>
      <w:r>
        <w:rPr>
          <w:rStyle w:val="FootnoteReference"/>
        </w:rPr>
        <w:footnoteRef/>
      </w:r>
      <w:r>
        <w:t xml:space="preserve"> </w:t>
      </w:r>
      <w:r w:rsidRPr="00733177">
        <w:rPr>
          <w:sz w:val="16"/>
          <w:szCs w:val="16"/>
        </w:rPr>
        <w:t xml:space="preserve">SEEK, </w:t>
      </w:r>
      <w:r w:rsidRPr="00733177">
        <w:rPr>
          <w:i/>
          <w:iCs/>
          <w:sz w:val="16"/>
          <w:szCs w:val="16"/>
        </w:rPr>
        <w:t>Advertised Salary Index</w:t>
      </w:r>
      <w:r w:rsidRPr="00733177">
        <w:rPr>
          <w:sz w:val="16"/>
          <w:szCs w:val="16"/>
        </w:rPr>
        <w:t xml:space="preserve">, </w:t>
      </w:r>
      <w:r>
        <w:rPr>
          <w:sz w:val="16"/>
          <w:szCs w:val="16"/>
        </w:rPr>
        <w:t>June 2023</w:t>
      </w:r>
    </w:p>
    <w:p w14:paraId="05A1C0CE" w14:textId="77777777" w:rsidR="00AD1F69" w:rsidRDefault="00AD1F69" w:rsidP="00AD1F69">
      <w:pPr>
        <w:pStyle w:val="FootnoteText"/>
      </w:pPr>
    </w:p>
  </w:footnote>
  <w:footnote w:id="12">
    <w:p w14:paraId="296E44FA" w14:textId="77777777" w:rsidR="00AD1F69" w:rsidRDefault="00AD1F69" w:rsidP="00AD1F69">
      <w:pPr>
        <w:pStyle w:val="FootnoteText"/>
      </w:pPr>
      <w:r>
        <w:rPr>
          <w:rStyle w:val="FootnoteReference"/>
        </w:rPr>
        <w:footnoteRef/>
      </w:r>
      <w:r>
        <w:t xml:space="preserve"> </w:t>
      </w:r>
      <w:r w:rsidRPr="00736E13">
        <w:rPr>
          <w:sz w:val="16"/>
          <w:szCs w:val="16"/>
        </w:rPr>
        <w:t>The regional skills pressure indicator relies upon the Nowcast of Employment by Region and Occupation (NERO). NERO has been used to develop and publish monthly estimates of current employment levels for 355 occupations across 88 regions, with more than 31,000 observations for any one month. Prior to the release of NERO, detailed data of employment by occupation and region were only readily available every five years from the ABS Census of Population and Housing.</w:t>
      </w:r>
      <w:r w:rsidRPr="00C53A6F">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A0AB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46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45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52D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2A15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DF2DE40"/>
    <w:lvl w:ilvl="0">
      <w:start w:val="1"/>
      <w:numFmt w:val="decimal"/>
      <w:lvlText w:val="%1."/>
      <w:lvlJc w:val="left"/>
      <w:pPr>
        <w:tabs>
          <w:tab w:val="num" w:pos="360"/>
        </w:tabs>
        <w:ind w:left="360" w:hanging="360"/>
      </w:pPr>
    </w:lvl>
  </w:abstractNum>
  <w:abstractNum w:abstractNumId="6" w15:restartNumberingAfterBreak="0">
    <w:nsid w:val="097C163D"/>
    <w:multiLevelType w:val="hybridMultilevel"/>
    <w:tmpl w:val="594C2E34"/>
    <w:lvl w:ilvl="0" w:tplc="0C090001">
      <w:start w:val="1"/>
      <w:numFmt w:val="bullet"/>
      <w:lvlText w:val=""/>
      <w:lvlJc w:val="left"/>
      <w:pPr>
        <w:ind w:left="720" w:hanging="360"/>
      </w:pPr>
      <w:rPr>
        <w:rFonts w:ascii="Symbol" w:hAnsi="Symbol" w:hint="default"/>
      </w:rPr>
    </w:lvl>
    <w:lvl w:ilvl="1" w:tplc="70D2A66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4471B6"/>
    <w:multiLevelType w:val="multilevel"/>
    <w:tmpl w:val="F692C438"/>
    <w:lvl w:ilvl="0">
      <w:start w:val="1"/>
      <w:numFmt w:val="none"/>
      <w:pStyle w:val="Source"/>
      <w:suff w:val="space"/>
      <w:lvlText w:val="Source:"/>
      <w:lvlJc w:val="left"/>
      <w:pPr>
        <w:ind w:left="6181" w:hanging="51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
      <w:lvlJc w:val="left"/>
      <w:pPr>
        <w:ind w:left="579" w:hanging="360"/>
      </w:pPr>
      <w:rPr>
        <w:rFonts w:hint="default"/>
      </w:rPr>
    </w:lvl>
    <w:lvl w:ilvl="2">
      <w:start w:val="1"/>
      <w:numFmt w:val="none"/>
      <w:lvlText w:val=""/>
      <w:lvlJc w:val="left"/>
      <w:pPr>
        <w:ind w:left="939" w:hanging="360"/>
      </w:pPr>
      <w:rPr>
        <w:rFonts w:hint="default"/>
      </w:rPr>
    </w:lvl>
    <w:lvl w:ilvl="3">
      <w:start w:val="1"/>
      <w:numFmt w:val="none"/>
      <w:lvlText w:val=""/>
      <w:lvlJc w:val="left"/>
      <w:pPr>
        <w:ind w:left="1299" w:hanging="360"/>
      </w:pPr>
      <w:rPr>
        <w:rFonts w:hint="default"/>
      </w:rPr>
    </w:lvl>
    <w:lvl w:ilvl="4">
      <w:start w:val="1"/>
      <w:numFmt w:val="none"/>
      <w:lvlText w:val=""/>
      <w:lvlJc w:val="left"/>
      <w:pPr>
        <w:ind w:left="1659" w:hanging="360"/>
      </w:pPr>
      <w:rPr>
        <w:rFonts w:hint="default"/>
      </w:rPr>
    </w:lvl>
    <w:lvl w:ilvl="5">
      <w:start w:val="1"/>
      <w:numFmt w:val="none"/>
      <w:lvlText w:val=""/>
      <w:lvlJc w:val="left"/>
      <w:pPr>
        <w:ind w:left="2019" w:hanging="360"/>
      </w:pPr>
      <w:rPr>
        <w:rFonts w:hint="default"/>
      </w:rPr>
    </w:lvl>
    <w:lvl w:ilvl="6">
      <w:start w:val="1"/>
      <w:numFmt w:val="none"/>
      <w:lvlText w:val=""/>
      <w:lvlJc w:val="left"/>
      <w:pPr>
        <w:ind w:left="2379" w:hanging="360"/>
      </w:pPr>
      <w:rPr>
        <w:rFonts w:hint="default"/>
      </w:rPr>
    </w:lvl>
    <w:lvl w:ilvl="7">
      <w:start w:val="1"/>
      <w:numFmt w:val="none"/>
      <w:lvlText w:val=""/>
      <w:lvlJc w:val="left"/>
      <w:pPr>
        <w:ind w:left="2739" w:hanging="360"/>
      </w:pPr>
      <w:rPr>
        <w:rFonts w:hint="default"/>
      </w:rPr>
    </w:lvl>
    <w:lvl w:ilvl="8">
      <w:start w:val="1"/>
      <w:numFmt w:val="none"/>
      <w:lvlText w:val=""/>
      <w:lvlJc w:val="left"/>
      <w:pPr>
        <w:ind w:left="3099" w:hanging="360"/>
      </w:pPr>
      <w:rPr>
        <w:rFonts w:hint="default"/>
      </w:rPr>
    </w:lvl>
  </w:abstractNum>
  <w:abstractNum w:abstractNumId="8" w15:restartNumberingAfterBreak="0">
    <w:nsid w:val="1D585F53"/>
    <w:multiLevelType w:val="multilevel"/>
    <w:tmpl w:val="3DD44284"/>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9" w15:restartNumberingAfterBreak="0">
    <w:nsid w:val="27D85117"/>
    <w:multiLevelType w:val="hybridMultilevel"/>
    <w:tmpl w:val="3D4AC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667452"/>
    <w:multiLevelType w:val="multilevel"/>
    <w:tmpl w:val="873ED2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76F56A1"/>
    <w:multiLevelType w:val="multilevel"/>
    <w:tmpl w:val="285CD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8D46861"/>
    <w:multiLevelType w:val="hybridMultilevel"/>
    <w:tmpl w:val="878A4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FEB691B"/>
    <w:multiLevelType w:val="multilevel"/>
    <w:tmpl w:val="2362D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1A80D02"/>
    <w:multiLevelType w:val="hybridMultilevel"/>
    <w:tmpl w:val="158ABB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B2B0659"/>
    <w:multiLevelType w:val="multilevel"/>
    <w:tmpl w:val="5CDE4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23567750">
    <w:abstractNumId w:val="15"/>
  </w:num>
  <w:num w:numId="2" w16cid:durableId="1933509729">
    <w:abstractNumId w:val="11"/>
  </w:num>
  <w:num w:numId="3" w16cid:durableId="749542549">
    <w:abstractNumId w:val="6"/>
  </w:num>
  <w:num w:numId="4" w16cid:durableId="1985700103">
    <w:abstractNumId w:val="13"/>
  </w:num>
  <w:num w:numId="5" w16cid:durableId="1522283635">
    <w:abstractNumId w:val="14"/>
  </w:num>
  <w:num w:numId="6" w16cid:durableId="839856642">
    <w:abstractNumId w:val="10"/>
  </w:num>
  <w:num w:numId="7" w16cid:durableId="2099864758">
    <w:abstractNumId w:val="8"/>
  </w:num>
  <w:num w:numId="8" w16cid:durableId="1232618755">
    <w:abstractNumId w:val="4"/>
  </w:num>
  <w:num w:numId="9" w16cid:durableId="1449274571">
    <w:abstractNumId w:val="5"/>
  </w:num>
  <w:num w:numId="10" w16cid:durableId="1921668770">
    <w:abstractNumId w:val="3"/>
  </w:num>
  <w:num w:numId="11" w16cid:durableId="932476104">
    <w:abstractNumId w:val="2"/>
  </w:num>
  <w:num w:numId="12" w16cid:durableId="116145504">
    <w:abstractNumId w:val="1"/>
  </w:num>
  <w:num w:numId="13" w16cid:durableId="1045716321">
    <w:abstractNumId w:val="0"/>
  </w:num>
  <w:num w:numId="14" w16cid:durableId="1850830820">
    <w:abstractNumId w:val="9"/>
  </w:num>
  <w:num w:numId="15" w16cid:durableId="409617483">
    <w:abstractNumId w:val="7"/>
  </w:num>
  <w:num w:numId="16" w16cid:durableId="3618288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3C83"/>
    <w:rsid w:val="00007F67"/>
    <w:rsid w:val="00015275"/>
    <w:rsid w:val="00027A63"/>
    <w:rsid w:val="00035D98"/>
    <w:rsid w:val="00037EB9"/>
    <w:rsid w:val="000404CE"/>
    <w:rsid w:val="000418EC"/>
    <w:rsid w:val="00042611"/>
    <w:rsid w:val="000562F9"/>
    <w:rsid w:val="00056BFE"/>
    <w:rsid w:val="00073193"/>
    <w:rsid w:val="00076AE6"/>
    <w:rsid w:val="00095E11"/>
    <w:rsid w:val="000A145A"/>
    <w:rsid w:val="000A6658"/>
    <w:rsid w:val="000A7F1E"/>
    <w:rsid w:val="000B4E84"/>
    <w:rsid w:val="000B6324"/>
    <w:rsid w:val="000D6745"/>
    <w:rsid w:val="000E202A"/>
    <w:rsid w:val="000E38BA"/>
    <w:rsid w:val="000E7042"/>
    <w:rsid w:val="00107FDB"/>
    <w:rsid w:val="001214E9"/>
    <w:rsid w:val="001241DD"/>
    <w:rsid w:val="00125C36"/>
    <w:rsid w:val="001303A8"/>
    <w:rsid w:val="00143208"/>
    <w:rsid w:val="001478CF"/>
    <w:rsid w:val="00161D76"/>
    <w:rsid w:val="00167BAA"/>
    <w:rsid w:val="0017266E"/>
    <w:rsid w:val="00172B0B"/>
    <w:rsid w:val="00175559"/>
    <w:rsid w:val="001756CF"/>
    <w:rsid w:val="001A35C0"/>
    <w:rsid w:val="001B0404"/>
    <w:rsid w:val="001C0AE9"/>
    <w:rsid w:val="001C0CB2"/>
    <w:rsid w:val="001C0D18"/>
    <w:rsid w:val="001C381D"/>
    <w:rsid w:val="001C5A88"/>
    <w:rsid w:val="001D6A5A"/>
    <w:rsid w:val="001E4423"/>
    <w:rsid w:val="001F59D3"/>
    <w:rsid w:val="001F723D"/>
    <w:rsid w:val="001F780F"/>
    <w:rsid w:val="00206249"/>
    <w:rsid w:val="0024392D"/>
    <w:rsid w:val="00243FA4"/>
    <w:rsid w:val="00251BA7"/>
    <w:rsid w:val="002546E6"/>
    <w:rsid w:val="002618DF"/>
    <w:rsid w:val="00261D00"/>
    <w:rsid w:val="002633D9"/>
    <w:rsid w:val="00280AC6"/>
    <w:rsid w:val="002824C3"/>
    <w:rsid w:val="00287472"/>
    <w:rsid w:val="002923C4"/>
    <w:rsid w:val="002950ED"/>
    <w:rsid w:val="00295B33"/>
    <w:rsid w:val="00296EE3"/>
    <w:rsid w:val="002A4B17"/>
    <w:rsid w:val="002B235E"/>
    <w:rsid w:val="002B5502"/>
    <w:rsid w:val="002C0B5F"/>
    <w:rsid w:val="002C30E8"/>
    <w:rsid w:val="002D603D"/>
    <w:rsid w:val="002E6E2F"/>
    <w:rsid w:val="002F3BE9"/>
    <w:rsid w:val="002F3EB5"/>
    <w:rsid w:val="002F5690"/>
    <w:rsid w:val="003060CC"/>
    <w:rsid w:val="00310CA1"/>
    <w:rsid w:val="00313B29"/>
    <w:rsid w:val="00314E27"/>
    <w:rsid w:val="00327AB4"/>
    <w:rsid w:val="0033672A"/>
    <w:rsid w:val="00336A5A"/>
    <w:rsid w:val="00344F5B"/>
    <w:rsid w:val="0035131B"/>
    <w:rsid w:val="00352D17"/>
    <w:rsid w:val="00360D5E"/>
    <w:rsid w:val="00366923"/>
    <w:rsid w:val="003708C1"/>
    <w:rsid w:val="00377D63"/>
    <w:rsid w:val="00383F0B"/>
    <w:rsid w:val="0039115D"/>
    <w:rsid w:val="003926FD"/>
    <w:rsid w:val="003A014E"/>
    <w:rsid w:val="003A2337"/>
    <w:rsid w:val="003A6FE5"/>
    <w:rsid w:val="003B29FF"/>
    <w:rsid w:val="003B30B2"/>
    <w:rsid w:val="003B474F"/>
    <w:rsid w:val="003E3395"/>
    <w:rsid w:val="00411E1F"/>
    <w:rsid w:val="00413EF6"/>
    <w:rsid w:val="00414A4A"/>
    <w:rsid w:val="00422AD4"/>
    <w:rsid w:val="00431BE4"/>
    <w:rsid w:val="00431BFC"/>
    <w:rsid w:val="0044001E"/>
    <w:rsid w:val="00440C82"/>
    <w:rsid w:val="004440ED"/>
    <w:rsid w:val="00465736"/>
    <w:rsid w:val="00476222"/>
    <w:rsid w:val="004773D3"/>
    <w:rsid w:val="004879AF"/>
    <w:rsid w:val="00490A57"/>
    <w:rsid w:val="0049FB45"/>
    <w:rsid w:val="004A05E9"/>
    <w:rsid w:val="004C705B"/>
    <w:rsid w:val="004D22A5"/>
    <w:rsid w:val="004D3224"/>
    <w:rsid w:val="004D3A08"/>
    <w:rsid w:val="004E47E6"/>
    <w:rsid w:val="005109B7"/>
    <w:rsid w:val="00513C8F"/>
    <w:rsid w:val="00514AAB"/>
    <w:rsid w:val="0051766D"/>
    <w:rsid w:val="00537E3E"/>
    <w:rsid w:val="00543D06"/>
    <w:rsid w:val="0056449D"/>
    <w:rsid w:val="0057143D"/>
    <w:rsid w:val="00572133"/>
    <w:rsid w:val="00573189"/>
    <w:rsid w:val="00591554"/>
    <w:rsid w:val="00597EF7"/>
    <w:rsid w:val="005A0FFD"/>
    <w:rsid w:val="005A2862"/>
    <w:rsid w:val="005A6549"/>
    <w:rsid w:val="005A655C"/>
    <w:rsid w:val="005A7662"/>
    <w:rsid w:val="005B14D4"/>
    <w:rsid w:val="005B22A3"/>
    <w:rsid w:val="005B2318"/>
    <w:rsid w:val="005B60AC"/>
    <w:rsid w:val="005C6471"/>
    <w:rsid w:val="005D467D"/>
    <w:rsid w:val="005E5AA3"/>
    <w:rsid w:val="005F1E8D"/>
    <w:rsid w:val="006029D6"/>
    <w:rsid w:val="006066C4"/>
    <w:rsid w:val="00631EB8"/>
    <w:rsid w:val="0064002D"/>
    <w:rsid w:val="00646C63"/>
    <w:rsid w:val="006606E0"/>
    <w:rsid w:val="00665A41"/>
    <w:rsid w:val="006670A4"/>
    <w:rsid w:val="00677034"/>
    <w:rsid w:val="006860A8"/>
    <w:rsid w:val="00686EFC"/>
    <w:rsid w:val="00693E00"/>
    <w:rsid w:val="006A2FE4"/>
    <w:rsid w:val="006A529A"/>
    <w:rsid w:val="006B035B"/>
    <w:rsid w:val="006B4495"/>
    <w:rsid w:val="006B47CC"/>
    <w:rsid w:val="006C06BF"/>
    <w:rsid w:val="006D025E"/>
    <w:rsid w:val="006D167B"/>
    <w:rsid w:val="006D3281"/>
    <w:rsid w:val="006E1136"/>
    <w:rsid w:val="006E3EFB"/>
    <w:rsid w:val="006F7520"/>
    <w:rsid w:val="00702CB5"/>
    <w:rsid w:val="00703260"/>
    <w:rsid w:val="007117F1"/>
    <w:rsid w:val="00712DFD"/>
    <w:rsid w:val="0071300C"/>
    <w:rsid w:val="007177A7"/>
    <w:rsid w:val="0072616C"/>
    <w:rsid w:val="00727C81"/>
    <w:rsid w:val="0073513A"/>
    <w:rsid w:val="007371B3"/>
    <w:rsid w:val="007374F9"/>
    <w:rsid w:val="007508B9"/>
    <w:rsid w:val="00750902"/>
    <w:rsid w:val="00754AB9"/>
    <w:rsid w:val="00761449"/>
    <w:rsid w:val="00767C3A"/>
    <w:rsid w:val="00771D3F"/>
    <w:rsid w:val="00782490"/>
    <w:rsid w:val="00785299"/>
    <w:rsid w:val="007855EE"/>
    <w:rsid w:val="00794953"/>
    <w:rsid w:val="00797AF3"/>
    <w:rsid w:val="007A3F61"/>
    <w:rsid w:val="007A4512"/>
    <w:rsid w:val="007B100A"/>
    <w:rsid w:val="007B2AD6"/>
    <w:rsid w:val="007B606A"/>
    <w:rsid w:val="007D3842"/>
    <w:rsid w:val="007D799D"/>
    <w:rsid w:val="007E3F7B"/>
    <w:rsid w:val="007F60E6"/>
    <w:rsid w:val="007F7DBD"/>
    <w:rsid w:val="00802F0D"/>
    <w:rsid w:val="00805355"/>
    <w:rsid w:val="0081136A"/>
    <w:rsid w:val="00811B37"/>
    <w:rsid w:val="00812BA0"/>
    <w:rsid w:val="0082151E"/>
    <w:rsid w:val="008338E4"/>
    <w:rsid w:val="00840DAA"/>
    <w:rsid w:val="008423A5"/>
    <w:rsid w:val="00857878"/>
    <w:rsid w:val="00857E1B"/>
    <w:rsid w:val="008634C2"/>
    <w:rsid w:val="00865E4F"/>
    <w:rsid w:val="00866663"/>
    <w:rsid w:val="008700B6"/>
    <w:rsid w:val="00873BE7"/>
    <w:rsid w:val="008766D5"/>
    <w:rsid w:val="0087706C"/>
    <w:rsid w:val="008A6964"/>
    <w:rsid w:val="008C21E1"/>
    <w:rsid w:val="008D76F6"/>
    <w:rsid w:val="008D7BFA"/>
    <w:rsid w:val="009062AE"/>
    <w:rsid w:val="00922011"/>
    <w:rsid w:val="00931793"/>
    <w:rsid w:val="00937E9F"/>
    <w:rsid w:val="00963F49"/>
    <w:rsid w:val="00964DF2"/>
    <w:rsid w:val="00970422"/>
    <w:rsid w:val="009777FB"/>
    <w:rsid w:val="009A0E76"/>
    <w:rsid w:val="009A5BC4"/>
    <w:rsid w:val="009B34AC"/>
    <w:rsid w:val="009C15D5"/>
    <w:rsid w:val="009C32F7"/>
    <w:rsid w:val="009C3CB0"/>
    <w:rsid w:val="009D259D"/>
    <w:rsid w:val="009D4B79"/>
    <w:rsid w:val="009D5A36"/>
    <w:rsid w:val="009E371E"/>
    <w:rsid w:val="009E3CBA"/>
    <w:rsid w:val="009F7A5A"/>
    <w:rsid w:val="00A13691"/>
    <w:rsid w:val="00A3043E"/>
    <w:rsid w:val="00A41A7B"/>
    <w:rsid w:val="00A43021"/>
    <w:rsid w:val="00A4461A"/>
    <w:rsid w:val="00A459DE"/>
    <w:rsid w:val="00A46B65"/>
    <w:rsid w:val="00A5240D"/>
    <w:rsid w:val="00A5508E"/>
    <w:rsid w:val="00A62216"/>
    <w:rsid w:val="00A70A4D"/>
    <w:rsid w:val="00A80E09"/>
    <w:rsid w:val="00A9012A"/>
    <w:rsid w:val="00A93DF6"/>
    <w:rsid w:val="00AA01F2"/>
    <w:rsid w:val="00AA1111"/>
    <w:rsid w:val="00AB442A"/>
    <w:rsid w:val="00AC00D7"/>
    <w:rsid w:val="00AC08D2"/>
    <w:rsid w:val="00AC1BEE"/>
    <w:rsid w:val="00AC4BDA"/>
    <w:rsid w:val="00AD0C81"/>
    <w:rsid w:val="00AD1F69"/>
    <w:rsid w:val="00AD383B"/>
    <w:rsid w:val="00AE1EED"/>
    <w:rsid w:val="00AF57B3"/>
    <w:rsid w:val="00B04E3B"/>
    <w:rsid w:val="00B12498"/>
    <w:rsid w:val="00B273ED"/>
    <w:rsid w:val="00B275AC"/>
    <w:rsid w:val="00B27734"/>
    <w:rsid w:val="00B37667"/>
    <w:rsid w:val="00B44BFF"/>
    <w:rsid w:val="00B45964"/>
    <w:rsid w:val="00B532DB"/>
    <w:rsid w:val="00B545CC"/>
    <w:rsid w:val="00B54794"/>
    <w:rsid w:val="00B569D6"/>
    <w:rsid w:val="00B62CC2"/>
    <w:rsid w:val="00B668A8"/>
    <w:rsid w:val="00B706BE"/>
    <w:rsid w:val="00B72A6C"/>
    <w:rsid w:val="00B72B74"/>
    <w:rsid w:val="00B92967"/>
    <w:rsid w:val="00B94111"/>
    <w:rsid w:val="00B95FED"/>
    <w:rsid w:val="00BA13A3"/>
    <w:rsid w:val="00BA18F6"/>
    <w:rsid w:val="00BA25BD"/>
    <w:rsid w:val="00BA6960"/>
    <w:rsid w:val="00BD41B0"/>
    <w:rsid w:val="00BE0FFD"/>
    <w:rsid w:val="00BE4587"/>
    <w:rsid w:val="00BE5400"/>
    <w:rsid w:val="00BE68F3"/>
    <w:rsid w:val="00C061D0"/>
    <w:rsid w:val="00C20F36"/>
    <w:rsid w:val="00C220A6"/>
    <w:rsid w:val="00C2471F"/>
    <w:rsid w:val="00C27FFB"/>
    <w:rsid w:val="00C32074"/>
    <w:rsid w:val="00C40E20"/>
    <w:rsid w:val="00C62CB9"/>
    <w:rsid w:val="00C83737"/>
    <w:rsid w:val="00C84B60"/>
    <w:rsid w:val="00C91F4E"/>
    <w:rsid w:val="00CA6231"/>
    <w:rsid w:val="00CB3AA6"/>
    <w:rsid w:val="00CB4E93"/>
    <w:rsid w:val="00CD0493"/>
    <w:rsid w:val="00CD1F19"/>
    <w:rsid w:val="00CE1816"/>
    <w:rsid w:val="00CE71A4"/>
    <w:rsid w:val="00D02969"/>
    <w:rsid w:val="00D03812"/>
    <w:rsid w:val="00D048F7"/>
    <w:rsid w:val="00D05054"/>
    <w:rsid w:val="00D125F6"/>
    <w:rsid w:val="00D13273"/>
    <w:rsid w:val="00D26A23"/>
    <w:rsid w:val="00D274EB"/>
    <w:rsid w:val="00D31218"/>
    <w:rsid w:val="00D4302A"/>
    <w:rsid w:val="00D45447"/>
    <w:rsid w:val="00D454FE"/>
    <w:rsid w:val="00D52B30"/>
    <w:rsid w:val="00D56072"/>
    <w:rsid w:val="00D658D0"/>
    <w:rsid w:val="00D76528"/>
    <w:rsid w:val="00D82891"/>
    <w:rsid w:val="00D854BA"/>
    <w:rsid w:val="00D90DB9"/>
    <w:rsid w:val="00D92118"/>
    <w:rsid w:val="00D96A1E"/>
    <w:rsid w:val="00DC69D9"/>
    <w:rsid w:val="00DD32CF"/>
    <w:rsid w:val="00DD4A34"/>
    <w:rsid w:val="00DE251A"/>
    <w:rsid w:val="00DE4605"/>
    <w:rsid w:val="00DE5C1B"/>
    <w:rsid w:val="00E148F7"/>
    <w:rsid w:val="00E21A5F"/>
    <w:rsid w:val="00E255B8"/>
    <w:rsid w:val="00E32512"/>
    <w:rsid w:val="00E32606"/>
    <w:rsid w:val="00E472C2"/>
    <w:rsid w:val="00E521BB"/>
    <w:rsid w:val="00E570C0"/>
    <w:rsid w:val="00E61856"/>
    <w:rsid w:val="00E7437F"/>
    <w:rsid w:val="00E80980"/>
    <w:rsid w:val="00E82EEB"/>
    <w:rsid w:val="00E8392F"/>
    <w:rsid w:val="00E83C11"/>
    <w:rsid w:val="00E85606"/>
    <w:rsid w:val="00E9583F"/>
    <w:rsid w:val="00EA22CC"/>
    <w:rsid w:val="00EB3B41"/>
    <w:rsid w:val="00EB7777"/>
    <w:rsid w:val="00ED2051"/>
    <w:rsid w:val="00ED538C"/>
    <w:rsid w:val="00EF77AC"/>
    <w:rsid w:val="00F06BC4"/>
    <w:rsid w:val="00F07E47"/>
    <w:rsid w:val="00F10A19"/>
    <w:rsid w:val="00F11DE4"/>
    <w:rsid w:val="00F154E4"/>
    <w:rsid w:val="00F2332D"/>
    <w:rsid w:val="00F2586E"/>
    <w:rsid w:val="00F32D7A"/>
    <w:rsid w:val="00F40DA7"/>
    <w:rsid w:val="00F43668"/>
    <w:rsid w:val="00F4374D"/>
    <w:rsid w:val="00F461A8"/>
    <w:rsid w:val="00F531CA"/>
    <w:rsid w:val="00F627D7"/>
    <w:rsid w:val="00F63A24"/>
    <w:rsid w:val="00F86995"/>
    <w:rsid w:val="00F97BEE"/>
    <w:rsid w:val="00FD1FBC"/>
    <w:rsid w:val="00FD5743"/>
    <w:rsid w:val="00FD7EA6"/>
    <w:rsid w:val="00FE5535"/>
    <w:rsid w:val="00FE7E0D"/>
    <w:rsid w:val="00FF1FA9"/>
    <w:rsid w:val="00FF5DEF"/>
    <w:rsid w:val="010FD1F5"/>
    <w:rsid w:val="15AE9AA7"/>
    <w:rsid w:val="28317BEC"/>
    <w:rsid w:val="5BF51282"/>
    <w:rsid w:val="61CABEE8"/>
    <w:rsid w:val="667EDE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745"/>
    <w:rPr>
      <w:rFonts w:ascii="Arial" w:hAnsi="Arial"/>
      <w:color w:val="000000" w:themeColor="text1"/>
    </w:rPr>
  </w:style>
  <w:style w:type="paragraph" w:styleId="Heading1">
    <w:name w:val="heading 1"/>
    <w:basedOn w:val="Normal"/>
    <w:next w:val="Normal"/>
    <w:link w:val="Heading1Char"/>
    <w:uiPriority w:val="9"/>
    <w:qFormat/>
    <w:rsid w:val="00513C8F"/>
    <w:pPr>
      <w:keepNext/>
      <w:keepLines/>
      <w:spacing w:before="240" w:after="720"/>
      <w:outlineLvl w:val="0"/>
    </w:pPr>
    <w:rPr>
      <w:rFonts w:eastAsiaTheme="majorEastAsia" w:cstheme="majorBidi"/>
      <w:b/>
      <w:color w:val="441170" w:themeColor="text2"/>
      <w:sz w:val="56"/>
      <w:szCs w:val="32"/>
    </w:rPr>
  </w:style>
  <w:style w:type="paragraph" w:styleId="Heading2">
    <w:name w:val="heading 2"/>
    <w:basedOn w:val="Normal"/>
    <w:next w:val="Normal"/>
    <w:link w:val="Heading2Char"/>
    <w:uiPriority w:val="9"/>
    <w:unhideWhenUsed/>
    <w:qFormat/>
    <w:rsid w:val="00422AD4"/>
    <w:pPr>
      <w:keepNext/>
      <w:keepLines/>
      <w:spacing w:before="360" w:after="360" w:line="400" w:lineRule="exact"/>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0404CE"/>
    <w:pPr>
      <w:keepNext/>
      <w:keepLines/>
      <w:outlineLvl w:val="2"/>
    </w:pPr>
    <w:rPr>
      <w:rFonts w:eastAsiaTheme="majorEastAsia" w:cstheme="majorBidi"/>
      <w:b/>
      <w:color w:val="441170" w:themeColor="text2"/>
      <w:sz w:val="26"/>
      <w:szCs w:val="24"/>
    </w:rPr>
  </w:style>
  <w:style w:type="paragraph" w:styleId="Heading4">
    <w:name w:val="heading 4"/>
    <w:basedOn w:val="Normal"/>
    <w:next w:val="Normal"/>
    <w:link w:val="Heading4Char"/>
    <w:uiPriority w:val="9"/>
    <w:unhideWhenUsed/>
    <w:qFormat/>
    <w:rsid w:val="000D6745"/>
    <w:pPr>
      <w:outlineLvl w:val="3"/>
    </w:pPr>
    <w:rPr>
      <w:rFonts w:cs="Arial"/>
      <w:b/>
      <w:bCs/>
      <w:color w:val="005D5D" w:themeColor="accent2"/>
    </w:rPr>
  </w:style>
  <w:style w:type="paragraph" w:styleId="Heading5">
    <w:name w:val="heading 5"/>
    <w:basedOn w:val="Normal"/>
    <w:next w:val="Normal"/>
    <w:link w:val="Heading5Char"/>
    <w:uiPriority w:val="9"/>
    <w:unhideWhenUsed/>
    <w:qFormat/>
    <w:rsid w:val="000404CE"/>
    <w:pPr>
      <w:outlineLvl w:val="4"/>
    </w:pPr>
    <w:rPr>
      <w:rFonts w:cs="Arial"/>
      <w:b/>
      <w:bCs/>
    </w:rPr>
  </w:style>
  <w:style w:type="paragraph" w:styleId="Heading6">
    <w:name w:val="heading 6"/>
    <w:basedOn w:val="Normal"/>
    <w:next w:val="Normal"/>
    <w:link w:val="Heading6Char"/>
    <w:uiPriority w:val="9"/>
    <w:unhideWhenUsed/>
    <w:qFormat/>
    <w:rsid w:val="00BA18F6"/>
    <w:pPr>
      <w:keepNext/>
      <w:keepLines/>
      <w:spacing w:before="40" w:after="0"/>
      <w:outlineLvl w:val="5"/>
    </w:pPr>
    <w:rPr>
      <w:rFonts w:asciiTheme="majorHAnsi" w:eastAsiaTheme="majorEastAsia" w:hAnsiTheme="majorHAnsi" w:cstheme="majorBidi"/>
      <w:color w:val="341461" w:themeColor="accent1" w:themeShade="7F"/>
    </w:rPr>
  </w:style>
  <w:style w:type="paragraph" w:styleId="Heading7">
    <w:name w:val="heading 7"/>
    <w:basedOn w:val="Normal"/>
    <w:next w:val="Normal"/>
    <w:link w:val="Heading7Char"/>
    <w:uiPriority w:val="9"/>
    <w:unhideWhenUsed/>
    <w:qFormat/>
    <w:rsid w:val="00BA18F6"/>
    <w:pPr>
      <w:keepNext/>
      <w:keepLines/>
      <w:spacing w:before="40" w:after="0"/>
      <w:outlineLvl w:val="6"/>
    </w:pPr>
    <w:rPr>
      <w:rFonts w:asciiTheme="majorHAnsi" w:eastAsiaTheme="majorEastAsia" w:hAnsiTheme="majorHAnsi" w:cstheme="majorBidi"/>
      <w:i/>
      <w:iCs/>
      <w:color w:val="34146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tandTablelabel">
    <w:name w:val="Chart and Table label"/>
    <w:basedOn w:val="Normal"/>
    <w:qFormat/>
    <w:rsid w:val="000404CE"/>
    <w:rPr>
      <w:b/>
      <w:sz w:val="20"/>
      <w:lang w:val="en-US"/>
    </w:rPr>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C40E20"/>
    <w:pPr>
      <w:tabs>
        <w:tab w:val="left" w:pos="4513"/>
        <w:tab w:val="right" w:pos="9026"/>
      </w:tabs>
      <w:spacing w:after="0" w:line="240" w:lineRule="auto"/>
      <w:jc w:val="right"/>
    </w:pPr>
    <w:rPr>
      <w:sz w:val="18"/>
    </w:rPr>
  </w:style>
  <w:style w:type="character" w:customStyle="1" w:styleId="FooterChar">
    <w:name w:val="Footer Char"/>
    <w:basedOn w:val="DefaultParagraphFont"/>
    <w:link w:val="Footer"/>
    <w:uiPriority w:val="99"/>
    <w:rsid w:val="00C40E20"/>
    <w:rPr>
      <w:rFonts w:ascii="Arial" w:hAnsi="Arial"/>
      <w:color w:val="000000" w:themeColor="text1"/>
      <w:sz w:val="18"/>
    </w:rPr>
  </w:style>
  <w:style w:type="paragraph" w:styleId="Title">
    <w:name w:val="Title"/>
    <w:basedOn w:val="Normal"/>
    <w:next w:val="Normal"/>
    <w:link w:val="TitleChar"/>
    <w:uiPriority w:val="1"/>
    <w:qFormat/>
    <w:rsid w:val="002950ED"/>
    <w:pPr>
      <w:spacing w:before="1080" w:after="240" w:line="276" w:lineRule="auto"/>
    </w:pPr>
    <w:rPr>
      <w:rFonts w:eastAsiaTheme="majorEastAsia" w:cstheme="majorBidi"/>
      <w:b/>
      <w:color w:val="441170" w:themeColor="text2"/>
      <w:spacing w:val="-10"/>
      <w:kern w:val="28"/>
      <w:sz w:val="72"/>
      <w:szCs w:val="56"/>
    </w:rPr>
  </w:style>
  <w:style w:type="character" w:customStyle="1" w:styleId="TitleChar">
    <w:name w:val="Title Char"/>
    <w:basedOn w:val="DefaultParagraphFont"/>
    <w:link w:val="Title"/>
    <w:uiPriority w:val="1"/>
    <w:rsid w:val="002950ED"/>
    <w:rPr>
      <w:rFonts w:ascii="Arial" w:eastAsiaTheme="majorEastAsia" w:hAnsi="Arial" w:cstheme="majorBidi"/>
      <w:b/>
      <w:color w:val="441170" w:themeColor="text2"/>
      <w:spacing w:val="-10"/>
      <w:kern w:val="28"/>
      <w:sz w:val="72"/>
      <w:szCs w:val="56"/>
    </w:rPr>
  </w:style>
  <w:style w:type="character" w:customStyle="1" w:styleId="Heading1Char">
    <w:name w:val="Heading 1 Char"/>
    <w:basedOn w:val="DefaultParagraphFont"/>
    <w:link w:val="Heading1"/>
    <w:uiPriority w:val="9"/>
    <w:rsid w:val="00513C8F"/>
    <w:rPr>
      <w:rFonts w:ascii="Arial" w:eastAsiaTheme="majorEastAsia" w:hAnsi="Arial" w:cstheme="majorBidi"/>
      <w:b/>
      <w:color w:val="441170" w:themeColor="text2"/>
      <w:sz w:val="56"/>
      <w:szCs w:val="32"/>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basedOn w:val="Normal"/>
    <w:uiPriority w:val="34"/>
    <w:qFormat/>
    <w:rsid w:val="00E148F7"/>
    <w:pPr>
      <w:ind w:left="720"/>
      <w:contextualSpacing/>
    </w:pPr>
  </w:style>
  <w:style w:type="table" w:styleId="TableGrid">
    <w:name w:val="Table Grid"/>
    <w:basedOn w:val="TableNormal"/>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semiHidden/>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semiHidden/>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A62216"/>
    <w:pPr>
      <w:spacing w:after="0" w:line="240" w:lineRule="auto"/>
    </w:pPr>
  </w:style>
  <w:style w:type="paragraph" w:customStyle="1" w:styleId="Bodycopy">
    <w:name w:val="Body copy"/>
    <w:basedOn w:val="Normal"/>
    <w:link w:val="BodycopyChar"/>
    <w:qFormat/>
    <w:rsid w:val="00873BE7"/>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BE68F3"/>
    <w:pPr>
      <w:numPr>
        <w:numId w:val="7"/>
      </w:numPr>
      <w:spacing w:line="240" w:lineRule="atLeast"/>
    </w:pPr>
    <w:rPr>
      <w:rFonts w:eastAsia="SimSun" w:cs="Times New Roman"/>
      <w:spacing w:val="-1"/>
      <w:szCs w:val="20"/>
      <w:lang w:val="en-GB" w:eastAsia="en-GB"/>
    </w:rPr>
  </w:style>
  <w:style w:type="paragraph" w:customStyle="1" w:styleId="Tableheader">
    <w:name w:val="Table header"/>
    <w:basedOn w:val="Normal"/>
    <w:qFormat/>
    <w:rsid w:val="006066C4"/>
    <w:pPr>
      <w:spacing w:before="120" w:after="120" w:line="240" w:lineRule="auto"/>
    </w:pPr>
    <w:rPr>
      <w:b/>
      <w:color w:val="FFFFFF" w:themeColor="background1"/>
      <w:lang w:val="en-US"/>
    </w:rPr>
  </w:style>
  <w:style w:type="paragraph" w:customStyle="1" w:styleId="Tablebodycopy">
    <w:name w:val="Table body copy"/>
    <w:basedOn w:val="Normal"/>
    <w:qFormat/>
    <w:rsid w:val="009A5BC4"/>
    <w:pPr>
      <w:spacing w:before="120" w:after="120" w:line="240" w:lineRule="auto"/>
    </w:pPr>
    <w:rPr>
      <w:lang w:val="en-US"/>
    </w:rPr>
  </w:style>
  <w:style w:type="character" w:customStyle="1" w:styleId="Heading2Char">
    <w:name w:val="Heading 2 Char"/>
    <w:basedOn w:val="DefaultParagraphFont"/>
    <w:link w:val="Heading2"/>
    <w:uiPriority w:val="9"/>
    <w:rsid w:val="00422AD4"/>
    <w:rPr>
      <w:rFonts w:ascii="Arial" w:eastAsiaTheme="majorEastAsia" w:hAnsi="Arial" w:cstheme="majorBidi"/>
      <w:b/>
      <w:color w:val="000000" w:themeColor="text1"/>
      <w:sz w:val="32"/>
      <w:szCs w:val="26"/>
    </w:rPr>
  </w:style>
  <w:style w:type="paragraph" w:styleId="TOC1">
    <w:name w:val="toc 1"/>
    <w:basedOn w:val="Normal"/>
    <w:next w:val="Normal"/>
    <w:autoRedefine/>
    <w:uiPriority w:val="39"/>
    <w:unhideWhenUsed/>
    <w:rsid w:val="00A3043E"/>
    <w:pPr>
      <w:spacing w:after="100"/>
    </w:pPr>
    <w:rPr>
      <w:b/>
      <w:color w:val="441170" w:themeColor="text2"/>
    </w:rPr>
  </w:style>
  <w:style w:type="character" w:customStyle="1" w:styleId="Heading3Char">
    <w:name w:val="Heading 3 Char"/>
    <w:basedOn w:val="DefaultParagraphFont"/>
    <w:link w:val="Heading3"/>
    <w:uiPriority w:val="9"/>
    <w:rsid w:val="000404CE"/>
    <w:rPr>
      <w:rFonts w:ascii="Arial" w:eastAsiaTheme="majorEastAsia" w:hAnsi="Arial" w:cstheme="majorBidi"/>
      <w:b/>
      <w:color w:val="441170" w:themeColor="text2"/>
      <w:sz w:val="26"/>
      <w:szCs w:val="24"/>
    </w:rPr>
  </w:style>
  <w:style w:type="paragraph" w:styleId="TOC2">
    <w:name w:val="toc 2"/>
    <w:basedOn w:val="Normal"/>
    <w:next w:val="Normal"/>
    <w:autoRedefine/>
    <w:uiPriority w:val="39"/>
    <w:unhideWhenUsed/>
    <w:rsid w:val="00782490"/>
    <w:pPr>
      <w:spacing w:after="100"/>
      <w:ind w:left="220"/>
    </w:pPr>
  </w:style>
  <w:style w:type="paragraph" w:styleId="TOC4">
    <w:name w:val="toc 4"/>
    <w:basedOn w:val="Normal"/>
    <w:next w:val="Normal"/>
    <w:autoRedefine/>
    <w:uiPriority w:val="39"/>
    <w:unhideWhenUsed/>
    <w:rsid w:val="007B2AD6"/>
    <w:pPr>
      <w:tabs>
        <w:tab w:val="right" w:leader="dot" w:pos="9016"/>
      </w:tabs>
      <w:spacing w:after="100"/>
      <w:ind w:left="220"/>
    </w:pPr>
  </w:style>
  <w:style w:type="paragraph" w:styleId="TOC3">
    <w:name w:val="toc 3"/>
    <w:basedOn w:val="Normal"/>
    <w:next w:val="Normal"/>
    <w:autoRedefine/>
    <w:uiPriority w:val="39"/>
    <w:unhideWhenUsed/>
    <w:rsid w:val="007B2AD6"/>
    <w:pPr>
      <w:tabs>
        <w:tab w:val="right" w:leader="dot" w:pos="9016"/>
      </w:tabs>
      <w:spacing w:after="100"/>
      <w:ind w:left="220"/>
    </w:pPr>
  </w:style>
  <w:style w:type="paragraph" w:styleId="TOC5">
    <w:name w:val="toc 5"/>
    <w:basedOn w:val="Normal"/>
    <w:next w:val="Normal"/>
    <w:autoRedefine/>
    <w:uiPriority w:val="39"/>
    <w:unhideWhenUsed/>
    <w:rsid w:val="007B2AD6"/>
    <w:pPr>
      <w:tabs>
        <w:tab w:val="right" w:leader="dot" w:pos="9016"/>
      </w:tabs>
      <w:spacing w:after="100"/>
      <w:ind w:left="220"/>
    </w:pPr>
  </w:style>
  <w:style w:type="character" w:styleId="Hyperlink">
    <w:name w:val="Hyperlink"/>
    <w:basedOn w:val="DefaultParagraphFont"/>
    <w:uiPriority w:val="99"/>
    <w:unhideWhenUsed/>
    <w:rsid w:val="00A93DF6"/>
    <w:rPr>
      <w:color w:val="215E9E" w:themeColor="hyperlink"/>
      <w:u w:val="single"/>
    </w:rPr>
  </w:style>
  <w:style w:type="paragraph" w:customStyle="1" w:styleId="Dateoncover">
    <w:name w:val="Date on cover"/>
    <w:basedOn w:val="Normal"/>
    <w:qFormat/>
    <w:rsid w:val="00BA18F6"/>
    <w:rPr>
      <w:rFonts w:cs="Arial"/>
      <w:b/>
      <w:bCs/>
      <w:sz w:val="28"/>
      <w:szCs w:val="28"/>
    </w:rPr>
  </w:style>
  <w:style w:type="paragraph" w:styleId="ListBullet2">
    <w:name w:val="List Bullet 2"/>
    <w:basedOn w:val="Normal"/>
    <w:qFormat/>
    <w:rsid w:val="00BE68F3"/>
    <w:pPr>
      <w:numPr>
        <w:ilvl w:val="1"/>
        <w:numId w:val="7"/>
      </w:numPr>
      <w:spacing w:line="240" w:lineRule="atLeast"/>
    </w:pPr>
    <w:rPr>
      <w:rFonts w:eastAsia="SimSun" w:cs="Times New Roman"/>
      <w:spacing w:val="-1"/>
      <w:szCs w:val="20"/>
      <w:lang w:val="en-GB" w:eastAsia="en-GB"/>
    </w:rPr>
  </w:style>
  <w:style w:type="paragraph" w:styleId="ListBullet3">
    <w:name w:val="List Bullet 3"/>
    <w:basedOn w:val="Normal"/>
    <w:qFormat/>
    <w:rsid w:val="00BE68F3"/>
    <w:pPr>
      <w:numPr>
        <w:ilvl w:val="2"/>
        <w:numId w:val="7"/>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character" w:customStyle="1" w:styleId="Heading4Char">
    <w:name w:val="Heading 4 Char"/>
    <w:basedOn w:val="DefaultParagraphFont"/>
    <w:link w:val="Heading4"/>
    <w:uiPriority w:val="9"/>
    <w:rsid w:val="000D6745"/>
    <w:rPr>
      <w:rFonts w:ascii="Arial" w:hAnsi="Arial" w:cs="Arial"/>
      <w:b/>
      <w:bCs/>
      <w:color w:val="005D5D" w:themeColor="accent2"/>
    </w:rPr>
  </w:style>
  <w:style w:type="character" w:customStyle="1" w:styleId="Heading5Char">
    <w:name w:val="Heading 5 Char"/>
    <w:basedOn w:val="DefaultParagraphFont"/>
    <w:link w:val="Heading5"/>
    <w:uiPriority w:val="9"/>
    <w:rsid w:val="000404CE"/>
    <w:rPr>
      <w:rFonts w:ascii="Arial" w:hAnsi="Arial" w:cs="Arial"/>
      <w:b/>
      <w:bCs/>
      <w:color w:val="000000" w:themeColor="text1"/>
    </w:rPr>
  </w:style>
  <w:style w:type="character" w:customStyle="1" w:styleId="Heading6Char">
    <w:name w:val="Heading 6 Char"/>
    <w:basedOn w:val="DefaultParagraphFont"/>
    <w:link w:val="Heading6"/>
    <w:uiPriority w:val="9"/>
    <w:rsid w:val="00BA18F6"/>
    <w:rPr>
      <w:rFonts w:asciiTheme="majorHAnsi" w:eastAsiaTheme="majorEastAsia" w:hAnsiTheme="majorHAnsi" w:cstheme="majorBidi"/>
      <w:color w:val="341461" w:themeColor="accent1" w:themeShade="7F"/>
    </w:rPr>
  </w:style>
  <w:style w:type="character" w:customStyle="1" w:styleId="Heading7Char">
    <w:name w:val="Heading 7 Char"/>
    <w:basedOn w:val="DefaultParagraphFont"/>
    <w:link w:val="Heading7"/>
    <w:uiPriority w:val="9"/>
    <w:rsid w:val="00BA18F6"/>
    <w:rPr>
      <w:rFonts w:asciiTheme="majorHAnsi" w:eastAsiaTheme="majorEastAsia" w:hAnsiTheme="majorHAnsi" w:cstheme="majorBidi"/>
      <w:i/>
      <w:iCs/>
      <w:color w:val="341461" w:themeColor="accent1" w:themeShade="7F"/>
    </w:rPr>
  </w:style>
  <w:style w:type="paragraph" w:customStyle="1" w:styleId="coversubtitle">
    <w:name w:val="cover subtitle"/>
    <w:basedOn w:val="Bodycopy"/>
    <w:qFormat/>
    <w:rsid w:val="001C0CB2"/>
    <w:pPr>
      <w:spacing w:after="400"/>
    </w:pPr>
    <w:rPr>
      <w:sz w:val="40"/>
      <w:szCs w:val="40"/>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customStyle="1" w:styleId="Source">
    <w:name w:val="Source"/>
    <w:basedOn w:val="Normal"/>
    <w:next w:val="BodyText"/>
    <w:qFormat/>
    <w:rsid w:val="001214E9"/>
    <w:pPr>
      <w:numPr>
        <w:numId w:val="15"/>
      </w:numPr>
      <w:tabs>
        <w:tab w:val="left" w:pos="709"/>
      </w:tabs>
      <w:spacing w:before="80" w:after="100" w:afterAutospacing="1" w:line="160" w:lineRule="atLeast"/>
    </w:pPr>
    <w:rPr>
      <w:rFonts w:asciiTheme="minorHAnsi" w:eastAsia="Times New Roman" w:hAnsiTheme="minorHAnsi" w:cstheme="minorHAnsi"/>
      <w:i/>
      <w:spacing w:val="2"/>
      <w:sz w:val="16"/>
      <w:szCs w:val="14"/>
      <w:lang w:eastAsia="en-AU"/>
    </w:rPr>
  </w:style>
  <w:style w:type="table" w:styleId="GridTable4-Accent1">
    <w:name w:val="Grid Table 4 Accent 1"/>
    <w:basedOn w:val="TableNormal"/>
    <w:uiPriority w:val="49"/>
    <w:rsid w:val="001214E9"/>
    <w:pPr>
      <w:spacing w:after="0" w:line="240" w:lineRule="auto"/>
    </w:pPr>
    <w:tblPr>
      <w:tblStyleRowBandSize w:val="1"/>
      <w:tblStyleColBandSize w:val="1"/>
      <w:tblBorders>
        <w:top w:val="single" w:sz="4" w:space="0" w:color="A377E2" w:themeColor="accent1" w:themeTint="99"/>
        <w:left w:val="single" w:sz="4" w:space="0" w:color="A377E2" w:themeColor="accent1" w:themeTint="99"/>
        <w:bottom w:val="single" w:sz="4" w:space="0" w:color="A377E2" w:themeColor="accent1" w:themeTint="99"/>
        <w:right w:val="single" w:sz="4" w:space="0" w:color="A377E2" w:themeColor="accent1" w:themeTint="99"/>
        <w:insideH w:val="single" w:sz="4" w:space="0" w:color="A377E2" w:themeColor="accent1" w:themeTint="99"/>
        <w:insideV w:val="single" w:sz="4" w:space="0" w:color="A377E2" w:themeColor="accent1" w:themeTint="99"/>
      </w:tblBorders>
    </w:tblPr>
    <w:tblStylePr w:type="firstRow">
      <w:rPr>
        <w:b/>
        <w:bCs/>
        <w:color w:val="FFFFFF" w:themeColor="background1"/>
      </w:rPr>
      <w:tblPr/>
      <w:tcPr>
        <w:tcBorders>
          <w:top w:val="single" w:sz="4" w:space="0" w:color="6929C4" w:themeColor="accent1"/>
          <w:left w:val="single" w:sz="4" w:space="0" w:color="6929C4" w:themeColor="accent1"/>
          <w:bottom w:val="single" w:sz="4" w:space="0" w:color="6929C4" w:themeColor="accent1"/>
          <w:right w:val="single" w:sz="4" w:space="0" w:color="6929C4" w:themeColor="accent1"/>
          <w:insideH w:val="nil"/>
          <w:insideV w:val="nil"/>
        </w:tcBorders>
        <w:shd w:val="clear" w:color="auto" w:fill="6929C4" w:themeFill="accent1"/>
      </w:tcPr>
    </w:tblStylePr>
    <w:tblStylePr w:type="lastRow">
      <w:rPr>
        <w:b/>
        <w:bCs/>
      </w:rPr>
      <w:tblPr/>
      <w:tcPr>
        <w:tcBorders>
          <w:top w:val="double" w:sz="4" w:space="0" w:color="6929C4" w:themeColor="accent1"/>
        </w:tcBorders>
      </w:tcPr>
    </w:tblStylePr>
    <w:tblStylePr w:type="firstCol">
      <w:rPr>
        <w:b/>
        <w:bCs/>
      </w:rPr>
    </w:tblStylePr>
    <w:tblStylePr w:type="lastCol">
      <w:rPr>
        <w:b/>
        <w:bCs/>
      </w:rPr>
    </w:tblStylePr>
    <w:tblStylePr w:type="band1Vert">
      <w:tblPr/>
      <w:tcPr>
        <w:shd w:val="clear" w:color="auto" w:fill="E0D1F5" w:themeFill="accent1" w:themeFillTint="33"/>
      </w:tcPr>
    </w:tblStylePr>
    <w:tblStylePr w:type="band1Horz">
      <w:tblPr/>
      <w:tcPr>
        <w:shd w:val="clear" w:color="auto" w:fill="E0D1F5" w:themeFill="accent1" w:themeFillTint="33"/>
      </w:tcPr>
    </w:tblStylePr>
  </w:style>
  <w:style w:type="paragraph" w:styleId="BodyText">
    <w:name w:val="Body Text"/>
    <w:basedOn w:val="Normal"/>
    <w:link w:val="BodyTextChar"/>
    <w:uiPriority w:val="99"/>
    <w:semiHidden/>
    <w:unhideWhenUsed/>
    <w:rsid w:val="001214E9"/>
    <w:pPr>
      <w:spacing w:after="120"/>
    </w:pPr>
  </w:style>
  <w:style w:type="character" w:customStyle="1" w:styleId="BodyTextChar">
    <w:name w:val="Body Text Char"/>
    <w:basedOn w:val="DefaultParagraphFont"/>
    <w:link w:val="BodyText"/>
    <w:uiPriority w:val="99"/>
    <w:semiHidden/>
    <w:rsid w:val="001214E9"/>
    <w:rPr>
      <w:rFonts w:ascii="Arial" w:hAnsi="Arial"/>
      <w:color w:val="000000" w:themeColor="text1"/>
    </w:rPr>
  </w:style>
  <w:style w:type="character" w:styleId="Strong">
    <w:name w:val="Strong"/>
    <w:basedOn w:val="DefaultParagraphFont"/>
    <w:uiPriority w:val="22"/>
    <w:qFormat/>
    <w:rsid w:val="00FE7E0D"/>
    <w:rPr>
      <w:b/>
      <w:bCs/>
    </w:rPr>
  </w:style>
  <w:style w:type="character" w:styleId="Emphasis">
    <w:name w:val="Emphasis"/>
    <w:basedOn w:val="DefaultParagraphFont"/>
    <w:qFormat/>
    <w:rsid w:val="000B4E84"/>
    <w:rPr>
      <w:i/>
      <w:iCs/>
    </w:rPr>
  </w:style>
  <w:style w:type="paragraph" w:styleId="FootnoteText">
    <w:name w:val="footnote text"/>
    <w:basedOn w:val="Normal"/>
    <w:link w:val="FootnoteTextChar"/>
    <w:uiPriority w:val="99"/>
    <w:unhideWhenUsed/>
    <w:rsid w:val="00BA25BD"/>
    <w:pPr>
      <w:spacing w:after="0" w:line="240" w:lineRule="auto"/>
    </w:pPr>
    <w:rPr>
      <w:sz w:val="20"/>
      <w:szCs w:val="20"/>
    </w:rPr>
  </w:style>
  <w:style w:type="character" w:customStyle="1" w:styleId="FootnoteTextChar">
    <w:name w:val="Footnote Text Char"/>
    <w:basedOn w:val="DefaultParagraphFont"/>
    <w:link w:val="FootnoteText"/>
    <w:uiPriority w:val="99"/>
    <w:rsid w:val="00BA25BD"/>
    <w:rPr>
      <w:rFonts w:ascii="Arial" w:hAnsi="Arial"/>
      <w:color w:val="000000" w:themeColor="text1"/>
      <w:sz w:val="20"/>
      <w:szCs w:val="20"/>
    </w:rPr>
  </w:style>
  <w:style w:type="character" w:styleId="FootnoteReference">
    <w:name w:val="footnote reference"/>
    <w:basedOn w:val="DefaultParagraphFont"/>
    <w:uiPriority w:val="99"/>
    <w:unhideWhenUsed/>
    <w:rsid w:val="00BA25BD"/>
    <w:rPr>
      <w:vertAlign w:val="superscript"/>
    </w:rPr>
  </w:style>
  <w:style w:type="paragraph" w:styleId="Caption">
    <w:name w:val="caption"/>
    <w:basedOn w:val="Normal"/>
    <w:next w:val="Normal"/>
    <w:uiPriority w:val="35"/>
    <w:unhideWhenUsed/>
    <w:qFormat/>
    <w:rsid w:val="00F97BEE"/>
    <w:pPr>
      <w:keepNext/>
      <w:spacing w:before="120" w:after="200" w:line="240" w:lineRule="auto"/>
    </w:pPr>
    <w:rPr>
      <w:b/>
      <w:bCs/>
      <w:color w:val="auto"/>
      <w:sz w:val="20"/>
      <w:szCs w:val="20"/>
    </w:rPr>
  </w:style>
  <w:style w:type="character" w:customStyle="1" w:styleId="BodycopyChar">
    <w:name w:val="Body copy Char"/>
    <w:basedOn w:val="DefaultParagraphFont"/>
    <w:link w:val="Bodycopy"/>
    <w:rsid w:val="00AD1F69"/>
    <w:rPr>
      <w:rFonts w:ascii="Arial" w:hAnsi="Arial"/>
      <w:color w:val="000000" w:themeColor="text1"/>
    </w:rPr>
  </w:style>
  <w:style w:type="paragraph" w:styleId="Revision">
    <w:name w:val="Revision"/>
    <w:hidden/>
    <w:uiPriority w:val="99"/>
    <w:semiHidden/>
    <w:rsid w:val="00B706BE"/>
    <w:pPr>
      <w:spacing w:after="0" w:line="240" w:lineRule="auto"/>
    </w:pPr>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277774">
      <w:bodyDiv w:val="1"/>
      <w:marLeft w:val="0"/>
      <w:marRight w:val="0"/>
      <w:marTop w:val="0"/>
      <w:marBottom w:val="0"/>
      <w:divBdr>
        <w:top w:val="none" w:sz="0" w:space="0" w:color="auto"/>
        <w:left w:val="none" w:sz="0" w:space="0" w:color="auto"/>
        <w:bottom w:val="none" w:sz="0" w:space="0" w:color="auto"/>
        <w:right w:val="none" w:sz="0" w:space="0" w:color="auto"/>
      </w:divBdr>
      <w:divsChild>
        <w:div w:id="1726492287">
          <w:marLeft w:val="0"/>
          <w:marRight w:val="0"/>
          <w:marTop w:val="0"/>
          <w:marBottom w:val="0"/>
          <w:divBdr>
            <w:top w:val="none" w:sz="0" w:space="0" w:color="auto"/>
            <w:left w:val="none" w:sz="0" w:space="0" w:color="auto"/>
            <w:bottom w:val="none" w:sz="0" w:space="0" w:color="auto"/>
            <w:right w:val="none" w:sz="0" w:space="0" w:color="auto"/>
          </w:divBdr>
        </w:div>
        <w:div w:id="1680618668">
          <w:marLeft w:val="0"/>
          <w:marRight w:val="0"/>
          <w:marTop w:val="0"/>
          <w:marBottom w:val="0"/>
          <w:divBdr>
            <w:top w:val="none" w:sz="0" w:space="0" w:color="auto"/>
            <w:left w:val="none" w:sz="0" w:space="0" w:color="auto"/>
            <w:bottom w:val="none" w:sz="0" w:space="0" w:color="auto"/>
            <w:right w:val="none" w:sz="0" w:space="0" w:color="auto"/>
          </w:divBdr>
        </w:div>
        <w:div w:id="1366562366">
          <w:marLeft w:val="0"/>
          <w:marRight w:val="0"/>
          <w:marTop w:val="0"/>
          <w:marBottom w:val="0"/>
          <w:divBdr>
            <w:top w:val="none" w:sz="0" w:space="0" w:color="auto"/>
            <w:left w:val="none" w:sz="0" w:space="0" w:color="auto"/>
            <w:bottom w:val="none" w:sz="0" w:space="0" w:color="auto"/>
            <w:right w:val="none" w:sz="0" w:space="0" w:color="auto"/>
          </w:divBdr>
        </w:div>
        <w:div w:id="1239438391">
          <w:marLeft w:val="0"/>
          <w:marRight w:val="0"/>
          <w:marTop w:val="0"/>
          <w:marBottom w:val="0"/>
          <w:divBdr>
            <w:top w:val="none" w:sz="0" w:space="0" w:color="auto"/>
            <w:left w:val="none" w:sz="0" w:space="0" w:color="auto"/>
            <w:bottom w:val="none" w:sz="0" w:space="0" w:color="auto"/>
            <w:right w:val="none" w:sz="0" w:space="0" w:color="auto"/>
          </w:divBdr>
        </w:div>
        <w:div w:id="1571111986">
          <w:marLeft w:val="0"/>
          <w:marRight w:val="0"/>
          <w:marTop w:val="0"/>
          <w:marBottom w:val="0"/>
          <w:divBdr>
            <w:top w:val="none" w:sz="0" w:space="0" w:color="auto"/>
            <w:left w:val="none" w:sz="0" w:space="0" w:color="auto"/>
            <w:bottom w:val="none" w:sz="0" w:space="0" w:color="auto"/>
            <w:right w:val="none" w:sz="0" w:space="0" w:color="auto"/>
          </w:divBdr>
        </w:div>
        <w:div w:id="1400205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image" Target="media/image3.png"/><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0.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3.xml"/><Relationship Id="rId28" Type="http://schemas.openxmlformats.org/officeDocument/2006/relationships/chart" Target="charts/chart18.xml"/><Relationship Id="rId10" Type="http://schemas.openxmlformats.org/officeDocument/2006/relationships/chart" Target="charts/chart1.xml"/><Relationship Id="rId19" Type="http://schemas.openxmlformats.org/officeDocument/2006/relationships/chart" Target="charts/chart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hart" Target="charts/chart5.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ACCESS.application.enet\SPECIAL$\NSC%20-%20LMAAS\General%20work\NSC%20SoS%20and%20JSA%20JaS%20annual%20reports\2023%20JSA\LMAAS%20Chart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sharedservicescentre.sharepoint.com/sites/JSA-StrategicAdvice-TEAM/Shared%20Documents/General/National%20Skills%20Plan/Jobs%20and%20Skills%20report/Chart%20templat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sharedservicescentre.sharepoint.com/sites/JSA-StrategicAdvice-TEAM/Shared%20Documents/General/National%20Skills%20Plan/Jobs%20and%20Skills%20report/Chart%20templat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sharedservicescentre.sharepoint.com/sites/JSA-StrategicAdvice-TEAM/Shared%20Documents/General/National%20Skills%20Plan/Jobs%20and%20Skills%20report/Chart%20templat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CB3509\AppData\Local\Microsoft\Windows\INetCache\Content.Outlook\XADXIIDO\Figure%2014%20Internet%20Vacancy%20Index%20job%20advertisements%20and%20unemployment%20rate%20January%202006%20to%20May%2020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CB3509\AppData\Local\Microsoft\Windows\INetCache\Content.Outlook\XADXIIDO\Book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CB3509\AppData\Local\Microsoft\Windows\INetCache\Content.Outlook\XADXIIDO\Book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CB3509\AppData\Local\Microsoft\Windows\INetCache\Content.Outlook\XADXIIDO\Book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CB3509\AppData\Local\Microsoft\Windows\INetCache\Content.Outlook\XADXIIDO\Book2.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ACCESS.application.enet\SPECIAL$\NSC%20-%20LMAAS\General%20work\NSC%20SoS%20and%20JSA%20JaS%20annual%20reports\2023%20JSA\LMAAS%20Char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CCESS.application.enet\SPECIAL$\NSC%20-%20LMAAS\General%20work\NSC%20SoS%20and%20JSA%20JaS%20annual%20reports\2023%20JSA\LMAAS%20Charts.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https://sharedservicescentre.sharepoint.com/sites/JSA-StrategicAdvice-TEAM/Shared%20Documents/General/National%20Skills%20Plan/Jobs%20and%20Skills%20report/Chart%20templat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haredservicescentre-my.sharepoint.com/personal/nicole_coggan_jobsandskills_gov_au/Documents/Desktop/Chart%20templat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haredservicescentre-my.sharepoint.com/personal/nicole_coggan_jobsandskills_gov_au/Documents/Desktop/Chart%20templat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sharedservicescentre-my.sharepoint.com/personal/nicole_coggan_jobsandskills_gov_au/Documents/Desktop/Chart%20templat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sharedservicescentre.sharepoint.com/sites/JSA-StrategicAdvice-TEAM/Shared%20Documents/General/National%20Skills%20Plan/Jobs%20and%20Skills%20report/Chart%20templat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 of emp women working FT'!$K$1</c:f>
              <c:strCache>
                <c:ptCount val="1"/>
                <c:pt idx="0">
                  <c:v>Proportion of employed women working full-time (LHS)</c:v>
                </c:pt>
              </c:strCache>
            </c:strRef>
          </c:tx>
          <c:spPr>
            <a:ln w="28575" cap="rnd">
              <a:solidFill>
                <a:schemeClr val="accent1"/>
              </a:solidFill>
              <a:round/>
            </a:ln>
            <a:effectLst/>
          </c:spPr>
          <c:marker>
            <c:symbol val="none"/>
          </c:marker>
          <c:cat>
            <c:numRef>
              <c:f>'% of emp women working FT'!$J$2:$J$242</c:f>
              <c:numCache>
                <c:formatCode>mmm\-yy</c:formatCode>
                <c:ptCount val="241"/>
                <c:pt idx="0">
                  <c:v>37773</c:v>
                </c:pt>
                <c:pt idx="1">
                  <c:v>37803</c:v>
                </c:pt>
                <c:pt idx="2">
                  <c:v>37834</c:v>
                </c:pt>
                <c:pt idx="3">
                  <c:v>37865</c:v>
                </c:pt>
                <c:pt idx="4">
                  <c:v>37895</c:v>
                </c:pt>
                <c:pt idx="5">
                  <c:v>37926</c:v>
                </c:pt>
                <c:pt idx="6">
                  <c:v>37956</c:v>
                </c:pt>
                <c:pt idx="7">
                  <c:v>37987</c:v>
                </c:pt>
                <c:pt idx="8">
                  <c:v>38018</c:v>
                </c:pt>
                <c:pt idx="9">
                  <c:v>38047</c:v>
                </c:pt>
                <c:pt idx="10">
                  <c:v>38078</c:v>
                </c:pt>
                <c:pt idx="11">
                  <c:v>38108</c:v>
                </c:pt>
                <c:pt idx="12">
                  <c:v>38139</c:v>
                </c:pt>
                <c:pt idx="13">
                  <c:v>38169</c:v>
                </c:pt>
                <c:pt idx="14">
                  <c:v>38200</c:v>
                </c:pt>
                <c:pt idx="15">
                  <c:v>38231</c:v>
                </c:pt>
                <c:pt idx="16">
                  <c:v>38261</c:v>
                </c:pt>
                <c:pt idx="17">
                  <c:v>38292</c:v>
                </c:pt>
                <c:pt idx="18">
                  <c:v>38322</c:v>
                </c:pt>
                <c:pt idx="19">
                  <c:v>38353</c:v>
                </c:pt>
                <c:pt idx="20">
                  <c:v>38384</c:v>
                </c:pt>
                <c:pt idx="21">
                  <c:v>38412</c:v>
                </c:pt>
                <c:pt idx="22">
                  <c:v>38443</c:v>
                </c:pt>
                <c:pt idx="23">
                  <c:v>38473</c:v>
                </c:pt>
                <c:pt idx="24">
                  <c:v>38504</c:v>
                </c:pt>
                <c:pt idx="25">
                  <c:v>38534</c:v>
                </c:pt>
                <c:pt idx="26">
                  <c:v>38565</c:v>
                </c:pt>
                <c:pt idx="27">
                  <c:v>38596</c:v>
                </c:pt>
                <c:pt idx="28">
                  <c:v>38626</c:v>
                </c:pt>
                <c:pt idx="29">
                  <c:v>38657</c:v>
                </c:pt>
                <c:pt idx="30">
                  <c:v>38687</c:v>
                </c:pt>
                <c:pt idx="31">
                  <c:v>38718</c:v>
                </c:pt>
                <c:pt idx="32">
                  <c:v>38749</c:v>
                </c:pt>
                <c:pt idx="33">
                  <c:v>38777</c:v>
                </c:pt>
                <c:pt idx="34">
                  <c:v>38808</c:v>
                </c:pt>
                <c:pt idx="35">
                  <c:v>38838</c:v>
                </c:pt>
                <c:pt idx="36">
                  <c:v>38869</c:v>
                </c:pt>
                <c:pt idx="37">
                  <c:v>38899</c:v>
                </c:pt>
                <c:pt idx="38">
                  <c:v>38930</c:v>
                </c:pt>
                <c:pt idx="39">
                  <c:v>38961</c:v>
                </c:pt>
                <c:pt idx="40">
                  <c:v>38991</c:v>
                </c:pt>
                <c:pt idx="41">
                  <c:v>39022</c:v>
                </c:pt>
                <c:pt idx="42">
                  <c:v>39052</c:v>
                </c:pt>
                <c:pt idx="43">
                  <c:v>39083</c:v>
                </c:pt>
                <c:pt idx="44">
                  <c:v>39114</c:v>
                </c:pt>
                <c:pt idx="45">
                  <c:v>39142</c:v>
                </c:pt>
                <c:pt idx="46">
                  <c:v>39173</c:v>
                </c:pt>
                <c:pt idx="47">
                  <c:v>39203</c:v>
                </c:pt>
                <c:pt idx="48">
                  <c:v>39234</c:v>
                </c:pt>
                <c:pt idx="49">
                  <c:v>39264</c:v>
                </c:pt>
                <c:pt idx="50">
                  <c:v>39295</c:v>
                </c:pt>
                <c:pt idx="51">
                  <c:v>39326</c:v>
                </c:pt>
                <c:pt idx="52">
                  <c:v>39356</c:v>
                </c:pt>
                <c:pt idx="53">
                  <c:v>39387</c:v>
                </c:pt>
                <c:pt idx="54">
                  <c:v>39417</c:v>
                </c:pt>
                <c:pt idx="55">
                  <c:v>39448</c:v>
                </c:pt>
                <c:pt idx="56">
                  <c:v>39479</c:v>
                </c:pt>
                <c:pt idx="57">
                  <c:v>39508</c:v>
                </c:pt>
                <c:pt idx="58">
                  <c:v>39539</c:v>
                </c:pt>
                <c:pt idx="59">
                  <c:v>39569</c:v>
                </c:pt>
                <c:pt idx="60">
                  <c:v>39600</c:v>
                </c:pt>
                <c:pt idx="61">
                  <c:v>39630</c:v>
                </c:pt>
                <c:pt idx="62">
                  <c:v>39661</c:v>
                </c:pt>
                <c:pt idx="63">
                  <c:v>39692</c:v>
                </c:pt>
                <c:pt idx="64">
                  <c:v>39722</c:v>
                </c:pt>
                <c:pt idx="65">
                  <c:v>39753</c:v>
                </c:pt>
                <c:pt idx="66">
                  <c:v>39783</c:v>
                </c:pt>
                <c:pt idx="67">
                  <c:v>39814</c:v>
                </c:pt>
                <c:pt idx="68">
                  <c:v>39845</c:v>
                </c:pt>
                <c:pt idx="69">
                  <c:v>39873</c:v>
                </c:pt>
                <c:pt idx="70">
                  <c:v>39904</c:v>
                </c:pt>
                <c:pt idx="71">
                  <c:v>39934</c:v>
                </c:pt>
                <c:pt idx="72">
                  <c:v>39965</c:v>
                </c:pt>
                <c:pt idx="73">
                  <c:v>39995</c:v>
                </c:pt>
                <c:pt idx="74">
                  <c:v>40026</c:v>
                </c:pt>
                <c:pt idx="75">
                  <c:v>40057</c:v>
                </c:pt>
                <c:pt idx="76">
                  <c:v>40087</c:v>
                </c:pt>
                <c:pt idx="77">
                  <c:v>40118</c:v>
                </c:pt>
                <c:pt idx="78">
                  <c:v>40148</c:v>
                </c:pt>
                <c:pt idx="79">
                  <c:v>40179</c:v>
                </c:pt>
                <c:pt idx="80">
                  <c:v>40210</c:v>
                </c:pt>
                <c:pt idx="81">
                  <c:v>40238</c:v>
                </c:pt>
                <c:pt idx="82">
                  <c:v>40269</c:v>
                </c:pt>
                <c:pt idx="83">
                  <c:v>40299</c:v>
                </c:pt>
                <c:pt idx="84">
                  <c:v>40330</c:v>
                </c:pt>
                <c:pt idx="85">
                  <c:v>40360</c:v>
                </c:pt>
                <c:pt idx="86">
                  <c:v>40391</c:v>
                </c:pt>
                <c:pt idx="87">
                  <c:v>40422</c:v>
                </c:pt>
                <c:pt idx="88">
                  <c:v>40452</c:v>
                </c:pt>
                <c:pt idx="89">
                  <c:v>40483</c:v>
                </c:pt>
                <c:pt idx="90">
                  <c:v>40513</c:v>
                </c:pt>
                <c:pt idx="91">
                  <c:v>40544</c:v>
                </c:pt>
                <c:pt idx="92">
                  <c:v>40575</c:v>
                </c:pt>
                <c:pt idx="93">
                  <c:v>40603</c:v>
                </c:pt>
                <c:pt idx="94">
                  <c:v>40634</c:v>
                </c:pt>
                <c:pt idx="95">
                  <c:v>40664</c:v>
                </c:pt>
                <c:pt idx="96">
                  <c:v>40695</c:v>
                </c:pt>
                <c:pt idx="97">
                  <c:v>40725</c:v>
                </c:pt>
                <c:pt idx="98">
                  <c:v>40756</c:v>
                </c:pt>
                <c:pt idx="99">
                  <c:v>40787</c:v>
                </c:pt>
                <c:pt idx="100">
                  <c:v>40817</c:v>
                </c:pt>
                <c:pt idx="101">
                  <c:v>40848</c:v>
                </c:pt>
                <c:pt idx="102">
                  <c:v>40878</c:v>
                </c:pt>
                <c:pt idx="103">
                  <c:v>40909</c:v>
                </c:pt>
                <c:pt idx="104">
                  <c:v>40940</c:v>
                </c:pt>
                <c:pt idx="105">
                  <c:v>40969</c:v>
                </c:pt>
                <c:pt idx="106">
                  <c:v>41000</c:v>
                </c:pt>
                <c:pt idx="107">
                  <c:v>41030</c:v>
                </c:pt>
                <c:pt idx="108">
                  <c:v>41061</c:v>
                </c:pt>
                <c:pt idx="109">
                  <c:v>41091</c:v>
                </c:pt>
                <c:pt idx="110">
                  <c:v>41122</c:v>
                </c:pt>
                <c:pt idx="111">
                  <c:v>41153</c:v>
                </c:pt>
                <c:pt idx="112">
                  <c:v>41183</c:v>
                </c:pt>
                <c:pt idx="113">
                  <c:v>41214</c:v>
                </c:pt>
                <c:pt idx="114">
                  <c:v>41244</c:v>
                </c:pt>
                <c:pt idx="115">
                  <c:v>41275</c:v>
                </c:pt>
                <c:pt idx="116">
                  <c:v>41306</c:v>
                </c:pt>
                <c:pt idx="117">
                  <c:v>41334</c:v>
                </c:pt>
                <c:pt idx="118">
                  <c:v>41365</c:v>
                </c:pt>
                <c:pt idx="119">
                  <c:v>41395</c:v>
                </c:pt>
                <c:pt idx="120">
                  <c:v>41426</c:v>
                </c:pt>
                <c:pt idx="121">
                  <c:v>41456</c:v>
                </c:pt>
                <c:pt idx="122">
                  <c:v>41487</c:v>
                </c:pt>
                <c:pt idx="123">
                  <c:v>41518</c:v>
                </c:pt>
                <c:pt idx="124">
                  <c:v>41548</c:v>
                </c:pt>
                <c:pt idx="125">
                  <c:v>41579</c:v>
                </c:pt>
                <c:pt idx="126">
                  <c:v>41609</c:v>
                </c:pt>
                <c:pt idx="127">
                  <c:v>41640</c:v>
                </c:pt>
                <c:pt idx="128">
                  <c:v>41671</c:v>
                </c:pt>
                <c:pt idx="129">
                  <c:v>41699</c:v>
                </c:pt>
                <c:pt idx="130">
                  <c:v>41730</c:v>
                </c:pt>
                <c:pt idx="131">
                  <c:v>41760</c:v>
                </c:pt>
                <c:pt idx="132">
                  <c:v>41791</c:v>
                </c:pt>
                <c:pt idx="133">
                  <c:v>41821</c:v>
                </c:pt>
                <c:pt idx="134">
                  <c:v>41852</c:v>
                </c:pt>
                <c:pt idx="135">
                  <c:v>41883</c:v>
                </c:pt>
                <c:pt idx="136">
                  <c:v>41913</c:v>
                </c:pt>
                <c:pt idx="137">
                  <c:v>41944</c:v>
                </c:pt>
                <c:pt idx="138">
                  <c:v>41974</c:v>
                </c:pt>
                <c:pt idx="139">
                  <c:v>42005</c:v>
                </c:pt>
                <c:pt idx="140">
                  <c:v>42036</c:v>
                </c:pt>
                <c:pt idx="141">
                  <c:v>42064</c:v>
                </c:pt>
                <c:pt idx="142">
                  <c:v>42095</c:v>
                </c:pt>
                <c:pt idx="143">
                  <c:v>42125</c:v>
                </c:pt>
                <c:pt idx="144">
                  <c:v>42156</c:v>
                </c:pt>
                <c:pt idx="145">
                  <c:v>42186</c:v>
                </c:pt>
                <c:pt idx="146">
                  <c:v>42217</c:v>
                </c:pt>
                <c:pt idx="147">
                  <c:v>42248</c:v>
                </c:pt>
                <c:pt idx="148">
                  <c:v>42278</c:v>
                </c:pt>
                <c:pt idx="149">
                  <c:v>42309</c:v>
                </c:pt>
                <c:pt idx="150">
                  <c:v>42339</c:v>
                </c:pt>
                <c:pt idx="151">
                  <c:v>42370</c:v>
                </c:pt>
                <c:pt idx="152">
                  <c:v>42401</c:v>
                </c:pt>
                <c:pt idx="153">
                  <c:v>42430</c:v>
                </c:pt>
                <c:pt idx="154">
                  <c:v>42461</c:v>
                </c:pt>
                <c:pt idx="155">
                  <c:v>42491</c:v>
                </c:pt>
                <c:pt idx="156">
                  <c:v>42522</c:v>
                </c:pt>
                <c:pt idx="157">
                  <c:v>42552</c:v>
                </c:pt>
                <c:pt idx="158">
                  <c:v>42583</c:v>
                </c:pt>
                <c:pt idx="159">
                  <c:v>42614</c:v>
                </c:pt>
                <c:pt idx="160">
                  <c:v>42644</c:v>
                </c:pt>
                <c:pt idx="161">
                  <c:v>42675</c:v>
                </c:pt>
                <c:pt idx="162">
                  <c:v>42705</c:v>
                </c:pt>
                <c:pt idx="163">
                  <c:v>42736</c:v>
                </c:pt>
                <c:pt idx="164">
                  <c:v>42767</c:v>
                </c:pt>
                <c:pt idx="165">
                  <c:v>42795</c:v>
                </c:pt>
                <c:pt idx="166">
                  <c:v>42826</c:v>
                </c:pt>
                <c:pt idx="167">
                  <c:v>42856</c:v>
                </c:pt>
                <c:pt idx="168">
                  <c:v>42887</c:v>
                </c:pt>
                <c:pt idx="169">
                  <c:v>42917</c:v>
                </c:pt>
                <c:pt idx="170">
                  <c:v>42948</c:v>
                </c:pt>
                <c:pt idx="171">
                  <c:v>42979</c:v>
                </c:pt>
                <c:pt idx="172">
                  <c:v>43009</c:v>
                </c:pt>
                <c:pt idx="173">
                  <c:v>43040</c:v>
                </c:pt>
                <c:pt idx="174">
                  <c:v>43070</c:v>
                </c:pt>
                <c:pt idx="175">
                  <c:v>43101</c:v>
                </c:pt>
                <c:pt idx="176">
                  <c:v>43132</c:v>
                </c:pt>
                <c:pt idx="177">
                  <c:v>43160</c:v>
                </c:pt>
                <c:pt idx="178">
                  <c:v>43191</c:v>
                </c:pt>
                <c:pt idx="179">
                  <c:v>43221</c:v>
                </c:pt>
                <c:pt idx="180">
                  <c:v>43252</c:v>
                </c:pt>
                <c:pt idx="181">
                  <c:v>43282</c:v>
                </c:pt>
                <c:pt idx="182">
                  <c:v>43313</c:v>
                </c:pt>
                <c:pt idx="183">
                  <c:v>43344</c:v>
                </c:pt>
                <c:pt idx="184">
                  <c:v>43374</c:v>
                </c:pt>
                <c:pt idx="185">
                  <c:v>43405</c:v>
                </c:pt>
                <c:pt idx="186">
                  <c:v>43435</c:v>
                </c:pt>
                <c:pt idx="187">
                  <c:v>43466</c:v>
                </c:pt>
                <c:pt idx="188">
                  <c:v>43497</c:v>
                </c:pt>
                <c:pt idx="189">
                  <c:v>43525</c:v>
                </c:pt>
                <c:pt idx="190">
                  <c:v>43556</c:v>
                </c:pt>
                <c:pt idx="191">
                  <c:v>43586</c:v>
                </c:pt>
                <c:pt idx="192">
                  <c:v>43617</c:v>
                </c:pt>
                <c:pt idx="193">
                  <c:v>43647</c:v>
                </c:pt>
                <c:pt idx="194">
                  <c:v>43678</c:v>
                </c:pt>
                <c:pt idx="195">
                  <c:v>43709</c:v>
                </c:pt>
                <c:pt idx="196">
                  <c:v>43739</c:v>
                </c:pt>
                <c:pt idx="197">
                  <c:v>43770</c:v>
                </c:pt>
                <c:pt idx="198">
                  <c:v>43800</c:v>
                </c:pt>
                <c:pt idx="199">
                  <c:v>43831</c:v>
                </c:pt>
                <c:pt idx="200">
                  <c:v>43862</c:v>
                </c:pt>
                <c:pt idx="201">
                  <c:v>43891</c:v>
                </c:pt>
                <c:pt idx="202">
                  <c:v>43922</c:v>
                </c:pt>
                <c:pt idx="203">
                  <c:v>43952</c:v>
                </c:pt>
                <c:pt idx="204">
                  <c:v>43983</c:v>
                </c:pt>
                <c:pt idx="205">
                  <c:v>44013</c:v>
                </c:pt>
                <c:pt idx="206">
                  <c:v>44044</c:v>
                </c:pt>
                <c:pt idx="207">
                  <c:v>44075</c:v>
                </c:pt>
                <c:pt idx="208">
                  <c:v>44105</c:v>
                </c:pt>
                <c:pt idx="209">
                  <c:v>44136</c:v>
                </c:pt>
                <c:pt idx="210">
                  <c:v>44166</c:v>
                </c:pt>
                <c:pt idx="211">
                  <c:v>44197</c:v>
                </c:pt>
                <c:pt idx="212">
                  <c:v>44228</c:v>
                </c:pt>
                <c:pt idx="213">
                  <c:v>44256</c:v>
                </c:pt>
                <c:pt idx="214">
                  <c:v>44287</c:v>
                </c:pt>
                <c:pt idx="215">
                  <c:v>44317</c:v>
                </c:pt>
                <c:pt idx="216">
                  <c:v>44348</c:v>
                </c:pt>
                <c:pt idx="217">
                  <c:v>44378</c:v>
                </c:pt>
                <c:pt idx="218">
                  <c:v>44409</c:v>
                </c:pt>
                <c:pt idx="219">
                  <c:v>44440</c:v>
                </c:pt>
                <c:pt idx="220">
                  <c:v>44470</c:v>
                </c:pt>
                <c:pt idx="221">
                  <c:v>44501</c:v>
                </c:pt>
                <c:pt idx="222">
                  <c:v>44531</c:v>
                </c:pt>
                <c:pt idx="223">
                  <c:v>44562</c:v>
                </c:pt>
                <c:pt idx="224">
                  <c:v>44593</c:v>
                </c:pt>
                <c:pt idx="225">
                  <c:v>44621</c:v>
                </c:pt>
                <c:pt idx="226">
                  <c:v>44652</c:v>
                </c:pt>
                <c:pt idx="227">
                  <c:v>44682</c:v>
                </c:pt>
                <c:pt idx="228">
                  <c:v>44713</c:v>
                </c:pt>
                <c:pt idx="229">
                  <c:v>44743</c:v>
                </c:pt>
                <c:pt idx="230">
                  <c:v>44774</c:v>
                </c:pt>
                <c:pt idx="231">
                  <c:v>44805</c:v>
                </c:pt>
                <c:pt idx="232">
                  <c:v>44835</c:v>
                </c:pt>
                <c:pt idx="233">
                  <c:v>44866</c:v>
                </c:pt>
                <c:pt idx="234">
                  <c:v>44896</c:v>
                </c:pt>
                <c:pt idx="235">
                  <c:v>44927</c:v>
                </c:pt>
                <c:pt idx="236">
                  <c:v>44958</c:v>
                </c:pt>
                <c:pt idx="237">
                  <c:v>44986</c:v>
                </c:pt>
                <c:pt idx="238">
                  <c:v>45017</c:v>
                </c:pt>
                <c:pt idx="239">
                  <c:v>45047</c:v>
                </c:pt>
                <c:pt idx="240">
                  <c:v>45078</c:v>
                </c:pt>
              </c:numCache>
            </c:numRef>
          </c:cat>
          <c:val>
            <c:numRef>
              <c:f>'% of emp women working FT'!$K$2:$K$242</c:f>
              <c:numCache>
                <c:formatCode>0.0</c:formatCode>
                <c:ptCount val="241"/>
                <c:pt idx="0">
                  <c:v>53.491160453168241</c:v>
                </c:pt>
                <c:pt idx="1">
                  <c:v>54.336656159719489</c:v>
                </c:pt>
                <c:pt idx="2">
                  <c:v>54.107323429222312</c:v>
                </c:pt>
                <c:pt idx="3">
                  <c:v>54.178427770593785</c:v>
                </c:pt>
                <c:pt idx="4">
                  <c:v>54.361199246686063</c:v>
                </c:pt>
                <c:pt idx="5">
                  <c:v>54.553794199641558</c:v>
                </c:pt>
                <c:pt idx="6">
                  <c:v>54.506236186448696</c:v>
                </c:pt>
                <c:pt idx="7">
                  <c:v>54.998971085885273</c:v>
                </c:pt>
                <c:pt idx="8">
                  <c:v>54.429575339032787</c:v>
                </c:pt>
                <c:pt idx="9">
                  <c:v>54.614717953679147</c:v>
                </c:pt>
                <c:pt idx="10">
                  <c:v>54.527709762791822</c:v>
                </c:pt>
                <c:pt idx="11">
                  <c:v>54.423802206353457</c:v>
                </c:pt>
                <c:pt idx="12">
                  <c:v>54.729134940234502</c:v>
                </c:pt>
                <c:pt idx="13">
                  <c:v>54.737590611083654</c:v>
                </c:pt>
                <c:pt idx="14">
                  <c:v>54.883318468379613</c:v>
                </c:pt>
                <c:pt idx="15">
                  <c:v>54.727874441134475</c:v>
                </c:pt>
                <c:pt idx="16">
                  <c:v>54.971215271657613</c:v>
                </c:pt>
                <c:pt idx="17">
                  <c:v>54.93005241837502</c:v>
                </c:pt>
                <c:pt idx="18">
                  <c:v>54.819874454308746</c:v>
                </c:pt>
                <c:pt idx="19">
                  <c:v>54.751324426154234</c:v>
                </c:pt>
                <c:pt idx="20">
                  <c:v>55.002637592689283</c:v>
                </c:pt>
                <c:pt idx="21">
                  <c:v>54.569097982922202</c:v>
                </c:pt>
                <c:pt idx="22">
                  <c:v>54.921768511331415</c:v>
                </c:pt>
                <c:pt idx="23">
                  <c:v>54.432862806926074</c:v>
                </c:pt>
                <c:pt idx="24">
                  <c:v>54.847263524183489</c:v>
                </c:pt>
                <c:pt idx="25">
                  <c:v>54.65797139124777</c:v>
                </c:pt>
                <c:pt idx="26">
                  <c:v>54.124751936404046</c:v>
                </c:pt>
                <c:pt idx="27">
                  <c:v>54.37398760941614</c:v>
                </c:pt>
                <c:pt idx="28">
                  <c:v>53.978106951738233</c:v>
                </c:pt>
                <c:pt idx="29">
                  <c:v>54.248621974158496</c:v>
                </c:pt>
                <c:pt idx="30">
                  <c:v>54.238287885010017</c:v>
                </c:pt>
                <c:pt idx="31">
                  <c:v>54.686407892251545</c:v>
                </c:pt>
                <c:pt idx="32">
                  <c:v>54.793678903949903</c:v>
                </c:pt>
                <c:pt idx="33">
                  <c:v>54.324639507996388</c:v>
                </c:pt>
                <c:pt idx="34">
                  <c:v>54.718496032296862</c:v>
                </c:pt>
                <c:pt idx="35">
                  <c:v>54.438066326759071</c:v>
                </c:pt>
                <c:pt idx="36">
                  <c:v>54.800978881140374</c:v>
                </c:pt>
                <c:pt idx="37">
                  <c:v>54.925778235090853</c:v>
                </c:pt>
                <c:pt idx="38">
                  <c:v>55.099217624102955</c:v>
                </c:pt>
                <c:pt idx="39">
                  <c:v>55.235334284985868</c:v>
                </c:pt>
                <c:pt idx="40">
                  <c:v>55.34364906289656</c:v>
                </c:pt>
                <c:pt idx="41">
                  <c:v>55.347715465576933</c:v>
                </c:pt>
                <c:pt idx="42">
                  <c:v>55.509516818608972</c:v>
                </c:pt>
                <c:pt idx="43">
                  <c:v>55.40824457372927</c:v>
                </c:pt>
                <c:pt idx="44">
                  <c:v>55.437016121912094</c:v>
                </c:pt>
                <c:pt idx="45">
                  <c:v>55.595654929785979</c:v>
                </c:pt>
                <c:pt idx="46">
                  <c:v>55.215647666609122</c:v>
                </c:pt>
                <c:pt idx="47">
                  <c:v>55.631771492710946</c:v>
                </c:pt>
                <c:pt idx="48">
                  <c:v>55.263282311351958</c:v>
                </c:pt>
                <c:pt idx="49">
                  <c:v>55.180787634266338</c:v>
                </c:pt>
                <c:pt idx="50">
                  <c:v>55.477129412352177</c:v>
                </c:pt>
                <c:pt idx="51">
                  <c:v>54.787825219002897</c:v>
                </c:pt>
                <c:pt idx="52">
                  <c:v>55.834101706532579</c:v>
                </c:pt>
                <c:pt idx="53">
                  <c:v>55.596358199734411</c:v>
                </c:pt>
                <c:pt idx="54">
                  <c:v>55.82044311893123</c:v>
                </c:pt>
                <c:pt idx="55">
                  <c:v>55.480858794261458</c:v>
                </c:pt>
                <c:pt idx="56">
                  <c:v>55.962003478714131</c:v>
                </c:pt>
                <c:pt idx="57">
                  <c:v>55.635990228692322</c:v>
                </c:pt>
                <c:pt idx="58">
                  <c:v>55.186982726354785</c:v>
                </c:pt>
                <c:pt idx="59">
                  <c:v>55.491328764378686</c:v>
                </c:pt>
                <c:pt idx="60">
                  <c:v>55.23061016430654</c:v>
                </c:pt>
                <c:pt idx="61">
                  <c:v>55.863214515899671</c:v>
                </c:pt>
                <c:pt idx="62">
                  <c:v>55.518501211377199</c:v>
                </c:pt>
                <c:pt idx="63">
                  <c:v>55.405674442194972</c:v>
                </c:pt>
                <c:pt idx="64">
                  <c:v>54.869803898124957</c:v>
                </c:pt>
                <c:pt idx="65">
                  <c:v>55.083268051818521</c:v>
                </c:pt>
                <c:pt idx="66">
                  <c:v>54.392450093626451</c:v>
                </c:pt>
                <c:pt idx="67">
                  <c:v>55.612665666414031</c:v>
                </c:pt>
                <c:pt idx="68">
                  <c:v>54.917249594287767</c:v>
                </c:pt>
                <c:pt idx="69">
                  <c:v>55.119286162669582</c:v>
                </c:pt>
                <c:pt idx="70">
                  <c:v>55.178456865075923</c:v>
                </c:pt>
                <c:pt idx="71">
                  <c:v>55.045564238899715</c:v>
                </c:pt>
                <c:pt idx="72">
                  <c:v>54.730020268881177</c:v>
                </c:pt>
                <c:pt idx="73">
                  <c:v>54.612367259263863</c:v>
                </c:pt>
                <c:pt idx="74">
                  <c:v>54.123402437890476</c:v>
                </c:pt>
                <c:pt idx="75">
                  <c:v>54.047679259560852</c:v>
                </c:pt>
                <c:pt idx="76">
                  <c:v>54.196017878091197</c:v>
                </c:pt>
                <c:pt idx="77">
                  <c:v>54.238781418589255</c:v>
                </c:pt>
                <c:pt idx="78">
                  <c:v>54.075034168503322</c:v>
                </c:pt>
                <c:pt idx="79">
                  <c:v>54.097620818096267</c:v>
                </c:pt>
                <c:pt idx="80">
                  <c:v>53.629392336719349</c:v>
                </c:pt>
                <c:pt idx="81">
                  <c:v>53.894624583612895</c:v>
                </c:pt>
                <c:pt idx="82">
                  <c:v>54.173168786215811</c:v>
                </c:pt>
                <c:pt idx="83">
                  <c:v>54.296999704590178</c:v>
                </c:pt>
                <c:pt idx="84">
                  <c:v>54.243337742362755</c:v>
                </c:pt>
                <c:pt idx="85">
                  <c:v>53.806543773330674</c:v>
                </c:pt>
                <c:pt idx="86">
                  <c:v>54.601669835232045</c:v>
                </c:pt>
                <c:pt idx="87">
                  <c:v>54.382098159748935</c:v>
                </c:pt>
                <c:pt idx="88">
                  <c:v>54.085425363981052</c:v>
                </c:pt>
                <c:pt idx="89">
                  <c:v>54.573740732577356</c:v>
                </c:pt>
                <c:pt idx="90">
                  <c:v>54.355903937973096</c:v>
                </c:pt>
                <c:pt idx="91">
                  <c:v>54.437198810322194</c:v>
                </c:pt>
                <c:pt idx="92">
                  <c:v>54.411978382160598</c:v>
                </c:pt>
                <c:pt idx="93">
                  <c:v>54.772863768587584</c:v>
                </c:pt>
                <c:pt idx="94">
                  <c:v>54.263930319972395</c:v>
                </c:pt>
                <c:pt idx="95">
                  <c:v>53.875393308359165</c:v>
                </c:pt>
                <c:pt idx="96">
                  <c:v>54.523442383592027</c:v>
                </c:pt>
                <c:pt idx="97">
                  <c:v>54.413725185018272</c:v>
                </c:pt>
                <c:pt idx="98">
                  <c:v>54.230791555632294</c:v>
                </c:pt>
                <c:pt idx="99">
                  <c:v>54.346671598836004</c:v>
                </c:pt>
                <c:pt idx="100">
                  <c:v>54.247562363018133</c:v>
                </c:pt>
                <c:pt idx="101">
                  <c:v>54.151900428416951</c:v>
                </c:pt>
                <c:pt idx="102">
                  <c:v>54.69712914019501</c:v>
                </c:pt>
                <c:pt idx="103">
                  <c:v>54.402307190335364</c:v>
                </c:pt>
                <c:pt idx="104">
                  <c:v>54.560292765658488</c:v>
                </c:pt>
                <c:pt idx="105">
                  <c:v>54.25670515153702</c:v>
                </c:pt>
                <c:pt idx="106">
                  <c:v>54.430476698938271</c:v>
                </c:pt>
                <c:pt idx="107">
                  <c:v>54.371058687844652</c:v>
                </c:pt>
                <c:pt idx="108">
                  <c:v>54.19392654006495</c:v>
                </c:pt>
                <c:pt idx="109">
                  <c:v>54.205737526702336</c:v>
                </c:pt>
                <c:pt idx="110">
                  <c:v>54.118919991848649</c:v>
                </c:pt>
                <c:pt idx="111">
                  <c:v>54.676414939745641</c:v>
                </c:pt>
                <c:pt idx="112">
                  <c:v>54.644567282646207</c:v>
                </c:pt>
                <c:pt idx="113">
                  <c:v>54.365301064178283</c:v>
                </c:pt>
                <c:pt idx="114">
                  <c:v>54.273605069379691</c:v>
                </c:pt>
                <c:pt idx="115">
                  <c:v>54.450799793765128</c:v>
                </c:pt>
                <c:pt idx="116">
                  <c:v>54.175500093285791</c:v>
                </c:pt>
                <c:pt idx="117">
                  <c:v>53.935175556579395</c:v>
                </c:pt>
                <c:pt idx="118">
                  <c:v>54.037051842488573</c:v>
                </c:pt>
                <c:pt idx="119">
                  <c:v>54.082156499940851</c:v>
                </c:pt>
                <c:pt idx="120">
                  <c:v>53.857984123999678</c:v>
                </c:pt>
                <c:pt idx="121">
                  <c:v>53.982242546701329</c:v>
                </c:pt>
                <c:pt idx="122">
                  <c:v>54.282205733817747</c:v>
                </c:pt>
                <c:pt idx="123">
                  <c:v>54.141719701184513</c:v>
                </c:pt>
                <c:pt idx="124">
                  <c:v>53.985489060202163</c:v>
                </c:pt>
                <c:pt idx="125">
                  <c:v>53.858333268077672</c:v>
                </c:pt>
                <c:pt idx="126">
                  <c:v>53.487248725091632</c:v>
                </c:pt>
                <c:pt idx="127">
                  <c:v>53.460707234862205</c:v>
                </c:pt>
                <c:pt idx="128">
                  <c:v>53.736849495367956</c:v>
                </c:pt>
                <c:pt idx="129">
                  <c:v>53.895859486020484</c:v>
                </c:pt>
                <c:pt idx="130">
                  <c:v>53.633300766070569</c:v>
                </c:pt>
                <c:pt idx="131">
                  <c:v>54.01039702591153</c:v>
                </c:pt>
                <c:pt idx="132">
                  <c:v>53.874052470075497</c:v>
                </c:pt>
                <c:pt idx="133">
                  <c:v>53.78340100919042</c:v>
                </c:pt>
                <c:pt idx="134">
                  <c:v>53.734939326309842</c:v>
                </c:pt>
                <c:pt idx="135">
                  <c:v>53.721596355115352</c:v>
                </c:pt>
                <c:pt idx="136">
                  <c:v>53.96701552051583</c:v>
                </c:pt>
                <c:pt idx="137">
                  <c:v>53.131964796081895</c:v>
                </c:pt>
                <c:pt idx="138">
                  <c:v>53.274143869615507</c:v>
                </c:pt>
                <c:pt idx="139">
                  <c:v>53.417444402744664</c:v>
                </c:pt>
                <c:pt idx="140">
                  <c:v>53.480171679006446</c:v>
                </c:pt>
                <c:pt idx="141">
                  <c:v>53.51015863155073</c:v>
                </c:pt>
                <c:pt idx="142">
                  <c:v>53.813784607542161</c:v>
                </c:pt>
                <c:pt idx="143">
                  <c:v>53.680010660577061</c:v>
                </c:pt>
                <c:pt idx="144">
                  <c:v>53.806237493770425</c:v>
                </c:pt>
                <c:pt idx="145">
                  <c:v>53.81934222071483</c:v>
                </c:pt>
                <c:pt idx="146">
                  <c:v>53.470110630150025</c:v>
                </c:pt>
                <c:pt idx="147">
                  <c:v>53.880373185704563</c:v>
                </c:pt>
                <c:pt idx="148">
                  <c:v>53.469151665702562</c:v>
                </c:pt>
                <c:pt idx="149">
                  <c:v>53.686350566389962</c:v>
                </c:pt>
                <c:pt idx="150">
                  <c:v>53.847517139453096</c:v>
                </c:pt>
                <c:pt idx="151">
                  <c:v>53.552508150571867</c:v>
                </c:pt>
                <c:pt idx="152">
                  <c:v>53.829435571422266</c:v>
                </c:pt>
                <c:pt idx="153">
                  <c:v>53.619514148521638</c:v>
                </c:pt>
                <c:pt idx="154">
                  <c:v>53.807048712804061</c:v>
                </c:pt>
                <c:pt idx="155">
                  <c:v>53.577595696977831</c:v>
                </c:pt>
                <c:pt idx="156">
                  <c:v>53.624192213029822</c:v>
                </c:pt>
                <c:pt idx="157">
                  <c:v>53.285485945287313</c:v>
                </c:pt>
                <c:pt idx="158">
                  <c:v>53.342956859029222</c:v>
                </c:pt>
                <c:pt idx="159">
                  <c:v>53.045971197680707</c:v>
                </c:pt>
                <c:pt idx="160">
                  <c:v>53.147221431250543</c:v>
                </c:pt>
                <c:pt idx="161">
                  <c:v>53.216448709764407</c:v>
                </c:pt>
                <c:pt idx="162">
                  <c:v>53.130036335797385</c:v>
                </c:pt>
                <c:pt idx="163">
                  <c:v>52.166603649207801</c:v>
                </c:pt>
                <c:pt idx="164">
                  <c:v>52.793900610828572</c:v>
                </c:pt>
                <c:pt idx="165">
                  <c:v>53.298829342795251</c:v>
                </c:pt>
                <c:pt idx="166">
                  <c:v>52.888846242744705</c:v>
                </c:pt>
                <c:pt idx="167">
                  <c:v>53.249725191645503</c:v>
                </c:pt>
                <c:pt idx="168">
                  <c:v>53.408872484856253</c:v>
                </c:pt>
                <c:pt idx="169">
                  <c:v>53.455353676714843</c:v>
                </c:pt>
                <c:pt idx="170">
                  <c:v>53.685633592242141</c:v>
                </c:pt>
                <c:pt idx="171">
                  <c:v>53.171251186411503</c:v>
                </c:pt>
                <c:pt idx="172">
                  <c:v>53.622567013107691</c:v>
                </c:pt>
                <c:pt idx="173">
                  <c:v>53.849042981397666</c:v>
                </c:pt>
                <c:pt idx="174">
                  <c:v>53.607131183477065</c:v>
                </c:pt>
                <c:pt idx="175">
                  <c:v>53.800131945988582</c:v>
                </c:pt>
                <c:pt idx="176">
                  <c:v>53.592121105619462</c:v>
                </c:pt>
                <c:pt idx="177">
                  <c:v>53.084507332481309</c:v>
                </c:pt>
                <c:pt idx="178">
                  <c:v>53.402643720094787</c:v>
                </c:pt>
                <c:pt idx="179">
                  <c:v>53.076717893008698</c:v>
                </c:pt>
                <c:pt idx="180">
                  <c:v>52.99594894102264</c:v>
                </c:pt>
                <c:pt idx="181">
                  <c:v>53.476078081212265</c:v>
                </c:pt>
                <c:pt idx="182">
                  <c:v>53.686890864352108</c:v>
                </c:pt>
                <c:pt idx="183">
                  <c:v>53.829317765671547</c:v>
                </c:pt>
                <c:pt idx="184">
                  <c:v>54.127611242402295</c:v>
                </c:pt>
                <c:pt idx="185">
                  <c:v>53.904613704017343</c:v>
                </c:pt>
                <c:pt idx="186">
                  <c:v>54.048813376930148</c:v>
                </c:pt>
                <c:pt idx="187">
                  <c:v>53.932547242232729</c:v>
                </c:pt>
                <c:pt idx="188">
                  <c:v>54.060513861319379</c:v>
                </c:pt>
                <c:pt idx="189">
                  <c:v>54.307872601235509</c:v>
                </c:pt>
                <c:pt idx="190">
                  <c:v>54.222607335447051</c:v>
                </c:pt>
                <c:pt idx="191">
                  <c:v>53.782212264145414</c:v>
                </c:pt>
                <c:pt idx="192">
                  <c:v>53.915970602452425</c:v>
                </c:pt>
                <c:pt idx="193">
                  <c:v>54.49776579445539</c:v>
                </c:pt>
                <c:pt idx="194">
                  <c:v>53.975987744939289</c:v>
                </c:pt>
                <c:pt idx="195">
                  <c:v>54.111964133045475</c:v>
                </c:pt>
                <c:pt idx="196">
                  <c:v>54.251267172263816</c:v>
                </c:pt>
                <c:pt idx="197">
                  <c:v>54.207286989707605</c:v>
                </c:pt>
                <c:pt idx="198">
                  <c:v>54.467243959332293</c:v>
                </c:pt>
                <c:pt idx="199">
                  <c:v>54.329896055042013</c:v>
                </c:pt>
                <c:pt idx="200">
                  <c:v>54.15350869000801</c:v>
                </c:pt>
                <c:pt idx="201">
                  <c:v>54.17022398926531</c:v>
                </c:pt>
                <c:pt idx="202">
                  <c:v>55.321782652539753</c:v>
                </c:pt>
                <c:pt idx="203">
                  <c:v>56.066893029385433</c:v>
                </c:pt>
                <c:pt idx="204">
                  <c:v>54.602095586160672</c:v>
                </c:pt>
                <c:pt idx="205">
                  <c:v>54.593291332642302</c:v>
                </c:pt>
                <c:pt idx="206">
                  <c:v>53.852392140745863</c:v>
                </c:pt>
                <c:pt idx="207">
                  <c:v>53.941521359112045</c:v>
                </c:pt>
                <c:pt idx="208">
                  <c:v>53.498282053030252</c:v>
                </c:pt>
                <c:pt idx="209">
                  <c:v>53.934996978060553</c:v>
                </c:pt>
                <c:pt idx="210">
                  <c:v>54.044840697676356</c:v>
                </c:pt>
                <c:pt idx="211">
                  <c:v>54.522665895303177</c:v>
                </c:pt>
                <c:pt idx="212">
                  <c:v>54.919998626210798</c:v>
                </c:pt>
                <c:pt idx="213">
                  <c:v>54.110797557909017</c:v>
                </c:pt>
                <c:pt idx="214">
                  <c:v>54.397070748243813</c:v>
                </c:pt>
                <c:pt idx="215">
                  <c:v>54.836580332155108</c:v>
                </c:pt>
                <c:pt idx="216">
                  <c:v>54.804845712999736</c:v>
                </c:pt>
                <c:pt idx="217">
                  <c:v>54.871175189327545</c:v>
                </c:pt>
                <c:pt idx="218">
                  <c:v>55.128209641362368</c:v>
                </c:pt>
                <c:pt idx="219">
                  <c:v>56.341512633608723</c:v>
                </c:pt>
                <c:pt idx="220">
                  <c:v>56.360579344634488</c:v>
                </c:pt>
                <c:pt idx="221">
                  <c:v>55.282356615626085</c:v>
                </c:pt>
                <c:pt idx="222">
                  <c:v>55.179329564481861</c:v>
                </c:pt>
                <c:pt idx="223">
                  <c:v>54.935352758270049</c:v>
                </c:pt>
                <c:pt idx="224">
                  <c:v>55.449242358718607</c:v>
                </c:pt>
                <c:pt idx="225">
                  <c:v>55.681038225374337</c:v>
                </c:pt>
                <c:pt idx="226">
                  <c:v>56.041054489868003</c:v>
                </c:pt>
                <c:pt idx="227">
                  <c:v>56.527454281498578</c:v>
                </c:pt>
                <c:pt idx="228">
                  <c:v>56.299988798513759</c:v>
                </c:pt>
                <c:pt idx="229">
                  <c:v>56.003599005403515</c:v>
                </c:pt>
                <c:pt idx="230">
                  <c:v>56.454564156755069</c:v>
                </c:pt>
                <c:pt idx="231">
                  <c:v>56.775295921785862</c:v>
                </c:pt>
                <c:pt idx="232">
                  <c:v>56.957261167391806</c:v>
                </c:pt>
                <c:pt idx="233">
                  <c:v>56.854399616068122</c:v>
                </c:pt>
                <c:pt idx="234">
                  <c:v>57.05954945584422</c:v>
                </c:pt>
                <c:pt idx="235">
                  <c:v>57.121407351427564</c:v>
                </c:pt>
                <c:pt idx="236">
                  <c:v>57.303723152535483</c:v>
                </c:pt>
                <c:pt idx="237">
                  <c:v>57.470420701945088</c:v>
                </c:pt>
                <c:pt idx="238">
                  <c:v>57.775217156660744</c:v>
                </c:pt>
                <c:pt idx="239">
                  <c:v>57.842785883565405</c:v>
                </c:pt>
                <c:pt idx="240">
                  <c:v>57.938489619767978</c:v>
                </c:pt>
              </c:numCache>
            </c:numRef>
          </c:val>
          <c:smooth val="0"/>
          <c:extLst>
            <c:ext xmlns:c16="http://schemas.microsoft.com/office/drawing/2014/chart" uri="{C3380CC4-5D6E-409C-BE32-E72D297353CC}">
              <c16:uniqueId val="{00000000-4F0A-440B-A149-28BAA4B29DC9}"/>
            </c:ext>
          </c:extLst>
        </c:ser>
        <c:dLbls>
          <c:showLegendKey val="0"/>
          <c:showVal val="0"/>
          <c:showCatName val="0"/>
          <c:showSerName val="0"/>
          <c:showPercent val="0"/>
          <c:showBubbleSize val="0"/>
        </c:dLbls>
        <c:marker val="1"/>
        <c:smooth val="0"/>
        <c:axId val="280757199"/>
        <c:axId val="280758159"/>
      </c:lineChart>
      <c:lineChart>
        <c:grouping val="standard"/>
        <c:varyColors val="0"/>
        <c:ser>
          <c:idx val="1"/>
          <c:order val="1"/>
          <c:tx>
            <c:strRef>
              <c:f>'% of emp women working FT'!$L$1</c:f>
              <c:strCache>
                <c:ptCount val="1"/>
                <c:pt idx="0">
                  <c:v>Proportion of employed men working full-time (RHS)</c:v>
                </c:pt>
              </c:strCache>
            </c:strRef>
          </c:tx>
          <c:spPr>
            <a:ln w="28575" cap="rnd">
              <a:solidFill>
                <a:schemeClr val="accent2"/>
              </a:solidFill>
              <a:round/>
            </a:ln>
            <a:effectLst/>
          </c:spPr>
          <c:marker>
            <c:symbol val="none"/>
          </c:marker>
          <c:cat>
            <c:numRef>
              <c:f>'% of emp women working FT'!$J$2:$J$242</c:f>
              <c:numCache>
                <c:formatCode>mmm\-yy</c:formatCode>
                <c:ptCount val="241"/>
                <c:pt idx="0">
                  <c:v>37773</c:v>
                </c:pt>
                <c:pt idx="1">
                  <c:v>37803</c:v>
                </c:pt>
                <c:pt idx="2">
                  <c:v>37834</c:v>
                </c:pt>
                <c:pt idx="3">
                  <c:v>37865</c:v>
                </c:pt>
                <c:pt idx="4">
                  <c:v>37895</c:v>
                </c:pt>
                <c:pt idx="5">
                  <c:v>37926</c:v>
                </c:pt>
                <c:pt idx="6">
                  <c:v>37956</c:v>
                </c:pt>
                <c:pt idx="7">
                  <c:v>37987</c:v>
                </c:pt>
                <c:pt idx="8">
                  <c:v>38018</c:v>
                </c:pt>
                <c:pt idx="9">
                  <c:v>38047</c:v>
                </c:pt>
                <c:pt idx="10">
                  <c:v>38078</c:v>
                </c:pt>
                <c:pt idx="11">
                  <c:v>38108</c:v>
                </c:pt>
                <c:pt idx="12">
                  <c:v>38139</c:v>
                </c:pt>
                <c:pt idx="13">
                  <c:v>38169</c:v>
                </c:pt>
                <c:pt idx="14">
                  <c:v>38200</c:v>
                </c:pt>
                <c:pt idx="15">
                  <c:v>38231</c:v>
                </c:pt>
                <c:pt idx="16">
                  <c:v>38261</c:v>
                </c:pt>
                <c:pt idx="17">
                  <c:v>38292</c:v>
                </c:pt>
                <c:pt idx="18">
                  <c:v>38322</c:v>
                </c:pt>
                <c:pt idx="19">
                  <c:v>38353</c:v>
                </c:pt>
                <c:pt idx="20">
                  <c:v>38384</c:v>
                </c:pt>
                <c:pt idx="21">
                  <c:v>38412</c:v>
                </c:pt>
                <c:pt idx="22">
                  <c:v>38443</c:v>
                </c:pt>
                <c:pt idx="23">
                  <c:v>38473</c:v>
                </c:pt>
                <c:pt idx="24">
                  <c:v>38504</c:v>
                </c:pt>
                <c:pt idx="25">
                  <c:v>38534</c:v>
                </c:pt>
                <c:pt idx="26">
                  <c:v>38565</c:v>
                </c:pt>
                <c:pt idx="27">
                  <c:v>38596</c:v>
                </c:pt>
                <c:pt idx="28">
                  <c:v>38626</c:v>
                </c:pt>
                <c:pt idx="29">
                  <c:v>38657</c:v>
                </c:pt>
                <c:pt idx="30">
                  <c:v>38687</c:v>
                </c:pt>
                <c:pt idx="31">
                  <c:v>38718</c:v>
                </c:pt>
                <c:pt idx="32">
                  <c:v>38749</c:v>
                </c:pt>
                <c:pt idx="33">
                  <c:v>38777</c:v>
                </c:pt>
                <c:pt idx="34">
                  <c:v>38808</c:v>
                </c:pt>
                <c:pt idx="35">
                  <c:v>38838</c:v>
                </c:pt>
                <c:pt idx="36">
                  <c:v>38869</c:v>
                </c:pt>
                <c:pt idx="37">
                  <c:v>38899</c:v>
                </c:pt>
                <c:pt idx="38">
                  <c:v>38930</c:v>
                </c:pt>
                <c:pt idx="39">
                  <c:v>38961</c:v>
                </c:pt>
                <c:pt idx="40">
                  <c:v>38991</c:v>
                </c:pt>
                <c:pt idx="41">
                  <c:v>39022</c:v>
                </c:pt>
                <c:pt idx="42">
                  <c:v>39052</c:v>
                </c:pt>
                <c:pt idx="43">
                  <c:v>39083</c:v>
                </c:pt>
                <c:pt idx="44">
                  <c:v>39114</c:v>
                </c:pt>
                <c:pt idx="45">
                  <c:v>39142</c:v>
                </c:pt>
                <c:pt idx="46">
                  <c:v>39173</c:v>
                </c:pt>
                <c:pt idx="47">
                  <c:v>39203</c:v>
                </c:pt>
                <c:pt idx="48">
                  <c:v>39234</c:v>
                </c:pt>
                <c:pt idx="49">
                  <c:v>39264</c:v>
                </c:pt>
                <c:pt idx="50">
                  <c:v>39295</c:v>
                </c:pt>
                <c:pt idx="51">
                  <c:v>39326</c:v>
                </c:pt>
                <c:pt idx="52">
                  <c:v>39356</c:v>
                </c:pt>
                <c:pt idx="53">
                  <c:v>39387</c:v>
                </c:pt>
                <c:pt idx="54">
                  <c:v>39417</c:v>
                </c:pt>
                <c:pt idx="55">
                  <c:v>39448</c:v>
                </c:pt>
                <c:pt idx="56">
                  <c:v>39479</c:v>
                </c:pt>
                <c:pt idx="57">
                  <c:v>39508</c:v>
                </c:pt>
                <c:pt idx="58">
                  <c:v>39539</c:v>
                </c:pt>
                <c:pt idx="59">
                  <c:v>39569</c:v>
                </c:pt>
                <c:pt idx="60">
                  <c:v>39600</c:v>
                </c:pt>
                <c:pt idx="61">
                  <c:v>39630</c:v>
                </c:pt>
                <c:pt idx="62">
                  <c:v>39661</c:v>
                </c:pt>
                <c:pt idx="63">
                  <c:v>39692</c:v>
                </c:pt>
                <c:pt idx="64">
                  <c:v>39722</c:v>
                </c:pt>
                <c:pt idx="65">
                  <c:v>39753</c:v>
                </c:pt>
                <c:pt idx="66">
                  <c:v>39783</c:v>
                </c:pt>
                <c:pt idx="67">
                  <c:v>39814</c:v>
                </c:pt>
                <c:pt idx="68">
                  <c:v>39845</c:v>
                </c:pt>
                <c:pt idx="69">
                  <c:v>39873</c:v>
                </c:pt>
                <c:pt idx="70">
                  <c:v>39904</c:v>
                </c:pt>
                <c:pt idx="71">
                  <c:v>39934</c:v>
                </c:pt>
                <c:pt idx="72">
                  <c:v>39965</c:v>
                </c:pt>
                <c:pt idx="73">
                  <c:v>39995</c:v>
                </c:pt>
                <c:pt idx="74">
                  <c:v>40026</c:v>
                </c:pt>
                <c:pt idx="75">
                  <c:v>40057</c:v>
                </c:pt>
                <c:pt idx="76">
                  <c:v>40087</c:v>
                </c:pt>
                <c:pt idx="77">
                  <c:v>40118</c:v>
                </c:pt>
                <c:pt idx="78">
                  <c:v>40148</c:v>
                </c:pt>
                <c:pt idx="79">
                  <c:v>40179</c:v>
                </c:pt>
                <c:pt idx="80">
                  <c:v>40210</c:v>
                </c:pt>
                <c:pt idx="81">
                  <c:v>40238</c:v>
                </c:pt>
                <c:pt idx="82">
                  <c:v>40269</c:v>
                </c:pt>
                <c:pt idx="83">
                  <c:v>40299</c:v>
                </c:pt>
                <c:pt idx="84">
                  <c:v>40330</c:v>
                </c:pt>
                <c:pt idx="85">
                  <c:v>40360</c:v>
                </c:pt>
                <c:pt idx="86">
                  <c:v>40391</c:v>
                </c:pt>
                <c:pt idx="87">
                  <c:v>40422</c:v>
                </c:pt>
                <c:pt idx="88">
                  <c:v>40452</c:v>
                </c:pt>
                <c:pt idx="89">
                  <c:v>40483</c:v>
                </c:pt>
                <c:pt idx="90">
                  <c:v>40513</c:v>
                </c:pt>
                <c:pt idx="91">
                  <c:v>40544</c:v>
                </c:pt>
                <c:pt idx="92">
                  <c:v>40575</c:v>
                </c:pt>
                <c:pt idx="93">
                  <c:v>40603</c:v>
                </c:pt>
                <c:pt idx="94">
                  <c:v>40634</c:v>
                </c:pt>
                <c:pt idx="95">
                  <c:v>40664</c:v>
                </c:pt>
                <c:pt idx="96">
                  <c:v>40695</c:v>
                </c:pt>
                <c:pt idx="97">
                  <c:v>40725</c:v>
                </c:pt>
                <c:pt idx="98">
                  <c:v>40756</c:v>
                </c:pt>
                <c:pt idx="99">
                  <c:v>40787</c:v>
                </c:pt>
                <c:pt idx="100">
                  <c:v>40817</c:v>
                </c:pt>
                <c:pt idx="101">
                  <c:v>40848</c:v>
                </c:pt>
                <c:pt idx="102">
                  <c:v>40878</c:v>
                </c:pt>
                <c:pt idx="103">
                  <c:v>40909</c:v>
                </c:pt>
                <c:pt idx="104">
                  <c:v>40940</c:v>
                </c:pt>
                <c:pt idx="105">
                  <c:v>40969</c:v>
                </c:pt>
                <c:pt idx="106">
                  <c:v>41000</c:v>
                </c:pt>
                <c:pt idx="107">
                  <c:v>41030</c:v>
                </c:pt>
                <c:pt idx="108">
                  <c:v>41061</c:v>
                </c:pt>
                <c:pt idx="109">
                  <c:v>41091</c:v>
                </c:pt>
                <c:pt idx="110">
                  <c:v>41122</c:v>
                </c:pt>
                <c:pt idx="111">
                  <c:v>41153</c:v>
                </c:pt>
                <c:pt idx="112">
                  <c:v>41183</c:v>
                </c:pt>
                <c:pt idx="113">
                  <c:v>41214</c:v>
                </c:pt>
                <c:pt idx="114">
                  <c:v>41244</c:v>
                </c:pt>
                <c:pt idx="115">
                  <c:v>41275</c:v>
                </c:pt>
                <c:pt idx="116">
                  <c:v>41306</c:v>
                </c:pt>
                <c:pt idx="117">
                  <c:v>41334</c:v>
                </c:pt>
                <c:pt idx="118">
                  <c:v>41365</c:v>
                </c:pt>
                <c:pt idx="119">
                  <c:v>41395</c:v>
                </c:pt>
                <c:pt idx="120">
                  <c:v>41426</c:v>
                </c:pt>
                <c:pt idx="121">
                  <c:v>41456</c:v>
                </c:pt>
                <c:pt idx="122">
                  <c:v>41487</c:v>
                </c:pt>
                <c:pt idx="123">
                  <c:v>41518</c:v>
                </c:pt>
                <c:pt idx="124">
                  <c:v>41548</c:v>
                </c:pt>
                <c:pt idx="125">
                  <c:v>41579</c:v>
                </c:pt>
                <c:pt idx="126">
                  <c:v>41609</c:v>
                </c:pt>
                <c:pt idx="127">
                  <c:v>41640</c:v>
                </c:pt>
                <c:pt idx="128">
                  <c:v>41671</c:v>
                </c:pt>
                <c:pt idx="129">
                  <c:v>41699</c:v>
                </c:pt>
                <c:pt idx="130">
                  <c:v>41730</c:v>
                </c:pt>
                <c:pt idx="131">
                  <c:v>41760</c:v>
                </c:pt>
                <c:pt idx="132">
                  <c:v>41791</c:v>
                </c:pt>
                <c:pt idx="133">
                  <c:v>41821</c:v>
                </c:pt>
                <c:pt idx="134">
                  <c:v>41852</c:v>
                </c:pt>
                <c:pt idx="135">
                  <c:v>41883</c:v>
                </c:pt>
                <c:pt idx="136">
                  <c:v>41913</c:v>
                </c:pt>
                <c:pt idx="137">
                  <c:v>41944</c:v>
                </c:pt>
                <c:pt idx="138">
                  <c:v>41974</c:v>
                </c:pt>
                <c:pt idx="139">
                  <c:v>42005</c:v>
                </c:pt>
                <c:pt idx="140">
                  <c:v>42036</c:v>
                </c:pt>
                <c:pt idx="141">
                  <c:v>42064</c:v>
                </c:pt>
                <c:pt idx="142">
                  <c:v>42095</c:v>
                </c:pt>
                <c:pt idx="143">
                  <c:v>42125</c:v>
                </c:pt>
                <c:pt idx="144">
                  <c:v>42156</c:v>
                </c:pt>
                <c:pt idx="145">
                  <c:v>42186</c:v>
                </c:pt>
                <c:pt idx="146">
                  <c:v>42217</c:v>
                </c:pt>
                <c:pt idx="147">
                  <c:v>42248</c:v>
                </c:pt>
                <c:pt idx="148">
                  <c:v>42278</c:v>
                </c:pt>
                <c:pt idx="149">
                  <c:v>42309</c:v>
                </c:pt>
                <c:pt idx="150">
                  <c:v>42339</c:v>
                </c:pt>
                <c:pt idx="151">
                  <c:v>42370</c:v>
                </c:pt>
                <c:pt idx="152">
                  <c:v>42401</c:v>
                </c:pt>
                <c:pt idx="153">
                  <c:v>42430</c:v>
                </c:pt>
                <c:pt idx="154">
                  <c:v>42461</c:v>
                </c:pt>
                <c:pt idx="155">
                  <c:v>42491</c:v>
                </c:pt>
                <c:pt idx="156">
                  <c:v>42522</c:v>
                </c:pt>
                <c:pt idx="157">
                  <c:v>42552</c:v>
                </c:pt>
                <c:pt idx="158">
                  <c:v>42583</c:v>
                </c:pt>
                <c:pt idx="159">
                  <c:v>42614</c:v>
                </c:pt>
                <c:pt idx="160">
                  <c:v>42644</c:v>
                </c:pt>
                <c:pt idx="161">
                  <c:v>42675</c:v>
                </c:pt>
                <c:pt idx="162">
                  <c:v>42705</c:v>
                </c:pt>
                <c:pt idx="163">
                  <c:v>42736</c:v>
                </c:pt>
                <c:pt idx="164">
                  <c:v>42767</c:v>
                </c:pt>
                <c:pt idx="165">
                  <c:v>42795</c:v>
                </c:pt>
                <c:pt idx="166">
                  <c:v>42826</c:v>
                </c:pt>
                <c:pt idx="167">
                  <c:v>42856</c:v>
                </c:pt>
                <c:pt idx="168">
                  <c:v>42887</c:v>
                </c:pt>
                <c:pt idx="169">
                  <c:v>42917</c:v>
                </c:pt>
                <c:pt idx="170">
                  <c:v>42948</c:v>
                </c:pt>
                <c:pt idx="171">
                  <c:v>42979</c:v>
                </c:pt>
                <c:pt idx="172">
                  <c:v>43009</c:v>
                </c:pt>
                <c:pt idx="173">
                  <c:v>43040</c:v>
                </c:pt>
                <c:pt idx="174">
                  <c:v>43070</c:v>
                </c:pt>
                <c:pt idx="175">
                  <c:v>43101</c:v>
                </c:pt>
                <c:pt idx="176">
                  <c:v>43132</c:v>
                </c:pt>
                <c:pt idx="177">
                  <c:v>43160</c:v>
                </c:pt>
                <c:pt idx="178">
                  <c:v>43191</c:v>
                </c:pt>
                <c:pt idx="179">
                  <c:v>43221</c:v>
                </c:pt>
                <c:pt idx="180">
                  <c:v>43252</c:v>
                </c:pt>
                <c:pt idx="181">
                  <c:v>43282</c:v>
                </c:pt>
                <c:pt idx="182">
                  <c:v>43313</c:v>
                </c:pt>
                <c:pt idx="183">
                  <c:v>43344</c:v>
                </c:pt>
                <c:pt idx="184">
                  <c:v>43374</c:v>
                </c:pt>
                <c:pt idx="185">
                  <c:v>43405</c:v>
                </c:pt>
                <c:pt idx="186">
                  <c:v>43435</c:v>
                </c:pt>
                <c:pt idx="187">
                  <c:v>43466</c:v>
                </c:pt>
                <c:pt idx="188">
                  <c:v>43497</c:v>
                </c:pt>
                <c:pt idx="189">
                  <c:v>43525</c:v>
                </c:pt>
                <c:pt idx="190">
                  <c:v>43556</c:v>
                </c:pt>
                <c:pt idx="191">
                  <c:v>43586</c:v>
                </c:pt>
                <c:pt idx="192">
                  <c:v>43617</c:v>
                </c:pt>
                <c:pt idx="193">
                  <c:v>43647</c:v>
                </c:pt>
                <c:pt idx="194">
                  <c:v>43678</c:v>
                </c:pt>
                <c:pt idx="195">
                  <c:v>43709</c:v>
                </c:pt>
                <c:pt idx="196">
                  <c:v>43739</c:v>
                </c:pt>
                <c:pt idx="197">
                  <c:v>43770</c:v>
                </c:pt>
                <c:pt idx="198">
                  <c:v>43800</c:v>
                </c:pt>
                <c:pt idx="199">
                  <c:v>43831</c:v>
                </c:pt>
                <c:pt idx="200">
                  <c:v>43862</c:v>
                </c:pt>
                <c:pt idx="201">
                  <c:v>43891</c:v>
                </c:pt>
                <c:pt idx="202">
                  <c:v>43922</c:v>
                </c:pt>
                <c:pt idx="203">
                  <c:v>43952</c:v>
                </c:pt>
                <c:pt idx="204">
                  <c:v>43983</c:v>
                </c:pt>
                <c:pt idx="205">
                  <c:v>44013</c:v>
                </c:pt>
                <c:pt idx="206">
                  <c:v>44044</c:v>
                </c:pt>
                <c:pt idx="207">
                  <c:v>44075</c:v>
                </c:pt>
                <c:pt idx="208">
                  <c:v>44105</c:v>
                </c:pt>
                <c:pt idx="209">
                  <c:v>44136</c:v>
                </c:pt>
                <c:pt idx="210">
                  <c:v>44166</c:v>
                </c:pt>
                <c:pt idx="211">
                  <c:v>44197</c:v>
                </c:pt>
                <c:pt idx="212">
                  <c:v>44228</c:v>
                </c:pt>
                <c:pt idx="213">
                  <c:v>44256</c:v>
                </c:pt>
                <c:pt idx="214">
                  <c:v>44287</c:v>
                </c:pt>
                <c:pt idx="215">
                  <c:v>44317</c:v>
                </c:pt>
                <c:pt idx="216">
                  <c:v>44348</c:v>
                </c:pt>
                <c:pt idx="217">
                  <c:v>44378</c:v>
                </c:pt>
                <c:pt idx="218">
                  <c:v>44409</c:v>
                </c:pt>
                <c:pt idx="219">
                  <c:v>44440</c:v>
                </c:pt>
                <c:pt idx="220">
                  <c:v>44470</c:v>
                </c:pt>
                <c:pt idx="221">
                  <c:v>44501</c:v>
                </c:pt>
                <c:pt idx="222">
                  <c:v>44531</c:v>
                </c:pt>
                <c:pt idx="223">
                  <c:v>44562</c:v>
                </c:pt>
                <c:pt idx="224">
                  <c:v>44593</c:v>
                </c:pt>
                <c:pt idx="225">
                  <c:v>44621</c:v>
                </c:pt>
                <c:pt idx="226">
                  <c:v>44652</c:v>
                </c:pt>
                <c:pt idx="227">
                  <c:v>44682</c:v>
                </c:pt>
                <c:pt idx="228">
                  <c:v>44713</c:v>
                </c:pt>
                <c:pt idx="229">
                  <c:v>44743</c:v>
                </c:pt>
                <c:pt idx="230">
                  <c:v>44774</c:v>
                </c:pt>
                <c:pt idx="231">
                  <c:v>44805</c:v>
                </c:pt>
                <c:pt idx="232">
                  <c:v>44835</c:v>
                </c:pt>
                <c:pt idx="233">
                  <c:v>44866</c:v>
                </c:pt>
                <c:pt idx="234">
                  <c:v>44896</c:v>
                </c:pt>
                <c:pt idx="235">
                  <c:v>44927</c:v>
                </c:pt>
                <c:pt idx="236">
                  <c:v>44958</c:v>
                </c:pt>
                <c:pt idx="237">
                  <c:v>44986</c:v>
                </c:pt>
                <c:pt idx="238">
                  <c:v>45017</c:v>
                </c:pt>
                <c:pt idx="239">
                  <c:v>45047</c:v>
                </c:pt>
                <c:pt idx="240">
                  <c:v>45078</c:v>
                </c:pt>
              </c:numCache>
            </c:numRef>
          </c:cat>
          <c:val>
            <c:numRef>
              <c:f>'% of emp women working FT'!$L$2:$L$242</c:f>
              <c:numCache>
                <c:formatCode>0.0</c:formatCode>
                <c:ptCount val="241"/>
                <c:pt idx="0">
                  <c:v>85.239394167087198</c:v>
                </c:pt>
                <c:pt idx="1">
                  <c:v>85.114206683667092</c:v>
                </c:pt>
                <c:pt idx="2">
                  <c:v>85.291723042328201</c:v>
                </c:pt>
                <c:pt idx="3">
                  <c:v>85.318311300618234</c:v>
                </c:pt>
                <c:pt idx="4">
                  <c:v>85.427707490421199</c:v>
                </c:pt>
                <c:pt idx="5">
                  <c:v>85.534509030533599</c:v>
                </c:pt>
                <c:pt idx="6">
                  <c:v>85.306325880785707</c:v>
                </c:pt>
                <c:pt idx="7">
                  <c:v>85.406857042868452</c:v>
                </c:pt>
                <c:pt idx="8">
                  <c:v>85.329416031719703</c:v>
                </c:pt>
                <c:pt idx="9">
                  <c:v>85.579885633054246</c:v>
                </c:pt>
                <c:pt idx="10">
                  <c:v>85.441081561259196</c:v>
                </c:pt>
                <c:pt idx="11">
                  <c:v>85.279020143336126</c:v>
                </c:pt>
                <c:pt idx="12">
                  <c:v>85.299593045265183</c:v>
                </c:pt>
                <c:pt idx="13">
                  <c:v>85.339170992697191</c:v>
                </c:pt>
                <c:pt idx="14">
                  <c:v>85.514585370999868</c:v>
                </c:pt>
                <c:pt idx="15">
                  <c:v>85.080699190260532</c:v>
                </c:pt>
                <c:pt idx="16">
                  <c:v>85.174006491030923</c:v>
                </c:pt>
                <c:pt idx="17">
                  <c:v>85.028364692429932</c:v>
                </c:pt>
                <c:pt idx="18">
                  <c:v>85.183151832853937</c:v>
                </c:pt>
                <c:pt idx="19">
                  <c:v>85.116330180789092</c:v>
                </c:pt>
                <c:pt idx="20">
                  <c:v>85.367693728570444</c:v>
                </c:pt>
                <c:pt idx="21">
                  <c:v>85.216330320861829</c:v>
                </c:pt>
                <c:pt idx="22">
                  <c:v>85.253387989339402</c:v>
                </c:pt>
                <c:pt idx="23">
                  <c:v>85.349963339221134</c:v>
                </c:pt>
                <c:pt idx="24">
                  <c:v>85.409494480050668</c:v>
                </c:pt>
                <c:pt idx="25">
                  <c:v>85.249797169733327</c:v>
                </c:pt>
                <c:pt idx="26">
                  <c:v>85.438603854773916</c:v>
                </c:pt>
                <c:pt idx="27">
                  <c:v>85.188329691295124</c:v>
                </c:pt>
                <c:pt idx="28">
                  <c:v>85.164837079560968</c:v>
                </c:pt>
                <c:pt idx="29">
                  <c:v>85.59778423740795</c:v>
                </c:pt>
                <c:pt idx="30">
                  <c:v>85.28603384697071</c:v>
                </c:pt>
                <c:pt idx="31">
                  <c:v>85.611340821587859</c:v>
                </c:pt>
                <c:pt idx="32">
                  <c:v>85.028774325043059</c:v>
                </c:pt>
                <c:pt idx="33">
                  <c:v>84.903859225626036</c:v>
                </c:pt>
                <c:pt idx="34">
                  <c:v>84.86469599725767</c:v>
                </c:pt>
                <c:pt idx="35">
                  <c:v>85.262413467131466</c:v>
                </c:pt>
                <c:pt idx="36">
                  <c:v>84.889457640424069</c:v>
                </c:pt>
                <c:pt idx="37">
                  <c:v>84.798125444059224</c:v>
                </c:pt>
                <c:pt idx="38">
                  <c:v>84.852745255578199</c:v>
                </c:pt>
                <c:pt idx="39">
                  <c:v>84.876487374451784</c:v>
                </c:pt>
                <c:pt idx="40">
                  <c:v>84.433789633839424</c:v>
                </c:pt>
                <c:pt idx="41">
                  <c:v>84.567080274529744</c:v>
                </c:pt>
                <c:pt idx="42">
                  <c:v>84.451409767806254</c:v>
                </c:pt>
                <c:pt idx="43">
                  <c:v>84.909621773561398</c:v>
                </c:pt>
                <c:pt idx="44">
                  <c:v>84.892151004737499</c:v>
                </c:pt>
                <c:pt idx="45">
                  <c:v>85.003378399690234</c:v>
                </c:pt>
                <c:pt idx="46">
                  <c:v>84.911492316507193</c:v>
                </c:pt>
                <c:pt idx="47">
                  <c:v>85.16482662266003</c:v>
                </c:pt>
                <c:pt idx="48">
                  <c:v>84.934768498623242</c:v>
                </c:pt>
                <c:pt idx="49">
                  <c:v>85.116589538116258</c:v>
                </c:pt>
                <c:pt idx="50">
                  <c:v>84.915968981519711</c:v>
                </c:pt>
                <c:pt idx="51">
                  <c:v>84.90648800218213</c:v>
                </c:pt>
                <c:pt idx="52">
                  <c:v>85.330055496097472</c:v>
                </c:pt>
                <c:pt idx="53">
                  <c:v>84.853947232815742</c:v>
                </c:pt>
                <c:pt idx="54">
                  <c:v>84.728207067283861</c:v>
                </c:pt>
                <c:pt idx="55">
                  <c:v>84.448077088301886</c:v>
                </c:pt>
                <c:pt idx="56">
                  <c:v>84.622353448714264</c:v>
                </c:pt>
                <c:pt idx="57">
                  <c:v>84.511344977238849</c:v>
                </c:pt>
                <c:pt idx="58">
                  <c:v>84.691885166090316</c:v>
                </c:pt>
                <c:pt idx="59">
                  <c:v>84.671468540784048</c:v>
                </c:pt>
                <c:pt idx="60">
                  <c:v>84.857733816241421</c:v>
                </c:pt>
                <c:pt idx="61">
                  <c:v>85.451917818510196</c:v>
                </c:pt>
                <c:pt idx="62">
                  <c:v>85.47908918269728</c:v>
                </c:pt>
                <c:pt idx="63">
                  <c:v>85.011260880032339</c:v>
                </c:pt>
                <c:pt idx="64">
                  <c:v>85.042835424867263</c:v>
                </c:pt>
                <c:pt idx="65">
                  <c:v>85.026563851204344</c:v>
                </c:pt>
                <c:pt idx="66">
                  <c:v>84.88533831273277</c:v>
                </c:pt>
                <c:pt idx="67">
                  <c:v>84.913780780313317</c:v>
                </c:pt>
                <c:pt idx="68">
                  <c:v>84.364324929782413</c:v>
                </c:pt>
                <c:pt idx="69">
                  <c:v>83.867777977902307</c:v>
                </c:pt>
                <c:pt idx="70">
                  <c:v>84.336560162081781</c:v>
                </c:pt>
                <c:pt idx="71">
                  <c:v>83.918041439715395</c:v>
                </c:pt>
                <c:pt idx="72">
                  <c:v>84.031501656136953</c:v>
                </c:pt>
                <c:pt idx="73">
                  <c:v>83.581603146969584</c:v>
                </c:pt>
                <c:pt idx="74">
                  <c:v>83.578581697035659</c:v>
                </c:pt>
                <c:pt idx="75">
                  <c:v>83.499021260815638</c:v>
                </c:pt>
                <c:pt idx="76">
                  <c:v>83.355452235935218</c:v>
                </c:pt>
                <c:pt idx="77">
                  <c:v>83.423054319243732</c:v>
                </c:pt>
                <c:pt idx="78">
                  <c:v>83.220014796970105</c:v>
                </c:pt>
                <c:pt idx="79">
                  <c:v>82.947719352041005</c:v>
                </c:pt>
                <c:pt idx="80">
                  <c:v>83.220841679664531</c:v>
                </c:pt>
                <c:pt idx="81">
                  <c:v>83.235138490132897</c:v>
                </c:pt>
                <c:pt idx="82">
                  <c:v>83.50160451373857</c:v>
                </c:pt>
                <c:pt idx="83">
                  <c:v>83.701778861640165</c:v>
                </c:pt>
                <c:pt idx="84">
                  <c:v>83.400973405108871</c:v>
                </c:pt>
                <c:pt idx="85">
                  <c:v>83.486138836180402</c:v>
                </c:pt>
                <c:pt idx="86">
                  <c:v>83.341560930339043</c:v>
                </c:pt>
                <c:pt idx="87">
                  <c:v>83.828721808541985</c:v>
                </c:pt>
                <c:pt idx="88">
                  <c:v>83.542068544722781</c:v>
                </c:pt>
                <c:pt idx="89">
                  <c:v>83.515215859531281</c:v>
                </c:pt>
                <c:pt idx="90">
                  <c:v>83.574263745459973</c:v>
                </c:pt>
                <c:pt idx="91">
                  <c:v>83.260786552031135</c:v>
                </c:pt>
                <c:pt idx="92">
                  <c:v>84.126543672933295</c:v>
                </c:pt>
                <c:pt idx="93">
                  <c:v>84.009189477577777</c:v>
                </c:pt>
                <c:pt idx="94">
                  <c:v>84.080333517975944</c:v>
                </c:pt>
                <c:pt idx="95">
                  <c:v>83.714616759248116</c:v>
                </c:pt>
                <c:pt idx="96">
                  <c:v>84.023035473394927</c:v>
                </c:pt>
                <c:pt idx="97">
                  <c:v>83.70404334282442</c:v>
                </c:pt>
                <c:pt idx="98">
                  <c:v>83.784623061988782</c:v>
                </c:pt>
                <c:pt idx="99">
                  <c:v>83.558551151160003</c:v>
                </c:pt>
                <c:pt idx="100">
                  <c:v>83.95306250509995</c:v>
                </c:pt>
                <c:pt idx="101">
                  <c:v>83.386828943816894</c:v>
                </c:pt>
                <c:pt idx="102">
                  <c:v>83.64666238019872</c:v>
                </c:pt>
                <c:pt idx="103">
                  <c:v>83.803244975700665</c:v>
                </c:pt>
                <c:pt idx="104">
                  <c:v>83.913850770966761</c:v>
                </c:pt>
                <c:pt idx="105">
                  <c:v>83.852578131506775</c:v>
                </c:pt>
                <c:pt idx="106">
                  <c:v>83.398401140628266</c:v>
                </c:pt>
                <c:pt idx="107">
                  <c:v>83.708128876510841</c:v>
                </c:pt>
                <c:pt idx="108">
                  <c:v>83.630789031176235</c:v>
                </c:pt>
                <c:pt idx="109">
                  <c:v>83.712724917111373</c:v>
                </c:pt>
                <c:pt idx="110">
                  <c:v>83.831681814106844</c:v>
                </c:pt>
                <c:pt idx="111">
                  <c:v>83.833228033042786</c:v>
                </c:pt>
                <c:pt idx="112">
                  <c:v>83.960576971119522</c:v>
                </c:pt>
                <c:pt idx="113">
                  <c:v>83.950689919925324</c:v>
                </c:pt>
                <c:pt idx="114">
                  <c:v>83.636465063282245</c:v>
                </c:pt>
                <c:pt idx="115">
                  <c:v>83.740574441849887</c:v>
                </c:pt>
                <c:pt idx="116">
                  <c:v>83.131557181931584</c:v>
                </c:pt>
                <c:pt idx="117">
                  <c:v>83.441371860199297</c:v>
                </c:pt>
                <c:pt idx="118">
                  <c:v>83.49746411232482</c:v>
                </c:pt>
                <c:pt idx="119">
                  <c:v>83.188957436059482</c:v>
                </c:pt>
                <c:pt idx="120">
                  <c:v>83.069313059466367</c:v>
                </c:pt>
                <c:pt idx="121">
                  <c:v>83.126170595305084</c:v>
                </c:pt>
                <c:pt idx="122">
                  <c:v>82.959513580354411</c:v>
                </c:pt>
                <c:pt idx="123">
                  <c:v>83.016202901130981</c:v>
                </c:pt>
                <c:pt idx="124">
                  <c:v>82.599030034680567</c:v>
                </c:pt>
                <c:pt idx="125">
                  <c:v>82.761700437051445</c:v>
                </c:pt>
                <c:pt idx="126">
                  <c:v>82.664280971937458</c:v>
                </c:pt>
                <c:pt idx="127">
                  <c:v>82.774507902564025</c:v>
                </c:pt>
                <c:pt idx="128">
                  <c:v>82.630201611273677</c:v>
                </c:pt>
                <c:pt idx="129">
                  <c:v>82.352065706550945</c:v>
                </c:pt>
                <c:pt idx="130">
                  <c:v>82.807187672196122</c:v>
                </c:pt>
                <c:pt idx="131">
                  <c:v>83.058459453889199</c:v>
                </c:pt>
                <c:pt idx="132">
                  <c:v>82.65457433911476</c:v>
                </c:pt>
                <c:pt idx="133">
                  <c:v>83.013365376812587</c:v>
                </c:pt>
                <c:pt idx="134">
                  <c:v>82.787582718601556</c:v>
                </c:pt>
                <c:pt idx="135">
                  <c:v>82.777211318935258</c:v>
                </c:pt>
                <c:pt idx="136">
                  <c:v>82.610587742168306</c:v>
                </c:pt>
                <c:pt idx="137">
                  <c:v>82.745639943032558</c:v>
                </c:pt>
                <c:pt idx="138">
                  <c:v>82.82621265238177</c:v>
                </c:pt>
                <c:pt idx="139">
                  <c:v>82.60827154359805</c:v>
                </c:pt>
                <c:pt idx="140">
                  <c:v>82.427230169909521</c:v>
                </c:pt>
                <c:pt idx="141">
                  <c:v>82.679976533334113</c:v>
                </c:pt>
                <c:pt idx="142">
                  <c:v>82.264713900923013</c:v>
                </c:pt>
                <c:pt idx="143">
                  <c:v>82.32438260864987</c:v>
                </c:pt>
                <c:pt idx="144">
                  <c:v>82.319788158308441</c:v>
                </c:pt>
                <c:pt idx="145">
                  <c:v>82.296919036483885</c:v>
                </c:pt>
                <c:pt idx="146">
                  <c:v>82.387348729164117</c:v>
                </c:pt>
                <c:pt idx="147">
                  <c:v>82.272608683663435</c:v>
                </c:pt>
                <c:pt idx="148">
                  <c:v>82.299017177429874</c:v>
                </c:pt>
                <c:pt idx="149">
                  <c:v>82.080303519512427</c:v>
                </c:pt>
                <c:pt idx="150">
                  <c:v>82.212191609630395</c:v>
                </c:pt>
                <c:pt idx="151">
                  <c:v>81.859846801921492</c:v>
                </c:pt>
                <c:pt idx="152">
                  <c:v>81.860670722248855</c:v>
                </c:pt>
                <c:pt idx="153">
                  <c:v>81.550179985649635</c:v>
                </c:pt>
                <c:pt idx="154">
                  <c:v>81.171128609202697</c:v>
                </c:pt>
                <c:pt idx="155">
                  <c:v>81.308316328897646</c:v>
                </c:pt>
                <c:pt idx="156">
                  <c:v>81.6849929146411</c:v>
                </c:pt>
                <c:pt idx="157">
                  <c:v>81.080133609461342</c:v>
                </c:pt>
                <c:pt idx="158">
                  <c:v>81.247661025025351</c:v>
                </c:pt>
                <c:pt idx="159">
                  <c:v>80.8150267518795</c:v>
                </c:pt>
                <c:pt idx="160">
                  <c:v>81.104388938035044</c:v>
                </c:pt>
                <c:pt idx="161">
                  <c:v>81.368369694247448</c:v>
                </c:pt>
                <c:pt idx="162">
                  <c:v>81.424983021622992</c:v>
                </c:pt>
                <c:pt idx="163">
                  <c:v>81.280216683889748</c:v>
                </c:pt>
                <c:pt idx="164">
                  <c:v>81.332354759067258</c:v>
                </c:pt>
                <c:pt idx="165">
                  <c:v>81.424331347945952</c:v>
                </c:pt>
                <c:pt idx="166">
                  <c:v>81.122771765558326</c:v>
                </c:pt>
                <c:pt idx="167">
                  <c:v>81.548615810797756</c:v>
                </c:pt>
                <c:pt idx="168">
                  <c:v>82.106656430672231</c:v>
                </c:pt>
                <c:pt idx="169">
                  <c:v>81.553078922223648</c:v>
                </c:pt>
                <c:pt idx="170">
                  <c:v>81.553499659762963</c:v>
                </c:pt>
                <c:pt idx="171">
                  <c:v>81.77012636273146</c:v>
                </c:pt>
                <c:pt idx="172">
                  <c:v>81.667857890043962</c:v>
                </c:pt>
                <c:pt idx="173">
                  <c:v>81.641096020996855</c:v>
                </c:pt>
                <c:pt idx="174">
                  <c:v>81.673903121273227</c:v>
                </c:pt>
                <c:pt idx="175">
                  <c:v>80.850097907705447</c:v>
                </c:pt>
                <c:pt idx="176">
                  <c:v>81.422157912601605</c:v>
                </c:pt>
                <c:pt idx="177">
                  <c:v>81.39666687135103</c:v>
                </c:pt>
                <c:pt idx="178">
                  <c:v>81.500507352585117</c:v>
                </c:pt>
                <c:pt idx="179">
                  <c:v>81.478370872016711</c:v>
                </c:pt>
                <c:pt idx="180">
                  <c:v>81.464435647885907</c:v>
                </c:pt>
                <c:pt idx="181">
                  <c:v>81.512427609126888</c:v>
                </c:pt>
                <c:pt idx="182">
                  <c:v>81.468286338139677</c:v>
                </c:pt>
                <c:pt idx="183">
                  <c:v>81.55813290326553</c:v>
                </c:pt>
                <c:pt idx="184">
                  <c:v>81.658424640143565</c:v>
                </c:pt>
                <c:pt idx="185">
                  <c:v>81.466587883516908</c:v>
                </c:pt>
                <c:pt idx="186">
                  <c:v>80.936721450205823</c:v>
                </c:pt>
                <c:pt idx="187">
                  <c:v>81.538546770673364</c:v>
                </c:pt>
                <c:pt idx="188">
                  <c:v>81.296019496213873</c:v>
                </c:pt>
                <c:pt idx="189">
                  <c:v>81.486430460438214</c:v>
                </c:pt>
                <c:pt idx="190">
                  <c:v>81.205082916625202</c:v>
                </c:pt>
                <c:pt idx="191">
                  <c:v>81.105888657094923</c:v>
                </c:pt>
                <c:pt idx="192">
                  <c:v>81.198721678758105</c:v>
                </c:pt>
                <c:pt idx="193">
                  <c:v>81.119149844025628</c:v>
                </c:pt>
                <c:pt idx="194">
                  <c:v>81.006396109509126</c:v>
                </c:pt>
                <c:pt idx="195">
                  <c:v>81.236082240687253</c:v>
                </c:pt>
                <c:pt idx="196">
                  <c:v>81.285806844108151</c:v>
                </c:pt>
                <c:pt idx="197">
                  <c:v>81.030924005844341</c:v>
                </c:pt>
                <c:pt idx="198">
                  <c:v>80.468656735199147</c:v>
                </c:pt>
                <c:pt idx="199">
                  <c:v>81.142564237559554</c:v>
                </c:pt>
                <c:pt idx="200">
                  <c:v>80.970805041732248</c:v>
                </c:pt>
                <c:pt idx="201">
                  <c:v>80.900191759178341</c:v>
                </c:pt>
                <c:pt idx="202">
                  <c:v>82.294274535224616</c:v>
                </c:pt>
                <c:pt idx="203">
                  <c:v>82.868938969483665</c:v>
                </c:pt>
                <c:pt idx="204">
                  <c:v>81.421354736916996</c:v>
                </c:pt>
                <c:pt idx="205">
                  <c:v>81.00559309611512</c:v>
                </c:pt>
                <c:pt idx="206">
                  <c:v>80.649609585767308</c:v>
                </c:pt>
                <c:pt idx="207">
                  <c:v>80.382046301609819</c:v>
                </c:pt>
                <c:pt idx="208">
                  <c:v>80.433366836562229</c:v>
                </c:pt>
                <c:pt idx="209">
                  <c:v>80.403080786791676</c:v>
                </c:pt>
                <c:pt idx="210">
                  <c:v>80.340260541525438</c:v>
                </c:pt>
                <c:pt idx="211">
                  <c:v>80.362098588591351</c:v>
                </c:pt>
                <c:pt idx="212">
                  <c:v>80.416065834849562</c:v>
                </c:pt>
                <c:pt idx="213">
                  <c:v>80.226782689910365</c:v>
                </c:pt>
                <c:pt idx="214">
                  <c:v>80.4340619571188</c:v>
                </c:pt>
                <c:pt idx="215">
                  <c:v>80.39009418582404</c:v>
                </c:pt>
                <c:pt idx="216">
                  <c:v>80.711452586485606</c:v>
                </c:pt>
                <c:pt idx="217">
                  <c:v>80.717155142175883</c:v>
                </c:pt>
                <c:pt idx="218">
                  <c:v>80.919891691898087</c:v>
                </c:pt>
                <c:pt idx="219">
                  <c:v>81.538664535428424</c:v>
                </c:pt>
                <c:pt idx="220">
                  <c:v>81.354491972180824</c:v>
                </c:pt>
                <c:pt idx="221">
                  <c:v>80.784371733055579</c:v>
                </c:pt>
                <c:pt idx="222">
                  <c:v>80.744038177270255</c:v>
                </c:pt>
                <c:pt idx="223">
                  <c:v>80.997947788047981</c:v>
                </c:pt>
                <c:pt idx="224">
                  <c:v>81.291602273357597</c:v>
                </c:pt>
                <c:pt idx="225">
                  <c:v>81.216508067339419</c:v>
                </c:pt>
                <c:pt idx="226">
                  <c:v>81.758844279455161</c:v>
                </c:pt>
                <c:pt idx="227">
                  <c:v>81.62924945784053</c:v>
                </c:pt>
                <c:pt idx="228">
                  <c:v>81.662900633442575</c:v>
                </c:pt>
                <c:pt idx="229">
                  <c:v>81.365736910127978</c:v>
                </c:pt>
                <c:pt idx="230">
                  <c:v>81.399113296472734</c:v>
                </c:pt>
                <c:pt idx="231">
                  <c:v>81.282242219352469</c:v>
                </c:pt>
                <c:pt idx="232">
                  <c:v>81.415460000180857</c:v>
                </c:pt>
                <c:pt idx="233">
                  <c:v>81.413830754033938</c:v>
                </c:pt>
                <c:pt idx="234">
                  <c:v>81.686870325432182</c:v>
                </c:pt>
                <c:pt idx="235">
                  <c:v>81.160854700317387</c:v>
                </c:pt>
                <c:pt idx="236">
                  <c:v>81.439565182698743</c:v>
                </c:pt>
                <c:pt idx="237">
                  <c:v>81.935109529114285</c:v>
                </c:pt>
                <c:pt idx="238">
                  <c:v>81.328774698599702</c:v>
                </c:pt>
                <c:pt idx="239">
                  <c:v>81.357128822949235</c:v>
                </c:pt>
                <c:pt idx="240">
                  <c:v>81.457943810926707</c:v>
                </c:pt>
              </c:numCache>
            </c:numRef>
          </c:val>
          <c:smooth val="0"/>
          <c:extLst>
            <c:ext xmlns:c16="http://schemas.microsoft.com/office/drawing/2014/chart" uri="{C3380CC4-5D6E-409C-BE32-E72D297353CC}">
              <c16:uniqueId val="{00000001-4F0A-440B-A149-28BAA4B29DC9}"/>
            </c:ext>
          </c:extLst>
        </c:ser>
        <c:dLbls>
          <c:showLegendKey val="0"/>
          <c:showVal val="0"/>
          <c:showCatName val="0"/>
          <c:showSerName val="0"/>
          <c:showPercent val="0"/>
          <c:showBubbleSize val="0"/>
        </c:dLbls>
        <c:marker val="1"/>
        <c:smooth val="0"/>
        <c:axId val="1920829631"/>
        <c:axId val="220530847"/>
      </c:lineChart>
      <c:dateAx>
        <c:axId val="28075719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en-US"/>
          </a:p>
        </c:txPr>
        <c:crossAx val="280758159"/>
        <c:crosses val="autoZero"/>
        <c:auto val="1"/>
        <c:lblOffset val="100"/>
        <c:baseTimeUnit val="months"/>
        <c:majorUnit val="12"/>
        <c:majorTimeUnit val="months"/>
      </c:dateAx>
      <c:valAx>
        <c:axId val="280758159"/>
        <c:scaling>
          <c:orientation val="minMax"/>
          <c:min val="52"/>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sz="1000" b="0" i="0" u="none" strike="noStrike" kern="1200" baseline="0">
                    <a:solidFill>
                      <a:sysClr val="windowText" lastClr="000000"/>
                    </a:solidFill>
                    <a:latin typeface="+mn-lt"/>
                    <a:ea typeface="+mn-ea"/>
                    <a:cs typeface="+mn-cs"/>
                  </a:rPr>
                  <a:t> Proportion</a:t>
                </a:r>
                <a:r>
                  <a:rPr lang="en-AU"/>
                  <a:t> of employed women working full-time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80757199"/>
        <c:crosses val="autoZero"/>
        <c:crossBetween val="between"/>
      </c:valAx>
      <c:valAx>
        <c:axId val="220530847"/>
        <c:scaling>
          <c:orientation val="minMax"/>
          <c:min val="79"/>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sz="1000" b="0" i="0" u="none" strike="noStrike" kern="1200" baseline="0">
                    <a:solidFill>
                      <a:sysClr val="windowText" lastClr="000000"/>
                    </a:solidFill>
                    <a:latin typeface="+mn-lt"/>
                    <a:ea typeface="+mn-ea"/>
                    <a:cs typeface="+mn-cs"/>
                  </a:rPr>
                  <a:t> Proportion</a:t>
                </a:r>
                <a:r>
                  <a:rPr lang="en-AU"/>
                  <a:t> of employed men working</a:t>
                </a:r>
                <a:r>
                  <a:rPr lang="en-AU" baseline="0"/>
                  <a:t> full-time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20829631"/>
        <c:crosses val="max"/>
        <c:crossBetween val="between"/>
      </c:valAx>
      <c:dateAx>
        <c:axId val="1920829631"/>
        <c:scaling>
          <c:orientation val="minMax"/>
        </c:scaling>
        <c:delete val="1"/>
        <c:axPos val="b"/>
        <c:numFmt formatCode="mmm\-yy" sourceLinked="1"/>
        <c:majorTickMark val="out"/>
        <c:minorTickMark val="none"/>
        <c:tickLblPos val="nextTo"/>
        <c:crossAx val="220530847"/>
        <c:crosses val="autoZero"/>
        <c:auto val="1"/>
        <c:lblOffset val="100"/>
        <c:baseTimeUnit val="months"/>
      </c:dateAx>
      <c:spPr>
        <a:noFill/>
        <a:ln>
          <a:noFill/>
        </a:ln>
        <a:effectLst/>
      </c:spPr>
    </c:plotArea>
    <c:legend>
      <c:legendPos val="t"/>
      <c:layout>
        <c:manualLayout>
          <c:xMode val="edge"/>
          <c:yMode val="edge"/>
          <c:x val="0.31590289538908667"/>
          <c:y val="1.6416580002971326E-3"/>
          <c:w val="0.55915871427611741"/>
          <c:h val="0.11988053916073525"/>
        </c:manualLayout>
      </c:layout>
      <c:overlay val="1"/>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6046008954763E-2"/>
          <c:y val="2.715210562927094E-2"/>
          <c:w val="0.62993875765529306"/>
          <c:h val="0.80758727293475663"/>
        </c:manualLayout>
      </c:layout>
      <c:barChart>
        <c:barDir val="bar"/>
        <c:grouping val="clustered"/>
        <c:varyColors val="0"/>
        <c:ser>
          <c:idx val="0"/>
          <c:order val="0"/>
          <c:tx>
            <c:strRef>
              <c:f>'Charts and tables'!$D$2</c:f>
              <c:strCache>
                <c:ptCount val="1"/>
                <c:pt idx="0">
                  <c:v>Employment change ('000)</c:v>
                </c:pt>
              </c:strCache>
            </c:strRef>
          </c:tx>
          <c:spPr>
            <a:solidFill>
              <a:srgbClr val="44117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and tables'!$C$3:$C$21</c:f>
              <c:strCache>
                <c:ptCount val="19"/>
                <c:pt idx="0">
                  <c:v>Administrative and Support Services</c:v>
                </c:pt>
                <c:pt idx="1">
                  <c:v>Other Services</c:v>
                </c:pt>
                <c:pt idx="2">
                  <c:v>Rental, Hiring and Real Estate Services</c:v>
                </c:pt>
                <c:pt idx="3">
                  <c:v>Financial and Insurance Services</c:v>
                </c:pt>
                <c:pt idx="4">
                  <c:v>Electricity, Gas, Water and Waste Services</c:v>
                </c:pt>
                <c:pt idx="5">
                  <c:v>Wholesale Trade</c:v>
                </c:pt>
                <c:pt idx="6">
                  <c:v>Information Media and Telecommunications</c:v>
                </c:pt>
                <c:pt idx="7">
                  <c:v>Agriculture, Forestry and Fishing</c:v>
                </c:pt>
                <c:pt idx="8">
                  <c:v>Public Administration and Safety</c:v>
                </c:pt>
                <c:pt idx="9">
                  <c:v>Mining</c:v>
                </c:pt>
                <c:pt idx="10">
                  <c:v>Arts and Recreation Services</c:v>
                </c:pt>
                <c:pt idx="11">
                  <c:v>Retail Trade</c:v>
                </c:pt>
                <c:pt idx="12">
                  <c:v>Transport, Postal and Warehousing</c:v>
                </c:pt>
                <c:pt idx="13">
                  <c:v>Accommodation and Food Services</c:v>
                </c:pt>
                <c:pt idx="14">
                  <c:v>Manufacturing</c:v>
                </c:pt>
                <c:pt idx="15">
                  <c:v>Education and Training</c:v>
                </c:pt>
                <c:pt idx="16">
                  <c:v>Professional, Scientific and Technical Services</c:v>
                </c:pt>
                <c:pt idx="17">
                  <c:v>Construction</c:v>
                </c:pt>
                <c:pt idx="18">
                  <c:v>Health Care and Social Assistance</c:v>
                </c:pt>
              </c:strCache>
            </c:strRef>
          </c:cat>
          <c:val>
            <c:numRef>
              <c:f>'Charts and tables'!$D$3:$D$21</c:f>
              <c:numCache>
                <c:formatCode>0.0</c:formatCode>
                <c:ptCount val="19"/>
                <c:pt idx="0">
                  <c:v>-21.423834900000031</c:v>
                </c:pt>
                <c:pt idx="1">
                  <c:v>-20.795170799999937</c:v>
                </c:pt>
                <c:pt idx="2">
                  <c:v>-18.98003159999999</c:v>
                </c:pt>
                <c:pt idx="3">
                  <c:v>-15.398097600000028</c:v>
                </c:pt>
                <c:pt idx="4">
                  <c:v>-8.9012195999999904</c:v>
                </c:pt>
                <c:pt idx="5">
                  <c:v>-5.4101620000000139</c:v>
                </c:pt>
                <c:pt idx="6">
                  <c:v>-4.515624100000025</c:v>
                </c:pt>
                <c:pt idx="7">
                  <c:v>6.9169147000000066</c:v>
                </c:pt>
                <c:pt idx="8">
                  <c:v>12.177624199999968</c:v>
                </c:pt>
                <c:pt idx="9">
                  <c:v>15.292267700000025</c:v>
                </c:pt>
                <c:pt idx="10">
                  <c:v>16.262142100000005</c:v>
                </c:pt>
                <c:pt idx="11">
                  <c:v>17.637711200000012</c:v>
                </c:pt>
                <c:pt idx="12">
                  <c:v>26.308246100000019</c:v>
                </c:pt>
                <c:pt idx="13">
                  <c:v>32.868567800000051</c:v>
                </c:pt>
                <c:pt idx="14">
                  <c:v>48.119428200000016</c:v>
                </c:pt>
                <c:pt idx="15">
                  <c:v>55.335739799999828</c:v>
                </c:pt>
                <c:pt idx="16">
                  <c:v>61.764989599999808</c:v>
                </c:pt>
                <c:pt idx="17">
                  <c:v>113.48704859999998</c:v>
                </c:pt>
                <c:pt idx="18">
                  <c:v>119.09303180000006</c:v>
                </c:pt>
              </c:numCache>
            </c:numRef>
          </c:val>
          <c:extLst>
            <c:ext xmlns:c16="http://schemas.microsoft.com/office/drawing/2014/chart" uri="{C3380CC4-5D6E-409C-BE32-E72D297353CC}">
              <c16:uniqueId val="{00000000-7EB1-4792-AB16-49520BB720AE}"/>
            </c:ext>
          </c:extLst>
        </c:ser>
        <c:dLbls>
          <c:dLblPos val="outEnd"/>
          <c:showLegendKey val="0"/>
          <c:showVal val="1"/>
          <c:showCatName val="0"/>
          <c:showSerName val="0"/>
          <c:showPercent val="0"/>
          <c:showBubbleSize val="0"/>
        </c:dLbls>
        <c:gapWidth val="50"/>
        <c:axId val="149579536"/>
        <c:axId val="149582032"/>
      </c:barChart>
      <c:catAx>
        <c:axId val="149579536"/>
        <c:scaling>
          <c:orientation val="minMax"/>
        </c:scaling>
        <c:delete val="0"/>
        <c:axPos val="l"/>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582032"/>
        <c:crosses val="autoZero"/>
        <c:auto val="1"/>
        <c:lblAlgn val="ctr"/>
        <c:lblOffset val="100"/>
        <c:noMultiLvlLbl val="0"/>
      </c:catAx>
      <c:valAx>
        <c:axId val="149582032"/>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9579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59527841911544"/>
          <c:y val="6.2833443529482474E-2"/>
          <c:w val="0.86033522022140585"/>
          <c:h val="0.65135461120795002"/>
        </c:manualLayout>
      </c:layout>
      <c:barChart>
        <c:barDir val="col"/>
        <c:grouping val="clustered"/>
        <c:varyColors val="0"/>
        <c:ser>
          <c:idx val="0"/>
          <c:order val="0"/>
          <c:tx>
            <c:strRef>
              <c:f>'[Chart template.xlsx]Difficulty by industry'!$B$1</c:f>
              <c:strCache>
                <c:ptCount val="1"/>
                <c:pt idx="0">
                  <c:v>2020*</c:v>
                </c:pt>
              </c:strCache>
            </c:strRef>
          </c:tx>
          <c:spPr>
            <a:solidFill>
              <a:schemeClr val="accent1"/>
            </a:solidFill>
            <a:ln>
              <a:noFill/>
            </a:ln>
            <a:effectLst/>
          </c:spPr>
          <c:invertIfNegative val="0"/>
          <c:cat>
            <c:strRef>
              <c:f>'[Chart template.xlsx]Difficulty by industry'!$A$2:$A$9</c:f>
              <c:strCache>
                <c:ptCount val="8"/>
                <c:pt idx="0">
                  <c:v>Accommodation and Food Services</c:v>
                </c:pt>
                <c:pt idx="1">
                  <c:v>Construction</c:v>
                </c:pt>
                <c:pt idx="2">
                  <c:v>Health Care and Social Assistance</c:v>
                </c:pt>
                <c:pt idx="3">
                  <c:v>Manufacturing</c:v>
                </c:pt>
                <c:pt idx="4">
                  <c:v>Professional, Scientific and Technical Services</c:v>
                </c:pt>
                <c:pt idx="5">
                  <c:v>Retail Trade</c:v>
                </c:pt>
                <c:pt idx="6">
                  <c:v>Transport, Postal and Warehousing</c:v>
                </c:pt>
                <c:pt idx="7">
                  <c:v>Wholesale Trade</c:v>
                </c:pt>
              </c:strCache>
            </c:strRef>
          </c:cat>
          <c:val>
            <c:numRef>
              <c:f>'[Chart template.xlsx]Difficulty by industry'!$B$2:$B$9</c:f>
              <c:numCache>
                <c:formatCode>0%</c:formatCode>
                <c:ptCount val="8"/>
                <c:pt idx="0">
                  <c:v>0.46513050066834494</c:v>
                </c:pt>
                <c:pt idx="1">
                  <c:v>0.46883491568291258</c:v>
                </c:pt>
                <c:pt idx="2">
                  <c:v>0.4589023026819633</c:v>
                </c:pt>
                <c:pt idx="3">
                  <c:v>0.48578538130401128</c:v>
                </c:pt>
                <c:pt idx="4">
                  <c:v>0.37978852331904955</c:v>
                </c:pt>
                <c:pt idx="5">
                  <c:v>0.3841953363978497</c:v>
                </c:pt>
                <c:pt idx="7">
                  <c:v>0.41189883368251379</c:v>
                </c:pt>
              </c:numCache>
            </c:numRef>
          </c:val>
          <c:extLst>
            <c:ext xmlns:c16="http://schemas.microsoft.com/office/drawing/2014/chart" uri="{C3380CC4-5D6E-409C-BE32-E72D297353CC}">
              <c16:uniqueId val="{00000000-25F9-4417-A7B9-93A015D3A2A5}"/>
            </c:ext>
          </c:extLst>
        </c:ser>
        <c:ser>
          <c:idx val="1"/>
          <c:order val="1"/>
          <c:tx>
            <c:strRef>
              <c:f>'[Chart template.xlsx]Difficulty by industry'!$C$1</c:f>
              <c:strCache>
                <c:ptCount val="1"/>
                <c:pt idx="0">
                  <c:v>2021</c:v>
                </c:pt>
              </c:strCache>
            </c:strRef>
          </c:tx>
          <c:spPr>
            <a:solidFill>
              <a:schemeClr val="accent2"/>
            </a:solidFill>
            <a:ln>
              <a:noFill/>
            </a:ln>
            <a:effectLst/>
          </c:spPr>
          <c:invertIfNegative val="0"/>
          <c:cat>
            <c:strRef>
              <c:f>'[Chart template.xlsx]Difficulty by industry'!$A$2:$A$9</c:f>
              <c:strCache>
                <c:ptCount val="8"/>
                <c:pt idx="0">
                  <c:v>Accommodation and Food Services</c:v>
                </c:pt>
                <c:pt idx="1">
                  <c:v>Construction</c:v>
                </c:pt>
                <c:pt idx="2">
                  <c:v>Health Care and Social Assistance</c:v>
                </c:pt>
                <c:pt idx="3">
                  <c:v>Manufacturing</c:v>
                </c:pt>
                <c:pt idx="4">
                  <c:v>Professional, Scientific and Technical Services</c:v>
                </c:pt>
                <c:pt idx="5">
                  <c:v>Retail Trade</c:v>
                </c:pt>
                <c:pt idx="6">
                  <c:v>Transport, Postal and Warehousing</c:v>
                </c:pt>
                <c:pt idx="7">
                  <c:v>Wholesale Trade</c:v>
                </c:pt>
              </c:strCache>
            </c:strRef>
          </c:cat>
          <c:val>
            <c:numRef>
              <c:f>'[Chart template.xlsx]Difficulty by industry'!$C$2:$C$9</c:f>
              <c:numCache>
                <c:formatCode>0%</c:formatCode>
                <c:ptCount val="8"/>
                <c:pt idx="0">
                  <c:v>0.57458039500489799</c:v>
                </c:pt>
                <c:pt idx="1">
                  <c:v>0.48965624411731185</c:v>
                </c:pt>
                <c:pt idx="2">
                  <c:v>0.57463453541377663</c:v>
                </c:pt>
                <c:pt idx="3">
                  <c:v>0.55728192721668379</c:v>
                </c:pt>
                <c:pt idx="4">
                  <c:v>0.47458564809761622</c:v>
                </c:pt>
                <c:pt idx="5">
                  <c:v>0.42107406404796077</c:v>
                </c:pt>
                <c:pt idx="6">
                  <c:v>0.61365584140224405</c:v>
                </c:pt>
                <c:pt idx="7">
                  <c:v>0.47916030795392317</c:v>
                </c:pt>
              </c:numCache>
            </c:numRef>
          </c:val>
          <c:extLst>
            <c:ext xmlns:c16="http://schemas.microsoft.com/office/drawing/2014/chart" uri="{C3380CC4-5D6E-409C-BE32-E72D297353CC}">
              <c16:uniqueId val="{00000001-25F9-4417-A7B9-93A015D3A2A5}"/>
            </c:ext>
          </c:extLst>
        </c:ser>
        <c:ser>
          <c:idx val="2"/>
          <c:order val="2"/>
          <c:tx>
            <c:strRef>
              <c:f>'[Chart template.xlsx]Difficulty by industry'!$D$1</c:f>
              <c:strCache>
                <c:ptCount val="1"/>
                <c:pt idx="0">
                  <c:v>2022</c:v>
                </c:pt>
              </c:strCache>
            </c:strRef>
          </c:tx>
          <c:spPr>
            <a:solidFill>
              <a:schemeClr val="accent3"/>
            </a:solidFill>
            <a:ln>
              <a:noFill/>
            </a:ln>
            <a:effectLst/>
          </c:spPr>
          <c:invertIfNegative val="0"/>
          <c:cat>
            <c:strRef>
              <c:f>'[Chart template.xlsx]Difficulty by industry'!$A$2:$A$9</c:f>
              <c:strCache>
                <c:ptCount val="8"/>
                <c:pt idx="0">
                  <c:v>Accommodation and Food Services</c:v>
                </c:pt>
                <c:pt idx="1">
                  <c:v>Construction</c:v>
                </c:pt>
                <c:pt idx="2">
                  <c:v>Health Care and Social Assistance</c:v>
                </c:pt>
                <c:pt idx="3">
                  <c:v>Manufacturing</c:v>
                </c:pt>
                <c:pt idx="4">
                  <c:v>Professional, Scientific and Technical Services</c:v>
                </c:pt>
                <c:pt idx="5">
                  <c:v>Retail Trade</c:v>
                </c:pt>
                <c:pt idx="6">
                  <c:v>Transport, Postal and Warehousing</c:v>
                </c:pt>
                <c:pt idx="7">
                  <c:v>Wholesale Trade</c:v>
                </c:pt>
              </c:strCache>
            </c:strRef>
          </c:cat>
          <c:val>
            <c:numRef>
              <c:f>'[Chart template.xlsx]Difficulty by industry'!$D$2:$D$9</c:f>
              <c:numCache>
                <c:formatCode>0%</c:formatCode>
                <c:ptCount val="8"/>
                <c:pt idx="0">
                  <c:v>0.67258440729302749</c:v>
                </c:pt>
                <c:pt idx="1">
                  <c:v>0.71362770135213471</c:v>
                </c:pt>
                <c:pt idx="2">
                  <c:v>0.69992434870695808</c:v>
                </c:pt>
                <c:pt idx="3">
                  <c:v>0.74638343785345052</c:v>
                </c:pt>
                <c:pt idx="4">
                  <c:v>0.60690339475473409</c:v>
                </c:pt>
                <c:pt idx="5">
                  <c:v>0.67606636127061259</c:v>
                </c:pt>
                <c:pt idx="6">
                  <c:v>0.66362736898568819</c:v>
                </c:pt>
                <c:pt idx="7">
                  <c:v>0.69601259362692769</c:v>
                </c:pt>
              </c:numCache>
            </c:numRef>
          </c:val>
          <c:extLst>
            <c:ext xmlns:c16="http://schemas.microsoft.com/office/drawing/2014/chart" uri="{C3380CC4-5D6E-409C-BE32-E72D297353CC}">
              <c16:uniqueId val="{00000002-25F9-4417-A7B9-93A015D3A2A5}"/>
            </c:ext>
          </c:extLst>
        </c:ser>
        <c:ser>
          <c:idx val="3"/>
          <c:order val="3"/>
          <c:tx>
            <c:strRef>
              <c:f>'[Chart template.xlsx]Difficulty by industry'!$E$1</c:f>
              <c:strCache>
                <c:ptCount val="1"/>
                <c:pt idx="0">
                  <c:v>2023 to date^</c:v>
                </c:pt>
              </c:strCache>
            </c:strRef>
          </c:tx>
          <c:spPr>
            <a:solidFill>
              <a:schemeClr val="accent4"/>
            </a:solidFill>
            <a:ln>
              <a:noFill/>
            </a:ln>
            <a:effectLst/>
          </c:spPr>
          <c:invertIfNegative val="0"/>
          <c:dLbls>
            <c:dLbl>
              <c:idx val="0"/>
              <c:layout>
                <c:manualLayout>
                  <c:x val="1.3471037269869779E-2"/>
                  <c:y val="-3.23335477029079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F9-4417-A7B9-93A015D3A2A5}"/>
                </c:ext>
              </c:extLst>
            </c:dLbl>
            <c:dLbl>
              <c:idx val="1"/>
              <c:layout>
                <c:manualLayout>
                  <c:x val="1.122586439155815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F9-4417-A7B9-93A015D3A2A5}"/>
                </c:ext>
              </c:extLst>
            </c:dLbl>
            <c:dLbl>
              <c:idx val="2"/>
              <c:layout>
                <c:manualLayout>
                  <c:x val="1.7961383026493041E-2"/>
                  <c:y val="-8.0833869257269799E-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F9-4417-A7B9-93A015D3A2A5}"/>
                </c:ext>
              </c:extLst>
            </c:dLbl>
            <c:dLbl>
              <c:idx val="3"/>
              <c:layout>
                <c:manualLayout>
                  <c:x val="1.347103726986977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F9-4417-A7B9-93A015D3A2A5}"/>
                </c:ext>
              </c:extLst>
            </c:dLbl>
            <c:dLbl>
              <c:idx val="4"/>
              <c:layout>
                <c:manualLayout>
                  <c:x val="1.5716210148181326E-2"/>
                  <c:y val="-1.61667738514539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5F9-4417-A7B9-93A015D3A2A5}"/>
                </c:ext>
              </c:extLst>
            </c:dLbl>
            <c:dLbl>
              <c:idx val="5"/>
              <c:layout>
                <c:manualLayout>
                  <c:x val="1.3471037269869779E-2"/>
                  <c:y val="-3.52733686067019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5F9-4417-A7B9-93A015D3A2A5}"/>
                </c:ext>
              </c:extLst>
            </c:dLbl>
            <c:dLbl>
              <c:idx val="6"/>
              <c:layout>
                <c:manualLayout>
                  <c:x val="1.122586439155815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5F9-4417-A7B9-93A015D3A2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template.xlsx]Difficulty by industry'!$A$2:$A$9</c:f>
              <c:strCache>
                <c:ptCount val="8"/>
                <c:pt idx="0">
                  <c:v>Accommodation and Food Services</c:v>
                </c:pt>
                <c:pt idx="1">
                  <c:v>Construction</c:v>
                </c:pt>
                <c:pt idx="2">
                  <c:v>Health Care and Social Assistance</c:v>
                </c:pt>
                <c:pt idx="3">
                  <c:v>Manufacturing</c:v>
                </c:pt>
                <c:pt idx="4">
                  <c:v>Professional, Scientific and Technical Services</c:v>
                </c:pt>
                <c:pt idx="5">
                  <c:v>Retail Trade</c:v>
                </c:pt>
                <c:pt idx="6">
                  <c:v>Transport, Postal and Warehousing</c:v>
                </c:pt>
                <c:pt idx="7">
                  <c:v>Wholesale Trade</c:v>
                </c:pt>
              </c:strCache>
            </c:strRef>
          </c:cat>
          <c:val>
            <c:numRef>
              <c:f>'[Chart template.xlsx]Difficulty by industry'!$E$2:$E$9</c:f>
              <c:numCache>
                <c:formatCode>0%</c:formatCode>
                <c:ptCount val="8"/>
                <c:pt idx="0">
                  <c:v>0.52629302458978389</c:v>
                </c:pt>
                <c:pt idx="1">
                  <c:v>0.65338599127973096</c:v>
                </c:pt>
                <c:pt idx="2">
                  <c:v>0.66404625719018318</c:v>
                </c:pt>
                <c:pt idx="3">
                  <c:v>0.70829411723001168</c:v>
                </c:pt>
                <c:pt idx="4">
                  <c:v>0.58562843373504947</c:v>
                </c:pt>
                <c:pt idx="5">
                  <c:v>0.6113345405019176</c:v>
                </c:pt>
                <c:pt idx="6">
                  <c:v>0.65433366832016371</c:v>
                </c:pt>
                <c:pt idx="7">
                  <c:v>0.68166022092498102</c:v>
                </c:pt>
              </c:numCache>
            </c:numRef>
          </c:val>
          <c:extLst>
            <c:ext xmlns:c16="http://schemas.microsoft.com/office/drawing/2014/chart" uri="{C3380CC4-5D6E-409C-BE32-E72D297353CC}">
              <c16:uniqueId val="{0000000A-25F9-4417-A7B9-93A015D3A2A5}"/>
            </c:ext>
          </c:extLst>
        </c:ser>
        <c:dLbls>
          <c:showLegendKey val="0"/>
          <c:showVal val="0"/>
          <c:showCatName val="0"/>
          <c:showSerName val="0"/>
          <c:showPercent val="0"/>
          <c:showBubbleSize val="0"/>
        </c:dLbls>
        <c:gapWidth val="219"/>
        <c:overlap val="-27"/>
        <c:axId val="457454224"/>
        <c:axId val="486567952"/>
      </c:barChart>
      <c:catAx>
        <c:axId val="45745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40" b="0" i="0" u="none" strike="noStrike" kern="1200" baseline="0">
                <a:solidFill>
                  <a:sysClr val="windowText" lastClr="000000"/>
                </a:solidFill>
                <a:latin typeface="+mn-lt"/>
                <a:ea typeface="+mn-ea"/>
                <a:cs typeface="+mn-cs"/>
              </a:defRPr>
            </a:pPr>
            <a:endParaRPr lang="en-US"/>
          </a:p>
        </c:txPr>
        <c:crossAx val="486567952"/>
        <c:crosses val="autoZero"/>
        <c:auto val="1"/>
        <c:lblAlgn val="ctr"/>
        <c:lblOffset val="100"/>
        <c:noMultiLvlLbl val="0"/>
      </c:catAx>
      <c:valAx>
        <c:axId val="48656795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Proportion of recruiting employers</a:t>
                </a:r>
              </a:p>
            </c:rich>
          </c:tx>
          <c:layout>
            <c:manualLayout>
              <c:xMode val="edge"/>
              <c:yMode val="edge"/>
              <c:x val="1.0162523538931293E-2"/>
              <c:y val="4.1878903068151034E-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57454224"/>
        <c:crosses val="autoZero"/>
        <c:crossBetween val="between"/>
      </c:valAx>
      <c:spPr>
        <a:noFill/>
        <a:ln>
          <a:noFill/>
        </a:ln>
        <a:effectLst/>
      </c:spPr>
    </c:plotArea>
    <c:legend>
      <c:legendPos val="b"/>
      <c:layout>
        <c:manualLayout>
          <c:xMode val="edge"/>
          <c:yMode val="edge"/>
          <c:x val="0.3265941752301289"/>
          <c:y val="0.92666883880894202"/>
          <c:w val="0.34681150177495068"/>
          <c:h val="7.333116119105800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AU" sz="1000"/>
              <a:t>a. Higher skilled (ANZSCO Skill Level 1-3)</a:t>
            </a:r>
          </a:p>
        </c:rich>
      </c:tx>
      <c:layout>
        <c:manualLayout>
          <c:xMode val="edge"/>
          <c:yMode val="edge"/>
          <c:x val="1.0277777777777904E-3"/>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0"/>
          <c:order val="0"/>
          <c:tx>
            <c:strRef>
              <c:f>'[Chart template.xlsx]Difficult by Skill Lvl 2'!$B$1</c:f>
              <c:strCache>
                <c:ptCount val="1"/>
                <c:pt idx="0">
                  <c:v>Recruitment difficulty </c:v>
                </c:pt>
              </c:strCache>
            </c:strRef>
          </c:tx>
          <c:spPr>
            <a:ln w="28575" cap="rnd">
              <a:solidFill>
                <a:schemeClr val="accent1"/>
              </a:solidFill>
              <a:round/>
            </a:ln>
            <a:effectLst/>
          </c:spPr>
          <c:marker>
            <c:symbol val="none"/>
          </c:marker>
          <c:dPt>
            <c:idx val="6"/>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1-ABA9-42A7-BEFF-E9401C568D34}"/>
              </c:ext>
            </c:extLst>
          </c:dPt>
          <c:dPt>
            <c:idx val="18"/>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3-ABA9-42A7-BEFF-E9401C568D34}"/>
              </c:ext>
            </c:extLst>
          </c:dPt>
          <c:dPt>
            <c:idx val="30"/>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5-ABA9-42A7-BEFF-E9401C568D34}"/>
              </c:ext>
            </c:extLst>
          </c:dPt>
          <c:cat>
            <c:numRef>
              <c:f>'[Chart template.xlsx]Difficult by Skill Lvl 2'!$A$2:$A$36</c:f>
              <c:numCache>
                <c:formatCode>mmm\-yyyy</c:formatCode>
                <c:ptCount val="35"/>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pt idx="29">
                  <c:v>44957</c:v>
                </c:pt>
                <c:pt idx="30">
                  <c:v>44985</c:v>
                </c:pt>
                <c:pt idx="31">
                  <c:v>45016</c:v>
                </c:pt>
                <c:pt idx="32">
                  <c:v>45046</c:v>
                </c:pt>
                <c:pt idx="33">
                  <c:v>45077</c:v>
                </c:pt>
                <c:pt idx="34">
                  <c:v>45107</c:v>
                </c:pt>
              </c:numCache>
            </c:numRef>
          </c:cat>
          <c:val>
            <c:numRef>
              <c:f>'[Chart template.xlsx]Difficult by Skill Lvl 2'!$B$2:$B$36</c:f>
              <c:numCache>
                <c:formatCode>0%</c:formatCode>
                <c:ptCount val="35"/>
                <c:pt idx="0">
                  <c:v>0.54</c:v>
                </c:pt>
                <c:pt idx="1">
                  <c:v>0.49</c:v>
                </c:pt>
                <c:pt idx="2">
                  <c:v>0.55000000000000004</c:v>
                </c:pt>
                <c:pt idx="3">
                  <c:v>0.43</c:v>
                </c:pt>
                <c:pt idx="4">
                  <c:v>0.51</c:v>
                </c:pt>
                <c:pt idx="6">
                  <c:v>0.45</c:v>
                </c:pt>
                <c:pt idx="7">
                  <c:v>0.5</c:v>
                </c:pt>
                <c:pt idx="8">
                  <c:v>0.64</c:v>
                </c:pt>
                <c:pt idx="9">
                  <c:v>0.57999999999999996</c:v>
                </c:pt>
                <c:pt idx="10">
                  <c:v>0.6</c:v>
                </c:pt>
                <c:pt idx="11">
                  <c:v>0.57999999999999996</c:v>
                </c:pt>
                <c:pt idx="12">
                  <c:v>0.56000000000000005</c:v>
                </c:pt>
                <c:pt idx="13">
                  <c:v>0.6</c:v>
                </c:pt>
                <c:pt idx="14">
                  <c:v>0.56999999999999995</c:v>
                </c:pt>
                <c:pt idx="15">
                  <c:v>0.68</c:v>
                </c:pt>
                <c:pt idx="16">
                  <c:v>0.62</c:v>
                </c:pt>
                <c:pt idx="18">
                  <c:v>0.63</c:v>
                </c:pt>
                <c:pt idx="19">
                  <c:v>0.69</c:v>
                </c:pt>
                <c:pt idx="20">
                  <c:v>0.67</c:v>
                </c:pt>
                <c:pt idx="21">
                  <c:v>0.74</c:v>
                </c:pt>
                <c:pt idx="22">
                  <c:v>0.71</c:v>
                </c:pt>
                <c:pt idx="23">
                  <c:v>0.8</c:v>
                </c:pt>
                <c:pt idx="24">
                  <c:v>0.79</c:v>
                </c:pt>
                <c:pt idx="25">
                  <c:v>0.71</c:v>
                </c:pt>
                <c:pt idx="26">
                  <c:v>0.72</c:v>
                </c:pt>
                <c:pt idx="27">
                  <c:v>0.79</c:v>
                </c:pt>
                <c:pt idx="28">
                  <c:v>0.72</c:v>
                </c:pt>
                <c:pt idx="30">
                  <c:v>0.65</c:v>
                </c:pt>
                <c:pt idx="31">
                  <c:v>0.72</c:v>
                </c:pt>
                <c:pt idx="32">
                  <c:v>0.69</c:v>
                </c:pt>
                <c:pt idx="33">
                  <c:v>0.75</c:v>
                </c:pt>
                <c:pt idx="34">
                  <c:v>0.72</c:v>
                </c:pt>
              </c:numCache>
            </c:numRef>
          </c:val>
          <c:smooth val="0"/>
          <c:extLst>
            <c:ext xmlns:c16="http://schemas.microsoft.com/office/drawing/2014/chart" uri="{C3380CC4-5D6E-409C-BE32-E72D297353CC}">
              <c16:uniqueId val="{00000006-ABA9-42A7-BEFF-E9401C568D34}"/>
            </c:ext>
          </c:extLst>
        </c:ser>
        <c:dLbls>
          <c:showLegendKey val="0"/>
          <c:showVal val="0"/>
          <c:showCatName val="0"/>
          <c:showSerName val="0"/>
          <c:showPercent val="0"/>
          <c:showBubbleSize val="0"/>
        </c:dLbls>
        <c:marker val="1"/>
        <c:smooth val="0"/>
        <c:axId val="2083582159"/>
        <c:axId val="2083589359"/>
      </c:lineChart>
      <c:lineChart>
        <c:grouping val="standard"/>
        <c:varyColors val="0"/>
        <c:ser>
          <c:idx val="1"/>
          <c:order val="1"/>
          <c:tx>
            <c:strRef>
              <c:f>'[Chart template.xlsx]Difficult by Skill Lvl 2'!$C$1</c:f>
              <c:strCache>
                <c:ptCount val="1"/>
                <c:pt idx="0">
                  <c:v>Internet vacancies (seasonally adjusted, RHS)</c:v>
                </c:pt>
              </c:strCache>
            </c:strRef>
          </c:tx>
          <c:spPr>
            <a:ln w="28575" cap="rnd">
              <a:solidFill>
                <a:schemeClr val="accent2"/>
              </a:solidFill>
              <a:round/>
            </a:ln>
            <a:effectLst/>
          </c:spPr>
          <c:marker>
            <c:symbol val="none"/>
          </c:marker>
          <c:cat>
            <c:numRef>
              <c:f>'[Chart template.xlsx]Difficult by Skill Lvl 2'!$A$2:$A$36</c:f>
              <c:numCache>
                <c:formatCode>mmm\-yyyy</c:formatCode>
                <c:ptCount val="35"/>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pt idx="29">
                  <c:v>44957</c:v>
                </c:pt>
                <c:pt idx="30">
                  <c:v>44985</c:v>
                </c:pt>
                <c:pt idx="31">
                  <c:v>45016</c:v>
                </c:pt>
                <c:pt idx="32">
                  <c:v>45046</c:v>
                </c:pt>
                <c:pt idx="33">
                  <c:v>45077</c:v>
                </c:pt>
                <c:pt idx="34">
                  <c:v>45107</c:v>
                </c:pt>
              </c:numCache>
            </c:numRef>
          </c:cat>
          <c:val>
            <c:numRef>
              <c:f>'[Chart template.xlsx]Difficult by Skill Lvl 2'!$C$2:$C$36</c:f>
              <c:numCache>
                <c:formatCode>General</c:formatCode>
                <c:ptCount val="35"/>
                <c:pt idx="0">
                  <c:v>86602</c:v>
                </c:pt>
                <c:pt idx="1">
                  <c:v>95277</c:v>
                </c:pt>
                <c:pt idx="2">
                  <c:v>99701</c:v>
                </c:pt>
                <c:pt idx="3">
                  <c:v>108324</c:v>
                </c:pt>
                <c:pt idx="4">
                  <c:v>113939</c:v>
                </c:pt>
                <c:pt idx="5">
                  <c:v>116002</c:v>
                </c:pt>
                <c:pt idx="6">
                  <c:v>124780</c:v>
                </c:pt>
                <c:pt idx="7">
                  <c:v>139717</c:v>
                </c:pt>
                <c:pt idx="8">
                  <c:v>141168</c:v>
                </c:pt>
                <c:pt idx="9">
                  <c:v>142771</c:v>
                </c:pt>
                <c:pt idx="10">
                  <c:v>144058</c:v>
                </c:pt>
                <c:pt idx="11">
                  <c:v>144585</c:v>
                </c:pt>
                <c:pt idx="12">
                  <c:v>136596</c:v>
                </c:pt>
                <c:pt idx="13">
                  <c:v>146817</c:v>
                </c:pt>
                <c:pt idx="14">
                  <c:v>153406</c:v>
                </c:pt>
                <c:pt idx="15">
                  <c:v>156125</c:v>
                </c:pt>
                <c:pt idx="16">
                  <c:v>154041</c:v>
                </c:pt>
                <c:pt idx="17">
                  <c:v>160739</c:v>
                </c:pt>
                <c:pt idx="18">
                  <c:v>165359</c:v>
                </c:pt>
                <c:pt idx="19">
                  <c:v>168635</c:v>
                </c:pt>
                <c:pt idx="20">
                  <c:v>169677</c:v>
                </c:pt>
                <c:pt idx="21">
                  <c:v>174921</c:v>
                </c:pt>
                <c:pt idx="22">
                  <c:v>179663</c:v>
                </c:pt>
                <c:pt idx="23">
                  <c:v>174099</c:v>
                </c:pt>
                <c:pt idx="24">
                  <c:v>179242</c:v>
                </c:pt>
                <c:pt idx="25">
                  <c:v>167964</c:v>
                </c:pt>
                <c:pt idx="26">
                  <c:v>172187</c:v>
                </c:pt>
                <c:pt idx="27">
                  <c:v>168891</c:v>
                </c:pt>
                <c:pt idx="28">
                  <c:v>170468</c:v>
                </c:pt>
                <c:pt idx="29">
                  <c:v>172581</c:v>
                </c:pt>
                <c:pt idx="30">
                  <c:v>173757</c:v>
                </c:pt>
                <c:pt idx="31">
                  <c:v>175116</c:v>
                </c:pt>
                <c:pt idx="32">
                  <c:v>182776</c:v>
                </c:pt>
                <c:pt idx="33">
                  <c:v>178941</c:v>
                </c:pt>
                <c:pt idx="34">
                  <c:v>174919</c:v>
                </c:pt>
              </c:numCache>
            </c:numRef>
          </c:val>
          <c:smooth val="0"/>
          <c:extLst>
            <c:ext xmlns:c16="http://schemas.microsoft.com/office/drawing/2014/chart" uri="{C3380CC4-5D6E-409C-BE32-E72D297353CC}">
              <c16:uniqueId val="{00000007-ABA9-42A7-BEFF-E9401C568D34}"/>
            </c:ext>
          </c:extLst>
        </c:ser>
        <c:dLbls>
          <c:showLegendKey val="0"/>
          <c:showVal val="0"/>
          <c:showCatName val="0"/>
          <c:showSerName val="0"/>
          <c:showPercent val="0"/>
          <c:showBubbleSize val="0"/>
        </c:dLbls>
        <c:marker val="1"/>
        <c:smooth val="0"/>
        <c:axId val="2083588399"/>
        <c:axId val="2083590799"/>
      </c:lineChart>
      <c:catAx>
        <c:axId val="2083582159"/>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83589359"/>
        <c:crosses val="autoZero"/>
        <c:auto val="0"/>
        <c:lblAlgn val="ctr"/>
        <c:lblOffset val="100"/>
        <c:noMultiLvlLbl val="1"/>
      </c:catAx>
      <c:valAx>
        <c:axId val="208358935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AU"/>
                  <a:t>Proportion of recruiting employers</a:t>
                </a:r>
              </a:p>
            </c:rich>
          </c:tx>
          <c:layout>
            <c:manualLayout>
              <c:xMode val="edge"/>
              <c:yMode val="edge"/>
              <c:x val="2.2560631697687537E-3"/>
              <c:y val="0.106382978723404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83582159"/>
        <c:crosses val="autoZero"/>
        <c:crossBetween val="between"/>
      </c:valAx>
      <c:valAx>
        <c:axId val="208359079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AU"/>
                  <a:t>Internet Vacancy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83588399"/>
        <c:crosses val="max"/>
        <c:crossBetween val="between"/>
      </c:valAx>
      <c:dateAx>
        <c:axId val="2083588399"/>
        <c:scaling>
          <c:orientation val="minMax"/>
        </c:scaling>
        <c:delete val="1"/>
        <c:axPos val="b"/>
        <c:numFmt formatCode="mmm\-yyyy" sourceLinked="1"/>
        <c:majorTickMark val="out"/>
        <c:minorTickMark val="none"/>
        <c:tickLblPos val="nextTo"/>
        <c:crossAx val="2083590799"/>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en-AU" sz="1000"/>
              <a:t>b. Lower skilled (ANZSCO Skill Level 4-5)</a:t>
            </a:r>
          </a:p>
        </c:rich>
      </c:tx>
      <c:layout>
        <c:manualLayout>
          <c:xMode val="edge"/>
          <c:yMode val="edge"/>
          <c:x val="1.3333333333333443E-3"/>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0"/>
          <c:order val="0"/>
          <c:tx>
            <c:strRef>
              <c:f>'[Chart template.xlsx]Difficult by Skill Lvl 2'!$F$1</c:f>
              <c:strCache>
                <c:ptCount val="1"/>
                <c:pt idx="0">
                  <c:v>Recruitment difficulty </c:v>
                </c:pt>
              </c:strCache>
            </c:strRef>
          </c:tx>
          <c:spPr>
            <a:ln w="28575" cap="rnd">
              <a:solidFill>
                <a:schemeClr val="accent1"/>
              </a:solidFill>
              <a:round/>
            </a:ln>
            <a:effectLst/>
          </c:spPr>
          <c:marker>
            <c:symbol val="none"/>
          </c:marker>
          <c:dPt>
            <c:idx val="6"/>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1-BCC2-4251-9050-5DDE62A668CE}"/>
              </c:ext>
            </c:extLst>
          </c:dPt>
          <c:dPt>
            <c:idx val="18"/>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3-BCC2-4251-9050-5DDE62A668CE}"/>
              </c:ext>
            </c:extLst>
          </c:dPt>
          <c:dPt>
            <c:idx val="30"/>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5-BCC2-4251-9050-5DDE62A668CE}"/>
              </c:ext>
            </c:extLst>
          </c:dPt>
          <c:cat>
            <c:numRef>
              <c:f>'[Chart template.xlsx]Difficult by Skill Lvl 2'!$E$2:$E$36</c:f>
              <c:numCache>
                <c:formatCode>mmm\-yyyy</c:formatCode>
                <c:ptCount val="35"/>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pt idx="29">
                  <c:v>44957</c:v>
                </c:pt>
                <c:pt idx="30">
                  <c:v>44958</c:v>
                </c:pt>
                <c:pt idx="31">
                  <c:v>44986</c:v>
                </c:pt>
                <c:pt idx="32">
                  <c:v>45017</c:v>
                </c:pt>
                <c:pt idx="33">
                  <c:v>45047</c:v>
                </c:pt>
                <c:pt idx="34">
                  <c:v>45078</c:v>
                </c:pt>
              </c:numCache>
            </c:numRef>
          </c:cat>
          <c:val>
            <c:numRef>
              <c:f>'[Chart template.xlsx]Difficult by Skill Lvl 2'!$F$2:$F$36</c:f>
              <c:numCache>
                <c:formatCode>0%</c:formatCode>
                <c:ptCount val="35"/>
                <c:pt idx="0">
                  <c:v>0.45</c:v>
                </c:pt>
                <c:pt idx="1">
                  <c:v>0.36</c:v>
                </c:pt>
                <c:pt idx="2">
                  <c:v>0.37</c:v>
                </c:pt>
                <c:pt idx="3">
                  <c:v>0.38</c:v>
                </c:pt>
                <c:pt idx="4">
                  <c:v>0.34</c:v>
                </c:pt>
                <c:pt idx="6">
                  <c:v>0.28999999999999998</c:v>
                </c:pt>
                <c:pt idx="7">
                  <c:v>0.43</c:v>
                </c:pt>
                <c:pt idx="8">
                  <c:v>0.46</c:v>
                </c:pt>
                <c:pt idx="9">
                  <c:v>0.45</c:v>
                </c:pt>
                <c:pt idx="10">
                  <c:v>0.46</c:v>
                </c:pt>
                <c:pt idx="11">
                  <c:v>0.49</c:v>
                </c:pt>
                <c:pt idx="12">
                  <c:v>0.48</c:v>
                </c:pt>
                <c:pt idx="13">
                  <c:v>0.46</c:v>
                </c:pt>
                <c:pt idx="14">
                  <c:v>0.51</c:v>
                </c:pt>
                <c:pt idx="15">
                  <c:v>0.59</c:v>
                </c:pt>
                <c:pt idx="16">
                  <c:v>0.52</c:v>
                </c:pt>
                <c:pt idx="18">
                  <c:v>0.64</c:v>
                </c:pt>
                <c:pt idx="19">
                  <c:v>0.59</c:v>
                </c:pt>
                <c:pt idx="20">
                  <c:v>0.61</c:v>
                </c:pt>
                <c:pt idx="21">
                  <c:v>0.63</c:v>
                </c:pt>
                <c:pt idx="22">
                  <c:v>0.63</c:v>
                </c:pt>
                <c:pt idx="23">
                  <c:v>0.71</c:v>
                </c:pt>
                <c:pt idx="24">
                  <c:v>0.69</c:v>
                </c:pt>
                <c:pt idx="25">
                  <c:v>0.63</c:v>
                </c:pt>
                <c:pt idx="26">
                  <c:v>0.68</c:v>
                </c:pt>
                <c:pt idx="27">
                  <c:v>0.6</c:v>
                </c:pt>
                <c:pt idx="28">
                  <c:v>0.57999999999999996</c:v>
                </c:pt>
                <c:pt idx="30">
                  <c:v>0.56000000000000005</c:v>
                </c:pt>
                <c:pt idx="31">
                  <c:v>0.56999999999999995</c:v>
                </c:pt>
                <c:pt idx="32">
                  <c:v>0.55000000000000004</c:v>
                </c:pt>
                <c:pt idx="33">
                  <c:v>0.59</c:v>
                </c:pt>
                <c:pt idx="34">
                  <c:v>0.55000000000000004</c:v>
                </c:pt>
              </c:numCache>
            </c:numRef>
          </c:val>
          <c:smooth val="0"/>
          <c:extLst>
            <c:ext xmlns:c16="http://schemas.microsoft.com/office/drawing/2014/chart" uri="{C3380CC4-5D6E-409C-BE32-E72D297353CC}">
              <c16:uniqueId val="{00000006-BCC2-4251-9050-5DDE62A668CE}"/>
            </c:ext>
          </c:extLst>
        </c:ser>
        <c:dLbls>
          <c:showLegendKey val="0"/>
          <c:showVal val="0"/>
          <c:showCatName val="0"/>
          <c:showSerName val="0"/>
          <c:showPercent val="0"/>
          <c:showBubbleSize val="0"/>
        </c:dLbls>
        <c:marker val="1"/>
        <c:smooth val="0"/>
        <c:axId val="1942773311"/>
        <c:axId val="1942774271"/>
      </c:lineChart>
      <c:lineChart>
        <c:grouping val="standard"/>
        <c:varyColors val="0"/>
        <c:ser>
          <c:idx val="1"/>
          <c:order val="1"/>
          <c:tx>
            <c:strRef>
              <c:f>'[Chart template.xlsx]Difficult by Skill Lvl 2'!$G$1</c:f>
              <c:strCache>
                <c:ptCount val="1"/>
                <c:pt idx="0">
                  <c:v>Internet vacancies (seasonally adjusted, RHS)</c:v>
                </c:pt>
              </c:strCache>
            </c:strRef>
          </c:tx>
          <c:spPr>
            <a:ln w="28575" cap="rnd">
              <a:solidFill>
                <a:schemeClr val="accent2"/>
              </a:solidFill>
              <a:round/>
            </a:ln>
            <a:effectLst/>
          </c:spPr>
          <c:marker>
            <c:symbol val="none"/>
          </c:marker>
          <c:cat>
            <c:numRef>
              <c:f>'[Chart template.xlsx]Difficult by Skill Lvl 2'!$E$2:$E$36</c:f>
              <c:numCache>
                <c:formatCode>mmm\-yyyy</c:formatCode>
                <c:ptCount val="35"/>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pt idx="29">
                  <c:v>44957</c:v>
                </c:pt>
                <c:pt idx="30">
                  <c:v>44958</c:v>
                </c:pt>
                <c:pt idx="31">
                  <c:v>44986</c:v>
                </c:pt>
                <c:pt idx="32">
                  <c:v>45017</c:v>
                </c:pt>
                <c:pt idx="33">
                  <c:v>45047</c:v>
                </c:pt>
                <c:pt idx="34">
                  <c:v>45078</c:v>
                </c:pt>
              </c:numCache>
            </c:numRef>
          </c:cat>
          <c:val>
            <c:numRef>
              <c:f>'[Chart template.xlsx]Difficult by Skill Lvl 2'!$G$2:$G$36</c:f>
              <c:numCache>
                <c:formatCode>General</c:formatCode>
                <c:ptCount val="35"/>
                <c:pt idx="0">
                  <c:v>50412</c:v>
                </c:pt>
                <c:pt idx="1">
                  <c:v>55718</c:v>
                </c:pt>
                <c:pt idx="2">
                  <c:v>60277</c:v>
                </c:pt>
                <c:pt idx="3">
                  <c:v>67457</c:v>
                </c:pt>
                <c:pt idx="4">
                  <c:v>71169</c:v>
                </c:pt>
                <c:pt idx="5">
                  <c:v>73170</c:v>
                </c:pt>
                <c:pt idx="6">
                  <c:v>77421</c:v>
                </c:pt>
                <c:pt idx="7">
                  <c:v>87906</c:v>
                </c:pt>
                <c:pt idx="8">
                  <c:v>89470</c:v>
                </c:pt>
                <c:pt idx="9">
                  <c:v>91921</c:v>
                </c:pt>
                <c:pt idx="10">
                  <c:v>87710</c:v>
                </c:pt>
                <c:pt idx="11">
                  <c:v>85345</c:v>
                </c:pt>
                <c:pt idx="12">
                  <c:v>76934</c:v>
                </c:pt>
                <c:pt idx="13">
                  <c:v>88750</c:v>
                </c:pt>
                <c:pt idx="14">
                  <c:v>100797</c:v>
                </c:pt>
                <c:pt idx="15">
                  <c:v>104371</c:v>
                </c:pt>
                <c:pt idx="16">
                  <c:v>104898</c:v>
                </c:pt>
                <c:pt idx="17">
                  <c:v>107652</c:v>
                </c:pt>
                <c:pt idx="18">
                  <c:v>110992</c:v>
                </c:pt>
                <c:pt idx="19">
                  <c:v>114490</c:v>
                </c:pt>
                <c:pt idx="20">
                  <c:v>119318</c:v>
                </c:pt>
                <c:pt idx="21">
                  <c:v>120012</c:v>
                </c:pt>
                <c:pt idx="22">
                  <c:v>124676</c:v>
                </c:pt>
                <c:pt idx="23">
                  <c:v>121614</c:v>
                </c:pt>
                <c:pt idx="24">
                  <c:v>121712</c:v>
                </c:pt>
                <c:pt idx="25">
                  <c:v>114775</c:v>
                </c:pt>
                <c:pt idx="26">
                  <c:v>111983</c:v>
                </c:pt>
                <c:pt idx="27">
                  <c:v>106680</c:v>
                </c:pt>
                <c:pt idx="28">
                  <c:v>105028</c:v>
                </c:pt>
                <c:pt idx="29">
                  <c:v>108426</c:v>
                </c:pt>
                <c:pt idx="30">
                  <c:v>107732</c:v>
                </c:pt>
                <c:pt idx="31">
                  <c:v>106091</c:v>
                </c:pt>
                <c:pt idx="32">
                  <c:v>107340</c:v>
                </c:pt>
                <c:pt idx="33">
                  <c:v>103150</c:v>
                </c:pt>
                <c:pt idx="34">
                  <c:v>101615</c:v>
                </c:pt>
              </c:numCache>
            </c:numRef>
          </c:val>
          <c:smooth val="0"/>
          <c:extLst>
            <c:ext xmlns:c16="http://schemas.microsoft.com/office/drawing/2014/chart" uri="{C3380CC4-5D6E-409C-BE32-E72D297353CC}">
              <c16:uniqueId val="{00000007-BCC2-4251-9050-5DDE62A668CE}"/>
            </c:ext>
          </c:extLst>
        </c:ser>
        <c:dLbls>
          <c:showLegendKey val="0"/>
          <c:showVal val="0"/>
          <c:showCatName val="0"/>
          <c:showSerName val="0"/>
          <c:showPercent val="0"/>
          <c:showBubbleSize val="0"/>
        </c:dLbls>
        <c:marker val="1"/>
        <c:smooth val="0"/>
        <c:axId val="1231086335"/>
        <c:axId val="1231085855"/>
      </c:lineChart>
      <c:catAx>
        <c:axId val="1942773311"/>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42774271"/>
        <c:crosses val="autoZero"/>
        <c:auto val="0"/>
        <c:lblAlgn val="ctr"/>
        <c:lblOffset val="100"/>
        <c:noMultiLvlLbl val="1"/>
      </c:catAx>
      <c:valAx>
        <c:axId val="194277427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AU"/>
                  <a:t>Proportion of</a:t>
                </a:r>
                <a:r>
                  <a:rPr lang="en-AU" baseline="0"/>
                  <a:t> recruiting employers</a:t>
                </a:r>
                <a:endParaRPr lang="en-AU"/>
              </a:p>
            </c:rich>
          </c:tx>
          <c:layout>
            <c:manualLayout>
              <c:xMode val="edge"/>
              <c:yMode val="edge"/>
              <c:x val="0"/>
              <c:y val="0.1046228710462287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42773311"/>
        <c:crosses val="autoZero"/>
        <c:crossBetween val="between"/>
      </c:valAx>
      <c:valAx>
        <c:axId val="1231085855"/>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AU"/>
                  <a:t>Internet Vacancy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231086335"/>
        <c:crosses val="max"/>
        <c:crossBetween val="between"/>
      </c:valAx>
      <c:dateAx>
        <c:axId val="1231086335"/>
        <c:scaling>
          <c:orientation val="minMax"/>
        </c:scaling>
        <c:delete val="1"/>
        <c:axPos val="b"/>
        <c:numFmt formatCode="mmm\-yyyy" sourceLinked="1"/>
        <c:majorTickMark val="out"/>
        <c:minorTickMark val="none"/>
        <c:tickLblPos val="nextTo"/>
        <c:crossAx val="1231085855"/>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'chart (1)'!$C$1</c:f>
              <c:strCache>
                <c:ptCount val="1"/>
                <c:pt idx="0">
                  <c:v>Seasonally adjusted job advertisements</c:v>
                </c:pt>
              </c:strCache>
            </c:strRef>
          </c:tx>
          <c:spPr>
            <a:solidFill>
              <a:schemeClr val="accent2"/>
            </a:solidFill>
            <a:ln>
              <a:noFill/>
            </a:ln>
            <a:effectLst/>
          </c:spPr>
          <c:invertIfNegative val="0"/>
          <c:cat>
            <c:numRef>
              <c:f>'chart (1)'!$A$2:$A$212</c:f>
              <c:numCache>
                <c:formatCode>mmm\-yy</c:formatCode>
                <c:ptCount val="211"/>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numCache>
            </c:numRef>
          </c:cat>
          <c:val>
            <c:numRef>
              <c:f>'chart (1)'!$C$2:$C$212</c:f>
              <c:numCache>
                <c:formatCode>General</c:formatCode>
                <c:ptCount val="211"/>
                <c:pt idx="0">
                  <c:v>211878</c:v>
                </c:pt>
                <c:pt idx="1">
                  <c:v>216310</c:v>
                </c:pt>
                <c:pt idx="2">
                  <c:v>220693</c:v>
                </c:pt>
                <c:pt idx="3">
                  <c:v>221716</c:v>
                </c:pt>
                <c:pt idx="4">
                  <c:v>218766</c:v>
                </c:pt>
                <c:pt idx="5">
                  <c:v>237796</c:v>
                </c:pt>
                <c:pt idx="6">
                  <c:v>219527</c:v>
                </c:pt>
                <c:pt idx="7">
                  <c:v>226484</c:v>
                </c:pt>
                <c:pt idx="8">
                  <c:v>220008</c:v>
                </c:pt>
                <c:pt idx="9">
                  <c:v>238529</c:v>
                </c:pt>
                <c:pt idx="10">
                  <c:v>238346</c:v>
                </c:pt>
                <c:pt idx="11">
                  <c:v>233752</c:v>
                </c:pt>
                <c:pt idx="12">
                  <c:v>248992</c:v>
                </c:pt>
                <c:pt idx="13">
                  <c:v>256520</c:v>
                </c:pt>
                <c:pt idx="14">
                  <c:v>266580</c:v>
                </c:pt>
                <c:pt idx="15">
                  <c:v>265939</c:v>
                </c:pt>
                <c:pt idx="16">
                  <c:v>272645</c:v>
                </c:pt>
                <c:pt idx="17">
                  <c:v>268957</c:v>
                </c:pt>
                <c:pt idx="18">
                  <c:v>281850</c:v>
                </c:pt>
                <c:pt idx="19">
                  <c:v>281306</c:v>
                </c:pt>
                <c:pt idx="20">
                  <c:v>285863</c:v>
                </c:pt>
                <c:pt idx="21">
                  <c:v>283396</c:v>
                </c:pt>
                <c:pt idx="22">
                  <c:v>294523</c:v>
                </c:pt>
                <c:pt idx="23">
                  <c:v>300400</c:v>
                </c:pt>
                <c:pt idx="24">
                  <c:v>305934</c:v>
                </c:pt>
                <c:pt idx="25">
                  <c:v>306037</c:v>
                </c:pt>
                <c:pt idx="26">
                  <c:v>301239</c:v>
                </c:pt>
                <c:pt idx="27">
                  <c:v>306038</c:v>
                </c:pt>
                <c:pt idx="28">
                  <c:v>300778</c:v>
                </c:pt>
                <c:pt idx="29">
                  <c:v>301227</c:v>
                </c:pt>
                <c:pt idx="30">
                  <c:v>288191</c:v>
                </c:pt>
                <c:pt idx="31">
                  <c:v>273525</c:v>
                </c:pt>
                <c:pt idx="32">
                  <c:v>260070</c:v>
                </c:pt>
                <c:pt idx="33">
                  <c:v>251332</c:v>
                </c:pt>
                <c:pt idx="34">
                  <c:v>234357</c:v>
                </c:pt>
                <c:pt idx="35">
                  <c:v>216398</c:v>
                </c:pt>
                <c:pt idx="36">
                  <c:v>196368</c:v>
                </c:pt>
                <c:pt idx="37">
                  <c:v>181944</c:v>
                </c:pt>
                <c:pt idx="38">
                  <c:v>160481</c:v>
                </c:pt>
                <c:pt idx="39">
                  <c:v>164511</c:v>
                </c:pt>
                <c:pt idx="40">
                  <c:v>157514</c:v>
                </c:pt>
                <c:pt idx="41">
                  <c:v>171575</c:v>
                </c:pt>
                <c:pt idx="42">
                  <c:v>158602</c:v>
                </c:pt>
                <c:pt idx="43">
                  <c:v>165016</c:v>
                </c:pt>
                <c:pt idx="44">
                  <c:v>165912</c:v>
                </c:pt>
                <c:pt idx="45">
                  <c:v>166419</c:v>
                </c:pt>
                <c:pt idx="46">
                  <c:v>169746</c:v>
                </c:pt>
                <c:pt idx="47">
                  <c:v>170947</c:v>
                </c:pt>
                <c:pt idx="48">
                  <c:v>183672</c:v>
                </c:pt>
                <c:pt idx="49">
                  <c:v>188517</c:v>
                </c:pt>
                <c:pt idx="50">
                  <c:v>176636</c:v>
                </c:pt>
                <c:pt idx="51">
                  <c:v>170812</c:v>
                </c:pt>
                <c:pt idx="52">
                  <c:v>186665</c:v>
                </c:pt>
                <c:pt idx="53">
                  <c:v>184781</c:v>
                </c:pt>
                <c:pt idx="54">
                  <c:v>191061</c:v>
                </c:pt>
                <c:pt idx="55">
                  <c:v>192025</c:v>
                </c:pt>
                <c:pt idx="56">
                  <c:v>200426</c:v>
                </c:pt>
                <c:pt idx="57">
                  <c:v>205071</c:v>
                </c:pt>
                <c:pt idx="58">
                  <c:v>205571</c:v>
                </c:pt>
                <c:pt idx="59">
                  <c:v>210691</c:v>
                </c:pt>
                <c:pt idx="60">
                  <c:v>212593</c:v>
                </c:pt>
                <c:pt idx="61">
                  <c:v>213183</c:v>
                </c:pt>
                <c:pt idx="62">
                  <c:v>215432</c:v>
                </c:pt>
                <c:pt idx="63">
                  <c:v>214042</c:v>
                </c:pt>
                <c:pt idx="64">
                  <c:v>209170</c:v>
                </c:pt>
                <c:pt idx="65">
                  <c:v>202788</c:v>
                </c:pt>
                <c:pt idx="66">
                  <c:v>208356</c:v>
                </c:pt>
                <c:pt idx="67">
                  <c:v>202330</c:v>
                </c:pt>
                <c:pt idx="68">
                  <c:v>196274</c:v>
                </c:pt>
                <c:pt idx="69">
                  <c:v>195969</c:v>
                </c:pt>
                <c:pt idx="70">
                  <c:v>196373</c:v>
                </c:pt>
                <c:pt idx="71">
                  <c:v>198144</c:v>
                </c:pt>
                <c:pt idx="72">
                  <c:v>190074</c:v>
                </c:pt>
                <c:pt idx="73">
                  <c:v>193631</c:v>
                </c:pt>
                <c:pt idx="74">
                  <c:v>192648</c:v>
                </c:pt>
                <c:pt idx="75">
                  <c:v>187768</c:v>
                </c:pt>
                <c:pt idx="76">
                  <c:v>181504</c:v>
                </c:pt>
                <c:pt idx="77">
                  <c:v>177536</c:v>
                </c:pt>
                <c:pt idx="78">
                  <c:v>168886</c:v>
                </c:pt>
                <c:pt idx="79">
                  <c:v>168767</c:v>
                </c:pt>
                <c:pt idx="80">
                  <c:v>168340</c:v>
                </c:pt>
                <c:pt idx="81">
                  <c:v>159208</c:v>
                </c:pt>
                <c:pt idx="82">
                  <c:v>154919</c:v>
                </c:pt>
                <c:pt idx="83">
                  <c:v>150803</c:v>
                </c:pt>
                <c:pt idx="84">
                  <c:v>148944</c:v>
                </c:pt>
                <c:pt idx="85">
                  <c:v>144850</c:v>
                </c:pt>
                <c:pt idx="86">
                  <c:v>151012</c:v>
                </c:pt>
                <c:pt idx="87">
                  <c:v>139510</c:v>
                </c:pt>
                <c:pt idx="88">
                  <c:v>142509</c:v>
                </c:pt>
                <c:pt idx="89">
                  <c:v>139838</c:v>
                </c:pt>
                <c:pt idx="90">
                  <c:v>141792</c:v>
                </c:pt>
                <c:pt idx="91">
                  <c:v>140177</c:v>
                </c:pt>
                <c:pt idx="92">
                  <c:v>139028</c:v>
                </c:pt>
                <c:pt idx="93">
                  <c:v>139982</c:v>
                </c:pt>
                <c:pt idx="94">
                  <c:v>140949</c:v>
                </c:pt>
                <c:pt idx="95">
                  <c:v>138393</c:v>
                </c:pt>
                <c:pt idx="96">
                  <c:v>149633</c:v>
                </c:pt>
                <c:pt idx="97">
                  <c:v>147169</c:v>
                </c:pt>
                <c:pt idx="98">
                  <c:v>144668</c:v>
                </c:pt>
                <c:pt idx="99">
                  <c:v>144152</c:v>
                </c:pt>
                <c:pt idx="100">
                  <c:v>151655</c:v>
                </c:pt>
                <c:pt idx="101">
                  <c:v>155631</c:v>
                </c:pt>
                <c:pt idx="102">
                  <c:v>151657</c:v>
                </c:pt>
                <c:pt idx="103">
                  <c:v>156818</c:v>
                </c:pt>
                <c:pt idx="104">
                  <c:v>154190</c:v>
                </c:pt>
                <c:pt idx="105">
                  <c:v>157063</c:v>
                </c:pt>
                <c:pt idx="106">
                  <c:v>151870</c:v>
                </c:pt>
                <c:pt idx="107">
                  <c:v>149113</c:v>
                </c:pt>
                <c:pt idx="108">
                  <c:v>156585</c:v>
                </c:pt>
                <c:pt idx="109">
                  <c:v>154550</c:v>
                </c:pt>
                <c:pt idx="110">
                  <c:v>157977</c:v>
                </c:pt>
                <c:pt idx="111">
                  <c:v>158654</c:v>
                </c:pt>
                <c:pt idx="112">
                  <c:v>151074</c:v>
                </c:pt>
                <c:pt idx="113">
                  <c:v>151688</c:v>
                </c:pt>
                <c:pt idx="114">
                  <c:v>157032</c:v>
                </c:pt>
                <c:pt idx="115">
                  <c:v>154390</c:v>
                </c:pt>
                <c:pt idx="116">
                  <c:v>163300</c:v>
                </c:pt>
                <c:pt idx="117">
                  <c:v>159803</c:v>
                </c:pt>
                <c:pt idx="118">
                  <c:v>164843</c:v>
                </c:pt>
                <c:pt idx="119">
                  <c:v>164195</c:v>
                </c:pt>
                <c:pt idx="120">
                  <c:v>163070</c:v>
                </c:pt>
                <c:pt idx="121">
                  <c:v>161141</c:v>
                </c:pt>
                <c:pt idx="122">
                  <c:v>162792</c:v>
                </c:pt>
                <c:pt idx="123">
                  <c:v>165354</c:v>
                </c:pt>
                <c:pt idx="124">
                  <c:v>166023</c:v>
                </c:pt>
                <c:pt idx="125">
                  <c:v>173188</c:v>
                </c:pt>
                <c:pt idx="126">
                  <c:v>164555</c:v>
                </c:pt>
                <c:pt idx="127">
                  <c:v>165412</c:v>
                </c:pt>
                <c:pt idx="128">
                  <c:v>163108</c:v>
                </c:pt>
                <c:pt idx="129">
                  <c:v>163124</c:v>
                </c:pt>
                <c:pt idx="130">
                  <c:v>162051</c:v>
                </c:pt>
                <c:pt idx="131">
                  <c:v>163248</c:v>
                </c:pt>
                <c:pt idx="132">
                  <c:v>162178</c:v>
                </c:pt>
                <c:pt idx="133">
                  <c:v>165819</c:v>
                </c:pt>
                <c:pt idx="134">
                  <c:v>165117</c:v>
                </c:pt>
                <c:pt idx="135">
                  <c:v>170705</c:v>
                </c:pt>
                <c:pt idx="136">
                  <c:v>173386</c:v>
                </c:pt>
                <c:pt idx="137">
                  <c:v>177171</c:v>
                </c:pt>
                <c:pt idx="138">
                  <c:v>176487</c:v>
                </c:pt>
                <c:pt idx="139">
                  <c:v>175641</c:v>
                </c:pt>
                <c:pt idx="140">
                  <c:v>175600</c:v>
                </c:pt>
                <c:pt idx="141">
                  <c:v>177164</c:v>
                </c:pt>
                <c:pt idx="142">
                  <c:v>178245</c:v>
                </c:pt>
                <c:pt idx="143">
                  <c:v>174358</c:v>
                </c:pt>
                <c:pt idx="144">
                  <c:v>178061</c:v>
                </c:pt>
                <c:pt idx="145">
                  <c:v>181189</c:v>
                </c:pt>
                <c:pt idx="146">
                  <c:v>190002</c:v>
                </c:pt>
                <c:pt idx="147">
                  <c:v>186563</c:v>
                </c:pt>
                <c:pt idx="148">
                  <c:v>187085</c:v>
                </c:pt>
                <c:pt idx="149">
                  <c:v>182865</c:v>
                </c:pt>
                <c:pt idx="150">
                  <c:v>185166</c:v>
                </c:pt>
                <c:pt idx="151">
                  <c:v>185555</c:v>
                </c:pt>
                <c:pt idx="152">
                  <c:v>179469</c:v>
                </c:pt>
                <c:pt idx="153">
                  <c:v>177199</c:v>
                </c:pt>
                <c:pt idx="154">
                  <c:v>177364</c:v>
                </c:pt>
                <c:pt idx="155">
                  <c:v>178109</c:v>
                </c:pt>
                <c:pt idx="156">
                  <c:v>185070</c:v>
                </c:pt>
                <c:pt idx="157">
                  <c:v>181542</c:v>
                </c:pt>
                <c:pt idx="158">
                  <c:v>172477</c:v>
                </c:pt>
                <c:pt idx="159">
                  <c:v>175220</c:v>
                </c:pt>
                <c:pt idx="160">
                  <c:v>177634</c:v>
                </c:pt>
                <c:pt idx="161">
                  <c:v>172023</c:v>
                </c:pt>
                <c:pt idx="162">
                  <c:v>174679</c:v>
                </c:pt>
                <c:pt idx="163">
                  <c:v>169189</c:v>
                </c:pt>
                <c:pt idx="164">
                  <c:v>169766</c:v>
                </c:pt>
                <c:pt idx="165">
                  <c:v>162350</c:v>
                </c:pt>
                <c:pt idx="166">
                  <c:v>155621</c:v>
                </c:pt>
                <c:pt idx="167">
                  <c:v>164105</c:v>
                </c:pt>
                <c:pt idx="168">
                  <c:v>167697</c:v>
                </c:pt>
                <c:pt idx="169">
                  <c:v>159958</c:v>
                </c:pt>
                <c:pt idx="170">
                  <c:v>117587</c:v>
                </c:pt>
                <c:pt idx="171">
                  <c:v>67337</c:v>
                </c:pt>
                <c:pt idx="172">
                  <c:v>90249</c:v>
                </c:pt>
                <c:pt idx="173">
                  <c:v>119759</c:v>
                </c:pt>
                <c:pt idx="174">
                  <c:v>135231</c:v>
                </c:pt>
                <c:pt idx="175">
                  <c:v>136789</c:v>
                </c:pt>
                <c:pt idx="176">
                  <c:v>151085</c:v>
                </c:pt>
                <c:pt idx="177">
                  <c:v>160219</c:v>
                </c:pt>
                <c:pt idx="178">
                  <c:v>175738</c:v>
                </c:pt>
                <c:pt idx="179">
                  <c:v>185317</c:v>
                </c:pt>
                <c:pt idx="180">
                  <c:v>189161</c:v>
                </c:pt>
                <c:pt idx="181">
                  <c:v>202041</c:v>
                </c:pt>
                <c:pt idx="182">
                  <c:v>227374</c:v>
                </c:pt>
                <c:pt idx="183">
                  <c:v>230322</c:v>
                </c:pt>
                <c:pt idx="184">
                  <c:v>234879</c:v>
                </c:pt>
                <c:pt idx="185">
                  <c:v>231316</c:v>
                </c:pt>
                <c:pt idx="186">
                  <c:v>230998</c:v>
                </c:pt>
                <c:pt idx="187">
                  <c:v>213059</c:v>
                </c:pt>
                <c:pt idx="188">
                  <c:v>235736</c:v>
                </c:pt>
                <c:pt idx="189">
                  <c:v>254623</c:v>
                </c:pt>
                <c:pt idx="190">
                  <c:v>260856</c:v>
                </c:pt>
                <c:pt idx="191">
                  <c:v>258646</c:v>
                </c:pt>
                <c:pt idx="192">
                  <c:v>268223</c:v>
                </c:pt>
                <c:pt idx="193">
                  <c:v>276171</c:v>
                </c:pt>
                <c:pt idx="194">
                  <c:v>282939</c:v>
                </c:pt>
                <c:pt idx="195">
                  <c:v>288476</c:v>
                </c:pt>
                <c:pt idx="196">
                  <c:v>295241</c:v>
                </c:pt>
                <c:pt idx="197">
                  <c:v>304274</c:v>
                </c:pt>
                <c:pt idx="198">
                  <c:v>295627</c:v>
                </c:pt>
                <c:pt idx="199">
                  <c:v>300299</c:v>
                </c:pt>
                <c:pt idx="200">
                  <c:v>282947</c:v>
                </c:pt>
                <c:pt idx="201">
                  <c:v>284378</c:v>
                </c:pt>
                <c:pt idx="202">
                  <c:v>275652</c:v>
                </c:pt>
                <c:pt idx="203">
                  <c:v>275793</c:v>
                </c:pt>
                <c:pt idx="204">
                  <c:v>280953</c:v>
                </c:pt>
                <c:pt idx="205">
                  <c:v>281535</c:v>
                </c:pt>
                <c:pt idx="206">
                  <c:v>281019</c:v>
                </c:pt>
                <c:pt idx="207">
                  <c:v>289791</c:v>
                </c:pt>
                <c:pt idx="208">
                  <c:v>282522</c:v>
                </c:pt>
              </c:numCache>
            </c:numRef>
          </c:val>
          <c:extLst>
            <c:ext xmlns:c16="http://schemas.microsoft.com/office/drawing/2014/chart" uri="{C3380CC4-5D6E-409C-BE32-E72D297353CC}">
              <c16:uniqueId val="{00000000-E7A5-4C87-B328-921F9AE7FFD0}"/>
            </c:ext>
          </c:extLst>
        </c:ser>
        <c:dLbls>
          <c:showLegendKey val="0"/>
          <c:showVal val="0"/>
          <c:showCatName val="0"/>
          <c:showSerName val="0"/>
          <c:showPercent val="0"/>
          <c:showBubbleSize val="0"/>
        </c:dLbls>
        <c:gapWidth val="150"/>
        <c:axId val="192109935"/>
        <c:axId val="192111855"/>
      </c:barChart>
      <c:lineChart>
        <c:grouping val="standard"/>
        <c:varyColors val="0"/>
        <c:ser>
          <c:idx val="0"/>
          <c:order val="0"/>
          <c:tx>
            <c:strRef>
              <c:f>'chart (1)'!$B$1</c:f>
              <c:strCache>
                <c:ptCount val="1"/>
                <c:pt idx="0">
                  <c:v>Seasonally adjusted Unemployment rate %</c:v>
                </c:pt>
              </c:strCache>
            </c:strRef>
          </c:tx>
          <c:spPr>
            <a:ln w="28575" cap="rnd">
              <a:solidFill>
                <a:schemeClr val="accent1"/>
              </a:solidFill>
              <a:round/>
            </a:ln>
            <a:effectLst/>
          </c:spPr>
          <c:marker>
            <c:symbol val="none"/>
          </c:marker>
          <c:cat>
            <c:numRef>
              <c:f>'chart (1)'!$A$2:$A$212</c:f>
              <c:numCache>
                <c:formatCode>mmm\-yy</c:formatCode>
                <c:ptCount val="211"/>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numCache>
            </c:numRef>
          </c:cat>
          <c:val>
            <c:numRef>
              <c:f>'chart (1)'!$B$2:$B$212</c:f>
              <c:numCache>
                <c:formatCode>General</c:formatCode>
                <c:ptCount val="211"/>
                <c:pt idx="0">
                  <c:v>5.2</c:v>
                </c:pt>
                <c:pt idx="1">
                  <c:v>5.0999999999999996</c:v>
                </c:pt>
                <c:pt idx="2">
                  <c:v>4.9000000000000004</c:v>
                </c:pt>
                <c:pt idx="3">
                  <c:v>5</c:v>
                </c:pt>
                <c:pt idx="4">
                  <c:v>4.8</c:v>
                </c:pt>
                <c:pt idx="5">
                  <c:v>4.8</c:v>
                </c:pt>
                <c:pt idx="6">
                  <c:v>4.7</c:v>
                </c:pt>
                <c:pt idx="7">
                  <c:v>4.7</c:v>
                </c:pt>
                <c:pt idx="8">
                  <c:v>4.7</c:v>
                </c:pt>
                <c:pt idx="9">
                  <c:v>4.5</c:v>
                </c:pt>
                <c:pt idx="10">
                  <c:v>4.5</c:v>
                </c:pt>
                <c:pt idx="11">
                  <c:v>4.5999999999999996</c:v>
                </c:pt>
                <c:pt idx="12">
                  <c:v>4.5999999999999996</c:v>
                </c:pt>
                <c:pt idx="13">
                  <c:v>4.5999999999999996</c:v>
                </c:pt>
                <c:pt idx="14">
                  <c:v>4.5</c:v>
                </c:pt>
                <c:pt idx="15">
                  <c:v>4.4000000000000004</c:v>
                </c:pt>
                <c:pt idx="16">
                  <c:v>4.3</c:v>
                </c:pt>
                <c:pt idx="17">
                  <c:v>4.3</c:v>
                </c:pt>
                <c:pt idx="18">
                  <c:v>4.3</c:v>
                </c:pt>
                <c:pt idx="19">
                  <c:v>4.3</c:v>
                </c:pt>
                <c:pt idx="20">
                  <c:v>4.2</c:v>
                </c:pt>
                <c:pt idx="21">
                  <c:v>4.3</c:v>
                </c:pt>
                <c:pt idx="22">
                  <c:v>4.4000000000000004</c:v>
                </c:pt>
                <c:pt idx="23">
                  <c:v>4.3</c:v>
                </c:pt>
                <c:pt idx="24">
                  <c:v>4.2</c:v>
                </c:pt>
                <c:pt idx="25">
                  <c:v>4</c:v>
                </c:pt>
                <c:pt idx="26">
                  <c:v>4.0999999999999996</c:v>
                </c:pt>
                <c:pt idx="27">
                  <c:v>4.3</c:v>
                </c:pt>
                <c:pt idx="28">
                  <c:v>4.3</c:v>
                </c:pt>
                <c:pt idx="29">
                  <c:v>4.2</c:v>
                </c:pt>
                <c:pt idx="30">
                  <c:v>4.2</c:v>
                </c:pt>
                <c:pt idx="31">
                  <c:v>4</c:v>
                </c:pt>
                <c:pt idx="32">
                  <c:v>4.3</c:v>
                </c:pt>
                <c:pt idx="33">
                  <c:v>4.3</c:v>
                </c:pt>
                <c:pt idx="34">
                  <c:v>4.5</c:v>
                </c:pt>
                <c:pt idx="35">
                  <c:v>4.5999999999999996</c:v>
                </c:pt>
                <c:pt idx="36">
                  <c:v>4.9000000000000004</c:v>
                </c:pt>
                <c:pt idx="37">
                  <c:v>5.3</c:v>
                </c:pt>
                <c:pt idx="38">
                  <c:v>5.7</c:v>
                </c:pt>
                <c:pt idx="39">
                  <c:v>5.5</c:v>
                </c:pt>
                <c:pt idx="40">
                  <c:v>5.8</c:v>
                </c:pt>
                <c:pt idx="41">
                  <c:v>5.9</c:v>
                </c:pt>
                <c:pt idx="42">
                  <c:v>5.7</c:v>
                </c:pt>
                <c:pt idx="43">
                  <c:v>5.7</c:v>
                </c:pt>
                <c:pt idx="44">
                  <c:v>5.7</c:v>
                </c:pt>
                <c:pt idx="45">
                  <c:v>5.6</c:v>
                </c:pt>
                <c:pt idx="46">
                  <c:v>5.6</c:v>
                </c:pt>
                <c:pt idx="47">
                  <c:v>5.5</c:v>
                </c:pt>
                <c:pt idx="48">
                  <c:v>5.3</c:v>
                </c:pt>
                <c:pt idx="49">
                  <c:v>5.3</c:v>
                </c:pt>
                <c:pt idx="50">
                  <c:v>5.4</c:v>
                </c:pt>
                <c:pt idx="51">
                  <c:v>5.5</c:v>
                </c:pt>
                <c:pt idx="52">
                  <c:v>5.2</c:v>
                </c:pt>
                <c:pt idx="53">
                  <c:v>5.0999999999999996</c:v>
                </c:pt>
                <c:pt idx="54">
                  <c:v>5.3</c:v>
                </c:pt>
                <c:pt idx="55">
                  <c:v>5</c:v>
                </c:pt>
                <c:pt idx="56">
                  <c:v>5.0999999999999996</c:v>
                </c:pt>
                <c:pt idx="57">
                  <c:v>5.3</c:v>
                </c:pt>
                <c:pt idx="58">
                  <c:v>5.0999999999999996</c:v>
                </c:pt>
                <c:pt idx="59">
                  <c:v>4.9000000000000004</c:v>
                </c:pt>
                <c:pt idx="60">
                  <c:v>5</c:v>
                </c:pt>
                <c:pt idx="61">
                  <c:v>5</c:v>
                </c:pt>
                <c:pt idx="62">
                  <c:v>4.9000000000000004</c:v>
                </c:pt>
                <c:pt idx="63">
                  <c:v>5</c:v>
                </c:pt>
                <c:pt idx="64">
                  <c:v>5</c:v>
                </c:pt>
                <c:pt idx="65">
                  <c:v>4.9000000000000004</c:v>
                </c:pt>
                <c:pt idx="66">
                  <c:v>5.0999999999999996</c:v>
                </c:pt>
                <c:pt idx="67">
                  <c:v>5.3</c:v>
                </c:pt>
                <c:pt idx="68">
                  <c:v>5.2</c:v>
                </c:pt>
                <c:pt idx="69">
                  <c:v>5.2</c:v>
                </c:pt>
                <c:pt idx="70">
                  <c:v>5.2</c:v>
                </c:pt>
                <c:pt idx="71">
                  <c:v>5.2</c:v>
                </c:pt>
                <c:pt idx="72">
                  <c:v>5</c:v>
                </c:pt>
                <c:pt idx="73">
                  <c:v>5.2</c:v>
                </c:pt>
                <c:pt idx="74">
                  <c:v>5.2</c:v>
                </c:pt>
                <c:pt idx="75">
                  <c:v>5</c:v>
                </c:pt>
                <c:pt idx="76">
                  <c:v>5.2</c:v>
                </c:pt>
                <c:pt idx="77">
                  <c:v>5.2</c:v>
                </c:pt>
                <c:pt idx="78">
                  <c:v>5.2</c:v>
                </c:pt>
                <c:pt idx="79">
                  <c:v>5.2</c:v>
                </c:pt>
                <c:pt idx="80">
                  <c:v>5.5</c:v>
                </c:pt>
                <c:pt idx="81">
                  <c:v>5.4</c:v>
                </c:pt>
                <c:pt idx="82">
                  <c:v>5.3</c:v>
                </c:pt>
                <c:pt idx="83">
                  <c:v>5.4</c:v>
                </c:pt>
                <c:pt idx="84">
                  <c:v>5.4</c:v>
                </c:pt>
                <c:pt idx="85">
                  <c:v>5.4</c:v>
                </c:pt>
                <c:pt idx="86">
                  <c:v>5.6</c:v>
                </c:pt>
                <c:pt idx="87">
                  <c:v>5.6</c:v>
                </c:pt>
                <c:pt idx="88">
                  <c:v>5.6</c:v>
                </c:pt>
                <c:pt idx="89">
                  <c:v>5.7</c:v>
                </c:pt>
                <c:pt idx="90">
                  <c:v>5.6</c:v>
                </c:pt>
                <c:pt idx="91">
                  <c:v>5.8</c:v>
                </c:pt>
                <c:pt idx="92">
                  <c:v>5.7</c:v>
                </c:pt>
                <c:pt idx="93">
                  <c:v>5.8</c:v>
                </c:pt>
                <c:pt idx="94">
                  <c:v>5.8</c:v>
                </c:pt>
                <c:pt idx="95">
                  <c:v>5.9</c:v>
                </c:pt>
                <c:pt idx="96">
                  <c:v>5.9</c:v>
                </c:pt>
                <c:pt idx="97">
                  <c:v>5.9</c:v>
                </c:pt>
                <c:pt idx="98">
                  <c:v>5.9</c:v>
                </c:pt>
                <c:pt idx="99">
                  <c:v>5.8</c:v>
                </c:pt>
                <c:pt idx="100">
                  <c:v>5.9</c:v>
                </c:pt>
                <c:pt idx="101">
                  <c:v>6.1</c:v>
                </c:pt>
                <c:pt idx="102">
                  <c:v>6.2</c:v>
                </c:pt>
                <c:pt idx="103">
                  <c:v>6.1</c:v>
                </c:pt>
                <c:pt idx="104">
                  <c:v>6.2</c:v>
                </c:pt>
                <c:pt idx="105">
                  <c:v>6.4</c:v>
                </c:pt>
                <c:pt idx="106">
                  <c:v>6.3</c:v>
                </c:pt>
                <c:pt idx="107">
                  <c:v>6.1</c:v>
                </c:pt>
                <c:pt idx="108">
                  <c:v>6.3</c:v>
                </c:pt>
                <c:pt idx="109">
                  <c:v>6.1</c:v>
                </c:pt>
                <c:pt idx="110">
                  <c:v>6.1</c:v>
                </c:pt>
                <c:pt idx="111">
                  <c:v>6.1</c:v>
                </c:pt>
                <c:pt idx="112">
                  <c:v>5.9</c:v>
                </c:pt>
                <c:pt idx="113">
                  <c:v>6</c:v>
                </c:pt>
                <c:pt idx="114">
                  <c:v>6.3</c:v>
                </c:pt>
                <c:pt idx="115">
                  <c:v>6.1</c:v>
                </c:pt>
                <c:pt idx="116">
                  <c:v>6.2</c:v>
                </c:pt>
                <c:pt idx="117">
                  <c:v>5.9</c:v>
                </c:pt>
                <c:pt idx="118">
                  <c:v>5.9</c:v>
                </c:pt>
                <c:pt idx="119">
                  <c:v>5.7</c:v>
                </c:pt>
                <c:pt idx="120">
                  <c:v>6</c:v>
                </c:pt>
                <c:pt idx="121">
                  <c:v>5.7</c:v>
                </c:pt>
                <c:pt idx="122">
                  <c:v>5.6</c:v>
                </c:pt>
                <c:pt idx="123">
                  <c:v>5.6</c:v>
                </c:pt>
                <c:pt idx="124">
                  <c:v>5.7</c:v>
                </c:pt>
                <c:pt idx="125">
                  <c:v>5.7</c:v>
                </c:pt>
                <c:pt idx="126">
                  <c:v>5.7</c:v>
                </c:pt>
                <c:pt idx="127">
                  <c:v>5.6</c:v>
                </c:pt>
                <c:pt idx="128">
                  <c:v>5.7</c:v>
                </c:pt>
                <c:pt idx="129">
                  <c:v>5.6</c:v>
                </c:pt>
                <c:pt idx="130">
                  <c:v>5.8</c:v>
                </c:pt>
                <c:pt idx="131">
                  <c:v>5.8</c:v>
                </c:pt>
                <c:pt idx="132">
                  <c:v>5.7</c:v>
                </c:pt>
                <c:pt idx="133">
                  <c:v>5.8</c:v>
                </c:pt>
                <c:pt idx="134">
                  <c:v>5.8</c:v>
                </c:pt>
                <c:pt idx="135">
                  <c:v>5.6</c:v>
                </c:pt>
                <c:pt idx="136">
                  <c:v>5.5</c:v>
                </c:pt>
                <c:pt idx="137">
                  <c:v>5.6</c:v>
                </c:pt>
                <c:pt idx="138">
                  <c:v>5.6</c:v>
                </c:pt>
                <c:pt idx="139">
                  <c:v>5.5</c:v>
                </c:pt>
                <c:pt idx="140">
                  <c:v>5.5</c:v>
                </c:pt>
                <c:pt idx="141">
                  <c:v>5.4</c:v>
                </c:pt>
                <c:pt idx="142">
                  <c:v>5.4</c:v>
                </c:pt>
                <c:pt idx="143">
                  <c:v>5.6</c:v>
                </c:pt>
                <c:pt idx="144">
                  <c:v>5.5</c:v>
                </c:pt>
                <c:pt idx="145">
                  <c:v>5.6</c:v>
                </c:pt>
                <c:pt idx="146">
                  <c:v>5.5</c:v>
                </c:pt>
                <c:pt idx="147">
                  <c:v>5.5</c:v>
                </c:pt>
                <c:pt idx="148">
                  <c:v>5.4</c:v>
                </c:pt>
                <c:pt idx="149">
                  <c:v>5.3</c:v>
                </c:pt>
                <c:pt idx="150">
                  <c:v>5.3</c:v>
                </c:pt>
                <c:pt idx="151">
                  <c:v>5.3</c:v>
                </c:pt>
                <c:pt idx="152">
                  <c:v>5</c:v>
                </c:pt>
                <c:pt idx="153">
                  <c:v>5</c:v>
                </c:pt>
                <c:pt idx="154">
                  <c:v>5.0999999999999996</c:v>
                </c:pt>
                <c:pt idx="155">
                  <c:v>5</c:v>
                </c:pt>
                <c:pt idx="156">
                  <c:v>5</c:v>
                </c:pt>
                <c:pt idx="157">
                  <c:v>5</c:v>
                </c:pt>
                <c:pt idx="158">
                  <c:v>5.0999999999999996</c:v>
                </c:pt>
                <c:pt idx="159">
                  <c:v>5.2</c:v>
                </c:pt>
                <c:pt idx="160">
                  <c:v>5.2</c:v>
                </c:pt>
                <c:pt idx="161">
                  <c:v>5.3</c:v>
                </c:pt>
                <c:pt idx="162">
                  <c:v>5.3</c:v>
                </c:pt>
                <c:pt idx="163">
                  <c:v>5.3</c:v>
                </c:pt>
                <c:pt idx="164">
                  <c:v>5.2</c:v>
                </c:pt>
                <c:pt idx="165">
                  <c:v>5.3</c:v>
                </c:pt>
                <c:pt idx="166">
                  <c:v>5.2</c:v>
                </c:pt>
                <c:pt idx="167">
                  <c:v>5.0999999999999996</c:v>
                </c:pt>
                <c:pt idx="168">
                  <c:v>5.3</c:v>
                </c:pt>
                <c:pt idx="169">
                  <c:v>5.0999999999999996</c:v>
                </c:pt>
                <c:pt idx="170">
                  <c:v>5.2</c:v>
                </c:pt>
                <c:pt idx="171">
                  <c:v>6.3</c:v>
                </c:pt>
                <c:pt idx="172">
                  <c:v>7</c:v>
                </c:pt>
                <c:pt idx="173">
                  <c:v>7.4</c:v>
                </c:pt>
                <c:pt idx="174">
                  <c:v>7.6</c:v>
                </c:pt>
                <c:pt idx="175">
                  <c:v>6.8</c:v>
                </c:pt>
                <c:pt idx="176">
                  <c:v>6.9</c:v>
                </c:pt>
                <c:pt idx="177">
                  <c:v>7</c:v>
                </c:pt>
                <c:pt idx="178">
                  <c:v>6.8</c:v>
                </c:pt>
                <c:pt idx="179">
                  <c:v>6.6</c:v>
                </c:pt>
                <c:pt idx="180">
                  <c:v>6.3</c:v>
                </c:pt>
                <c:pt idx="181">
                  <c:v>5.8</c:v>
                </c:pt>
                <c:pt idx="182">
                  <c:v>5.6</c:v>
                </c:pt>
                <c:pt idx="183">
                  <c:v>5.4</c:v>
                </c:pt>
                <c:pt idx="184">
                  <c:v>5.0999999999999996</c:v>
                </c:pt>
                <c:pt idx="185">
                  <c:v>5</c:v>
                </c:pt>
                <c:pt idx="186">
                  <c:v>4.7</c:v>
                </c:pt>
                <c:pt idx="187">
                  <c:v>4.5999999999999996</c:v>
                </c:pt>
                <c:pt idx="188">
                  <c:v>4.7</c:v>
                </c:pt>
                <c:pt idx="189">
                  <c:v>5.3</c:v>
                </c:pt>
                <c:pt idx="190">
                  <c:v>4.5999999999999996</c:v>
                </c:pt>
                <c:pt idx="191">
                  <c:v>4.2</c:v>
                </c:pt>
                <c:pt idx="192">
                  <c:v>4.0999999999999996</c:v>
                </c:pt>
                <c:pt idx="193">
                  <c:v>4</c:v>
                </c:pt>
                <c:pt idx="194">
                  <c:v>3.9</c:v>
                </c:pt>
                <c:pt idx="195">
                  <c:v>3.9</c:v>
                </c:pt>
                <c:pt idx="196">
                  <c:v>3.9</c:v>
                </c:pt>
                <c:pt idx="197">
                  <c:v>3.6</c:v>
                </c:pt>
                <c:pt idx="198">
                  <c:v>3.5</c:v>
                </c:pt>
                <c:pt idx="199">
                  <c:v>3.5</c:v>
                </c:pt>
                <c:pt idx="200">
                  <c:v>3.6</c:v>
                </c:pt>
                <c:pt idx="201">
                  <c:v>3.4</c:v>
                </c:pt>
                <c:pt idx="202">
                  <c:v>3.5</c:v>
                </c:pt>
                <c:pt idx="203">
                  <c:v>3.5</c:v>
                </c:pt>
                <c:pt idx="204">
                  <c:v>3.7</c:v>
                </c:pt>
                <c:pt idx="205">
                  <c:v>3.5</c:v>
                </c:pt>
                <c:pt idx="206">
                  <c:v>3.5</c:v>
                </c:pt>
                <c:pt idx="207">
                  <c:v>3.7</c:v>
                </c:pt>
                <c:pt idx="208">
                  <c:v>3.5</c:v>
                </c:pt>
              </c:numCache>
            </c:numRef>
          </c:val>
          <c:smooth val="0"/>
          <c:extLst>
            <c:ext xmlns:c16="http://schemas.microsoft.com/office/drawing/2014/chart" uri="{C3380CC4-5D6E-409C-BE32-E72D297353CC}">
              <c16:uniqueId val="{00000002-E7A5-4C87-B328-921F9AE7FFD0}"/>
            </c:ext>
          </c:extLst>
        </c:ser>
        <c:dLbls>
          <c:showLegendKey val="0"/>
          <c:showVal val="0"/>
          <c:showCatName val="0"/>
          <c:showSerName val="0"/>
          <c:showPercent val="0"/>
          <c:showBubbleSize val="0"/>
        </c:dLbls>
        <c:marker val="1"/>
        <c:smooth val="0"/>
        <c:axId val="290489087"/>
        <c:axId val="290488607"/>
      </c:lineChart>
      <c:dateAx>
        <c:axId val="19210993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2111855"/>
        <c:crosses val="autoZero"/>
        <c:auto val="1"/>
        <c:lblOffset val="100"/>
        <c:baseTimeUnit val="months"/>
      </c:dateAx>
      <c:valAx>
        <c:axId val="192111855"/>
        <c:scaling>
          <c:orientation val="minMax"/>
          <c:max val="350000"/>
        </c:scaling>
        <c:delete val="0"/>
        <c:axPos val="l"/>
        <c:majorGridlines>
          <c:spPr>
            <a:ln w="9525" cap="flat" cmpd="sng" algn="ctr">
              <a:solidFill>
                <a:schemeClr val="bg1">
                  <a:lumMod val="9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2109935"/>
        <c:crosses val="autoZero"/>
        <c:crossBetween val="between"/>
        <c:majorUnit val="50000"/>
      </c:valAx>
      <c:valAx>
        <c:axId val="290488607"/>
        <c:scaling>
          <c:orientation val="minMax"/>
          <c:max val="8"/>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0489087"/>
        <c:crosses val="max"/>
        <c:crossBetween val="between"/>
      </c:valAx>
      <c:dateAx>
        <c:axId val="290489087"/>
        <c:scaling>
          <c:orientation val="minMax"/>
        </c:scaling>
        <c:delete val="1"/>
        <c:axPos val="b"/>
        <c:numFmt formatCode="mmm\-yy" sourceLinked="1"/>
        <c:majorTickMark val="out"/>
        <c:minorTickMark val="none"/>
        <c:tickLblPos val="nextTo"/>
        <c:crossAx val="290488607"/>
        <c:crosses val="autoZero"/>
        <c:auto val="1"/>
        <c:lblOffset val="100"/>
        <c:baseTimeUnit val="months"/>
        <c:majorUnit val="1"/>
        <c:minorUnit val="1"/>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455988701741076E-2"/>
          <c:y val="3.708385517068926E-2"/>
          <c:w val="0.84416686896376736"/>
          <c:h val="0.65288414396904126"/>
        </c:manualLayout>
      </c:layout>
      <c:lineChart>
        <c:grouping val="standard"/>
        <c:varyColors val="0"/>
        <c:ser>
          <c:idx val="0"/>
          <c:order val="0"/>
          <c:tx>
            <c:strRef>
              <c:f>'Page 5'!$B$7</c:f>
              <c:strCache>
                <c:ptCount val="1"/>
                <c:pt idx="0">
                  <c:v>Fill rate (LHS - %)</c:v>
                </c:pt>
              </c:strCache>
            </c:strRef>
          </c:tx>
          <c:spPr>
            <a:ln w="28575" cap="rnd">
              <a:solidFill>
                <a:srgbClr val="6929C4"/>
              </a:solidFill>
              <a:round/>
            </a:ln>
            <a:effectLst/>
          </c:spPr>
          <c:marker>
            <c:symbol val="none"/>
          </c:marker>
          <c:cat>
            <c:numRef>
              <c:f>'Page 5'!$A$8:$A$20</c:f>
              <c:numCache>
                <c:formatCode>mmm\-yy</c:formatCode>
                <c:ptCount val="13"/>
                <c:pt idx="0">
                  <c:v>44713</c:v>
                </c:pt>
                <c:pt idx="1">
                  <c:v>44743</c:v>
                </c:pt>
                <c:pt idx="2">
                  <c:v>44774</c:v>
                </c:pt>
                <c:pt idx="3">
                  <c:v>44805</c:v>
                </c:pt>
                <c:pt idx="4">
                  <c:v>44835</c:v>
                </c:pt>
                <c:pt idx="5">
                  <c:v>44866</c:v>
                </c:pt>
                <c:pt idx="6">
                  <c:v>44896</c:v>
                </c:pt>
                <c:pt idx="7">
                  <c:v>44927</c:v>
                </c:pt>
                <c:pt idx="8">
                  <c:v>44958</c:v>
                </c:pt>
                <c:pt idx="9">
                  <c:v>44986</c:v>
                </c:pt>
                <c:pt idx="10">
                  <c:v>45017</c:v>
                </c:pt>
                <c:pt idx="11">
                  <c:v>45047</c:v>
                </c:pt>
                <c:pt idx="12">
                  <c:v>45078</c:v>
                </c:pt>
              </c:numCache>
            </c:numRef>
          </c:cat>
          <c:val>
            <c:numRef>
              <c:f>'Page 5'!$B$8:$B$20</c:f>
              <c:numCache>
                <c:formatCode>0%</c:formatCode>
                <c:ptCount val="13"/>
                <c:pt idx="0">
                  <c:v>0.58754512635379064</c:v>
                </c:pt>
                <c:pt idx="1">
                  <c:v>0.5567066521264995</c:v>
                </c:pt>
                <c:pt idx="2">
                  <c:v>0.57410071942446039</c:v>
                </c:pt>
                <c:pt idx="3">
                  <c:v>0.58943089430894313</c:v>
                </c:pt>
                <c:pt idx="4">
                  <c:v>0.58520286396181387</c:v>
                </c:pt>
                <c:pt idx="5">
                  <c:v>0.59262363788767813</c:v>
                </c:pt>
                <c:pt idx="6">
                  <c:v>0.59623430962343094</c:v>
                </c:pt>
                <c:pt idx="7">
                  <c:v>0.60791589363017939</c:v>
                </c:pt>
                <c:pt idx="8">
                  <c:v>0.63425175580767157</c:v>
                </c:pt>
                <c:pt idx="9">
                  <c:v>0.59751037344398339</c:v>
                </c:pt>
                <c:pt idx="10">
                  <c:v>0.57406230133502856</c:v>
                </c:pt>
                <c:pt idx="11">
                  <c:v>0.54192685102586979</c:v>
                </c:pt>
                <c:pt idx="12">
                  <c:v>0.58004640371229699</c:v>
                </c:pt>
              </c:numCache>
            </c:numRef>
          </c:val>
          <c:smooth val="0"/>
          <c:extLst>
            <c:ext xmlns:c16="http://schemas.microsoft.com/office/drawing/2014/chart" uri="{C3380CC4-5D6E-409C-BE32-E72D297353CC}">
              <c16:uniqueId val="{00000000-5134-4ADF-9D4D-DFB843B46D30}"/>
            </c:ext>
          </c:extLst>
        </c:ser>
        <c:ser>
          <c:idx val="1"/>
          <c:order val="1"/>
          <c:tx>
            <c:strRef>
              <c:f>'Page 5'!$C$7</c:f>
              <c:strCache>
                <c:ptCount val="1"/>
                <c:pt idx="0">
                  <c:v>Recruitment difficulty (LHS - %)</c:v>
                </c:pt>
              </c:strCache>
            </c:strRef>
          </c:tx>
          <c:spPr>
            <a:ln w="28575" cap="rnd">
              <a:solidFill>
                <a:srgbClr val="005D5D"/>
              </a:solidFill>
              <a:round/>
            </a:ln>
            <a:effectLst/>
          </c:spPr>
          <c:marker>
            <c:symbol val="none"/>
          </c:marker>
          <c:cat>
            <c:numRef>
              <c:f>'Page 5'!$A$8:$A$20</c:f>
              <c:numCache>
                <c:formatCode>mmm\-yy</c:formatCode>
                <c:ptCount val="13"/>
                <c:pt idx="0">
                  <c:v>44713</c:v>
                </c:pt>
                <c:pt idx="1">
                  <c:v>44743</c:v>
                </c:pt>
                <c:pt idx="2">
                  <c:v>44774</c:v>
                </c:pt>
                <c:pt idx="3">
                  <c:v>44805</c:v>
                </c:pt>
                <c:pt idx="4">
                  <c:v>44835</c:v>
                </c:pt>
                <c:pt idx="5">
                  <c:v>44866</c:v>
                </c:pt>
                <c:pt idx="6">
                  <c:v>44896</c:v>
                </c:pt>
                <c:pt idx="7">
                  <c:v>44927</c:v>
                </c:pt>
                <c:pt idx="8">
                  <c:v>44958</c:v>
                </c:pt>
                <c:pt idx="9">
                  <c:v>44986</c:v>
                </c:pt>
                <c:pt idx="10">
                  <c:v>45017</c:v>
                </c:pt>
                <c:pt idx="11">
                  <c:v>45047</c:v>
                </c:pt>
                <c:pt idx="12">
                  <c:v>45078</c:v>
                </c:pt>
              </c:numCache>
            </c:numRef>
          </c:cat>
          <c:val>
            <c:numRef>
              <c:f>'Page 5'!$C$8:$C$20</c:f>
              <c:numCache>
                <c:formatCode>0%</c:formatCode>
                <c:ptCount val="13"/>
                <c:pt idx="0">
                  <c:v>0.67</c:v>
                </c:pt>
                <c:pt idx="1">
                  <c:v>0.75</c:v>
                </c:pt>
                <c:pt idx="2">
                  <c:v>0.74</c:v>
                </c:pt>
                <c:pt idx="3">
                  <c:v>0.67</c:v>
                </c:pt>
                <c:pt idx="4">
                  <c:v>0.7</c:v>
                </c:pt>
                <c:pt idx="5">
                  <c:v>0.69</c:v>
                </c:pt>
                <c:pt idx="6">
                  <c:v>0.65</c:v>
                </c:pt>
                <c:pt idx="7">
                  <c:v>0.56000000000000005</c:v>
                </c:pt>
                <c:pt idx="8">
                  <c:v>0.61</c:v>
                </c:pt>
                <c:pt idx="9">
                  <c:v>0.64</c:v>
                </c:pt>
                <c:pt idx="10">
                  <c:v>0.62</c:v>
                </c:pt>
                <c:pt idx="11">
                  <c:v>0.67</c:v>
                </c:pt>
                <c:pt idx="12">
                  <c:v>0.63</c:v>
                </c:pt>
              </c:numCache>
            </c:numRef>
          </c:val>
          <c:smooth val="0"/>
          <c:extLst>
            <c:ext xmlns:c16="http://schemas.microsoft.com/office/drawing/2014/chart" uri="{C3380CC4-5D6E-409C-BE32-E72D297353CC}">
              <c16:uniqueId val="{00000001-5134-4ADF-9D4D-DFB843B46D30}"/>
            </c:ext>
          </c:extLst>
        </c:ser>
        <c:dLbls>
          <c:showLegendKey val="0"/>
          <c:showVal val="0"/>
          <c:showCatName val="0"/>
          <c:showSerName val="0"/>
          <c:showPercent val="0"/>
          <c:showBubbleSize val="0"/>
        </c:dLbls>
        <c:marker val="1"/>
        <c:smooth val="0"/>
        <c:axId val="1689611327"/>
        <c:axId val="1689633887"/>
      </c:lineChart>
      <c:lineChart>
        <c:grouping val="standard"/>
        <c:varyColors val="0"/>
        <c:ser>
          <c:idx val="2"/>
          <c:order val="2"/>
          <c:tx>
            <c:strRef>
              <c:f>'Page 5'!$D$7</c:f>
              <c:strCache>
                <c:ptCount val="1"/>
                <c:pt idx="0">
                  <c:v>Seasonally adjusted vacancies (RHS - no.) </c:v>
                </c:pt>
              </c:strCache>
            </c:strRef>
          </c:tx>
          <c:spPr>
            <a:ln w="28575" cap="rnd">
              <a:solidFill>
                <a:srgbClr val="1192E8"/>
              </a:solidFill>
              <a:round/>
            </a:ln>
            <a:effectLst/>
          </c:spPr>
          <c:marker>
            <c:symbol val="none"/>
          </c:marker>
          <c:cat>
            <c:numRef>
              <c:f>'Page 5'!$A$8:$A$20</c:f>
              <c:numCache>
                <c:formatCode>mmm\-yy</c:formatCode>
                <c:ptCount val="13"/>
                <c:pt idx="0">
                  <c:v>44713</c:v>
                </c:pt>
                <c:pt idx="1">
                  <c:v>44743</c:v>
                </c:pt>
                <c:pt idx="2">
                  <c:v>44774</c:v>
                </c:pt>
                <c:pt idx="3">
                  <c:v>44805</c:v>
                </c:pt>
                <c:pt idx="4">
                  <c:v>44835</c:v>
                </c:pt>
                <c:pt idx="5">
                  <c:v>44866</c:v>
                </c:pt>
                <c:pt idx="6">
                  <c:v>44896</c:v>
                </c:pt>
                <c:pt idx="7">
                  <c:v>44927</c:v>
                </c:pt>
                <c:pt idx="8">
                  <c:v>44958</c:v>
                </c:pt>
                <c:pt idx="9">
                  <c:v>44986</c:v>
                </c:pt>
                <c:pt idx="10">
                  <c:v>45017</c:v>
                </c:pt>
                <c:pt idx="11">
                  <c:v>45047</c:v>
                </c:pt>
                <c:pt idx="12">
                  <c:v>45078</c:v>
                </c:pt>
              </c:numCache>
            </c:numRef>
          </c:cat>
          <c:val>
            <c:numRef>
              <c:f>'Page 5'!$D$8:$D$20</c:f>
              <c:numCache>
                <c:formatCode>#,##0</c:formatCode>
                <c:ptCount val="13"/>
                <c:pt idx="0">
                  <c:v>304274</c:v>
                </c:pt>
                <c:pt idx="1">
                  <c:v>295627</c:v>
                </c:pt>
                <c:pt idx="2">
                  <c:v>300299</c:v>
                </c:pt>
                <c:pt idx="3">
                  <c:v>282947</c:v>
                </c:pt>
                <c:pt idx="4">
                  <c:v>284378</c:v>
                </c:pt>
                <c:pt idx="5">
                  <c:v>275652</c:v>
                </c:pt>
                <c:pt idx="6">
                  <c:v>275793</c:v>
                </c:pt>
                <c:pt idx="7">
                  <c:v>280953</c:v>
                </c:pt>
                <c:pt idx="8">
                  <c:v>281535</c:v>
                </c:pt>
                <c:pt idx="9">
                  <c:v>281019</c:v>
                </c:pt>
                <c:pt idx="10">
                  <c:v>289791</c:v>
                </c:pt>
                <c:pt idx="11">
                  <c:v>282522</c:v>
                </c:pt>
                <c:pt idx="12">
                  <c:v>277673</c:v>
                </c:pt>
              </c:numCache>
            </c:numRef>
          </c:val>
          <c:smooth val="0"/>
          <c:extLst>
            <c:ext xmlns:c16="http://schemas.microsoft.com/office/drawing/2014/chart" uri="{C3380CC4-5D6E-409C-BE32-E72D297353CC}">
              <c16:uniqueId val="{00000002-5134-4ADF-9D4D-DFB843B46D30}"/>
            </c:ext>
          </c:extLst>
        </c:ser>
        <c:dLbls>
          <c:showLegendKey val="0"/>
          <c:showVal val="0"/>
          <c:showCatName val="0"/>
          <c:showSerName val="0"/>
          <c:showPercent val="0"/>
          <c:showBubbleSize val="0"/>
        </c:dLbls>
        <c:marker val="1"/>
        <c:smooth val="0"/>
        <c:axId val="1689664127"/>
        <c:axId val="1689652607"/>
      </c:lineChart>
      <c:dateAx>
        <c:axId val="1689611327"/>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89633887"/>
        <c:crosses val="autoZero"/>
        <c:auto val="1"/>
        <c:lblOffset val="100"/>
        <c:baseTimeUnit val="months"/>
      </c:dateAx>
      <c:valAx>
        <c:axId val="1689633887"/>
        <c:scaling>
          <c:orientation val="minMax"/>
          <c:max val="0.8"/>
          <c:min val="0.30000000000000004"/>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89611327"/>
        <c:crosses val="autoZero"/>
        <c:crossBetween val="between"/>
      </c:valAx>
      <c:valAx>
        <c:axId val="1689652607"/>
        <c:scaling>
          <c:orientation val="minMax"/>
          <c:max val="350000"/>
          <c:min val="2500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89664127"/>
        <c:crosses val="max"/>
        <c:crossBetween val="between"/>
      </c:valAx>
      <c:dateAx>
        <c:axId val="1689664127"/>
        <c:scaling>
          <c:orientation val="minMax"/>
        </c:scaling>
        <c:delete val="1"/>
        <c:axPos val="b"/>
        <c:numFmt formatCode="mmm\-yy" sourceLinked="1"/>
        <c:majorTickMark val="out"/>
        <c:minorTickMark val="none"/>
        <c:tickLblPos val="nextTo"/>
        <c:crossAx val="1689652607"/>
        <c:crosses val="autoZero"/>
        <c:auto val="1"/>
        <c:lblOffset val="100"/>
        <c:baseTimeUnit val="months"/>
      </c:dateAx>
      <c:spPr>
        <a:noFill/>
        <a:ln>
          <a:noFill/>
        </a:ln>
        <a:effectLst/>
      </c:spPr>
    </c:plotArea>
    <c:legend>
      <c:legendPos val="b"/>
      <c:layout>
        <c:manualLayout>
          <c:xMode val="edge"/>
          <c:yMode val="edge"/>
          <c:x val="4.9999912762954263E-2"/>
          <c:y val="0.85887174584010151"/>
          <c:w val="0.9"/>
          <c:h val="0.11453840261990296"/>
        </c:manualLayout>
      </c:layout>
      <c:overlay val="1"/>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840135268065561E-2"/>
          <c:y val="0.10650750288866952"/>
          <c:w val="0.79850280372984461"/>
          <c:h val="0.80805032024058221"/>
        </c:manualLayout>
      </c:layout>
      <c:barChart>
        <c:barDir val="col"/>
        <c:grouping val="clustered"/>
        <c:varyColors val="0"/>
        <c:ser>
          <c:idx val="1"/>
          <c:order val="1"/>
          <c:tx>
            <c:strRef>
              <c:f>'Fig X2'!$C$1</c:f>
              <c:strCache>
                <c:ptCount val="1"/>
                <c:pt idx="0">
                  <c:v>Applicants per vacancy (LHS)</c:v>
                </c:pt>
              </c:strCache>
            </c:strRef>
          </c:tx>
          <c:spPr>
            <a:solidFill>
              <a:srgbClr val="005D5D"/>
            </a:solidFill>
            <a:ln>
              <a:noFill/>
            </a:ln>
            <a:effectLst/>
          </c:spPr>
          <c:invertIfNegative val="0"/>
          <c:dLbls>
            <c:dLbl>
              <c:idx val="4"/>
              <c:layout>
                <c:manualLayout>
                  <c:x val="-2.5331030512377749E-2"/>
                  <c:y val="1.5549076773566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C0-4A38-B9C1-2D3D2F1FF635}"/>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X2'!$A$2:$A$6</c:f>
              <c:strCache>
                <c:ptCount val="5"/>
                <c:pt idx="0">
                  <c:v>Q2 2022</c:v>
                </c:pt>
                <c:pt idx="1">
                  <c:v>Q3 2022</c:v>
                </c:pt>
                <c:pt idx="2">
                  <c:v>Q4 2022</c:v>
                </c:pt>
                <c:pt idx="3">
                  <c:v>Q1 2023</c:v>
                </c:pt>
                <c:pt idx="4">
                  <c:v>Q2 2023</c:v>
                </c:pt>
              </c:strCache>
            </c:strRef>
          </c:cat>
          <c:val>
            <c:numRef>
              <c:f>'Fig X2'!$C$2:$C$6</c:f>
              <c:numCache>
                <c:formatCode>0.0</c:formatCode>
                <c:ptCount val="5"/>
                <c:pt idx="0">
                  <c:v>11.9</c:v>
                </c:pt>
                <c:pt idx="1">
                  <c:v>12</c:v>
                </c:pt>
                <c:pt idx="2">
                  <c:v>14.2</c:v>
                </c:pt>
                <c:pt idx="3">
                  <c:v>14.4</c:v>
                </c:pt>
                <c:pt idx="4" formatCode="General">
                  <c:v>15.7</c:v>
                </c:pt>
              </c:numCache>
            </c:numRef>
          </c:val>
          <c:extLst>
            <c:ext xmlns:c16="http://schemas.microsoft.com/office/drawing/2014/chart" uri="{C3380CC4-5D6E-409C-BE32-E72D297353CC}">
              <c16:uniqueId val="{00000000-05C0-4A38-B9C1-2D3D2F1FF635}"/>
            </c:ext>
          </c:extLst>
        </c:ser>
        <c:ser>
          <c:idx val="2"/>
          <c:order val="2"/>
          <c:tx>
            <c:strRef>
              <c:f>'Fig X2'!$D$1</c:f>
              <c:strCache>
                <c:ptCount val="1"/>
                <c:pt idx="0">
                  <c:v>Suitable applicants per vacancy (LHS)</c:v>
                </c:pt>
              </c:strCache>
            </c:strRef>
          </c:tx>
          <c:spPr>
            <a:solidFill>
              <a:srgbClr val="1192E8"/>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 X2'!$A$2:$A$6</c:f>
              <c:strCache>
                <c:ptCount val="5"/>
                <c:pt idx="0">
                  <c:v>Q2 2022</c:v>
                </c:pt>
                <c:pt idx="1">
                  <c:v>Q3 2022</c:v>
                </c:pt>
                <c:pt idx="2">
                  <c:v>Q4 2022</c:v>
                </c:pt>
                <c:pt idx="3">
                  <c:v>Q1 2023</c:v>
                </c:pt>
                <c:pt idx="4">
                  <c:v>Q2 2023</c:v>
                </c:pt>
              </c:strCache>
            </c:strRef>
          </c:cat>
          <c:val>
            <c:numRef>
              <c:f>'Fig X2'!$D$2:$D$6</c:f>
              <c:numCache>
                <c:formatCode>0.0</c:formatCode>
                <c:ptCount val="5"/>
                <c:pt idx="0">
                  <c:v>2</c:v>
                </c:pt>
                <c:pt idx="1">
                  <c:v>2</c:v>
                </c:pt>
                <c:pt idx="2">
                  <c:v>2.5</c:v>
                </c:pt>
                <c:pt idx="3">
                  <c:v>2.4</c:v>
                </c:pt>
                <c:pt idx="4" formatCode="General">
                  <c:v>2.2999999999999998</c:v>
                </c:pt>
              </c:numCache>
            </c:numRef>
          </c:val>
          <c:extLst>
            <c:ext xmlns:c16="http://schemas.microsoft.com/office/drawing/2014/chart" uri="{C3380CC4-5D6E-409C-BE32-E72D297353CC}">
              <c16:uniqueId val="{00000001-05C0-4A38-B9C1-2D3D2F1FF635}"/>
            </c:ext>
          </c:extLst>
        </c:ser>
        <c:dLbls>
          <c:showLegendKey val="0"/>
          <c:showVal val="0"/>
          <c:showCatName val="0"/>
          <c:showSerName val="0"/>
          <c:showPercent val="0"/>
          <c:showBubbleSize val="0"/>
        </c:dLbls>
        <c:gapWidth val="219"/>
        <c:axId val="11811151"/>
        <c:axId val="11816975"/>
      </c:barChart>
      <c:scatterChart>
        <c:scatterStyle val="lineMarker"/>
        <c:varyColors val="0"/>
        <c:ser>
          <c:idx val="0"/>
          <c:order val="0"/>
          <c:tx>
            <c:strRef>
              <c:f>'Fig X2'!$B$1</c:f>
              <c:strCache>
                <c:ptCount val="1"/>
                <c:pt idx="0">
                  <c:v>Proportion of vacancies filled (RHS)</c:v>
                </c:pt>
              </c:strCache>
            </c:strRef>
          </c:tx>
          <c:spPr>
            <a:ln w="25400" cap="rnd">
              <a:noFill/>
              <a:round/>
            </a:ln>
            <a:effectLst/>
          </c:spPr>
          <c:marker>
            <c:symbol val="dash"/>
            <c:size val="17"/>
            <c:spPr>
              <a:solidFill>
                <a:srgbClr val="6929C4"/>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'Fig X2'!$A$2:$A$6</c:f>
              <c:strCache>
                <c:ptCount val="5"/>
                <c:pt idx="0">
                  <c:v>Q2 2022</c:v>
                </c:pt>
                <c:pt idx="1">
                  <c:v>Q3 2022</c:v>
                </c:pt>
                <c:pt idx="2">
                  <c:v>Q4 2022</c:v>
                </c:pt>
                <c:pt idx="3">
                  <c:v>Q1 2023</c:v>
                </c:pt>
                <c:pt idx="4">
                  <c:v>Q2 2023</c:v>
                </c:pt>
              </c:strCache>
            </c:strRef>
          </c:xVal>
          <c:yVal>
            <c:numRef>
              <c:f>'Fig X2'!$B$2:$B$6</c:f>
              <c:numCache>
                <c:formatCode>0%</c:formatCode>
                <c:ptCount val="5"/>
                <c:pt idx="0">
                  <c:v>0.55000000000000004</c:v>
                </c:pt>
                <c:pt idx="1">
                  <c:v>0.56999999999999995</c:v>
                </c:pt>
                <c:pt idx="2">
                  <c:v>0.59</c:v>
                </c:pt>
                <c:pt idx="3">
                  <c:v>0.62</c:v>
                </c:pt>
                <c:pt idx="4">
                  <c:v>0.56000000000000005</c:v>
                </c:pt>
              </c:numCache>
            </c:numRef>
          </c:yVal>
          <c:smooth val="0"/>
          <c:extLst>
            <c:ext xmlns:c16="http://schemas.microsoft.com/office/drawing/2014/chart" uri="{C3380CC4-5D6E-409C-BE32-E72D297353CC}">
              <c16:uniqueId val="{00000002-05C0-4A38-B9C1-2D3D2F1FF635}"/>
            </c:ext>
          </c:extLst>
        </c:ser>
        <c:dLbls>
          <c:showLegendKey val="0"/>
          <c:showVal val="0"/>
          <c:showCatName val="0"/>
          <c:showSerName val="0"/>
          <c:showPercent val="0"/>
          <c:showBubbleSize val="0"/>
        </c:dLbls>
        <c:axId val="11822383"/>
        <c:axId val="11811567"/>
      </c:scatterChart>
      <c:catAx>
        <c:axId val="11811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816975"/>
        <c:crosses val="autoZero"/>
        <c:auto val="1"/>
        <c:lblAlgn val="ctr"/>
        <c:lblOffset val="100"/>
        <c:noMultiLvlLbl val="0"/>
      </c:catAx>
      <c:valAx>
        <c:axId val="11816975"/>
        <c:scaling>
          <c:orientation val="minMax"/>
          <c:max val="25"/>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Applicants (no.)</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811151"/>
        <c:crosses val="autoZero"/>
        <c:crossBetween val="between"/>
        <c:majorUnit val="5"/>
      </c:valAx>
      <c:valAx>
        <c:axId val="11811567"/>
        <c:scaling>
          <c:orientation val="minMax"/>
          <c:max val="0.8"/>
          <c:min val="0"/>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Fill rate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822383"/>
        <c:crosses val="max"/>
        <c:crossBetween val="midCat"/>
        <c:majorUnit val="0.2"/>
      </c:valAx>
      <c:valAx>
        <c:axId val="11822383"/>
        <c:scaling>
          <c:orientation val="minMax"/>
        </c:scaling>
        <c:delete val="1"/>
        <c:axPos val="t"/>
        <c:numFmt formatCode="@" sourceLinked="1"/>
        <c:majorTickMark val="out"/>
        <c:minorTickMark val="none"/>
        <c:tickLblPos val="nextTo"/>
        <c:crossAx val="11811567"/>
        <c:crosses val="max"/>
        <c:crossBetween val="midCat"/>
      </c:valAx>
      <c:spPr>
        <a:noFill/>
        <a:ln>
          <a:noFill/>
        </a:ln>
        <a:effectLst/>
      </c:spPr>
    </c:plotArea>
    <c:legend>
      <c:legendPos val="t"/>
      <c:layout>
        <c:manualLayout>
          <c:xMode val="edge"/>
          <c:yMode val="edge"/>
          <c:x val="9.2393347204656417E-2"/>
          <c:y val="1.9016704544584991E-2"/>
          <c:w val="0.41450196722045812"/>
          <c:h val="0.1860943840673523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6929C4"/>
            </a:solidFill>
            <a:ln>
              <a:noFill/>
            </a:ln>
            <a:effectLst/>
          </c:spPr>
          <c:invertIfNegative val="0"/>
          <c:dLbls>
            <c:delete val="1"/>
          </c:dLbls>
          <c:cat>
            <c:strRef>
              <c:f>'Figure 17'!$C$2:$C$9</c:f>
              <c:strCache>
                <c:ptCount val="8"/>
                <c:pt idx="0">
                  <c:v>Average of other reasons</c:v>
                </c:pt>
                <c:pt idx="1">
                  <c:v>Communication Skills</c:v>
                </c:pt>
                <c:pt idx="2">
                  <c:v>Location</c:v>
                </c:pt>
                <c:pt idx="3">
                  <c:v>Working Rights</c:v>
                </c:pt>
                <c:pt idx="4">
                  <c:v>Quality Application</c:v>
                </c:pt>
                <c:pt idx="5">
                  <c:v>Specific Skills or Experience</c:v>
                </c:pt>
                <c:pt idx="6">
                  <c:v>Qualifications</c:v>
                </c:pt>
                <c:pt idx="7">
                  <c:v>Experience</c:v>
                </c:pt>
              </c:strCache>
            </c:strRef>
          </c:cat>
          <c:val>
            <c:numRef>
              <c:f>'Figure 17'!$B$2:$B$9</c:f>
              <c:numCache>
                <c:formatCode>0%</c:formatCode>
                <c:ptCount val="8"/>
                <c:pt idx="0">
                  <c:v>4.9000000000000002E-2</c:v>
                </c:pt>
                <c:pt idx="1">
                  <c:v>7.4563722897937598E-2</c:v>
                </c:pt>
                <c:pt idx="2">
                  <c:v>0.1145425700687467</c:v>
                </c:pt>
                <c:pt idx="3">
                  <c:v>0.17260708619777895</c:v>
                </c:pt>
                <c:pt idx="4">
                  <c:v>0.27551560021152827</c:v>
                </c:pt>
                <c:pt idx="5">
                  <c:v>0.31517715494447385</c:v>
                </c:pt>
                <c:pt idx="6">
                  <c:v>0.4439978847170809</c:v>
                </c:pt>
                <c:pt idx="7">
                  <c:v>0.60898995240613429</c:v>
                </c:pt>
              </c:numCache>
            </c:numRef>
          </c:val>
          <c:extLst>
            <c:ext xmlns:c16="http://schemas.microsoft.com/office/drawing/2014/chart" uri="{C3380CC4-5D6E-409C-BE32-E72D297353CC}">
              <c16:uniqueId val="{00000000-A9E9-4D62-B648-44B2CB421292}"/>
            </c:ext>
          </c:extLst>
        </c:ser>
        <c:dLbls>
          <c:showLegendKey val="0"/>
          <c:showVal val="1"/>
          <c:showCatName val="0"/>
          <c:showSerName val="0"/>
          <c:showPercent val="0"/>
          <c:showBubbleSize val="0"/>
        </c:dLbls>
        <c:gapWidth val="39"/>
        <c:axId val="1322962751"/>
        <c:axId val="1322963231"/>
      </c:barChart>
      <c:catAx>
        <c:axId val="13229627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2963231"/>
        <c:crosses val="autoZero"/>
        <c:auto val="1"/>
        <c:lblAlgn val="ctr"/>
        <c:lblOffset val="100"/>
        <c:noMultiLvlLbl val="0"/>
      </c:catAx>
      <c:valAx>
        <c:axId val="132296323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(Average) Proportion of Employers Who Identify Sutiability Reason </a:t>
                </a:r>
              </a:p>
            </c:rich>
          </c:tx>
          <c:layout>
            <c:manualLayout>
              <c:xMode val="edge"/>
              <c:yMode val="edge"/>
              <c:x val="0.31735995500562431"/>
              <c:y val="0.9158458384191338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29627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381598641999738"/>
          <c:y val="5.3222157798760467E-2"/>
          <c:w val="0.67807781992863492"/>
          <c:h val="0.86291672049196821"/>
        </c:manualLayout>
      </c:layout>
      <c:barChart>
        <c:barDir val="bar"/>
        <c:grouping val="clustered"/>
        <c:varyColors val="0"/>
        <c:ser>
          <c:idx val="0"/>
          <c:order val="0"/>
          <c:tx>
            <c:strRef>
              <c:f>'Figure 18'!$B$2</c:f>
              <c:strCache>
                <c:ptCount val="1"/>
                <c:pt idx="0">
                  <c:v>Regional</c:v>
                </c:pt>
              </c:strCache>
            </c:strRef>
          </c:tx>
          <c:spPr>
            <a:solidFill>
              <a:srgbClr val="1192E8"/>
            </a:solidFill>
            <a:ln>
              <a:noFill/>
            </a:ln>
            <a:effectLst/>
          </c:spPr>
          <c:invertIfNegative val="0"/>
          <c:cat>
            <c:strRef>
              <c:f>'Figure 18'!$D$3:$D$10</c:f>
              <c:strCache>
                <c:ptCount val="8"/>
                <c:pt idx="0">
                  <c:v>Average of other reasons</c:v>
                </c:pt>
                <c:pt idx="1">
                  <c:v>Communication Skills</c:v>
                </c:pt>
                <c:pt idx="2">
                  <c:v>Location</c:v>
                </c:pt>
                <c:pt idx="3">
                  <c:v>Working Rights</c:v>
                </c:pt>
                <c:pt idx="4">
                  <c:v>Quality Application</c:v>
                </c:pt>
                <c:pt idx="5">
                  <c:v>Specific Skills or Experience</c:v>
                </c:pt>
                <c:pt idx="6">
                  <c:v>Qualifications</c:v>
                </c:pt>
                <c:pt idx="7">
                  <c:v>Experience</c:v>
                </c:pt>
              </c:strCache>
            </c:strRef>
          </c:cat>
          <c:val>
            <c:numRef>
              <c:f>'Figure 18'!$B$3:$B$10</c:f>
              <c:numCache>
                <c:formatCode>0%</c:formatCode>
                <c:ptCount val="8"/>
                <c:pt idx="0">
                  <c:v>4.8000000000000001E-2</c:v>
                </c:pt>
                <c:pt idx="1">
                  <c:v>6.3682678311499277E-2</c:v>
                </c:pt>
                <c:pt idx="2">
                  <c:v>0.1477438136826783</c:v>
                </c:pt>
                <c:pt idx="3">
                  <c:v>0.16957787481804948</c:v>
                </c:pt>
                <c:pt idx="4">
                  <c:v>0.25800582241630277</c:v>
                </c:pt>
                <c:pt idx="5">
                  <c:v>0.27838427947598254</c:v>
                </c:pt>
                <c:pt idx="6">
                  <c:v>0.46251819505094616</c:v>
                </c:pt>
                <c:pt idx="7">
                  <c:v>0.56222707423580787</c:v>
                </c:pt>
              </c:numCache>
            </c:numRef>
          </c:val>
          <c:extLst>
            <c:ext xmlns:c16="http://schemas.microsoft.com/office/drawing/2014/chart" uri="{C3380CC4-5D6E-409C-BE32-E72D297353CC}">
              <c16:uniqueId val="{00000000-1A2A-49E2-9016-45AE48EF5DCA}"/>
            </c:ext>
          </c:extLst>
        </c:ser>
        <c:ser>
          <c:idx val="1"/>
          <c:order val="1"/>
          <c:tx>
            <c:strRef>
              <c:f>'Figure 18'!$C$2</c:f>
              <c:strCache>
                <c:ptCount val="1"/>
                <c:pt idx="0">
                  <c:v>Metro</c:v>
                </c:pt>
              </c:strCache>
            </c:strRef>
          </c:tx>
          <c:spPr>
            <a:solidFill>
              <a:srgbClr val="6929C4"/>
            </a:solidFill>
            <a:ln>
              <a:noFill/>
            </a:ln>
            <a:effectLst/>
          </c:spPr>
          <c:invertIfNegative val="0"/>
          <c:cat>
            <c:strRef>
              <c:f>'Figure 18'!$D$3:$D$10</c:f>
              <c:strCache>
                <c:ptCount val="8"/>
                <c:pt idx="0">
                  <c:v>Average of other reasons</c:v>
                </c:pt>
                <c:pt idx="1">
                  <c:v>Communication Skills</c:v>
                </c:pt>
                <c:pt idx="2">
                  <c:v>Location</c:v>
                </c:pt>
                <c:pt idx="3">
                  <c:v>Working Rights</c:v>
                </c:pt>
                <c:pt idx="4">
                  <c:v>Quality Application</c:v>
                </c:pt>
                <c:pt idx="5">
                  <c:v>Specific Skills or Experience</c:v>
                </c:pt>
                <c:pt idx="6">
                  <c:v>Qualifications</c:v>
                </c:pt>
                <c:pt idx="7">
                  <c:v>Experience</c:v>
                </c:pt>
              </c:strCache>
            </c:strRef>
          </c:cat>
          <c:val>
            <c:numRef>
              <c:f>'Figure 18'!$C$3:$C$10</c:f>
              <c:numCache>
                <c:formatCode>0%</c:formatCode>
                <c:ptCount val="8"/>
                <c:pt idx="0">
                  <c:v>4.9000000000000002E-2</c:v>
                </c:pt>
                <c:pt idx="1">
                  <c:v>7.902191739973162E-2</c:v>
                </c:pt>
                <c:pt idx="2">
                  <c:v>0.1009393171313553</c:v>
                </c:pt>
                <c:pt idx="3">
                  <c:v>0.17384821827940958</c:v>
                </c:pt>
                <c:pt idx="4">
                  <c:v>0.28268972715073803</c:v>
                </c:pt>
                <c:pt idx="5">
                  <c:v>0.33025197554793501</c:v>
                </c:pt>
                <c:pt idx="6">
                  <c:v>0.43640972118681975</c:v>
                </c:pt>
                <c:pt idx="7">
                  <c:v>0.62814969434918744</c:v>
                </c:pt>
              </c:numCache>
            </c:numRef>
          </c:val>
          <c:extLst>
            <c:ext xmlns:c16="http://schemas.microsoft.com/office/drawing/2014/chart" uri="{C3380CC4-5D6E-409C-BE32-E72D297353CC}">
              <c16:uniqueId val="{00000001-1A2A-49E2-9016-45AE48EF5DCA}"/>
            </c:ext>
          </c:extLst>
        </c:ser>
        <c:dLbls>
          <c:showLegendKey val="0"/>
          <c:showVal val="0"/>
          <c:showCatName val="0"/>
          <c:showSerName val="0"/>
          <c:showPercent val="0"/>
          <c:showBubbleSize val="0"/>
        </c:dLbls>
        <c:gapWidth val="71"/>
        <c:axId val="1113643695"/>
        <c:axId val="1113639855"/>
      </c:barChart>
      <c:catAx>
        <c:axId val="11136436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13639855"/>
        <c:crosses val="autoZero"/>
        <c:auto val="1"/>
        <c:lblAlgn val="ctr"/>
        <c:lblOffset val="100"/>
        <c:noMultiLvlLbl val="0"/>
      </c:catAx>
      <c:valAx>
        <c:axId val="1113639855"/>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13643695"/>
        <c:crosses val="autoZero"/>
        <c:crossBetween val="between"/>
      </c:valAx>
      <c:spPr>
        <a:noFill/>
        <a:ln>
          <a:noFill/>
        </a:ln>
        <a:effectLst/>
      </c:spPr>
    </c:plotArea>
    <c:legend>
      <c:legendPos val="t"/>
      <c:layout>
        <c:manualLayout>
          <c:xMode val="edge"/>
          <c:yMode val="edge"/>
          <c:x val="0.69332275511971975"/>
          <c:y val="0.65623477244665296"/>
          <c:w val="0.12842437318877284"/>
          <c:h val="0.1810684147121823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'Annual youth emp &amp; UER'!$F$1</c:f>
              <c:strCache>
                <c:ptCount val="1"/>
                <c:pt idx="0">
                  <c:v>Annual youth employment growth (%) (LHS)</c:v>
                </c:pt>
              </c:strCache>
            </c:strRef>
          </c:tx>
          <c:spPr>
            <a:solidFill>
              <a:schemeClr val="accent1"/>
            </a:solidFill>
            <a:ln>
              <a:noFill/>
            </a:ln>
            <a:effectLst/>
          </c:spPr>
          <c:invertIfNegative val="0"/>
          <c:cat>
            <c:numRef>
              <c:f>'Annual youth emp &amp; UER'!$E$2:$E$242</c:f>
              <c:numCache>
                <c:formatCode>mmm\-yy</c:formatCode>
                <c:ptCount val="241"/>
                <c:pt idx="0">
                  <c:v>37773</c:v>
                </c:pt>
                <c:pt idx="1">
                  <c:v>37803</c:v>
                </c:pt>
                <c:pt idx="2">
                  <c:v>37834</c:v>
                </c:pt>
                <c:pt idx="3">
                  <c:v>37865</c:v>
                </c:pt>
                <c:pt idx="4">
                  <c:v>37895</c:v>
                </c:pt>
                <c:pt idx="5">
                  <c:v>37926</c:v>
                </c:pt>
                <c:pt idx="6">
                  <c:v>37956</c:v>
                </c:pt>
                <c:pt idx="7">
                  <c:v>37987</c:v>
                </c:pt>
                <c:pt idx="8">
                  <c:v>38018</c:v>
                </c:pt>
                <c:pt idx="9">
                  <c:v>38047</c:v>
                </c:pt>
                <c:pt idx="10">
                  <c:v>38078</c:v>
                </c:pt>
                <c:pt idx="11">
                  <c:v>38108</c:v>
                </c:pt>
                <c:pt idx="12">
                  <c:v>38139</c:v>
                </c:pt>
                <c:pt idx="13">
                  <c:v>38169</c:v>
                </c:pt>
                <c:pt idx="14">
                  <c:v>38200</c:v>
                </c:pt>
                <c:pt idx="15">
                  <c:v>38231</c:v>
                </c:pt>
                <c:pt idx="16">
                  <c:v>38261</c:v>
                </c:pt>
                <c:pt idx="17">
                  <c:v>38292</c:v>
                </c:pt>
                <c:pt idx="18">
                  <c:v>38322</c:v>
                </c:pt>
                <c:pt idx="19">
                  <c:v>38353</c:v>
                </c:pt>
                <c:pt idx="20">
                  <c:v>38384</c:v>
                </c:pt>
                <c:pt idx="21">
                  <c:v>38412</c:v>
                </c:pt>
                <c:pt idx="22">
                  <c:v>38443</c:v>
                </c:pt>
                <c:pt idx="23">
                  <c:v>38473</c:v>
                </c:pt>
                <c:pt idx="24">
                  <c:v>38504</c:v>
                </c:pt>
                <c:pt idx="25">
                  <c:v>38534</c:v>
                </c:pt>
                <c:pt idx="26">
                  <c:v>38565</c:v>
                </c:pt>
                <c:pt idx="27">
                  <c:v>38596</c:v>
                </c:pt>
                <c:pt idx="28">
                  <c:v>38626</c:v>
                </c:pt>
                <c:pt idx="29">
                  <c:v>38657</c:v>
                </c:pt>
                <c:pt idx="30">
                  <c:v>38687</c:v>
                </c:pt>
                <c:pt idx="31">
                  <c:v>38718</c:v>
                </c:pt>
                <c:pt idx="32">
                  <c:v>38749</c:v>
                </c:pt>
                <c:pt idx="33">
                  <c:v>38777</c:v>
                </c:pt>
                <c:pt idx="34">
                  <c:v>38808</c:v>
                </c:pt>
                <c:pt idx="35">
                  <c:v>38838</c:v>
                </c:pt>
                <c:pt idx="36">
                  <c:v>38869</c:v>
                </c:pt>
                <c:pt idx="37">
                  <c:v>38899</c:v>
                </c:pt>
                <c:pt idx="38">
                  <c:v>38930</c:v>
                </c:pt>
                <c:pt idx="39">
                  <c:v>38961</c:v>
                </c:pt>
                <c:pt idx="40">
                  <c:v>38991</c:v>
                </c:pt>
                <c:pt idx="41">
                  <c:v>39022</c:v>
                </c:pt>
                <c:pt idx="42">
                  <c:v>39052</c:v>
                </c:pt>
                <c:pt idx="43">
                  <c:v>39083</c:v>
                </c:pt>
                <c:pt idx="44">
                  <c:v>39114</c:v>
                </c:pt>
                <c:pt idx="45">
                  <c:v>39142</c:v>
                </c:pt>
                <c:pt idx="46">
                  <c:v>39173</c:v>
                </c:pt>
                <c:pt idx="47">
                  <c:v>39203</c:v>
                </c:pt>
                <c:pt idx="48">
                  <c:v>39234</c:v>
                </c:pt>
                <c:pt idx="49">
                  <c:v>39264</c:v>
                </c:pt>
                <c:pt idx="50">
                  <c:v>39295</c:v>
                </c:pt>
                <c:pt idx="51">
                  <c:v>39326</c:v>
                </c:pt>
                <c:pt idx="52">
                  <c:v>39356</c:v>
                </c:pt>
                <c:pt idx="53">
                  <c:v>39387</c:v>
                </c:pt>
                <c:pt idx="54">
                  <c:v>39417</c:v>
                </c:pt>
                <c:pt idx="55">
                  <c:v>39448</c:v>
                </c:pt>
                <c:pt idx="56">
                  <c:v>39479</c:v>
                </c:pt>
                <c:pt idx="57">
                  <c:v>39508</c:v>
                </c:pt>
                <c:pt idx="58">
                  <c:v>39539</c:v>
                </c:pt>
                <c:pt idx="59">
                  <c:v>39569</c:v>
                </c:pt>
                <c:pt idx="60">
                  <c:v>39600</c:v>
                </c:pt>
                <c:pt idx="61">
                  <c:v>39630</c:v>
                </c:pt>
                <c:pt idx="62">
                  <c:v>39661</c:v>
                </c:pt>
                <c:pt idx="63">
                  <c:v>39692</c:v>
                </c:pt>
                <c:pt idx="64">
                  <c:v>39722</c:v>
                </c:pt>
                <c:pt idx="65">
                  <c:v>39753</c:v>
                </c:pt>
                <c:pt idx="66">
                  <c:v>39783</c:v>
                </c:pt>
                <c:pt idx="67">
                  <c:v>39814</c:v>
                </c:pt>
                <c:pt idx="68">
                  <c:v>39845</c:v>
                </c:pt>
                <c:pt idx="69">
                  <c:v>39873</c:v>
                </c:pt>
                <c:pt idx="70">
                  <c:v>39904</c:v>
                </c:pt>
                <c:pt idx="71">
                  <c:v>39934</c:v>
                </c:pt>
                <c:pt idx="72">
                  <c:v>39965</c:v>
                </c:pt>
                <c:pt idx="73">
                  <c:v>39995</c:v>
                </c:pt>
                <c:pt idx="74">
                  <c:v>40026</c:v>
                </c:pt>
                <c:pt idx="75">
                  <c:v>40057</c:v>
                </c:pt>
                <c:pt idx="76">
                  <c:v>40087</c:v>
                </c:pt>
                <c:pt idx="77">
                  <c:v>40118</c:v>
                </c:pt>
                <c:pt idx="78">
                  <c:v>40148</c:v>
                </c:pt>
                <c:pt idx="79">
                  <c:v>40179</c:v>
                </c:pt>
                <c:pt idx="80">
                  <c:v>40210</c:v>
                </c:pt>
                <c:pt idx="81">
                  <c:v>40238</c:v>
                </c:pt>
                <c:pt idx="82">
                  <c:v>40269</c:v>
                </c:pt>
                <c:pt idx="83">
                  <c:v>40299</c:v>
                </c:pt>
                <c:pt idx="84">
                  <c:v>40330</c:v>
                </c:pt>
                <c:pt idx="85">
                  <c:v>40360</c:v>
                </c:pt>
                <c:pt idx="86">
                  <c:v>40391</c:v>
                </c:pt>
                <c:pt idx="87">
                  <c:v>40422</c:v>
                </c:pt>
                <c:pt idx="88">
                  <c:v>40452</c:v>
                </c:pt>
                <c:pt idx="89">
                  <c:v>40483</c:v>
                </c:pt>
                <c:pt idx="90">
                  <c:v>40513</c:v>
                </c:pt>
                <c:pt idx="91">
                  <c:v>40544</c:v>
                </c:pt>
                <c:pt idx="92">
                  <c:v>40575</c:v>
                </c:pt>
                <c:pt idx="93">
                  <c:v>40603</c:v>
                </c:pt>
                <c:pt idx="94">
                  <c:v>40634</c:v>
                </c:pt>
                <c:pt idx="95">
                  <c:v>40664</c:v>
                </c:pt>
                <c:pt idx="96">
                  <c:v>40695</c:v>
                </c:pt>
                <c:pt idx="97">
                  <c:v>40725</c:v>
                </c:pt>
                <c:pt idx="98">
                  <c:v>40756</c:v>
                </c:pt>
                <c:pt idx="99">
                  <c:v>40787</c:v>
                </c:pt>
                <c:pt idx="100">
                  <c:v>40817</c:v>
                </c:pt>
                <c:pt idx="101">
                  <c:v>40848</c:v>
                </c:pt>
                <c:pt idx="102">
                  <c:v>40878</c:v>
                </c:pt>
                <c:pt idx="103">
                  <c:v>40909</c:v>
                </c:pt>
                <c:pt idx="104">
                  <c:v>40940</c:v>
                </c:pt>
                <c:pt idx="105">
                  <c:v>40969</c:v>
                </c:pt>
                <c:pt idx="106">
                  <c:v>41000</c:v>
                </c:pt>
                <c:pt idx="107">
                  <c:v>41030</c:v>
                </c:pt>
                <c:pt idx="108">
                  <c:v>41061</c:v>
                </c:pt>
                <c:pt idx="109">
                  <c:v>41091</c:v>
                </c:pt>
                <c:pt idx="110">
                  <c:v>41122</c:v>
                </c:pt>
                <c:pt idx="111">
                  <c:v>41153</c:v>
                </c:pt>
                <c:pt idx="112">
                  <c:v>41183</c:v>
                </c:pt>
                <c:pt idx="113">
                  <c:v>41214</c:v>
                </c:pt>
                <c:pt idx="114">
                  <c:v>41244</c:v>
                </c:pt>
                <c:pt idx="115">
                  <c:v>41275</c:v>
                </c:pt>
                <c:pt idx="116">
                  <c:v>41306</c:v>
                </c:pt>
                <c:pt idx="117">
                  <c:v>41334</c:v>
                </c:pt>
                <c:pt idx="118">
                  <c:v>41365</c:v>
                </c:pt>
                <c:pt idx="119">
                  <c:v>41395</c:v>
                </c:pt>
                <c:pt idx="120">
                  <c:v>41426</c:v>
                </c:pt>
                <c:pt idx="121">
                  <c:v>41456</c:v>
                </c:pt>
                <c:pt idx="122">
                  <c:v>41487</c:v>
                </c:pt>
                <c:pt idx="123">
                  <c:v>41518</c:v>
                </c:pt>
                <c:pt idx="124">
                  <c:v>41548</c:v>
                </c:pt>
                <c:pt idx="125">
                  <c:v>41579</c:v>
                </c:pt>
                <c:pt idx="126">
                  <c:v>41609</c:v>
                </c:pt>
                <c:pt idx="127">
                  <c:v>41640</c:v>
                </c:pt>
                <c:pt idx="128">
                  <c:v>41671</c:v>
                </c:pt>
                <c:pt idx="129">
                  <c:v>41699</c:v>
                </c:pt>
                <c:pt idx="130">
                  <c:v>41730</c:v>
                </c:pt>
                <c:pt idx="131">
                  <c:v>41760</c:v>
                </c:pt>
                <c:pt idx="132">
                  <c:v>41791</c:v>
                </c:pt>
                <c:pt idx="133">
                  <c:v>41821</c:v>
                </c:pt>
                <c:pt idx="134">
                  <c:v>41852</c:v>
                </c:pt>
                <c:pt idx="135">
                  <c:v>41883</c:v>
                </c:pt>
                <c:pt idx="136">
                  <c:v>41913</c:v>
                </c:pt>
                <c:pt idx="137">
                  <c:v>41944</c:v>
                </c:pt>
                <c:pt idx="138">
                  <c:v>41974</c:v>
                </c:pt>
                <c:pt idx="139">
                  <c:v>42005</c:v>
                </c:pt>
                <c:pt idx="140">
                  <c:v>42036</c:v>
                </c:pt>
                <c:pt idx="141">
                  <c:v>42064</c:v>
                </c:pt>
                <c:pt idx="142">
                  <c:v>42095</c:v>
                </c:pt>
                <c:pt idx="143">
                  <c:v>42125</c:v>
                </c:pt>
                <c:pt idx="144">
                  <c:v>42156</c:v>
                </c:pt>
                <c:pt idx="145">
                  <c:v>42186</c:v>
                </c:pt>
                <c:pt idx="146">
                  <c:v>42217</c:v>
                </c:pt>
                <c:pt idx="147">
                  <c:v>42248</c:v>
                </c:pt>
                <c:pt idx="148">
                  <c:v>42278</c:v>
                </c:pt>
                <c:pt idx="149">
                  <c:v>42309</c:v>
                </c:pt>
                <c:pt idx="150">
                  <c:v>42339</c:v>
                </c:pt>
                <c:pt idx="151">
                  <c:v>42370</c:v>
                </c:pt>
                <c:pt idx="152">
                  <c:v>42401</c:v>
                </c:pt>
                <c:pt idx="153">
                  <c:v>42430</c:v>
                </c:pt>
                <c:pt idx="154">
                  <c:v>42461</c:v>
                </c:pt>
                <c:pt idx="155">
                  <c:v>42491</c:v>
                </c:pt>
                <c:pt idx="156">
                  <c:v>42522</c:v>
                </c:pt>
                <c:pt idx="157">
                  <c:v>42552</c:v>
                </c:pt>
                <c:pt idx="158">
                  <c:v>42583</c:v>
                </c:pt>
                <c:pt idx="159">
                  <c:v>42614</c:v>
                </c:pt>
                <c:pt idx="160">
                  <c:v>42644</c:v>
                </c:pt>
                <c:pt idx="161">
                  <c:v>42675</c:v>
                </c:pt>
                <c:pt idx="162">
                  <c:v>42705</c:v>
                </c:pt>
                <c:pt idx="163">
                  <c:v>42736</c:v>
                </c:pt>
                <c:pt idx="164">
                  <c:v>42767</c:v>
                </c:pt>
                <c:pt idx="165">
                  <c:v>42795</c:v>
                </c:pt>
                <c:pt idx="166">
                  <c:v>42826</c:v>
                </c:pt>
                <c:pt idx="167">
                  <c:v>42856</c:v>
                </c:pt>
                <c:pt idx="168">
                  <c:v>42887</c:v>
                </c:pt>
                <c:pt idx="169">
                  <c:v>42917</c:v>
                </c:pt>
                <c:pt idx="170">
                  <c:v>42948</c:v>
                </c:pt>
                <c:pt idx="171">
                  <c:v>42979</c:v>
                </c:pt>
                <c:pt idx="172">
                  <c:v>43009</c:v>
                </c:pt>
                <c:pt idx="173">
                  <c:v>43040</c:v>
                </c:pt>
                <c:pt idx="174">
                  <c:v>43070</c:v>
                </c:pt>
                <c:pt idx="175">
                  <c:v>43101</c:v>
                </c:pt>
                <c:pt idx="176">
                  <c:v>43132</c:v>
                </c:pt>
                <c:pt idx="177">
                  <c:v>43160</c:v>
                </c:pt>
                <c:pt idx="178">
                  <c:v>43191</c:v>
                </c:pt>
                <c:pt idx="179">
                  <c:v>43221</c:v>
                </c:pt>
                <c:pt idx="180">
                  <c:v>43252</c:v>
                </c:pt>
                <c:pt idx="181">
                  <c:v>43282</c:v>
                </c:pt>
                <c:pt idx="182">
                  <c:v>43313</c:v>
                </c:pt>
                <c:pt idx="183">
                  <c:v>43344</c:v>
                </c:pt>
                <c:pt idx="184">
                  <c:v>43374</c:v>
                </c:pt>
                <c:pt idx="185">
                  <c:v>43405</c:v>
                </c:pt>
                <c:pt idx="186">
                  <c:v>43435</c:v>
                </c:pt>
                <c:pt idx="187">
                  <c:v>43466</c:v>
                </c:pt>
                <c:pt idx="188">
                  <c:v>43497</c:v>
                </c:pt>
                <c:pt idx="189">
                  <c:v>43525</c:v>
                </c:pt>
                <c:pt idx="190">
                  <c:v>43556</c:v>
                </c:pt>
                <c:pt idx="191">
                  <c:v>43586</c:v>
                </c:pt>
                <c:pt idx="192">
                  <c:v>43617</c:v>
                </c:pt>
                <c:pt idx="193">
                  <c:v>43647</c:v>
                </c:pt>
                <c:pt idx="194">
                  <c:v>43678</c:v>
                </c:pt>
                <c:pt idx="195">
                  <c:v>43709</c:v>
                </c:pt>
                <c:pt idx="196">
                  <c:v>43739</c:v>
                </c:pt>
                <c:pt idx="197">
                  <c:v>43770</c:v>
                </c:pt>
                <c:pt idx="198">
                  <c:v>43800</c:v>
                </c:pt>
                <c:pt idx="199">
                  <c:v>43831</c:v>
                </c:pt>
                <c:pt idx="200">
                  <c:v>43862</c:v>
                </c:pt>
                <c:pt idx="201">
                  <c:v>43891</c:v>
                </c:pt>
                <c:pt idx="202">
                  <c:v>43922</c:v>
                </c:pt>
                <c:pt idx="203">
                  <c:v>43952</c:v>
                </c:pt>
                <c:pt idx="204">
                  <c:v>43983</c:v>
                </c:pt>
                <c:pt idx="205">
                  <c:v>44013</c:v>
                </c:pt>
                <c:pt idx="206">
                  <c:v>44044</c:v>
                </c:pt>
                <c:pt idx="207">
                  <c:v>44075</c:v>
                </c:pt>
                <c:pt idx="208">
                  <c:v>44105</c:v>
                </c:pt>
                <c:pt idx="209">
                  <c:v>44136</c:v>
                </c:pt>
                <c:pt idx="210">
                  <c:v>44166</c:v>
                </c:pt>
                <c:pt idx="211">
                  <c:v>44197</c:v>
                </c:pt>
                <c:pt idx="212">
                  <c:v>44228</c:v>
                </c:pt>
                <c:pt idx="213">
                  <c:v>44256</c:v>
                </c:pt>
                <c:pt idx="214">
                  <c:v>44287</c:v>
                </c:pt>
                <c:pt idx="215">
                  <c:v>44317</c:v>
                </c:pt>
                <c:pt idx="216">
                  <c:v>44348</c:v>
                </c:pt>
                <c:pt idx="217">
                  <c:v>44378</c:v>
                </c:pt>
                <c:pt idx="218">
                  <c:v>44409</c:v>
                </c:pt>
                <c:pt idx="219">
                  <c:v>44440</c:v>
                </c:pt>
                <c:pt idx="220">
                  <c:v>44470</c:v>
                </c:pt>
                <c:pt idx="221">
                  <c:v>44501</c:v>
                </c:pt>
                <c:pt idx="222">
                  <c:v>44531</c:v>
                </c:pt>
                <c:pt idx="223">
                  <c:v>44562</c:v>
                </c:pt>
                <c:pt idx="224">
                  <c:v>44593</c:v>
                </c:pt>
                <c:pt idx="225">
                  <c:v>44621</c:v>
                </c:pt>
                <c:pt idx="226">
                  <c:v>44652</c:v>
                </c:pt>
                <c:pt idx="227">
                  <c:v>44682</c:v>
                </c:pt>
                <c:pt idx="228">
                  <c:v>44713</c:v>
                </c:pt>
                <c:pt idx="229">
                  <c:v>44743</c:v>
                </c:pt>
                <c:pt idx="230">
                  <c:v>44774</c:v>
                </c:pt>
                <c:pt idx="231">
                  <c:v>44805</c:v>
                </c:pt>
                <c:pt idx="232">
                  <c:v>44835</c:v>
                </c:pt>
                <c:pt idx="233">
                  <c:v>44866</c:v>
                </c:pt>
                <c:pt idx="234">
                  <c:v>44896</c:v>
                </c:pt>
                <c:pt idx="235">
                  <c:v>44927</c:v>
                </c:pt>
                <c:pt idx="236">
                  <c:v>44958</c:v>
                </c:pt>
                <c:pt idx="237">
                  <c:v>44986</c:v>
                </c:pt>
                <c:pt idx="238">
                  <c:v>45017</c:v>
                </c:pt>
                <c:pt idx="239">
                  <c:v>45047</c:v>
                </c:pt>
                <c:pt idx="240">
                  <c:v>45078</c:v>
                </c:pt>
              </c:numCache>
            </c:numRef>
          </c:cat>
          <c:val>
            <c:numRef>
              <c:f>'Annual youth emp &amp; UER'!$F$2:$F$242</c:f>
              <c:numCache>
                <c:formatCode>0.0</c:formatCode>
                <c:ptCount val="241"/>
                <c:pt idx="0">
                  <c:v>2.700125766550185</c:v>
                </c:pt>
                <c:pt idx="1">
                  <c:v>2.1907704518448008</c:v>
                </c:pt>
                <c:pt idx="2">
                  <c:v>2.5859975076023516</c:v>
                </c:pt>
                <c:pt idx="3">
                  <c:v>1.848155012526528</c:v>
                </c:pt>
                <c:pt idx="4">
                  <c:v>3.2827183916703362</c:v>
                </c:pt>
                <c:pt idx="5">
                  <c:v>3.169213692387419</c:v>
                </c:pt>
                <c:pt idx="6">
                  <c:v>2.8343890232255307</c:v>
                </c:pt>
                <c:pt idx="7">
                  <c:v>1.4431711965456262</c:v>
                </c:pt>
                <c:pt idx="8">
                  <c:v>1.8985843719450366</c:v>
                </c:pt>
                <c:pt idx="9">
                  <c:v>3.0727528852794315</c:v>
                </c:pt>
                <c:pt idx="10">
                  <c:v>4.17036446233136</c:v>
                </c:pt>
                <c:pt idx="11">
                  <c:v>2.9397216163427391</c:v>
                </c:pt>
                <c:pt idx="12">
                  <c:v>2.6841595529361024</c:v>
                </c:pt>
                <c:pt idx="13">
                  <c:v>2.6963511326254572</c:v>
                </c:pt>
                <c:pt idx="14">
                  <c:v>-0.18505746808070558</c:v>
                </c:pt>
                <c:pt idx="15">
                  <c:v>1.8509664243102464</c:v>
                </c:pt>
                <c:pt idx="16">
                  <c:v>0.79599032648110368</c:v>
                </c:pt>
                <c:pt idx="17">
                  <c:v>1.4492857759343325</c:v>
                </c:pt>
                <c:pt idx="18">
                  <c:v>2.1279222919121334</c:v>
                </c:pt>
                <c:pt idx="19">
                  <c:v>2.6364079438545089</c:v>
                </c:pt>
                <c:pt idx="20">
                  <c:v>2.9292339758974473</c:v>
                </c:pt>
                <c:pt idx="21">
                  <c:v>3.2581881060469664</c:v>
                </c:pt>
                <c:pt idx="22">
                  <c:v>2.741501827192713</c:v>
                </c:pt>
                <c:pt idx="23">
                  <c:v>3.5416518551453722</c:v>
                </c:pt>
                <c:pt idx="24">
                  <c:v>4.5964421071555144</c:v>
                </c:pt>
                <c:pt idx="25">
                  <c:v>3.8632581670320749</c:v>
                </c:pt>
                <c:pt idx="26">
                  <c:v>6.7653987048176045</c:v>
                </c:pt>
                <c:pt idx="27">
                  <c:v>3.7508688284259533</c:v>
                </c:pt>
                <c:pt idx="28">
                  <c:v>2.7975356181436846</c:v>
                </c:pt>
                <c:pt idx="29">
                  <c:v>3.598007145990481</c:v>
                </c:pt>
                <c:pt idx="30">
                  <c:v>1.4677644928727165</c:v>
                </c:pt>
                <c:pt idx="31">
                  <c:v>2.0988729237440369</c:v>
                </c:pt>
                <c:pt idx="32">
                  <c:v>1.7275236617878553</c:v>
                </c:pt>
                <c:pt idx="33">
                  <c:v>2.0436691799128295</c:v>
                </c:pt>
                <c:pt idx="34">
                  <c:v>1.1689147729134393</c:v>
                </c:pt>
                <c:pt idx="35">
                  <c:v>1.1208647763839248</c:v>
                </c:pt>
                <c:pt idx="36">
                  <c:v>2.4198936615692226</c:v>
                </c:pt>
                <c:pt idx="37">
                  <c:v>2.9549118978265079</c:v>
                </c:pt>
                <c:pt idx="38">
                  <c:v>2.3618365355363853</c:v>
                </c:pt>
                <c:pt idx="39">
                  <c:v>3.1686385118833522</c:v>
                </c:pt>
                <c:pt idx="40">
                  <c:v>4.0587664777268309</c:v>
                </c:pt>
                <c:pt idx="41">
                  <c:v>2.0623692688938489</c:v>
                </c:pt>
                <c:pt idx="42">
                  <c:v>3.9535927988772799</c:v>
                </c:pt>
                <c:pt idx="43">
                  <c:v>3.1566425467528214</c:v>
                </c:pt>
                <c:pt idx="44">
                  <c:v>3.0926557043806793</c:v>
                </c:pt>
                <c:pt idx="45">
                  <c:v>2.8958440928340314</c:v>
                </c:pt>
                <c:pt idx="46">
                  <c:v>4.381459423611636</c:v>
                </c:pt>
                <c:pt idx="47">
                  <c:v>4.3134971633444135</c:v>
                </c:pt>
                <c:pt idx="48">
                  <c:v>1.6828825869780881</c:v>
                </c:pt>
                <c:pt idx="49">
                  <c:v>2.0482135607329632</c:v>
                </c:pt>
                <c:pt idx="50">
                  <c:v>1.9297311067426424</c:v>
                </c:pt>
                <c:pt idx="51">
                  <c:v>2.1126350355166315</c:v>
                </c:pt>
                <c:pt idx="52">
                  <c:v>2.5202219036388849</c:v>
                </c:pt>
                <c:pt idx="53">
                  <c:v>2.8504024126597707</c:v>
                </c:pt>
                <c:pt idx="54">
                  <c:v>3.0753835135135748</c:v>
                </c:pt>
                <c:pt idx="55">
                  <c:v>4.4810210418970762</c:v>
                </c:pt>
                <c:pt idx="56">
                  <c:v>4.5779847821384374</c:v>
                </c:pt>
                <c:pt idx="57">
                  <c:v>3.8498730869752187</c:v>
                </c:pt>
                <c:pt idx="58">
                  <c:v>3.5391828353223298</c:v>
                </c:pt>
                <c:pt idx="59">
                  <c:v>2.2243976962886571</c:v>
                </c:pt>
                <c:pt idx="60">
                  <c:v>4.1686261581916542</c:v>
                </c:pt>
                <c:pt idx="61">
                  <c:v>3.7103022613950389</c:v>
                </c:pt>
                <c:pt idx="62">
                  <c:v>3.8459984625392805</c:v>
                </c:pt>
                <c:pt idx="63">
                  <c:v>3.0200434907383356</c:v>
                </c:pt>
                <c:pt idx="64">
                  <c:v>2.4710033422281974</c:v>
                </c:pt>
                <c:pt idx="65">
                  <c:v>0.76658803941689013</c:v>
                </c:pt>
                <c:pt idx="66">
                  <c:v>-0.11812480623482095</c:v>
                </c:pt>
                <c:pt idx="67">
                  <c:v>-2.6865608168238437</c:v>
                </c:pt>
                <c:pt idx="68">
                  <c:v>-2.4364936979267</c:v>
                </c:pt>
                <c:pt idx="69">
                  <c:v>-2.3283766250093185</c:v>
                </c:pt>
                <c:pt idx="70">
                  <c:v>-3.4348148813610422</c:v>
                </c:pt>
                <c:pt idx="71">
                  <c:v>-3.7545010713933209</c:v>
                </c:pt>
                <c:pt idx="72">
                  <c:v>-4.7752258196455832</c:v>
                </c:pt>
                <c:pt idx="73">
                  <c:v>-4.5132266609637037</c:v>
                </c:pt>
                <c:pt idx="74">
                  <c:v>-4.8076058811389233</c:v>
                </c:pt>
                <c:pt idx="75">
                  <c:v>-3.6253640507106937</c:v>
                </c:pt>
                <c:pt idx="76">
                  <c:v>-2.869598588256066</c:v>
                </c:pt>
                <c:pt idx="77">
                  <c:v>-1.1572163580036769</c:v>
                </c:pt>
                <c:pt idx="78">
                  <c:v>-1.09742540078526</c:v>
                </c:pt>
                <c:pt idx="79">
                  <c:v>-0.45624481246475346</c:v>
                </c:pt>
                <c:pt idx="80">
                  <c:v>-0.88208511276074364</c:v>
                </c:pt>
                <c:pt idx="81">
                  <c:v>-0.70332222479414008</c:v>
                </c:pt>
                <c:pt idx="82">
                  <c:v>-0.56336338495151139</c:v>
                </c:pt>
                <c:pt idx="83">
                  <c:v>0.24336169760425316</c:v>
                </c:pt>
                <c:pt idx="84">
                  <c:v>0.40241586811314134</c:v>
                </c:pt>
                <c:pt idx="85">
                  <c:v>0.4758257088397097</c:v>
                </c:pt>
                <c:pt idx="86">
                  <c:v>-0.31545327145830682</c:v>
                </c:pt>
                <c:pt idx="87">
                  <c:v>-0.68910987098094822</c:v>
                </c:pt>
                <c:pt idx="88">
                  <c:v>-0.86378243839721169</c:v>
                </c:pt>
                <c:pt idx="89">
                  <c:v>-0.99673076455772647</c:v>
                </c:pt>
                <c:pt idx="90">
                  <c:v>-0.27577073929716323</c:v>
                </c:pt>
                <c:pt idx="91">
                  <c:v>-0.2495065467720661</c:v>
                </c:pt>
                <c:pt idx="92">
                  <c:v>6.5631368465223022E-2</c:v>
                </c:pt>
                <c:pt idx="93">
                  <c:v>-0.25934283936291946</c:v>
                </c:pt>
                <c:pt idx="94">
                  <c:v>-0.7584222949355407</c:v>
                </c:pt>
                <c:pt idx="95">
                  <c:v>0.34584487908854444</c:v>
                </c:pt>
                <c:pt idx="96">
                  <c:v>-0.16285775810776426</c:v>
                </c:pt>
                <c:pt idx="97">
                  <c:v>-0.43097116836544341</c:v>
                </c:pt>
                <c:pt idx="98">
                  <c:v>1.2704656517906325</c:v>
                </c:pt>
                <c:pt idx="99">
                  <c:v>1.7377950049336812</c:v>
                </c:pt>
                <c:pt idx="100">
                  <c:v>1.0131413601374457</c:v>
                </c:pt>
                <c:pt idx="101">
                  <c:v>-0.67452511019216776</c:v>
                </c:pt>
                <c:pt idx="102">
                  <c:v>-2.628253520623979</c:v>
                </c:pt>
                <c:pt idx="103">
                  <c:v>-0.44974648537014961</c:v>
                </c:pt>
                <c:pt idx="104">
                  <c:v>-0.84601319852644608</c:v>
                </c:pt>
                <c:pt idx="105">
                  <c:v>-0.81217712548169763</c:v>
                </c:pt>
                <c:pt idx="106">
                  <c:v>0.30536942516929289</c:v>
                </c:pt>
                <c:pt idx="107">
                  <c:v>0.46372010690453813</c:v>
                </c:pt>
                <c:pt idx="108">
                  <c:v>0.38562849054495574</c:v>
                </c:pt>
                <c:pt idx="109">
                  <c:v>-1.1039475847394495</c:v>
                </c:pt>
                <c:pt idx="110">
                  <c:v>-1.3997190437731293</c:v>
                </c:pt>
                <c:pt idx="111">
                  <c:v>-1.5286851735690343</c:v>
                </c:pt>
                <c:pt idx="112">
                  <c:v>-1.6958844639345692</c:v>
                </c:pt>
                <c:pt idx="113">
                  <c:v>-5.1065920686242328E-2</c:v>
                </c:pt>
                <c:pt idx="114">
                  <c:v>1.4057963807883274</c:v>
                </c:pt>
                <c:pt idx="115">
                  <c:v>-2.5007826007499349E-2</c:v>
                </c:pt>
                <c:pt idx="116">
                  <c:v>-1.000326776499586</c:v>
                </c:pt>
                <c:pt idx="117">
                  <c:v>-1.0215501540145042</c:v>
                </c:pt>
                <c:pt idx="118">
                  <c:v>-0.27243870554683103</c:v>
                </c:pt>
                <c:pt idx="119">
                  <c:v>-0.8883587275924294</c:v>
                </c:pt>
                <c:pt idx="120">
                  <c:v>-0.97101107370986417</c:v>
                </c:pt>
                <c:pt idx="121">
                  <c:v>1.0624734050138762</c:v>
                </c:pt>
                <c:pt idx="122">
                  <c:v>-0.39395354407097177</c:v>
                </c:pt>
                <c:pt idx="123">
                  <c:v>-1.1831221925464932</c:v>
                </c:pt>
                <c:pt idx="124">
                  <c:v>-0.91487678611646472</c:v>
                </c:pt>
                <c:pt idx="125">
                  <c:v>-1.1998399410419538</c:v>
                </c:pt>
                <c:pt idx="126">
                  <c:v>-2.6770030913927618</c:v>
                </c:pt>
                <c:pt idx="127">
                  <c:v>-1.9585887962472932</c:v>
                </c:pt>
                <c:pt idx="128">
                  <c:v>-1.8851578593723355</c:v>
                </c:pt>
                <c:pt idx="129">
                  <c:v>-0.28180732791802932</c:v>
                </c:pt>
                <c:pt idx="130">
                  <c:v>-1.8979439829603504</c:v>
                </c:pt>
                <c:pt idx="131">
                  <c:v>-2.4749329713566524</c:v>
                </c:pt>
                <c:pt idx="132">
                  <c:v>-1.4302111708195728</c:v>
                </c:pt>
                <c:pt idx="133">
                  <c:v>-2.2896827657588594</c:v>
                </c:pt>
                <c:pt idx="134">
                  <c:v>-0.83494256423433244</c:v>
                </c:pt>
                <c:pt idx="135">
                  <c:v>-1.0703484335208562</c:v>
                </c:pt>
                <c:pt idx="136">
                  <c:v>-0.90700466431483362</c:v>
                </c:pt>
                <c:pt idx="137">
                  <c:v>0.44071819042930671</c:v>
                </c:pt>
                <c:pt idx="138">
                  <c:v>2.0365091979055534</c:v>
                </c:pt>
                <c:pt idx="139">
                  <c:v>-0.83913748464574445</c:v>
                </c:pt>
                <c:pt idx="140">
                  <c:v>2.1843231960716318</c:v>
                </c:pt>
                <c:pt idx="141">
                  <c:v>0.58135022428454208</c:v>
                </c:pt>
                <c:pt idx="142">
                  <c:v>1.3762154762729155</c:v>
                </c:pt>
                <c:pt idx="143">
                  <c:v>1.9147943911244463</c:v>
                </c:pt>
                <c:pt idx="144">
                  <c:v>1.8397421239613905</c:v>
                </c:pt>
                <c:pt idx="145">
                  <c:v>2.45675637587025</c:v>
                </c:pt>
                <c:pt idx="146">
                  <c:v>0.83467929971052846</c:v>
                </c:pt>
                <c:pt idx="147">
                  <c:v>2.3534704615439415</c:v>
                </c:pt>
                <c:pt idx="148">
                  <c:v>3.5708177002654931</c:v>
                </c:pt>
                <c:pt idx="149">
                  <c:v>2.9664078205757072</c:v>
                </c:pt>
                <c:pt idx="150">
                  <c:v>2.6598570836872124</c:v>
                </c:pt>
                <c:pt idx="151">
                  <c:v>2.4220524406066266</c:v>
                </c:pt>
                <c:pt idx="152">
                  <c:v>2.3587683339030328</c:v>
                </c:pt>
                <c:pt idx="153">
                  <c:v>1.961448646497391</c:v>
                </c:pt>
                <c:pt idx="154">
                  <c:v>1.8386945133607211</c:v>
                </c:pt>
                <c:pt idx="155">
                  <c:v>1.8974614724543724</c:v>
                </c:pt>
                <c:pt idx="156">
                  <c:v>1.1267632438161497</c:v>
                </c:pt>
                <c:pt idx="157">
                  <c:v>0.35556055089296429</c:v>
                </c:pt>
                <c:pt idx="158">
                  <c:v>1.0341545756085642</c:v>
                </c:pt>
                <c:pt idx="159">
                  <c:v>0.21612704477103226</c:v>
                </c:pt>
                <c:pt idx="160">
                  <c:v>-1.3503058505481698</c:v>
                </c:pt>
                <c:pt idx="161">
                  <c:v>-2.7596175129485214</c:v>
                </c:pt>
                <c:pt idx="162">
                  <c:v>-2.0905848162939744</c:v>
                </c:pt>
                <c:pt idx="163">
                  <c:v>1.1401228632366149</c:v>
                </c:pt>
                <c:pt idx="164">
                  <c:v>-1.6477972279394577</c:v>
                </c:pt>
                <c:pt idx="165">
                  <c:v>-0.69028114674217689</c:v>
                </c:pt>
                <c:pt idx="166">
                  <c:v>-0.4735302896215714</c:v>
                </c:pt>
                <c:pt idx="167">
                  <c:v>-0.84687563992556036</c:v>
                </c:pt>
                <c:pt idx="168">
                  <c:v>-0.46664667844134344</c:v>
                </c:pt>
                <c:pt idx="169">
                  <c:v>0.98181593293606029</c:v>
                </c:pt>
                <c:pt idx="170">
                  <c:v>2.2304522632773138</c:v>
                </c:pt>
                <c:pt idx="171">
                  <c:v>3.0372108245017428</c:v>
                </c:pt>
                <c:pt idx="172">
                  <c:v>2.3885624178043416</c:v>
                </c:pt>
                <c:pt idx="173">
                  <c:v>3.8574870439694542</c:v>
                </c:pt>
                <c:pt idx="174">
                  <c:v>3.2347187839226561</c:v>
                </c:pt>
                <c:pt idx="175">
                  <c:v>2.5782310538089406</c:v>
                </c:pt>
                <c:pt idx="176">
                  <c:v>3.4031208656910463</c:v>
                </c:pt>
                <c:pt idx="177">
                  <c:v>3.052156799751844</c:v>
                </c:pt>
                <c:pt idx="178">
                  <c:v>3.2249941494988192</c:v>
                </c:pt>
                <c:pt idx="179">
                  <c:v>4.4716848411848868</c:v>
                </c:pt>
                <c:pt idx="180">
                  <c:v>5.258000001470065</c:v>
                </c:pt>
                <c:pt idx="181">
                  <c:v>3.3345870181496853</c:v>
                </c:pt>
                <c:pt idx="182">
                  <c:v>2.9508297254768561</c:v>
                </c:pt>
                <c:pt idx="183">
                  <c:v>1.8604949134302016</c:v>
                </c:pt>
                <c:pt idx="184">
                  <c:v>2.7441599277965931</c:v>
                </c:pt>
                <c:pt idx="185">
                  <c:v>2.5308685006082881</c:v>
                </c:pt>
                <c:pt idx="186">
                  <c:v>2.6020535093782158</c:v>
                </c:pt>
                <c:pt idx="187">
                  <c:v>2.0432249013645465</c:v>
                </c:pt>
                <c:pt idx="188">
                  <c:v>2.9579789868313724</c:v>
                </c:pt>
                <c:pt idx="189">
                  <c:v>2.0378820801150517</c:v>
                </c:pt>
                <c:pt idx="190">
                  <c:v>1.6626144154525933</c:v>
                </c:pt>
                <c:pt idx="191">
                  <c:v>1.0032964793715637</c:v>
                </c:pt>
                <c:pt idx="192">
                  <c:v>-0.42954271857695586</c:v>
                </c:pt>
                <c:pt idx="193">
                  <c:v>0.83513665726187691</c:v>
                </c:pt>
                <c:pt idx="194">
                  <c:v>0.49982536028533897</c:v>
                </c:pt>
                <c:pt idx="195">
                  <c:v>0.15607500413018385</c:v>
                </c:pt>
                <c:pt idx="196">
                  <c:v>0.14246788653675874</c:v>
                </c:pt>
                <c:pt idx="197">
                  <c:v>-0.54763077151795347</c:v>
                </c:pt>
                <c:pt idx="198">
                  <c:v>-0.25981190732416143</c:v>
                </c:pt>
                <c:pt idx="199">
                  <c:v>-0.93463596008317018</c:v>
                </c:pt>
                <c:pt idx="200">
                  <c:v>-1.3746208569857099</c:v>
                </c:pt>
                <c:pt idx="201">
                  <c:v>-0.55717706321068927</c:v>
                </c:pt>
                <c:pt idx="202">
                  <c:v>-11.878168722617117</c:v>
                </c:pt>
                <c:pt idx="203">
                  <c:v>-17.615768201801675</c:v>
                </c:pt>
                <c:pt idx="204">
                  <c:v>-12.66790213110472</c:v>
                </c:pt>
                <c:pt idx="205">
                  <c:v>-9.9313272029787569</c:v>
                </c:pt>
                <c:pt idx="206">
                  <c:v>-7.1477429966960839</c:v>
                </c:pt>
                <c:pt idx="207">
                  <c:v>-7.9034348754002792</c:v>
                </c:pt>
                <c:pt idx="208">
                  <c:v>-5.7827210944078935</c:v>
                </c:pt>
                <c:pt idx="209">
                  <c:v>-4.6707671794546135</c:v>
                </c:pt>
                <c:pt idx="210">
                  <c:v>-5.1830302366646892</c:v>
                </c:pt>
                <c:pt idx="211">
                  <c:v>-4.8099261028657097</c:v>
                </c:pt>
                <c:pt idx="212">
                  <c:v>-3.5189437823611822</c:v>
                </c:pt>
                <c:pt idx="213">
                  <c:v>-2.1685054173818359</c:v>
                </c:pt>
                <c:pt idx="214">
                  <c:v>11.625152237585802</c:v>
                </c:pt>
                <c:pt idx="215">
                  <c:v>19.642332073963914</c:v>
                </c:pt>
                <c:pt idx="216">
                  <c:v>13.932610783772926</c:v>
                </c:pt>
                <c:pt idx="217">
                  <c:v>9.9590448637213314</c:v>
                </c:pt>
                <c:pt idx="218">
                  <c:v>3.1458916882976347</c:v>
                </c:pt>
                <c:pt idx="219">
                  <c:v>-0.22288640897401177</c:v>
                </c:pt>
                <c:pt idx="220">
                  <c:v>-1.4123139222506069</c:v>
                </c:pt>
                <c:pt idx="221">
                  <c:v>4.9087203553727905</c:v>
                </c:pt>
                <c:pt idx="222">
                  <c:v>7.6185138261825864</c:v>
                </c:pt>
                <c:pt idx="223">
                  <c:v>7.9904198175918388</c:v>
                </c:pt>
                <c:pt idx="224">
                  <c:v>7.5860143286904771</c:v>
                </c:pt>
                <c:pt idx="225">
                  <c:v>8.0522561830936557</c:v>
                </c:pt>
                <c:pt idx="226">
                  <c:v>7.2051785738046297</c:v>
                </c:pt>
                <c:pt idx="227">
                  <c:v>7.9929029981884865</c:v>
                </c:pt>
                <c:pt idx="228">
                  <c:v>8.7839442417559415</c:v>
                </c:pt>
                <c:pt idx="229">
                  <c:v>10.455260722843104</c:v>
                </c:pt>
                <c:pt idx="230">
                  <c:v>12.983412160385132</c:v>
                </c:pt>
                <c:pt idx="231">
                  <c:v>20.035237265137606</c:v>
                </c:pt>
                <c:pt idx="232">
                  <c:v>19.111259751739158</c:v>
                </c:pt>
                <c:pt idx="233">
                  <c:v>12.263014818542288</c:v>
                </c:pt>
                <c:pt idx="234">
                  <c:v>8.8132098788174442</c:v>
                </c:pt>
                <c:pt idx="235">
                  <c:v>9.6313752274919775</c:v>
                </c:pt>
                <c:pt idx="236">
                  <c:v>8.0474835916601588</c:v>
                </c:pt>
                <c:pt idx="237">
                  <c:v>6.2711112405115639</c:v>
                </c:pt>
                <c:pt idx="238">
                  <c:v>4.9758589713918013</c:v>
                </c:pt>
                <c:pt idx="239">
                  <c:v>4.5771264871950539</c:v>
                </c:pt>
                <c:pt idx="240">
                  <c:v>4.3881798519374451</c:v>
                </c:pt>
              </c:numCache>
            </c:numRef>
          </c:val>
          <c:extLst>
            <c:ext xmlns:c16="http://schemas.microsoft.com/office/drawing/2014/chart" uri="{C3380CC4-5D6E-409C-BE32-E72D297353CC}">
              <c16:uniqueId val="{00000000-FE09-4765-80B4-3D1D1296CE18}"/>
            </c:ext>
          </c:extLst>
        </c:ser>
        <c:dLbls>
          <c:showLegendKey val="0"/>
          <c:showVal val="0"/>
          <c:showCatName val="0"/>
          <c:showSerName val="0"/>
          <c:showPercent val="0"/>
          <c:showBubbleSize val="0"/>
        </c:dLbls>
        <c:gapWidth val="50"/>
        <c:axId val="1330683904"/>
        <c:axId val="1330685152"/>
      </c:barChart>
      <c:lineChart>
        <c:grouping val="standard"/>
        <c:varyColors val="0"/>
        <c:ser>
          <c:idx val="1"/>
          <c:order val="1"/>
          <c:tx>
            <c:strRef>
              <c:f>'Annual youth emp &amp; UER'!$G$1</c:f>
              <c:strCache>
                <c:ptCount val="1"/>
                <c:pt idx="0">
                  <c:v>Youth unemployment rate (%) (RHS)</c:v>
                </c:pt>
              </c:strCache>
            </c:strRef>
          </c:tx>
          <c:spPr>
            <a:ln w="28575" cap="rnd">
              <a:solidFill>
                <a:schemeClr val="accent2"/>
              </a:solidFill>
              <a:round/>
            </a:ln>
            <a:effectLst/>
          </c:spPr>
          <c:marker>
            <c:symbol val="none"/>
          </c:marker>
          <c:cat>
            <c:numRef>
              <c:f>'Annual youth emp &amp; UER'!$E$2:$E$242</c:f>
              <c:numCache>
                <c:formatCode>mmm\-yy</c:formatCode>
                <c:ptCount val="241"/>
                <c:pt idx="0">
                  <c:v>37773</c:v>
                </c:pt>
                <c:pt idx="1">
                  <c:v>37803</c:v>
                </c:pt>
                <c:pt idx="2">
                  <c:v>37834</c:v>
                </c:pt>
                <c:pt idx="3">
                  <c:v>37865</c:v>
                </c:pt>
                <c:pt idx="4">
                  <c:v>37895</c:v>
                </c:pt>
                <c:pt idx="5">
                  <c:v>37926</c:v>
                </c:pt>
                <c:pt idx="6">
                  <c:v>37956</c:v>
                </c:pt>
                <c:pt idx="7">
                  <c:v>37987</c:v>
                </c:pt>
                <c:pt idx="8">
                  <c:v>38018</c:v>
                </c:pt>
                <c:pt idx="9">
                  <c:v>38047</c:v>
                </c:pt>
                <c:pt idx="10">
                  <c:v>38078</c:v>
                </c:pt>
                <c:pt idx="11">
                  <c:v>38108</c:v>
                </c:pt>
                <c:pt idx="12">
                  <c:v>38139</c:v>
                </c:pt>
                <c:pt idx="13">
                  <c:v>38169</c:v>
                </c:pt>
                <c:pt idx="14">
                  <c:v>38200</c:v>
                </c:pt>
                <c:pt idx="15">
                  <c:v>38231</c:v>
                </c:pt>
                <c:pt idx="16">
                  <c:v>38261</c:v>
                </c:pt>
                <c:pt idx="17">
                  <c:v>38292</c:v>
                </c:pt>
                <c:pt idx="18">
                  <c:v>38322</c:v>
                </c:pt>
                <c:pt idx="19">
                  <c:v>38353</c:v>
                </c:pt>
                <c:pt idx="20">
                  <c:v>38384</c:v>
                </c:pt>
                <c:pt idx="21">
                  <c:v>38412</c:v>
                </c:pt>
                <c:pt idx="22">
                  <c:v>38443</c:v>
                </c:pt>
                <c:pt idx="23">
                  <c:v>38473</c:v>
                </c:pt>
                <c:pt idx="24">
                  <c:v>38504</c:v>
                </c:pt>
                <c:pt idx="25">
                  <c:v>38534</c:v>
                </c:pt>
                <c:pt idx="26">
                  <c:v>38565</c:v>
                </c:pt>
                <c:pt idx="27">
                  <c:v>38596</c:v>
                </c:pt>
                <c:pt idx="28">
                  <c:v>38626</c:v>
                </c:pt>
                <c:pt idx="29">
                  <c:v>38657</c:v>
                </c:pt>
                <c:pt idx="30">
                  <c:v>38687</c:v>
                </c:pt>
                <c:pt idx="31">
                  <c:v>38718</c:v>
                </c:pt>
                <c:pt idx="32">
                  <c:v>38749</c:v>
                </c:pt>
                <c:pt idx="33">
                  <c:v>38777</c:v>
                </c:pt>
                <c:pt idx="34">
                  <c:v>38808</c:v>
                </c:pt>
                <c:pt idx="35">
                  <c:v>38838</c:v>
                </c:pt>
                <c:pt idx="36">
                  <c:v>38869</c:v>
                </c:pt>
                <c:pt idx="37">
                  <c:v>38899</c:v>
                </c:pt>
                <c:pt idx="38">
                  <c:v>38930</c:v>
                </c:pt>
                <c:pt idx="39">
                  <c:v>38961</c:v>
                </c:pt>
                <c:pt idx="40">
                  <c:v>38991</c:v>
                </c:pt>
                <c:pt idx="41">
                  <c:v>39022</c:v>
                </c:pt>
                <c:pt idx="42">
                  <c:v>39052</c:v>
                </c:pt>
                <c:pt idx="43">
                  <c:v>39083</c:v>
                </c:pt>
                <c:pt idx="44">
                  <c:v>39114</c:v>
                </c:pt>
                <c:pt idx="45">
                  <c:v>39142</c:v>
                </c:pt>
                <c:pt idx="46">
                  <c:v>39173</c:v>
                </c:pt>
                <c:pt idx="47">
                  <c:v>39203</c:v>
                </c:pt>
                <c:pt idx="48">
                  <c:v>39234</c:v>
                </c:pt>
                <c:pt idx="49">
                  <c:v>39264</c:v>
                </c:pt>
                <c:pt idx="50">
                  <c:v>39295</c:v>
                </c:pt>
                <c:pt idx="51">
                  <c:v>39326</c:v>
                </c:pt>
                <c:pt idx="52">
                  <c:v>39356</c:v>
                </c:pt>
                <c:pt idx="53">
                  <c:v>39387</c:v>
                </c:pt>
                <c:pt idx="54">
                  <c:v>39417</c:v>
                </c:pt>
                <c:pt idx="55">
                  <c:v>39448</c:v>
                </c:pt>
                <c:pt idx="56">
                  <c:v>39479</c:v>
                </c:pt>
                <c:pt idx="57">
                  <c:v>39508</c:v>
                </c:pt>
                <c:pt idx="58">
                  <c:v>39539</c:v>
                </c:pt>
                <c:pt idx="59">
                  <c:v>39569</c:v>
                </c:pt>
                <c:pt idx="60">
                  <c:v>39600</c:v>
                </c:pt>
                <c:pt idx="61">
                  <c:v>39630</c:v>
                </c:pt>
                <c:pt idx="62">
                  <c:v>39661</c:v>
                </c:pt>
                <c:pt idx="63">
                  <c:v>39692</c:v>
                </c:pt>
                <c:pt idx="64">
                  <c:v>39722</c:v>
                </c:pt>
                <c:pt idx="65">
                  <c:v>39753</c:v>
                </c:pt>
                <c:pt idx="66">
                  <c:v>39783</c:v>
                </c:pt>
                <c:pt idx="67">
                  <c:v>39814</c:v>
                </c:pt>
                <c:pt idx="68">
                  <c:v>39845</c:v>
                </c:pt>
                <c:pt idx="69">
                  <c:v>39873</c:v>
                </c:pt>
                <c:pt idx="70">
                  <c:v>39904</c:v>
                </c:pt>
                <c:pt idx="71">
                  <c:v>39934</c:v>
                </c:pt>
                <c:pt idx="72">
                  <c:v>39965</c:v>
                </c:pt>
                <c:pt idx="73">
                  <c:v>39995</c:v>
                </c:pt>
                <c:pt idx="74">
                  <c:v>40026</c:v>
                </c:pt>
                <c:pt idx="75">
                  <c:v>40057</c:v>
                </c:pt>
                <c:pt idx="76">
                  <c:v>40087</c:v>
                </c:pt>
                <c:pt idx="77">
                  <c:v>40118</c:v>
                </c:pt>
                <c:pt idx="78">
                  <c:v>40148</c:v>
                </c:pt>
                <c:pt idx="79">
                  <c:v>40179</c:v>
                </c:pt>
                <c:pt idx="80">
                  <c:v>40210</c:v>
                </c:pt>
                <c:pt idx="81">
                  <c:v>40238</c:v>
                </c:pt>
                <c:pt idx="82">
                  <c:v>40269</c:v>
                </c:pt>
                <c:pt idx="83">
                  <c:v>40299</c:v>
                </c:pt>
                <c:pt idx="84">
                  <c:v>40330</c:v>
                </c:pt>
                <c:pt idx="85">
                  <c:v>40360</c:v>
                </c:pt>
                <c:pt idx="86">
                  <c:v>40391</c:v>
                </c:pt>
                <c:pt idx="87">
                  <c:v>40422</c:v>
                </c:pt>
                <c:pt idx="88">
                  <c:v>40452</c:v>
                </c:pt>
                <c:pt idx="89">
                  <c:v>40483</c:v>
                </c:pt>
                <c:pt idx="90">
                  <c:v>40513</c:v>
                </c:pt>
                <c:pt idx="91">
                  <c:v>40544</c:v>
                </c:pt>
                <c:pt idx="92">
                  <c:v>40575</c:v>
                </c:pt>
                <c:pt idx="93">
                  <c:v>40603</c:v>
                </c:pt>
                <c:pt idx="94">
                  <c:v>40634</c:v>
                </c:pt>
                <c:pt idx="95">
                  <c:v>40664</c:v>
                </c:pt>
                <c:pt idx="96">
                  <c:v>40695</c:v>
                </c:pt>
                <c:pt idx="97">
                  <c:v>40725</c:v>
                </c:pt>
                <c:pt idx="98">
                  <c:v>40756</c:v>
                </c:pt>
                <c:pt idx="99">
                  <c:v>40787</c:v>
                </c:pt>
                <c:pt idx="100">
                  <c:v>40817</c:v>
                </c:pt>
                <c:pt idx="101">
                  <c:v>40848</c:v>
                </c:pt>
                <c:pt idx="102">
                  <c:v>40878</c:v>
                </c:pt>
                <c:pt idx="103">
                  <c:v>40909</c:v>
                </c:pt>
                <c:pt idx="104">
                  <c:v>40940</c:v>
                </c:pt>
                <c:pt idx="105">
                  <c:v>40969</c:v>
                </c:pt>
                <c:pt idx="106">
                  <c:v>41000</c:v>
                </c:pt>
                <c:pt idx="107">
                  <c:v>41030</c:v>
                </c:pt>
                <c:pt idx="108">
                  <c:v>41061</c:v>
                </c:pt>
                <c:pt idx="109">
                  <c:v>41091</c:v>
                </c:pt>
                <c:pt idx="110">
                  <c:v>41122</c:v>
                </c:pt>
                <c:pt idx="111">
                  <c:v>41153</c:v>
                </c:pt>
                <c:pt idx="112">
                  <c:v>41183</c:v>
                </c:pt>
                <c:pt idx="113">
                  <c:v>41214</c:v>
                </c:pt>
                <c:pt idx="114">
                  <c:v>41244</c:v>
                </c:pt>
                <c:pt idx="115">
                  <c:v>41275</c:v>
                </c:pt>
                <c:pt idx="116">
                  <c:v>41306</c:v>
                </c:pt>
                <c:pt idx="117">
                  <c:v>41334</c:v>
                </c:pt>
                <c:pt idx="118">
                  <c:v>41365</c:v>
                </c:pt>
                <c:pt idx="119">
                  <c:v>41395</c:v>
                </c:pt>
                <c:pt idx="120">
                  <c:v>41426</c:v>
                </c:pt>
                <c:pt idx="121">
                  <c:v>41456</c:v>
                </c:pt>
                <c:pt idx="122">
                  <c:v>41487</c:v>
                </c:pt>
                <c:pt idx="123">
                  <c:v>41518</c:v>
                </c:pt>
                <c:pt idx="124">
                  <c:v>41548</c:v>
                </c:pt>
                <c:pt idx="125">
                  <c:v>41579</c:v>
                </c:pt>
                <c:pt idx="126">
                  <c:v>41609</c:v>
                </c:pt>
                <c:pt idx="127">
                  <c:v>41640</c:v>
                </c:pt>
                <c:pt idx="128">
                  <c:v>41671</c:v>
                </c:pt>
                <c:pt idx="129">
                  <c:v>41699</c:v>
                </c:pt>
                <c:pt idx="130">
                  <c:v>41730</c:v>
                </c:pt>
                <c:pt idx="131">
                  <c:v>41760</c:v>
                </c:pt>
                <c:pt idx="132">
                  <c:v>41791</c:v>
                </c:pt>
                <c:pt idx="133">
                  <c:v>41821</c:v>
                </c:pt>
                <c:pt idx="134">
                  <c:v>41852</c:v>
                </c:pt>
                <c:pt idx="135">
                  <c:v>41883</c:v>
                </c:pt>
                <c:pt idx="136">
                  <c:v>41913</c:v>
                </c:pt>
                <c:pt idx="137">
                  <c:v>41944</c:v>
                </c:pt>
                <c:pt idx="138">
                  <c:v>41974</c:v>
                </c:pt>
                <c:pt idx="139">
                  <c:v>42005</c:v>
                </c:pt>
                <c:pt idx="140">
                  <c:v>42036</c:v>
                </c:pt>
                <c:pt idx="141">
                  <c:v>42064</c:v>
                </c:pt>
                <c:pt idx="142">
                  <c:v>42095</c:v>
                </c:pt>
                <c:pt idx="143">
                  <c:v>42125</c:v>
                </c:pt>
                <c:pt idx="144">
                  <c:v>42156</c:v>
                </c:pt>
                <c:pt idx="145">
                  <c:v>42186</c:v>
                </c:pt>
                <c:pt idx="146">
                  <c:v>42217</c:v>
                </c:pt>
                <c:pt idx="147">
                  <c:v>42248</c:v>
                </c:pt>
                <c:pt idx="148">
                  <c:v>42278</c:v>
                </c:pt>
                <c:pt idx="149">
                  <c:v>42309</c:v>
                </c:pt>
                <c:pt idx="150">
                  <c:v>42339</c:v>
                </c:pt>
                <c:pt idx="151">
                  <c:v>42370</c:v>
                </c:pt>
                <c:pt idx="152">
                  <c:v>42401</c:v>
                </c:pt>
                <c:pt idx="153">
                  <c:v>42430</c:v>
                </c:pt>
                <c:pt idx="154">
                  <c:v>42461</c:v>
                </c:pt>
                <c:pt idx="155">
                  <c:v>42491</c:v>
                </c:pt>
                <c:pt idx="156">
                  <c:v>42522</c:v>
                </c:pt>
                <c:pt idx="157">
                  <c:v>42552</c:v>
                </c:pt>
                <c:pt idx="158">
                  <c:v>42583</c:v>
                </c:pt>
                <c:pt idx="159">
                  <c:v>42614</c:v>
                </c:pt>
                <c:pt idx="160">
                  <c:v>42644</c:v>
                </c:pt>
                <c:pt idx="161">
                  <c:v>42675</c:v>
                </c:pt>
                <c:pt idx="162">
                  <c:v>42705</c:v>
                </c:pt>
                <c:pt idx="163">
                  <c:v>42736</c:v>
                </c:pt>
                <c:pt idx="164">
                  <c:v>42767</c:v>
                </c:pt>
                <c:pt idx="165">
                  <c:v>42795</c:v>
                </c:pt>
                <c:pt idx="166">
                  <c:v>42826</c:v>
                </c:pt>
                <c:pt idx="167">
                  <c:v>42856</c:v>
                </c:pt>
                <c:pt idx="168">
                  <c:v>42887</c:v>
                </c:pt>
                <c:pt idx="169">
                  <c:v>42917</c:v>
                </c:pt>
                <c:pt idx="170">
                  <c:v>42948</c:v>
                </c:pt>
                <c:pt idx="171">
                  <c:v>42979</c:v>
                </c:pt>
                <c:pt idx="172">
                  <c:v>43009</c:v>
                </c:pt>
                <c:pt idx="173">
                  <c:v>43040</c:v>
                </c:pt>
                <c:pt idx="174">
                  <c:v>43070</c:v>
                </c:pt>
                <c:pt idx="175">
                  <c:v>43101</c:v>
                </c:pt>
                <c:pt idx="176">
                  <c:v>43132</c:v>
                </c:pt>
                <c:pt idx="177">
                  <c:v>43160</c:v>
                </c:pt>
                <c:pt idx="178">
                  <c:v>43191</c:v>
                </c:pt>
                <c:pt idx="179">
                  <c:v>43221</c:v>
                </c:pt>
                <c:pt idx="180">
                  <c:v>43252</c:v>
                </c:pt>
                <c:pt idx="181">
                  <c:v>43282</c:v>
                </c:pt>
                <c:pt idx="182">
                  <c:v>43313</c:v>
                </c:pt>
                <c:pt idx="183">
                  <c:v>43344</c:v>
                </c:pt>
                <c:pt idx="184">
                  <c:v>43374</c:v>
                </c:pt>
                <c:pt idx="185">
                  <c:v>43405</c:v>
                </c:pt>
                <c:pt idx="186">
                  <c:v>43435</c:v>
                </c:pt>
                <c:pt idx="187">
                  <c:v>43466</c:v>
                </c:pt>
                <c:pt idx="188">
                  <c:v>43497</c:v>
                </c:pt>
                <c:pt idx="189">
                  <c:v>43525</c:v>
                </c:pt>
                <c:pt idx="190">
                  <c:v>43556</c:v>
                </c:pt>
                <c:pt idx="191">
                  <c:v>43586</c:v>
                </c:pt>
                <c:pt idx="192">
                  <c:v>43617</c:v>
                </c:pt>
                <c:pt idx="193">
                  <c:v>43647</c:v>
                </c:pt>
                <c:pt idx="194">
                  <c:v>43678</c:v>
                </c:pt>
                <c:pt idx="195">
                  <c:v>43709</c:v>
                </c:pt>
                <c:pt idx="196">
                  <c:v>43739</c:v>
                </c:pt>
                <c:pt idx="197">
                  <c:v>43770</c:v>
                </c:pt>
                <c:pt idx="198">
                  <c:v>43800</c:v>
                </c:pt>
                <c:pt idx="199">
                  <c:v>43831</c:v>
                </c:pt>
                <c:pt idx="200">
                  <c:v>43862</c:v>
                </c:pt>
                <c:pt idx="201">
                  <c:v>43891</c:v>
                </c:pt>
                <c:pt idx="202">
                  <c:v>43922</c:v>
                </c:pt>
                <c:pt idx="203">
                  <c:v>43952</c:v>
                </c:pt>
                <c:pt idx="204">
                  <c:v>43983</c:v>
                </c:pt>
                <c:pt idx="205">
                  <c:v>44013</c:v>
                </c:pt>
                <c:pt idx="206">
                  <c:v>44044</c:v>
                </c:pt>
                <c:pt idx="207">
                  <c:v>44075</c:v>
                </c:pt>
                <c:pt idx="208">
                  <c:v>44105</c:v>
                </c:pt>
                <c:pt idx="209">
                  <c:v>44136</c:v>
                </c:pt>
                <c:pt idx="210">
                  <c:v>44166</c:v>
                </c:pt>
                <c:pt idx="211">
                  <c:v>44197</c:v>
                </c:pt>
                <c:pt idx="212">
                  <c:v>44228</c:v>
                </c:pt>
                <c:pt idx="213">
                  <c:v>44256</c:v>
                </c:pt>
                <c:pt idx="214">
                  <c:v>44287</c:v>
                </c:pt>
                <c:pt idx="215">
                  <c:v>44317</c:v>
                </c:pt>
                <c:pt idx="216">
                  <c:v>44348</c:v>
                </c:pt>
                <c:pt idx="217">
                  <c:v>44378</c:v>
                </c:pt>
                <c:pt idx="218">
                  <c:v>44409</c:v>
                </c:pt>
                <c:pt idx="219">
                  <c:v>44440</c:v>
                </c:pt>
                <c:pt idx="220">
                  <c:v>44470</c:v>
                </c:pt>
                <c:pt idx="221">
                  <c:v>44501</c:v>
                </c:pt>
                <c:pt idx="222">
                  <c:v>44531</c:v>
                </c:pt>
                <c:pt idx="223">
                  <c:v>44562</c:v>
                </c:pt>
                <c:pt idx="224">
                  <c:v>44593</c:v>
                </c:pt>
                <c:pt idx="225">
                  <c:v>44621</c:v>
                </c:pt>
                <c:pt idx="226">
                  <c:v>44652</c:v>
                </c:pt>
                <c:pt idx="227">
                  <c:v>44682</c:v>
                </c:pt>
                <c:pt idx="228">
                  <c:v>44713</c:v>
                </c:pt>
                <c:pt idx="229">
                  <c:v>44743</c:v>
                </c:pt>
                <c:pt idx="230">
                  <c:v>44774</c:v>
                </c:pt>
                <c:pt idx="231">
                  <c:v>44805</c:v>
                </c:pt>
                <c:pt idx="232">
                  <c:v>44835</c:v>
                </c:pt>
                <c:pt idx="233">
                  <c:v>44866</c:v>
                </c:pt>
                <c:pt idx="234">
                  <c:v>44896</c:v>
                </c:pt>
                <c:pt idx="235">
                  <c:v>44927</c:v>
                </c:pt>
                <c:pt idx="236">
                  <c:v>44958</c:v>
                </c:pt>
                <c:pt idx="237">
                  <c:v>44986</c:v>
                </c:pt>
                <c:pt idx="238">
                  <c:v>45017</c:v>
                </c:pt>
                <c:pt idx="239">
                  <c:v>45047</c:v>
                </c:pt>
                <c:pt idx="240">
                  <c:v>45078</c:v>
                </c:pt>
              </c:numCache>
            </c:numRef>
          </c:cat>
          <c:val>
            <c:numRef>
              <c:f>'Annual youth emp &amp; UER'!$G$2:$G$242</c:f>
              <c:numCache>
                <c:formatCode>#,##0.0</c:formatCode>
                <c:ptCount val="241"/>
                <c:pt idx="0">
                  <c:v>12.1251088</c:v>
                </c:pt>
                <c:pt idx="1">
                  <c:v>12.207637999999999</c:v>
                </c:pt>
                <c:pt idx="2">
                  <c:v>11.471118199999999</c:v>
                </c:pt>
                <c:pt idx="3">
                  <c:v>11.799837800000001</c:v>
                </c:pt>
                <c:pt idx="4">
                  <c:v>11.612504100000001</c:v>
                </c:pt>
                <c:pt idx="5">
                  <c:v>11.3792507</c:v>
                </c:pt>
                <c:pt idx="6">
                  <c:v>11.6545144</c:v>
                </c:pt>
                <c:pt idx="7">
                  <c:v>11.7519069</c:v>
                </c:pt>
                <c:pt idx="8">
                  <c:v>11.368274299999999</c:v>
                </c:pt>
                <c:pt idx="9">
                  <c:v>11.5913583</c:v>
                </c:pt>
                <c:pt idx="10">
                  <c:v>11.1568793</c:v>
                </c:pt>
                <c:pt idx="11">
                  <c:v>11.019741700000001</c:v>
                </c:pt>
                <c:pt idx="12">
                  <c:v>11.4506389</c:v>
                </c:pt>
                <c:pt idx="13">
                  <c:v>11.362060700000001</c:v>
                </c:pt>
                <c:pt idx="14">
                  <c:v>11.753589399999999</c:v>
                </c:pt>
                <c:pt idx="15">
                  <c:v>11.4636245</c:v>
                </c:pt>
                <c:pt idx="16">
                  <c:v>11.327413</c:v>
                </c:pt>
                <c:pt idx="17">
                  <c:v>11.0224054</c:v>
                </c:pt>
                <c:pt idx="18">
                  <c:v>11.1268233</c:v>
                </c:pt>
                <c:pt idx="19">
                  <c:v>10.997086299999999</c:v>
                </c:pt>
                <c:pt idx="20">
                  <c:v>10.536885399999999</c:v>
                </c:pt>
                <c:pt idx="21">
                  <c:v>10.841021899999999</c:v>
                </c:pt>
                <c:pt idx="22">
                  <c:v>10.8906887</c:v>
                </c:pt>
                <c:pt idx="23">
                  <c:v>10.5346191</c:v>
                </c:pt>
                <c:pt idx="24">
                  <c:v>10.373009400000001</c:v>
                </c:pt>
                <c:pt idx="25">
                  <c:v>10.6983853</c:v>
                </c:pt>
                <c:pt idx="26">
                  <c:v>9.9227082000000006</c:v>
                </c:pt>
                <c:pt idx="27">
                  <c:v>10.8367609</c:v>
                </c:pt>
                <c:pt idx="28">
                  <c:v>10.9399362</c:v>
                </c:pt>
                <c:pt idx="29">
                  <c:v>10.112645300000001</c:v>
                </c:pt>
                <c:pt idx="30">
                  <c:v>10.7084583</c:v>
                </c:pt>
                <c:pt idx="31">
                  <c:v>10.6384445</c:v>
                </c:pt>
                <c:pt idx="32">
                  <c:v>10.6617052</c:v>
                </c:pt>
                <c:pt idx="33">
                  <c:v>10.2317524</c:v>
                </c:pt>
                <c:pt idx="34">
                  <c:v>10.6080276</c:v>
                </c:pt>
                <c:pt idx="35">
                  <c:v>10.072830700000001</c:v>
                </c:pt>
                <c:pt idx="36">
                  <c:v>9.8273776999999995</c:v>
                </c:pt>
                <c:pt idx="37">
                  <c:v>9.6384208999999998</c:v>
                </c:pt>
                <c:pt idx="38">
                  <c:v>9.6475118000000002</c:v>
                </c:pt>
                <c:pt idx="39">
                  <c:v>10.1535771</c:v>
                </c:pt>
                <c:pt idx="40">
                  <c:v>9.1361875999999995</c:v>
                </c:pt>
                <c:pt idx="41">
                  <c:v>9.7559681999999999</c:v>
                </c:pt>
                <c:pt idx="42">
                  <c:v>9.7298811999999995</c:v>
                </c:pt>
                <c:pt idx="43">
                  <c:v>9.6196126</c:v>
                </c:pt>
                <c:pt idx="44">
                  <c:v>9.5626639000000004</c:v>
                </c:pt>
                <c:pt idx="45">
                  <c:v>9.2097753000000004</c:v>
                </c:pt>
                <c:pt idx="46">
                  <c:v>8.9562001999999996</c:v>
                </c:pt>
                <c:pt idx="47">
                  <c:v>9.0325772999999998</c:v>
                </c:pt>
                <c:pt idx="48">
                  <c:v>8.964264</c:v>
                </c:pt>
                <c:pt idx="49">
                  <c:v>9.0448895</c:v>
                </c:pt>
                <c:pt idx="50">
                  <c:v>9.6032294999999994</c:v>
                </c:pt>
                <c:pt idx="51">
                  <c:v>9.2282443000000001</c:v>
                </c:pt>
                <c:pt idx="52">
                  <c:v>9.6968721000000002</c:v>
                </c:pt>
                <c:pt idx="53">
                  <c:v>9.9693231999999998</c:v>
                </c:pt>
                <c:pt idx="54">
                  <c:v>9.4525667000000002</c:v>
                </c:pt>
                <c:pt idx="55">
                  <c:v>9.0509415999999998</c:v>
                </c:pt>
                <c:pt idx="56">
                  <c:v>8.1028037000000008</c:v>
                </c:pt>
                <c:pt idx="57">
                  <c:v>8.5058582000000005</c:v>
                </c:pt>
                <c:pt idx="58">
                  <c:v>8.8368278</c:v>
                </c:pt>
                <c:pt idx="59">
                  <c:v>9.1813984000000008</c:v>
                </c:pt>
                <c:pt idx="60">
                  <c:v>9.0230651000000002</c:v>
                </c:pt>
                <c:pt idx="61">
                  <c:v>8.8793728000000005</c:v>
                </c:pt>
                <c:pt idx="62">
                  <c:v>7.6414530999999997</c:v>
                </c:pt>
                <c:pt idx="63">
                  <c:v>8.7412290000000006</c:v>
                </c:pt>
                <c:pt idx="64">
                  <c:v>8.7225464000000006</c:v>
                </c:pt>
                <c:pt idx="65">
                  <c:v>9.4113859000000009</c:v>
                </c:pt>
                <c:pt idx="66">
                  <c:v>9.7302852000000009</c:v>
                </c:pt>
                <c:pt idx="67">
                  <c:v>10.1743244</c:v>
                </c:pt>
                <c:pt idx="68">
                  <c:v>10.8378023</c:v>
                </c:pt>
                <c:pt idx="69">
                  <c:v>11.8941923</c:v>
                </c:pt>
                <c:pt idx="70">
                  <c:v>11.5474747</c:v>
                </c:pt>
                <c:pt idx="71">
                  <c:v>12.301542700000001</c:v>
                </c:pt>
                <c:pt idx="72">
                  <c:v>12.197656200000001</c:v>
                </c:pt>
                <c:pt idx="73">
                  <c:v>11.617975700000001</c:v>
                </c:pt>
                <c:pt idx="74">
                  <c:v>11.6834671</c:v>
                </c:pt>
                <c:pt idx="75">
                  <c:v>11.660179299999999</c:v>
                </c:pt>
                <c:pt idx="76">
                  <c:v>11.228216400000001</c:v>
                </c:pt>
                <c:pt idx="77">
                  <c:v>11.5610024</c:v>
                </c:pt>
                <c:pt idx="78">
                  <c:v>11.155645399999999</c:v>
                </c:pt>
                <c:pt idx="79">
                  <c:v>11.330009799999999</c:v>
                </c:pt>
                <c:pt idx="80">
                  <c:v>11.3435031</c:v>
                </c:pt>
                <c:pt idx="81">
                  <c:v>11.7813433</c:v>
                </c:pt>
                <c:pt idx="82">
                  <c:v>11.897727700000001</c:v>
                </c:pt>
                <c:pt idx="83">
                  <c:v>11.442433299999999</c:v>
                </c:pt>
                <c:pt idx="84">
                  <c:v>11.686977600000001</c:v>
                </c:pt>
                <c:pt idx="85">
                  <c:v>11.6403207</c:v>
                </c:pt>
                <c:pt idx="86">
                  <c:v>11.6166163</c:v>
                </c:pt>
                <c:pt idx="87">
                  <c:v>11.2966637</c:v>
                </c:pt>
                <c:pt idx="88">
                  <c:v>11.980924999999999</c:v>
                </c:pt>
                <c:pt idx="89">
                  <c:v>11.572193499999999</c:v>
                </c:pt>
                <c:pt idx="90">
                  <c:v>11.0816464</c:v>
                </c:pt>
                <c:pt idx="91">
                  <c:v>11.6833522</c:v>
                </c:pt>
                <c:pt idx="92">
                  <c:v>11.755823100000001</c:v>
                </c:pt>
                <c:pt idx="93">
                  <c:v>11.246138</c:v>
                </c:pt>
                <c:pt idx="94">
                  <c:v>11.2872688</c:v>
                </c:pt>
                <c:pt idx="95">
                  <c:v>11.187225400000001</c:v>
                </c:pt>
                <c:pt idx="96">
                  <c:v>11.1709073</c:v>
                </c:pt>
                <c:pt idx="97">
                  <c:v>11.1192457</c:v>
                </c:pt>
                <c:pt idx="98">
                  <c:v>11.250498199999999</c:v>
                </c:pt>
                <c:pt idx="99">
                  <c:v>11.2730953</c:v>
                </c:pt>
                <c:pt idx="100">
                  <c:v>11.0021129</c:v>
                </c:pt>
                <c:pt idx="101">
                  <c:v>11.507564199999999</c:v>
                </c:pt>
                <c:pt idx="102">
                  <c:v>11.845533100000001</c:v>
                </c:pt>
                <c:pt idx="103">
                  <c:v>11.362274899999999</c:v>
                </c:pt>
                <c:pt idx="104">
                  <c:v>11.7667305</c:v>
                </c:pt>
                <c:pt idx="105">
                  <c:v>11.7657834</c:v>
                </c:pt>
                <c:pt idx="106">
                  <c:v>10.8942332</c:v>
                </c:pt>
                <c:pt idx="107">
                  <c:v>12.1203591</c:v>
                </c:pt>
                <c:pt idx="108">
                  <c:v>11.604387300000001</c:v>
                </c:pt>
                <c:pt idx="109">
                  <c:v>11.9179584</c:v>
                </c:pt>
                <c:pt idx="110">
                  <c:v>11.5027651</c:v>
                </c:pt>
                <c:pt idx="111">
                  <c:v>11.955053599999999</c:v>
                </c:pt>
                <c:pt idx="112">
                  <c:v>12.1351385</c:v>
                </c:pt>
                <c:pt idx="113">
                  <c:v>11.6540746</c:v>
                </c:pt>
                <c:pt idx="114">
                  <c:v>12.0972177</c:v>
                </c:pt>
                <c:pt idx="115">
                  <c:v>11.9713467</c:v>
                </c:pt>
                <c:pt idx="116">
                  <c:v>12.1601242</c:v>
                </c:pt>
                <c:pt idx="117">
                  <c:v>12.217290999999999</c:v>
                </c:pt>
                <c:pt idx="118">
                  <c:v>11.691227899999999</c:v>
                </c:pt>
                <c:pt idx="119">
                  <c:v>11.6624588</c:v>
                </c:pt>
                <c:pt idx="120">
                  <c:v>11.8073108</c:v>
                </c:pt>
                <c:pt idx="121">
                  <c:v>11.8537353</c:v>
                </c:pt>
                <c:pt idx="122">
                  <c:v>12.823287000000001</c:v>
                </c:pt>
                <c:pt idx="123">
                  <c:v>12.724304</c:v>
                </c:pt>
                <c:pt idx="124">
                  <c:v>13.066516</c:v>
                </c:pt>
                <c:pt idx="125">
                  <c:v>12.261677799999999</c:v>
                </c:pt>
                <c:pt idx="126">
                  <c:v>12.4761519</c:v>
                </c:pt>
                <c:pt idx="127">
                  <c:v>12.2737049</c:v>
                </c:pt>
                <c:pt idx="128">
                  <c:v>12.782607199999999</c:v>
                </c:pt>
                <c:pt idx="129">
                  <c:v>12.5459675</c:v>
                </c:pt>
                <c:pt idx="130">
                  <c:v>12.871214</c:v>
                </c:pt>
                <c:pt idx="131">
                  <c:v>13.4369645</c:v>
                </c:pt>
                <c:pt idx="132">
                  <c:v>13.3787802</c:v>
                </c:pt>
                <c:pt idx="133">
                  <c:v>13.645557699999999</c:v>
                </c:pt>
                <c:pt idx="134">
                  <c:v>13.4026327</c:v>
                </c:pt>
                <c:pt idx="135">
                  <c:v>13.635163500000001</c:v>
                </c:pt>
                <c:pt idx="136">
                  <c:v>14.422357</c:v>
                </c:pt>
                <c:pt idx="137">
                  <c:v>14.2699742</c:v>
                </c:pt>
                <c:pt idx="138">
                  <c:v>13.1078043</c:v>
                </c:pt>
                <c:pt idx="139">
                  <c:v>14.158907599999999</c:v>
                </c:pt>
                <c:pt idx="140">
                  <c:v>13.410119099999999</c:v>
                </c:pt>
                <c:pt idx="141">
                  <c:v>13.4959402</c:v>
                </c:pt>
                <c:pt idx="142">
                  <c:v>13.3084072</c:v>
                </c:pt>
                <c:pt idx="143">
                  <c:v>13.3839734</c:v>
                </c:pt>
                <c:pt idx="144">
                  <c:v>13.078102299999999</c:v>
                </c:pt>
                <c:pt idx="145">
                  <c:v>13.621320499999999</c:v>
                </c:pt>
                <c:pt idx="146">
                  <c:v>13.060884</c:v>
                </c:pt>
                <c:pt idx="147">
                  <c:v>12.7975227</c:v>
                </c:pt>
                <c:pt idx="148">
                  <c:v>12.6427856</c:v>
                </c:pt>
                <c:pt idx="149">
                  <c:v>12.2457432</c:v>
                </c:pt>
                <c:pt idx="150">
                  <c:v>12.1457479</c:v>
                </c:pt>
                <c:pt idx="151">
                  <c:v>12.6569957</c:v>
                </c:pt>
                <c:pt idx="152">
                  <c:v>11.711493300000001</c:v>
                </c:pt>
                <c:pt idx="153">
                  <c:v>11.809647699999999</c:v>
                </c:pt>
                <c:pt idx="154">
                  <c:v>12.0815921</c:v>
                </c:pt>
                <c:pt idx="155">
                  <c:v>12.4504763</c:v>
                </c:pt>
                <c:pt idx="156">
                  <c:v>13.0149715</c:v>
                </c:pt>
                <c:pt idx="157">
                  <c:v>13.217302</c:v>
                </c:pt>
                <c:pt idx="158">
                  <c:v>12.8501045</c:v>
                </c:pt>
                <c:pt idx="159">
                  <c:v>12.7009852</c:v>
                </c:pt>
                <c:pt idx="160">
                  <c:v>12.7409427</c:v>
                </c:pt>
                <c:pt idx="161">
                  <c:v>13.655656499999999</c:v>
                </c:pt>
                <c:pt idx="162">
                  <c:v>13.2988613</c:v>
                </c:pt>
                <c:pt idx="163">
                  <c:v>12.2778571</c:v>
                </c:pt>
                <c:pt idx="164">
                  <c:v>12.8383149</c:v>
                </c:pt>
                <c:pt idx="165">
                  <c:v>13.0716386</c:v>
                </c:pt>
                <c:pt idx="166">
                  <c:v>12.5746609</c:v>
                </c:pt>
                <c:pt idx="167">
                  <c:v>12.557247200000001</c:v>
                </c:pt>
                <c:pt idx="168">
                  <c:v>13.0744772</c:v>
                </c:pt>
                <c:pt idx="169">
                  <c:v>12.825568000000001</c:v>
                </c:pt>
                <c:pt idx="170">
                  <c:v>12.702120499999999</c:v>
                </c:pt>
                <c:pt idx="171">
                  <c:v>12.5360453</c:v>
                </c:pt>
                <c:pt idx="172">
                  <c:v>12.1741758</c:v>
                </c:pt>
                <c:pt idx="173">
                  <c:v>12.424060900000001</c:v>
                </c:pt>
                <c:pt idx="174">
                  <c:v>12.439856300000001</c:v>
                </c:pt>
                <c:pt idx="175">
                  <c:v>12.234874899999999</c:v>
                </c:pt>
                <c:pt idx="176">
                  <c:v>13.114109600000001</c:v>
                </c:pt>
                <c:pt idx="177">
                  <c:v>12.3213238</c:v>
                </c:pt>
                <c:pt idx="178">
                  <c:v>12.4463559</c:v>
                </c:pt>
                <c:pt idx="179">
                  <c:v>11.470286</c:v>
                </c:pt>
                <c:pt idx="180">
                  <c:v>11.2636518</c:v>
                </c:pt>
                <c:pt idx="181">
                  <c:v>11.1291911</c:v>
                </c:pt>
                <c:pt idx="182">
                  <c:v>11.806818700000001</c:v>
                </c:pt>
                <c:pt idx="183">
                  <c:v>11.4904511</c:v>
                </c:pt>
                <c:pt idx="184">
                  <c:v>11.4138556</c:v>
                </c:pt>
                <c:pt idx="185">
                  <c:v>11.6900022</c:v>
                </c:pt>
                <c:pt idx="186">
                  <c:v>11.3921109</c:v>
                </c:pt>
                <c:pt idx="187">
                  <c:v>11.5117783</c:v>
                </c:pt>
                <c:pt idx="188">
                  <c:v>11.023099800000001</c:v>
                </c:pt>
                <c:pt idx="189">
                  <c:v>11.7960505</c:v>
                </c:pt>
                <c:pt idx="190">
                  <c:v>11.859774699999999</c:v>
                </c:pt>
                <c:pt idx="191">
                  <c:v>11.8492848</c:v>
                </c:pt>
                <c:pt idx="192">
                  <c:v>12.1036155</c:v>
                </c:pt>
                <c:pt idx="193">
                  <c:v>12.014709</c:v>
                </c:pt>
                <c:pt idx="194">
                  <c:v>11.799603400000001</c:v>
                </c:pt>
                <c:pt idx="195">
                  <c:v>11.7741186</c:v>
                </c:pt>
                <c:pt idx="196">
                  <c:v>12.5335269</c:v>
                </c:pt>
                <c:pt idx="197">
                  <c:v>11.655151399999999</c:v>
                </c:pt>
                <c:pt idx="198">
                  <c:v>11.7143914</c:v>
                </c:pt>
                <c:pt idx="199">
                  <c:v>12.236399799999999</c:v>
                </c:pt>
                <c:pt idx="200">
                  <c:v>12.0988781</c:v>
                </c:pt>
                <c:pt idx="201">
                  <c:v>11.627573399999999</c:v>
                </c:pt>
                <c:pt idx="202">
                  <c:v>13.978788399999999</c:v>
                </c:pt>
                <c:pt idx="203">
                  <c:v>15.671016099999999</c:v>
                </c:pt>
                <c:pt idx="204">
                  <c:v>16.442912700000001</c:v>
                </c:pt>
                <c:pt idx="205">
                  <c:v>16.6033404</c:v>
                </c:pt>
                <c:pt idx="206">
                  <c:v>14.029687900000001</c:v>
                </c:pt>
                <c:pt idx="207">
                  <c:v>14.5929673</c:v>
                </c:pt>
                <c:pt idx="208">
                  <c:v>15.571009800000001</c:v>
                </c:pt>
                <c:pt idx="209">
                  <c:v>15.776681999999999</c:v>
                </c:pt>
                <c:pt idx="210">
                  <c:v>14.070029999999999</c:v>
                </c:pt>
                <c:pt idx="211">
                  <c:v>14.0559621</c:v>
                </c:pt>
                <c:pt idx="212">
                  <c:v>12.7665416</c:v>
                </c:pt>
                <c:pt idx="213">
                  <c:v>11.7536054</c:v>
                </c:pt>
                <c:pt idx="214">
                  <c:v>10.5373704</c:v>
                </c:pt>
                <c:pt idx="215">
                  <c:v>10.575973599999999</c:v>
                </c:pt>
                <c:pt idx="216">
                  <c:v>10.3555452</c:v>
                </c:pt>
                <c:pt idx="217">
                  <c:v>10.3497407</c:v>
                </c:pt>
                <c:pt idx="218">
                  <c:v>10.3896294</c:v>
                </c:pt>
                <c:pt idx="219">
                  <c:v>10.840867599999999</c:v>
                </c:pt>
                <c:pt idx="220">
                  <c:v>13.1371348</c:v>
                </c:pt>
                <c:pt idx="221">
                  <c:v>10.9748568</c:v>
                </c:pt>
                <c:pt idx="222">
                  <c:v>9.4479333000000008</c:v>
                </c:pt>
                <c:pt idx="223">
                  <c:v>9.0048461</c:v>
                </c:pt>
                <c:pt idx="224">
                  <c:v>9.0815079999999995</c:v>
                </c:pt>
                <c:pt idx="225">
                  <c:v>8.2763191999999997</c:v>
                </c:pt>
                <c:pt idx="226">
                  <c:v>8.6514030999999996</c:v>
                </c:pt>
                <c:pt idx="227">
                  <c:v>8.7602577000000004</c:v>
                </c:pt>
                <c:pt idx="228">
                  <c:v>7.9724677000000002</c:v>
                </c:pt>
                <c:pt idx="229">
                  <c:v>7.1424260000000004</c:v>
                </c:pt>
                <c:pt idx="230">
                  <c:v>8.4284092000000008</c:v>
                </c:pt>
                <c:pt idx="231">
                  <c:v>7.7961679999999998</c:v>
                </c:pt>
                <c:pt idx="232">
                  <c:v>7.2835305999999997</c:v>
                </c:pt>
                <c:pt idx="233">
                  <c:v>7.7128335999999997</c:v>
                </c:pt>
                <c:pt idx="234">
                  <c:v>7.6748583999999997</c:v>
                </c:pt>
                <c:pt idx="235">
                  <c:v>7.8798136999999997</c:v>
                </c:pt>
                <c:pt idx="236">
                  <c:v>7.9081716000000002</c:v>
                </c:pt>
                <c:pt idx="237">
                  <c:v>7.7549934</c:v>
                </c:pt>
                <c:pt idx="238">
                  <c:v>8.5353999999999992</c:v>
                </c:pt>
                <c:pt idx="239">
                  <c:v>7.6078237</c:v>
                </c:pt>
                <c:pt idx="240">
                  <c:v>7.7523524000000004</c:v>
                </c:pt>
              </c:numCache>
            </c:numRef>
          </c:val>
          <c:smooth val="0"/>
          <c:extLst>
            <c:ext xmlns:c16="http://schemas.microsoft.com/office/drawing/2014/chart" uri="{C3380CC4-5D6E-409C-BE32-E72D297353CC}">
              <c16:uniqueId val="{00000001-FE09-4765-80B4-3D1D1296CE18}"/>
            </c:ext>
          </c:extLst>
        </c:ser>
        <c:dLbls>
          <c:showLegendKey val="0"/>
          <c:showVal val="0"/>
          <c:showCatName val="0"/>
          <c:showSerName val="0"/>
          <c:showPercent val="0"/>
          <c:showBubbleSize val="0"/>
        </c:dLbls>
        <c:marker val="1"/>
        <c:smooth val="0"/>
        <c:axId val="1764224464"/>
        <c:axId val="1764226960"/>
      </c:lineChart>
      <c:dateAx>
        <c:axId val="1330683904"/>
        <c:scaling>
          <c:orientation val="minMax"/>
        </c:scaling>
        <c:delete val="0"/>
        <c:axPos val="b"/>
        <c:numFmt formatCode="mmm\-yy" sourceLinked="1"/>
        <c:majorTickMark val="out"/>
        <c:minorTickMark val="none"/>
        <c:tickLblPos val="low"/>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30685152"/>
        <c:crosses val="autoZero"/>
        <c:auto val="1"/>
        <c:lblOffset val="100"/>
        <c:baseTimeUnit val="months"/>
        <c:majorUnit val="24"/>
        <c:majorTimeUnit val="months"/>
      </c:dateAx>
      <c:valAx>
        <c:axId val="1330685152"/>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AU"/>
                  <a:t>Annual youth employment growth (</a:t>
                </a:r>
                <a:r>
                  <a:rPr lang="en-AU" sz="900" b="0" i="0" u="none" strike="noStrike" kern="1200" baseline="0">
                    <a:solidFill>
                      <a:sysClr val="windowText" lastClr="000000"/>
                    </a:solidFill>
                    <a:latin typeface="+mn-lt"/>
                    <a:ea typeface="+mn-ea"/>
                    <a:cs typeface="+mn-cs"/>
                  </a:rPr>
                  <a:t>%</a:t>
                </a:r>
                <a:r>
                  <a:rPr lang="en-AU"/>
                  <a:t>)</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30683904"/>
        <c:crosses val="autoZero"/>
        <c:crossBetween val="between"/>
      </c:valAx>
      <c:valAx>
        <c:axId val="1764226960"/>
        <c:scaling>
          <c:orientation val="minMax"/>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AU"/>
                  <a:t>Youth unemployment rate (</a:t>
                </a:r>
                <a:r>
                  <a:rPr lang="en-AU" sz="900" b="0" i="0" u="none" strike="noStrike" kern="1200" baseline="0">
                    <a:solidFill>
                      <a:sysClr val="windowText" lastClr="000000"/>
                    </a:solidFill>
                    <a:latin typeface="+mn-lt"/>
                    <a:ea typeface="+mn-ea"/>
                    <a:cs typeface="+mn-cs"/>
                  </a:rPr>
                  <a:t>%</a:t>
                </a:r>
                <a:r>
                  <a:rPr lang="en-AU"/>
                  <a:t>)</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764224464"/>
        <c:crosses val="max"/>
        <c:crossBetween val="between"/>
      </c:valAx>
      <c:dateAx>
        <c:axId val="1764224464"/>
        <c:scaling>
          <c:orientation val="minMax"/>
        </c:scaling>
        <c:delete val="1"/>
        <c:axPos val="b"/>
        <c:numFmt formatCode="mmm\-yy" sourceLinked="1"/>
        <c:majorTickMark val="out"/>
        <c:minorTickMark val="none"/>
        <c:tickLblPos val="nextTo"/>
        <c:crossAx val="1764226960"/>
        <c:crosses val="autoZero"/>
        <c:auto val="1"/>
        <c:lblOffset val="100"/>
        <c:baseTimeUnit val="months"/>
      </c:dateAx>
      <c:spPr>
        <a:noFill/>
        <a:ln>
          <a:noFill/>
        </a:ln>
        <a:effectLst/>
      </c:spPr>
    </c:plotArea>
    <c:legend>
      <c:legendPos val="t"/>
      <c:layout>
        <c:manualLayout>
          <c:xMode val="edge"/>
          <c:yMode val="edge"/>
          <c:x val="0.12692307692307692"/>
          <c:y val="0"/>
          <c:w val="0.46196581196581199"/>
          <c:h val="0.14974090642268689"/>
        </c:manualLayout>
      </c:layout>
      <c:overlay val="1"/>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'LTU and employment growth'!$C$1</c:f>
              <c:strCache>
                <c:ptCount val="1"/>
                <c:pt idx="0">
                  <c:v>Annual employment growth (%) (RHS)</c:v>
                </c:pt>
              </c:strCache>
            </c:strRef>
          </c:tx>
          <c:spPr>
            <a:solidFill>
              <a:schemeClr val="accent2"/>
            </a:solidFill>
            <a:ln>
              <a:noFill/>
            </a:ln>
            <a:effectLst/>
          </c:spPr>
          <c:invertIfNegative val="0"/>
          <c:cat>
            <c:numRef>
              <c:f>'LTU and employment growth'!$A$2:$A$242</c:f>
              <c:numCache>
                <c:formatCode>mmm\-yy</c:formatCode>
                <c:ptCount val="241"/>
                <c:pt idx="0">
                  <c:v>37773</c:v>
                </c:pt>
                <c:pt idx="1">
                  <c:v>37803</c:v>
                </c:pt>
                <c:pt idx="2">
                  <c:v>37834</c:v>
                </c:pt>
                <c:pt idx="3">
                  <c:v>37865</c:v>
                </c:pt>
                <c:pt idx="4">
                  <c:v>37895</c:v>
                </c:pt>
                <c:pt idx="5">
                  <c:v>37926</c:v>
                </c:pt>
                <c:pt idx="6">
                  <c:v>37956</c:v>
                </c:pt>
                <c:pt idx="7">
                  <c:v>37987</c:v>
                </c:pt>
                <c:pt idx="8">
                  <c:v>38018</c:v>
                </c:pt>
                <c:pt idx="9">
                  <c:v>38047</c:v>
                </c:pt>
                <c:pt idx="10">
                  <c:v>38078</c:v>
                </c:pt>
                <c:pt idx="11">
                  <c:v>38108</c:v>
                </c:pt>
                <c:pt idx="12">
                  <c:v>38139</c:v>
                </c:pt>
                <c:pt idx="13">
                  <c:v>38169</c:v>
                </c:pt>
                <c:pt idx="14">
                  <c:v>38200</c:v>
                </c:pt>
                <c:pt idx="15">
                  <c:v>38231</c:v>
                </c:pt>
                <c:pt idx="16">
                  <c:v>38261</c:v>
                </c:pt>
                <c:pt idx="17">
                  <c:v>38292</c:v>
                </c:pt>
                <c:pt idx="18">
                  <c:v>38322</c:v>
                </c:pt>
                <c:pt idx="19">
                  <c:v>38353</c:v>
                </c:pt>
                <c:pt idx="20">
                  <c:v>38384</c:v>
                </c:pt>
                <c:pt idx="21">
                  <c:v>38412</c:v>
                </c:pt>
                <c:pt idx="22">
                  <c:v>38443</c:v>
                </c:pt>
                <c:pt idx="23">
                  <c:v>38473</c:v>
                </c:pt>
                <c:pt idx="24">
                  <c:v>38504</c:v>
                </c:pt>
                <c:pt idx="25">
                  <c:v>38534</c:v>
                </c:pt>
                <c:pt idx="26">
                  <c:v>38565</c:v>
                </c:pt>
                <c:pt idx="27">
                  <c:v>38596</c:v>
                </c:pt>
                <c:pt idx="28">
                  <c:v>38626</c:v>
                </c:pt>
                <c:pt idx="29">
                  <c:v>38657</c:v>
                </c:pt>
                <c:pt idx="30">
                  <c:v>38687</c:v>
                </c:pt>
                <c:pt idx="31">
                  <c:v>38718</c:v>
                </c:pt>
                <c:pt idx="32">
                  <c:v>38749</c:v>
                </c:pt>
                <c:pt idx="33">
                  <c:v>38777</c:v>
                </c:pt>
                <c:pt idx="34">
                  <c:v>38808</c:v>
                </c:pt>
                <c:pt idx="35">
                  <c:v>38838</c:v>
                </c:pt>
                <c:pt idx="36">
                  <c:v>38869</c:v>
                </c:pt>
                <c:pt idx="37">
                  <c:v>38899</c:v>
                </c:pt>
                <c:pt idx="38">
                  <c:v>38930</c:v>
                </c:pt>
                <c:pt idx="39">
                  <c:v>38961</c:v>
                </c:pt>
                <c:pt idx="40">
                  <c:v>38991</c:v>
                </c:pt>
                <c:pt idx="41">
                  <c:v>39022</c:v>
                </c:pt>
                <c:pt idx="42">
                  <c:v>39052</c:v>
                </c:pt>
                <c:pt idx="43">
                  <c:v>39083</c:v>
                </c:pt>
                <c:pt idx="44">
                  <c:v>39114</c:v>
                </c:pt>
                <c:pt idx="45">
                  <c:v>39142</c:v>
                </c:pt>
                <c:pt idx="46">
                  <c:v>39173</c:v>
                </c:pt>
                <c:pt idx="47">
                  <c:v>39203</c:v>
                </c:pt>
                <c:pt idx="48">
                  <c:v>39234</c:v>
                </c:pt>
                <c:pt idx="49">
                  <c:v>39264</c:v>
                </c:pt>
                <c:pt idx="50">
                  <c:v>39295</c:v>
                </c:pt>
                <c:pt idx="51">
                  <c:v>39326</c:v>
                </c:pt>
                <c:pt idx="52">
                  <c:v>39356</c:v>
                </c:pt>
                <c:pt idx="53">
                  <c:v>39387</c:v>
                </c:pt>
                <c:pt idx="54">
                  <c:v>39417</c:v>
                </c:pt>
                <c:pt idx="55">
                  <c:v>39448</c:v>
                </c:pt>
                <c:pt idx="56">
                  <c:v>39479</c:v>
                </c:pt>
                <c:pt idx="57">
                  <c:v>39508</c:v>
                </c:pt>
                <c:pt idx="58">
                  <c:v>39539</c:v>
                </c:pt>
                <c:pt idx="59">
                  <c:v>39569</c:v>
                </c:pt>
                <c:pt idx="60">
                  <c:v>39600</c:v>
                </c:pt>
                <c:pt idx="61">
                  <c:v>39630</c:v>
                </c:pt>
                <c:pt idx="62">
                  <c:v>39661</c:v>
                </c:pt>
                <c:pt idx="63">
                  <c:v>39692</c:v>
                </c:pt>
                <c:pt idx="64">
                  <c:v>39722</c:v>
                </c:pt>
                <c:pt idx="65">
                  <c:v>39753</c:v>
                </c:pt>
                <c:pt idx="66">
                  <c:v>39783</c:v>
                </c:pt>
                <c:pt idx="67">
                  <c:v>39814</c:v>
                </c:pt>
                <c:pt idx="68">
                  <c:v>39845</c:v>
                </c:pt>
                <c:pt idx="69">
                  <c:v>39873</c:v>
                </c:pt>
                <c:pt idx="70">
                  <c:v>39904</c:v>
                </c:pt>
                <c:pt idx="71">
                  <c:v>39934</c:v>
                </c:pt>
                <c:pt idx="72">
                  <c:v>39965</c:v>
                </c:pt>
                <c:pt idx="73">
                  <c:v>39995</c:v>
                </c:pt>
                <c:pt idx="74">
                  <c:v>40026</c:v>
                </c:pt>
                <c:pt idx="75">
                  <c:v>40057</c:v>
                </c:pt>
                <c:pt idx="76">
                  <c:v>40087</c:v>
                </c:pt>
                <c:pt idx="77">
                  <c:v>40118</c:v>
                </c:pt>
                <c:pt idx="78">
                  <c:v>40148</c:v>
                </c:pt>
                <c:pt idx="79">
                  <c:v>40179</c:v>
                </c:pt>
                <c:pt idx="80">
                  <c:v>40210</c:v>
                </c:pt>
                <c:pt idx="81">
                  <c:v>40238</c:v>
                </c:pt>
                <c:pt idx="82">
                  <c:v>40269</c:v>
                </c:pt>
                <c:pt idx="83">
                  <c:v>40299</c:v>
                </c:pt>
                <c:pt idx="84">
                  <c:v>40330</c:v>
                </c:pt>
                <c:pt idx="85">
                  <c:v>40360</c:v>
                </c:pt>
                <c:pt idx="86">
                  <c:v>40391</c:v>
                </c:pt>
                <c:pt idx="87">
                  <c:v>40422</c:v>
                </c:pt>
                <c:pt idx="88">
                  <c:v>40452</c:v>
                </c:pt>
                <c:pt idx="89">
                  <c:v>40483</c:v>
                </c:pt>
                <c:pt idx="90">
                  <c:v>40513</c:v>
                </c:pt>
                <c:pt idx="91">
                  <c:v>40544</c:v>
                </c:pt>
                <c:pt idx="92">
                  <c:v>40575</c:v>
                </c:pt>
                <c:pt idx="93">
                  <c:v>40603</c:v>
                </c:pt>
                <c:pt idx="94">
                  <c:v>40634</c:v>
                </c:pt>
                <c:pt idx="95">
                  <c:v>40664</c:v>
                </c:pt>
                <c:pt idx="96">
                  <c:v>40695</c:v>
                </c:pt>
                <c:pt idx="97">
                  <c:v>40725</c:v>
                </c:pt>
                <c:pt idx="98">
                  <c:v>40756</c:v>
                </c:pt>
                <c:pt idx="99">
                  <c:v>40787</c:v>
                </c:pt>
                <c:pt idx="100">
                  <c:v>40817</c:v>
                </c:pt>
                <c:pt idx="101">
                  <c:v>40848</c:v>
                </c:pt>
                <c:pt idx="102">
                  <c:v>40878</c:v>
                </c:pt>
                <c:pt idx="103">
                  <c:v>40909</c:v>
                </c:pt>
                <c:pt idx="104">
                  <c:v>40940</c:v>
                </c:pt>
                <c:pt idx="105">
                  <c:v>40969</c:v>
                </c:pt>
                <c:pt idx="106">
                  <c:v>41000</c:v>
                </c:pt>
                <c:pt idx="107">
                  <c:v>41030</c:v>
                </c:pt>
                <c:pt idx="108">
                  <c:v>41061</c:v>
                </c:pt>
                <c:pt idx="109">
                  <c:v>41091</c:v>
                </c:pt>
                <c:pt idx="110">
                  <c:v>41122</c:v>
                </c:pt>
                <c:pt idx="111">
                  <c:v>41153</c:v>
                </c:pt>
                <c:pt idx="112">
                  <c:v>41183</c:v>
                </c:pt>
                <c:pt idx="113">
                  <c:v>41214</c:v>
                </c:pt>
                <c:pt idx="114">
                  <c:v>41244</c:v>
                </c:pt>
                <c:pt idx="115">
                  <c:v>41275</c:v>
                </c:pt>
                <c:pt idx="116">
                  <c:v>41306</c:v>
                </c:pt>
                <c:pt idx="117">
                  <c:v>41334</c:v>
                </c:pt>
                <c:pt idx="118">
                  <c:v>41365</c:v>
                </c:pt>
                <c:pt idx="119">
                  <c:v>41395</c:v>
                </c:pt>
                <c:pt idx="120">
                  <c:v>41426</c:v>
                </c:pt>
                <c:pt idx="121">
                  <c:v>41456</c:v>
                </c:pt>
                <c:pt idx="122">
                  <c:v>41487</c:v>
                </c:pt>
                <c:pt idx="123">
                  <c:v>41518</c:v>
                </c:pt>
                <c:pt idx="124">
                  <c:v>41548</c:v>
                </c:pt>
                <c:pt idx="125">
                  <c:v>41579</c:v>
                </c:pt>
                <c:pt idx="126">
                  <c:v>41609</c:v>
                </c:pt>
                <c:pt idx="127">
                  <c:v>41640</c:v>
                </c:pt>
                <c:pt idx="128">
                  <c:v>41671</c:v>
                </c:pt>
                <c:pt idx="129">
                  <c:v>41699</c:v>
                </c:pt>
                <c:pt idx="130">
                  <c:v>41730</c:v>
                </c:pt>
                <c:pt idx="131">
                  <c:v>41760</c:v>
                </c:pt>
                <c:pt idx="132">
                  <c:v>41791</c:v>
                </c:pt>
                <c:pt idx="133">
                  <c:v>41821</c:v>
                </c:pt>
                <c:pt idx="134">
                  <c:v>41852</c:v>
                </c:pt>
                <c:pt idx="135">
                  <c:v>41883</c:v>
                </c:pt>
                <c:pt idx="136">
                  <c:v>41913</c:v>
                </c:pt>
                <c:pt idx="137">
                  <c:v>41944</c:v>
                </c:pt>
                <c:pt idx="138">
                  <c:v>41974</c:v>
                </c:pt>
                <c:pt idx="139">
                  <c:v>42005</c:v>
                </c:pt>
                <c:pt idx="140">
                  <c:v>42036</c:v>
                </c:pt>
                <c:pt idx="141">
                  <c:v>42064</c:v>
                </c:pt>
                <c:pt idx="142">
                  <c:v>42095</c:v>
                </c:pt>
                <c:pt idx="143">
                  <c:v>42125</c:v>
                </c:pt>
                <c:pt idx="144">
                  <c:v>42156</c:v>
                </c:pt>
                <c:pt idx="145">
                  <c:v>42186</c:v>
                </c:pt>
                <c:pt idx="146">
                  <c:v>42217</c:v>
                </c:pt>
                <c:pt idx="147">
                  <c:v>42248</c:v>
                </c:pt>
                <c:pt idx="148">
                  <c:v>42278</c:v>
                </c:pt>
                <c:pt idx="149">
                  <c:v>42309</c:v>
                </c:pt>
                <c:pt idx="150">
                  <c:v>42339</c:v>
                </c:pt>
                <c:pt idx="151">
                  <c:v>42370</c:v>
                </c:pt>
                <c:pt idx="152">
                  <c:v>42401</c:v>
                </c:pt>
                <c:pt idx="153">
                  <c:v>42430</c:v>
                </c:pt>
                <c:pt idx="154">
                  <c:v>42461</c:v>
                </c:pt>
                <c:pt idx="155">
                  <c:v>42491</c:v>
                </c:pt>
                <c:pt idx="156">
                  <c:v>42522</c:v>
                </c:pt>
                <c:pt idx="157">
                  <c:v>42552</c:v>
                </c:pt>
                <c:pt idx="158">
                  <c:v>42583</c:v>
                </c:pt>
                <c:pt idx="159">
                  <c:v>42614</c:v>
                </c:pt>
                <c:pt idx="160">
                  <c:v>42644</c:v>
                </c:pt>
                <c:pt idx="161">
                  <c:v>42675</c:v>
                </c:pt>
                <c:pt idx="162">
                  <c:v>42705</c:v>
                </c:pt>
                <c:pt idx="163">
                  <c:v>42736</c:v>
                </c:pt>
                <c:pt idx="164">
                  <c:v>42767</c:v>
                </c:pt>
                <c:pt idx="165">
                  <c:v>42795</c:v>
                </c:pt>
                <c:pt idx="166">
                  <c:v>42826</c:v>
                </c:pt>
                <c:pt idx="167">
                  <c:v>42856</c:v>
                </c:pt>
                <c:pt idx="168">
                  <c:v>42887</c:v>
                </c:pt>
                <c:pt idx="169">
                  <c:v>42917</c:v>
                </c:pt>
                <c:pt idx="170">
                  <c:v>42948</c:v>
                </c:pt>
                <c:pt idx="171">
                  <c:v>42979</c:v>
                </c:pt>
                <c:pt idx="172">
                  <c:v>43009</c:v>
                </c:pt>
                <c:pt idx="173">
                  <c:v>43040</c:v>
                </c:pt>
                <c:pt idx="174">
                  <c:v>43070</c:v>
                </c:pt>
                <c:pt idx="175">
                  <c:v>43101</c:v>
                </c:pt>
                <c:pt idx="176">
                  <c:v>43132</c:v>
                </c:pt>
                <c:pt idx="177">
                  <c:v>43160</c:v>
                </c:pt>
                <c:pt idx="178">
                  <c:v>43191</c:v>
                </c:pt>
                <c:pt idx="179">
                  <c:v>43221</c:v>
                </c:pt>
                <c:pt idx="180">
                  <c:v>43252</c:v>
                </c:pt>
                <c:pt idx="181">
                  <c:v>43282</c:v>
                </c:pt>
                <c:pt idx="182">
                  <c:v>43313</c:v>
                </c:pt>
                <c:pt idx="183">
                  <c:v>43344</c:v>
                </c:pt>
                <c:pt idx="184">
                  <c:v>43374</c:v>
                </c:pt>
                <c:pt idx="185">
                  <c:v>43405</c:v>
                </c:pt>
                <c:pt idx="186">
                  <c:v>43435</c:v>
                </c:pt>
                <c:pt idx="187">
                  <c:v>43466</c:v>
                </c:pt>
                <c:pt idx="188">
                  <c:v>43497</c:v>
                </c:pt>
                <c:pt idx="189">
                  <c:v>43525</c:v>
                </c:pt>
                <c:pt idx="190">
                  <c:v>43556</c:v>
                </c:pt>
                <c:pt idx="191">
                  <c:v>43586</c:v>
                </c:pt>
                <c:pt idx="192">
                  <c:v>43617</c:v>
                </c:pt>
                <c:pt idx="193">
                  <c:v>43647</c:v>
                </c:pt>
                <c:pt idx="194">
                  <c:v>43678</c:v>
                </c:pt>
                <c:pt idx="195">
                  <c:v>43709</c:v>
                </c:pt>
                <c:pt idx="196">
                  <c:v>43739</c:v>
                </c:pt>
                <c:pt idx="197">
                  <c:v>43770</c:v>
                </c:pt>
                <c:pt idx="198">
                  <c:v>43800</c:v>
                </c:pt>
                <c:pt idx="199">
                  <c:v>43831</c:v>
                </c:pt>
                <c:pt idx="200">
                  <c:v>43862</c:v>
                </c:pt>
                <c:pt idx="201">
                  <c:v>43891</c:v>
                </c:pt>
                <c:pt idx="202">
                  <c:v>43922</c:v>
                </c:pt>
                <c:pt idx="203">
                  <c:v>43952</c:v>
                </c:pt>
                <c:pt idx="204">
                  <c:v>43983</c:v>
                </c:pt>
                <c:pt idx="205">
                  <c:v>44013</c:v>
                </c:pt>
                <c:pt idx="206">
                  <c:v>44044</c:v>
                </c:pt>
                <c:pt idx="207">
                  <c:v>44075</c:v>
                </c:pt>
                <c:pt idx="208">
                  <c:v>44105</c:v>
                </c:pt>
                <c:pt idx="209">
                  <c:v>44136</c:v>
                </c:pt>
                <c:pt idx="210">
                  <c:v>44166</c:v>
                </c:pt>
                <c:pt idx="211">
                  <c:v>44197</c:v>
                </c:pt>
                <c:pt idx="212">
                  <c:v>44228</c:v>
                </c:pt>
                <c:pt idx="213">
                  <c:v>44256</c:v>
                </c:pt>
                <c:pt idx="214">
                  <c:v>44287</c:v>
                </c:pt>
                <c:pt idx="215">
                  <c:v>44317</c:v>
                </c:pt>
                <c:pt idx="216">
                  <c:v>44348</c:v>
                </c:pt>
                <c:pt idx="217">
                  <c:v>44378</c:v>
                </c:pt>
                <c:pt idx="218">
                  <c:v>44409</c:v>
                </c:pt>
                <c:pt idx="219">
                  <c:v>44440</c:v>
                </c:pt>
                <c:pt idx="220">
                  <c:v>44470</c:v>
                </c:pt>
                <c:pt idx="221">
                  <c:v>44501</c:v>
                </c:pt>
                <c:pt idx="222">
                  <c:v>44531</c:v>
                </c:pt>
                <c:pt idx="223">
                  <c:v>44562</c:v>
                </c:pt>
                <c:pt idx="224">
                  <c:v>44593</c:v>
                </c:pt>
                <c:pt idx="225">
                  <c:v>44621</c:v>
                </c:pt>
                <c:pt idx="226">
                  <c:v>44652</c:v>
                </c:pt>
                <c:pt idx="227">
                  <c:v>44682</c:v>
                </c:pt>
                <c:pt idx="228">
                  <c:v>44713</c:v>
                </c:pt>
                <c:pt idx="229">
                  <c:v>44743</c:v>
                </c:pt>
                <c:pt idx="230">
                  <c:v>44774</c:v>
                </c:pt>
                <c:pt idx="231">
                  <c:v>44805</c:v>
                </c:pt>
                <c:pt idx="232">
                  <c:v>44835</c:v>
                </c:pt>
                <c:pt idx="233">
                  <c:v>44866</c:v>
                </c:pt>
                <c:pt idx="234">
                  <c:v>44896</c:v>
                </c:pt>
                <c:pt idx="235">
                  <c:v>44927</c:v>
                </c:pt>
                <c:pt idx="236">
                  <c:v>44958</c:v>
                </c:pt>
                <c:pt idx="237">
                  <c:v>44986</c:v>
                </c:pt>
                <c:pt idx="238">
                  <c:v>45017</c:v>
                </c:pt>
                <c:pt idx="239">
                  <c:v>45047</c:v>
                </c:pt>
                <c:pt idx="240">
                  <c:v>45078</c:v>
                </c:pt>
              </c:numCache>
            </c:numRef>
          </c:cat>
          <c:val>
            <c:numRef>
              <c:f>'LTU and employment growth'!$C$2:$C$242</c:f>
              <c:numCache>
                <c:formatCode>0.0</c:formatCode>
                <c:ptCount val="241"/>
                <c:pt idx="0">
                  <c:v>2.0849828886403943</c:v>
                </c:pt>
                <c:pt idx="1">
                  <c:v>1.9210641963795829</c:v>
                </c:pt>
                <c:pt idx="2">
                  <c:v>1.907934671089494</c:v>
                </c:pt>
                <c:pt idx="3">
                  <c:v>1.980489188161437</c:v>
                </c:pt>
                <c:pt idx="4">
                  <c:v>2.1370907970596971</c:v>
                </c:pt>
                <c:pt idx="5">
                  <c:v>1.5552891667309938</c:v>
                </c:pt>
                <c:pt idx="6">
                  <c:v>1.4200575862107361</c:v>
                </c:pt>
                <c:pt idx="7">
                  <c:v>0.86770774198928913</c:v>
                </c:pt>
                <c:pt idx="8">
                  <c:v>0.63199193054544611</c:v>
                </c:pt>
                <c:pt idx="9">
                  <c:v>1.4861124317259418</c:v>
                </c:pt>
                <c:pt idx="10">
                  <c:v>1.6119846087201934</c:v>
                </c:pt>
                <c:pt idx="11">
                  <c:v>1.5907603663065195</c:v>
                </c:pt>
                <c:pt idx="12">
                  <c:v>1.8978590049625981</c:v>
                </c:pt>
                <c:pt idx="13">
                  <c:v>2.0840409144401133</c:v>
                </c:pt>
                <c:pt idx="14">
                  <c:v>1.4332809379839686</c:v>
                </c:pt>
                <c:pt idx="15">
                  <c:v>1.9461529942255511</c:v>
                </c:pt>
                <c:pt idx="16">
                  <c:v>2.2636497513274989</c:v>
                </c:pt>
                <c:pt idx="17">
                  <c:v>2.6996421184743942</c:v>
                </c:pt>
                <c:pt idx="18">
                  <c:v>2.4569051195154441</c:v>
                </c:pt>
                <c:pt idx="19">
                  <c:v>2.997727963378686</c:v>
                </c:pt>
                <c:pt idx="20">
                  <c:v>3.2699400549002187</c:v>
                </c:pt>
                <c:pt idx="21">
                  <c:v>3.340472286782934</c:v>
                </c:pt>
                <c:pt idx="22">
                  <c:v>3.6426209540985091</c:v>
                </c:pt>
                <c:pt idx="23">
                  <c:v>3.3014728536513376</c:v>
                </c:pt>
                <c:pt idx="24">
                  <c:v>3.7363397315838447</c:v>
                </c:pt>
                <c:pt idx="25">
                  <c:v>3.797888316422978</c:v>
                </c:pt>
                <c:pt idx="26">
                  <c:v>4.2911761351598017</c:v>
                </c:pt>
                <c:pt idx="27">
                  <c:v>3.5117903353026994</c:v>
                </c:pt>
                <c:pt idx="28">
                  <c:v>2.977638098745639</c:v>
                </c:pt>
                <c:pt idx="29">
                  <c:v>2.6818589745572305</c:v>
                </c:pt>
                <c:pt idx="30">
                  <c:v>2.7330852132140633</c:v>
                </c:pt>
                <c:pt idx="31">
                  <c:v>2.1795967676591097</c:v>
                </c:pt>
                <c:pt idx="32">
                  <c:v>2.2273325746324937</c:v>
                </c:pt>
                <c:pt idx="33">
                  <c:v>2.2200592204407266</c:v>
                </c:pt>
                <c:pt idx="34">
                  <c:v>1.8910120684671132</c:v>
                </c:pt>
                <c:pt idx="35">
                  <c:v>2.3394823062872114</c:v>
                </c:pt>
                <c:pt idx="36">
                  <c:v>2.2644918294532705</c:v>
                </c:pt>
                <c:pt idx="37">
                  <c:v>2.632476099943827</c:v>
                </c:pt>
                <c:pt idx="38">
                  <c:v>2.3622195445585517</c:v>
                </c:pt>
                <c:pt idx="39">
                  <c:v>2.9721793777913441</c:v>
                </c:pt>
                <c:pt idx="40">
                  <c:v>2.6460249470687951</c:v>
                </c:pt>
                <c:pt idx="41">
                  <c:v>2.8821463494387922</c:v>
                </c:pt>
                <c:pt idx="42">
                  <c:v>3.2629958208100716</c:v>
                </c:pt>
                <c:pt idx="43">
                  <c:v>3.2267567590484423</c:v>
                </c:pt>
                <c:pt idx="44">
                  <c:v>3.1518295550407327</c:v>
                </c:pt>
                <c:pt idx="45">
                  <c:v>3.0164855765051417</c:v>
                </c:pt>
                <c:pt idx="46">
                  <c:v>3.2325310516335053</c:v>
                </c:pt>
                <c:pt idx="47">
                  <c:v>3.3021019988180758</c:v>
                </c:pt>
                <c:pt idx="48">
                  <c:v>3.11649921930848</c:v>
                </c:pt>
                <c:pt idx="49">
                  <c:v>2.8116267721059254</c:v>
                </c:pt>
                <c:pt idx="50">
                  <c:v>2.9993354259314877</c:v>
                </c:pt>
                <c:pt idx="51">
                  <c:v>2.841184338521197</c:v>
                </c:pt>
                <c:pt idx="52">
                  <c:v>3.0252037041195177</c:v>
                </c:pt>
                <c:pt idx="53">
                  <c:v>3.244210386135455</c:v>
                </c:pt>
                <c:pt idx="54">
                  <c:v>2.9164980992151408</c:v>
                </c:pt>
                <c:pt idx="55">
                  <c:v>3.2408241075772581</c:v>
                </c:pt>
                <c:pt idx="56">
                  <c:v>3.3069957746131458</c:v>
                </c:pt>
                <c:pt idx="57">
                  <c:v>3.2203889891466289</c:v>
                </c:pt>
                <c:pt idx="58">
                  <c:v>3.3017847843845871</c:v>
                </c:pt>
                <c:pt idx="59">
                  <c:v>2.6771836742725932</c:v>
                </c:pt>
                <c:pt idx="60">
                  <c:v>2.9652676436856402</c:v>
                </c:pt>
                <c:pt idx="61">
                  <c:v>2.9144358560335077</c:v>
                </c:pt>
                <c:pt idx="62">
                  <c:v>2.948749698753681</c:v>
                </c:pt>
                <c:pt idx="63">
                  <c:v>2.5126104211921305</c:v>
                </c:pt>
                <c:pt idx="64">
                  <c:v>2.6975786628778136</c:v>
                </c:pt>
                <c:pt idx="65">
                  <c:v>2.0779879675501411</c:v>
                </c:pt>
                <c:pt idx="66">
                  <c:v>1.9548781167360414</c:v>
                </c:pt>
                <c:pt idx="67">
                  <c:v>1.695170642329473</c:v>
                </c:pt>
                <c:pt idx="68">
                  <c:v>1.4596421940822839</c:v>
                </c:pt>
                <c:pt idx="69">
                  <c:v>0.94516159597165927</c:v>
                </c:pt>
                <c:pt idx="70">
                  <c:v>0.80159129189398293</c:v>
                </c:pt>
                <c:pt idx="71">
                  <c:v>0.86686259004454258</c:v>
                </c:pt>
                <c:pt idx="72">
                  <c:v>0.20243742955734367</c:v>
                </c:pt>
                <c:pt idx="73">
                  <c:v>0.44676022526919168</c:v>
                </c:pt>
                <c:pt idx="74">
                  <c:v>-3.5951320714617416E-2</c:v>
                </c:pt>
                <c:pt idx="75">
                  <c:v>0.30047852053742424</c:v>
                </c:pt>
                <c:pt idx="76">
                  <c:v>0.30871660790372107</c:v>
                </c:pt>
                <c:pt idx="77">
                  <c:v>0.64669416141813041</c:v>
                </c:pt>
                <c:pt idx="78">
                  <c:v>0.91028209309805763</c:v>
                </c:pt>
                <c:pt idx="79">
                  <c:v>1.3486787436007015</c:v>
                </c:pt>
                <c:pt idx="80">
                  <c:v>1.0696461427280353</c:v>
                </c:pt>
                <c:pt idx="81">
                  <c:v>1.4386741200784192</c:v>
                </c:pt>
                <c:pt idx="82">
                  <c:v>1.3246203963343486</c:v>
                </c:pt>
                <c:pt idx="83">
                  <c:v>1.5427859873632876</c:v>
                </c:pt>
                <c:pt idx="84">
                  <c:v>2.2095960076418093</c:v>
                </c:pt>
                <c:pt idx="85">
                  <c:v>2.0358509607375246</c:v>
                </c:pt>
                <c:pt idx="86">
                  <c:v>2.5164196130900121</c:v>
                </c:pt>
                <c:pt idx="87">
                  <c:v>2.5656197443368685</c:v>
                </c:pt>
                <c:pt idx="88">
                  <c:v>2.6264230730069094</c:v>
                </c:pt>
                <c:pt idx="89">
                  <c:v>2.878633159836967</c:v>
                </c:pt>
                <c:pt idx="90">
                  <c:v>2.589172772088518</c:v>
                </c:pt>
                <c:pt idx="91">
                  <c:v>2.4121391369452341</c:v>
                </c:pt>
                <c:pt idx="92">
                  <c:v>2.3385388519901631</c:v>
                </c:pt>
                <c:pt idx="93">
                  <c:v>2.6496649376457801</c:v>
                </c:pt>
                <c:pt idx="94">
                  <c:v>2.2374734434820369</c:v>
                </c:pt>
                <c:pt idx="95">
                  <c:v>2.1390902263647318</c:v>
                </c:pt>
                <c:pt idx="96">
                  <c:v>1.9375696684701103</c:v>
                </c:pt>
                <c:pt idx="97">
                  <c:v>1.7318400547124662</c:v>
                </c:pt>
                <c:pt idx="98">
                  <c:v>1.4264008885450661</c:v>
                </c:pt>
                <c:pt idx="99">
                  <c:v>1.433838665791177</c:v>
                </c:pt>
                <c:pt idx="100">
                  <c:v>1.3054973068739659</c:v>
                </c:pt>
                <c:pt idx="101">
                  <c:v>0.80392751845853994</c:v>
                </c:pt>
                <c:pt idx="102">
                  <c:v>0.55649814440312206</c:v>
                </c:pt>
                <c:pt idx="103">
                  <c:v>0.94556719594838745</c:v>
                </c:pt>
                <c:pt idx="104">
                  <c:v>0.85230311659792257</c:v>
                </c:pt>
                <c:pt idx="105">
                  <c:v>1.0524944332762127</c:v>
                </c:pt>
                <c:pt idx="106">
                  <c:v>1.2458513514325402</c:v>
                </c:pt>
                <c:pt idx="107">
                  <c:v>1.7147319152664136</c:v>
                </c:pt>
                <c:pt idx="108">
                  <c:v>1.1887942692053115</c:v>
                </c:pt>
                <c:pt idx="109">
                  <c:v>1.2418236185006013</c:v>
                </c:pt>
                <c:pt idx="110">
                  <c:v>1.2656207710173333</c:v>
                </c:pt>
                <c:pt idx="111">
                  <c:v>1.2849652771368307</c:v>
                </c:pt>
                <c:pt idx="112">
                  <c:v>1.2611409174123955</c:v>
                </c:pt>
                <c:pt idx="113">
                  <c:v>1.1783644528484509</c:v>
                </c:pt>
                <c:pt idx="114">
                  <c:v>1.4639685822457316</c:v>
                </c:pt>
                <c:pt idx="115">
                  <c:v>1.4130491658717337</c:v>
                </c:pt>
                <c:pt idx="116">
                  <c:v>1.7398921932846076</c:v>
                </c:pt>
                <c:pt idx="117">
                  <c:v>0.89404633008162426</c:v>
                </c:pt>
                <c:pt idx="118">
                  <c:v>1.2819787668600737</c:v>
                </c:pt>
                <c:pt idx="119">
                  <c:v>0.82653850398908568</c:v>
                </c:pt>
                <c:pt idx="120">
                  <c:v>1.1633158223788365</c:v>
                </c:pt>
                <c:pt idx="121">
                  <c:v>0.96088756474332038</c:v>
                </c:pt>
                <c:pt idx="122">
                  <c:v>0.87290632965237125</c:v>
                </c:pt>
                <c:pt idx="123">
                  <c:v>0.74618268448926706</c:v>
                </c:pt>
                <c:pt idx="124">
                  <c:v>0.69874866944781544</c:v>
                </c:pt>
                <c:pt idx="125">
                  <c:v>0.56144143014304893</c:v>
                </c:pt>
                <c:pt idx="126">
                  <c:v>0.19028056361864587</c:v>
                </c:pt>
                <c:pt idx="127">
                  <c:v>-0.10911396200108878</c:v>
                </c:pt>
                <c:pt idx="128">
                  <c:v>9.2585434312337581E-2</c:v>
                </c:pt>
                <c:pt idx="129">
                  <c:v>0.84584590789184311</c:v>
                </c:pt>
                <c:pt idx="130">
                  <c:v>0.61534705912280396</c:v>
                </c:pt>
                <c:pt idx="131">
                  <c:v>0.48428202588843472</c:v>
                </c:pt>
                <c:pt idx="132">
                  <c:v>0.51208449751990748</c:v>
                </c:pt>
                <c:pt idx="133">
                  <c:v>0.77005935338307463</c:v>
                </c:pt>
                <c:pt idx="134">
                  <c:v>0.78790292695219732</c:v>
                </c:pt>
                <c:pt idx="135">
                  <c:v>0.64663859336307228</c:v>
                </c:pt>
                <c:pt idx="136">
                  <c:v>0.62871253258501747</c:v>
                </c:pt>
                <c:pt idx="137">
                  <c:v>0.82120663070225641</c:v>
                </c:pt>
                <c:pt idx="138">
                  <c:v>1.5633604824623928</c:v>
                </c:pt>
                <c:pt idx="139">
                  <c:v>1.3448278656948285</c:v>
                </c:pt>
                <c:pt idx="140">
                  <c:v>1.695458404684197</c:v>
                </c:pt>
                <c:pt idx="141">
                  <c:v>1.3972490393678259</c:v>
                </c:pt>
                <c:pt idx="142">
                  <c:v>1.3370477325999737</c:v>
                </c:pt>
                <c:pt idx="143">
                  <c:v>1.915493908803692</c:v>
                </c:pt>
                <c:pt idx="144">
                  <c:v>1.7286422860914843</c:v>
                </c:pt>
                <c:pt idx="145">
                  <c:v>1.864129062135613</c:v>
                </c:pt>
                <c:pt idx="146">
                  <c:v>1.9275330774232924</c:v>
                </c:pt>
                <c:pt idx="147">
                  <c:v>2.057857918397378</c:v>
                </c:pt>
                <c:pt idx="148">
                  <c:v>2.7626506027816045</c:v>
                </c:pt>
                <c:pt idx="149">
                  <c:v>3.0428887964288669</c:v>
                </c:pt>
                <c:pt idx="150">
                  <c:v>2.6527735687882905</c:v>
                </c:pt>
                <c:pt idx="151">
                  <c:v>2.6125236405754202</c:v>
                </c:pt>
                <c:pt idx="152">
                  <c:v>2.1583020466134499</c:v>
                </c:pt>
                <c:pt idx="153">
                  <c:v>2.1238609426912411</c:v>
                </c:pt>
                <c:pt idx="154">
                  <c:v>2.1900613246645948</c:v>
                </c:pt>
                <c:pt idx="155">
                  <c:v>1.7744145746292042</c:v>
                </c:pt>
                <c:pt idx="156">
                  <c:v>2.0136568281700349</c:v>
                </c:pt>
                <c:pt idx="157">
                  <c:v>1.9998100128810476</c:v>
                </c:pt>
                <c:pt idx="158">
                  <c:v>1.7093907511456163</c:v>
                </c:pt>
                <c:pt idx="159">
                  <c:v>1.45256631993866</c:v>
                </c:pt>
                <c:pt idx="160">
                  <c:v>1.0578078024578119</c:v>
                </c:pt>
                <c:pt idx="161">
                  <c:v>0.96429039361738256</c:v>
                </c:pt>
                <c:pt idx="162">
                  <c:v>1.0761802666954075</c:v>
                </c:pt>
                <c:pt idx="163">
                  <c:v>1.223261695808777</c:v>
                </c:pt>
                <c:pt idx="164">
                  <c:v>1.0805863820323049</c:v>
                </c:pt>
                <c:pt idx="165">
                  <c:v>1.4714138883591479</c:v>
                </c:pt>
                <c:pt idx="166">
                  <c:v>1.8599499885439001</c:v>
                </c:pt>
                <c:pt idx="167">
                  <c:v>2.0803069923225919</c:v>
                </c:pt>
                <c:pt idx="168">
                  <c:v>2.186022166799912</c:v>
                </c:pt>
                <c:pt idx="169">
                  <c:v>2.1670161672919739</c:v>
                </c:pt>
                <c:pt idx="170">
                  <c:v>2.8320183370811458</c:v>
                </c:pt>
                <c:pt idx="171">
                  <c:v>3.2727766571214367</c:v>
                </c:pt>
                <c:pt idx="172">
                  <c:v>3.0644898084112344</c:v>
                </c:pt>
                <c:pt idx="173">
                  <c:v>3.2764884898316584</c:v>
                </c:pt>
                <c:pt idx="174">
                  <c:v>3.4185289086515995</c:v>
                </c:pt>
                <c:pt idx="175">
                  <c:v>3.5824149972307353</c:v>
                </c:pt>
                <c:pt idx="176">
                  <c:v>3.4776572912810702</c:v>
                </c:pt>
                <c:pt idx="177">
                  <c:v>3.0565006054282517</c:v>
                </c:pt>
                <c:pt idx="178">
                  <c:v>2.7586761046057817</c:v>
                </c:pt>
                <c:pt idx="179">
                  <c:v>2.5066668260187925</c:v>
                </c:pt>
                <c:pt idx="180">
                  <c:v>2.8239300848031701</c:v>
                </c:pt>
                <c:pt idx="181">
                  <c:v>2.5305368945277862</c:v>
                </c:pt>
                <c:pt idx="182">
                  <c:v>2.4488368484670349</c:v>
                </c:pt>
                <c:pt idx="183">
                  <c:v>2.3139193248429546</c:v>
                </c:pt>
                <c:pt idx="184">
                  <c:v>2.4686325424961439</c:v>
                </c:pt>
                <c:pt idx="185">
                  <c:v>2.2778393387145246</c:v>
                </c:pt>
                <c:pt idx="186">
                  <c:v>2.1248843072005918</c:v>
                </c:pt>
                <c:pt idx="187">
                  <c:v>2.1000519873331922</c:v>
                </c:pt>
                <c:pt idx="188">
                  <c:v>2.1265316957960256</c:v>
                </c:pt>
                <c:pt idx="189">
                  <c:v>2.2758671777027666</c:v>
                </c:pt>
                <c:pt idx="190">
                  <c:v>2.4491988884763627</c:v>
                </c:pt>
                <c:pt idx="191">
                  <c:v>2.70663520188379</c:v>
                </c:pt>
                <c:pt idx="192">
                  <c:v>2.1982162073597458</c:v>
                </c:pt>
                <c:pt idx="193">
                  <c:v>2.4411390981469028</c:v>
                </c:pt>
                <c:pt idx="194">
                  <c:v>2.440806547961039</c:v>
                </c:pt>
                <c:pt idx="195">
                  <c:v>2.4882564865248558</c:v>
                </c:pt>
                <c:pt idx="196">
                  <c:v>1.9678452122958878</c:v>
                </c:pt>
                <c:pt idx="197">
                  <c:v>1.9643245365848483</c:v>
                </c:pt>
                <c:pt idx="198">
                  <c:v>2.0135741362594848</c:v>
                </c:pt>
                <c:pt idx="199">
                  <c:v>1.8917834556303126</c:v>
                </c:pt>
                <c:pt idx="200">
                  <c:v>1.9787654832862207</c:v>
                </c:pt>
                <c:pt idx="201">
                  <c:v>1.6739365797473995</c:v>
                </c:pt>
                <c:pt idx="202">
                  <c:v>-3.2091572189677455</c:v>
                </c:pt>
                <c:pt idx="203">
                  <c:v>-5.645811891617484</c:v>
                </c:pt>
                <c:pt idx="204">
                  <c:v>-3.9126623941754977</c:v>
                </c:pt>
                <c:pt idx="205">
                  <c:v>-3.2471792893579585</c:v>
                </c:pt>
                <c:pt idx="206">
                  <c:v>-2.3984049508806873</c:v>
                </c:pt>
                <c:pt idx="207">
                  <c:v>-2.8310251570139484</c:v>
                </c:pt>
                <c:pt idx="208">
                  <c:v>-1.3391746242932034</c:v>
                </c:pt>
                <c:pt idx="209">
                  <c:v>-0.97487220883360826</c:v>
                </c:pt>
                <c:pt idx="210">
                  <c:v>-0.82642012294433143</c:v>
                </c:pt>
                <c:pt idx="211">
                  <c:v>-0.71140840652015935</c:v>
                </c:pt>
                <c:pt idx="212">
                  <c:v>-0.20499987029181269</c:v>
                </c:pt>
                <c:pt idx="213">
                  <c:v>0.34135631954021661</c:v>
                </c:pt>
                <c:pt idx="214">
                  <c:v>4.9523432277421451</c:v>
                </c:pt>
                <c:pt idx="215">
                  <c:v>8.1579334526918537</c:v>
                </c:pt>
                <c:pt idx="216">
                  <c:v>6.3154257300984948</c:v>
                </c:pt>
                <c:pt idx="217">
                  <c:v>5.4389975313162067</c:v>
                </c:pt>
                <c:pt idx="218">
                  <c:v>3.1106444077148705</c:v>
                </c:pt>
                <c:pt idx="219">
                  <c:v>2.3923949238453321</c:v>
                </c:pt>
                <c:pt idx="220">
                  <c:v>0.77552643531538024</c:v>
                </c:pt>
                <c:pt idx="221">
                  <c:v>3.0594769693977826</c:v>
                </c:pt>
                <c:pt idx="222">
                  <c:v>3.3905160303445703</c:v>
                </c:pt>
                <c:pt idx="223">
                  <c:v>3.4792725440581762</c:v>
                </c:pt>
                <c:pt idx="224">
                  <c:v>3.6134957494052671</c:v>
                </c:pt>
                <c:pt idx="225">
                  <c:v>3.2689844634888039</c:v>
                </c:pt>
                <c:pt idx="226">
                  <c:v>3.7116089828841008</c:v>
                </c:pt>
                <c:pt idx="227">
                  <c:v>3.4316892530726744</c:v>
                </c:pt>
                <c:pt idx="228">
                  <c:v>3.8957580364762721</c:v>
                </c:pt>
                <c:pt idx="229">
                  <c:v>3.8060570010193131</c:v>
                </c:pt>
                <c:pt idx="230">
                  <c:v>5.267541186891961</c:v>
                </c:pt>
                <c:pt idx="231">
                  <c:v>6.4238261690152481</c:v>
                </c:pt>
                <c:pt idx="232">
                  <c:v>7.0879341865333751</c:v>
                </c:pt>
                <c:pt idx="233">
                  <c:v>4.5172707829190184</c:v>
                </c:pt>
                <c:pt idx="234">
                  <c:v>3.760296538686847</c:v>
                </c:pt>
                <c:pt idx="235">
                  <c:v>3.4405380053482522</c:v>
                </c:pt>
                <c:pt idx="236">
                  <c:v>3.2722950808307192</c:v>
                </c:pt>
                <c:pt idx="237">
                  <c:v>3.6140612188483785</c:v>
                </c:pt>
                <c:pt idx="238">
                  <c:v>3.2562931976590881</c:v>
                </c:pt>
                <c:pt idx="239">
                  <c:v>3.4376663422257892</c:v>
                </c:pt>
                <c:pt idx="240">
                  <c:v>3.0058979788321416</c:v>
                </c:pt>
              </c:numCache>
            </c:numRef>
          </c:val>
          <c:extLst>
            <c:ext xmlns:c16="http://schemas.microsoft.com/office/drawing/2014/chart" uri="{C3380CC4-5D6E-409C-BE32-E72D297353CC}">
              <c16:uniqueId val="{00000000-9D4F-4C21-B51B-E81910416B67}"/>
            </c:ext>
          </c:extLst>
        </c:ser>
        <c:dLbls>
          <c:showLegendKey val="0"/>
          <c:showVal val="0"/>
          <c:showCatName val="0"/>
          <c:showSerName val="0"/>
          <c:showPercent val="0"/>
          <c:showBubbleSize val="0"/>
        </c:dLbls>
        <c:gapWidth val="1"/>
        <c:axId val="1198492752"/>
        <c:axId val="1198483184"/>
      </c:barChart>
      <c:lineChart>
        <c:grouping val="standard"/>
        <c:varyColors val="0"/>
        <c:ser>
          <c:idx val="0"/>
          <c:order val="0"/>
          <c:tx>
            <c:strRef>
              <c:f>'LTU and employment growth'!$B$1</c:f>
              <c:strCache>
                <c:ptCount val="1"/>
                <c:pt idx="0">
                  <c:v>Long-term unemployment ('000) (LHS)</c:v>
                </c:pt>
              </c:strCache>
            </c:strRef>
          </c:tx>
          <c:spPr>
            <a:ln w="28575" cap="rnd">
              <a:solidFill>
                <a:schemeClr val="accent1"/>
              </a:solidFill>
              <a:round/>
            </a:ln>
            <a:effectLst/>
          </c:spPr>
          <c:marker>
            <c:symbol val="none"/>
          </c:marker>
          <c:cat>
            <c:numRef>
              <c:f>'LTU and employment growth'!$A$2:$A$242</c:f>
              <c:numCache>
                <c:formatCode>mmm\-yy</c:formatCode>
                <c:ptCount val="241"/>
                <c:pt idx="0">
                  <c:v>37773</c:v>
                </c:pt>
                <c:pt idx="1">
                  <c:v>37803</c:v>
                </c:pt>
                <c:pt idx="2">
                  <c:v>37834</c:v>
                </c:pt>
                <c:pt idx="3">
                  <c:v>37865</c:v>
                </c:pt>
                <c:pt idx="4">
                  <c:v>37895</c:v>
                </c:pt>
                <c:pt idx="5">
                  <c:v>37926</c:v>
                </c:pt>
                <c:pt idx="6">
                  <c:v>37956</c:v>
                </c:pt>
                <c:pt idx="7">
                  <c:v>37987</c:v>
                </c:pt>
                <c:pt idx="8">
                  <c:v>38018</c:v>
                </c:pt>
                <c:pt idx="9">
                  <c:v>38047</c:v>
                </c:pt>
                <c:pt idx="10">
                  <c:v>38078</c:v>
                </c:pt>
                <c:pt idx="11">
                  <c:v>38108</c:v>
                </c:pt>
                <c:pt idx="12">
                  <c:v>38139</c:v>
                </c:pt>
                <c:pt idx="13">
                  <c:v>38169</c:v>
                </c:pt>
                <c:pt idx="14">
                  <c:v>38200</c:v>
                </c:pt>
                <c:pt idx="15">
                  <c:v>38231</c:v>
                </c:pt>
                <c:pt idx="16">
                  <c:v>38261</c:v>
                </c:pt>
                <c:pt idx="17">
                  <c:v>38292</c:v>
                </c:pt>
                <c:pt idx="18">
                  <c:v>38322</c:v>
                </c:pt>
                <c:pt idx="19">
                  <c:v>38353</c:v>
                </c:pt>
                <c:pt idx="20">
                  <c:v>38384</c:v>
                </c:pt>
                <c:pt idx="21">
                  <c:v>38412</c:v>
                </c:pt>
                <c:pt idx="22">
                  <c:v>38443</c:v>
                </c:pt>
                <c:pt idx="23">
                  <c:v>38473</c:v>
                </c:pt>
                <c:pt idx="24">
                  <c:v>38504</c:v>
                </c:pt>
                <c:pt idx="25">
                  <c:v>38534</c:v>
                </c:pt>
                <c:pt idx="26">
                  <c:v>38565</c:v>
                </c:pt>
                <c:pt idx="27">
                  <c:v>38596</c:v>
                </c:pt>
                <c:pt idx="28">
                  <c:v>38626</c:v>
                </c:pt>
                <c:pt idx="29">
                  <c:v>38657</c:v>
                </c:pt>
                <c:pt idx="30">
                  <c:v>38687</c:v>
                </c:pt>
                <c:pt idx="31">
                  <c:v>38718</c:v>
                </c:pt>
                <c:pt idx="32">
                  <c:v>38749</c:v>
                </c:pt>
                <c:pt idx="33">
                  <c:v>38777</c:v>
                </c:pt>
                <c:pt idx="34">
                  <c:v>38808</c:v>
                </c:pt>
                <c:pt idx="35">
                  <c:v>38838</c:v>
                </c:pt>
                <c:pt idx="36">
                  <c:v>38869</c:v>
                </c:pt>
                <c:pt idx="37">
                  <c:v>38899</c:v>
                </c:pt>
                <c:pt idx="38">
                  <c:v>38930</c:v>
                </c:pt>
                <c:pt idx="39">
                  <c:v>38961</c:v>
                </c:pt>
                <c:pt idx="40">
                  <c:v>38991</c:v>
                </c:pt>
                <c:pt idx="41">
                  <c:v>39022</c:v>
                </c:pt>
                <c:pt idx="42">
                  <c:v>39052</c:v>
                </c:pt>
                <c:pt idx="43">
                  <c:v>39083</c:v>
                </c:pt>
                <c:pt idx="44">
                  <c:v>39114</c:v>
                </c:pt>
                <c:pt idx="45">
                  <c:v>39142</c:v>
                </c:pt>
                <c:pt idx="46">
                  <c:v>39173</c:v>
                </c:pt>
                <c:pt idx="47">
                  <c:v>39203</c:v>
                </c:pt>
                <c:pt idx="48">
                  <c:v>39234</c:v>
                </c:pt>
                <c:pt idx="49">
                  <c:v>39264</c:v>
                </c:pt>
                <c:pt idx="50">
                  <c:v>39295</c:v>
                </c:pt>
                <c:pt idx="51">
                  <c:v>39326</c:v>
                </c:pt>
                <c:pt idx="52">
                  <c:v>39356</c:v>
                </c:pt>
                <c:pt idx="53">
                  <c:v>39387</c:v>
                </c:pt>
                <c:pt idx="54">
                  <c:v>39417</c:v>
                </c:pt>
                <c:pt idx="55">
                  <c:v>39448</c:v>
                </c:pt>
                <c:pt idx="56">
                  <c:v>39479</c:v>
                </c:pt>
                <c:pt idx="57">
                  <c:v>39508</c:v>
                </c:pt>
                <c:pt idx="58">
                  <c:v>39539</c:v>
                </c:pt>
                <c:pt idx="59">
                  <c:v>39569</c:v>
                </c:pt>
                <c:pt idx="60">
                  <c:v>39600</c:v>
                </c:pt>
                <c:pt idx="61">
                  <c:v>39630</c:v>
                </c:pt>
                <c:pt idx="62">
                  <c:v>39661</c:v>
                </c:pt>
                <c:pt idx="63">
                  <c:v>39692</c:v>
                </c:pt>
                <c:pt idx="64">
                  <c:v>39722</c:v>
                </c:pt>
                <c:pt idx="65">
                  <c:v>39753</c:v>
                </c:pt>
                <c:pt idx="66">
                  <c:v>39783</c:v>
                </c:pt>
                <c:pt idx="67">
                  <c:v>39814</c:v>
                </c:pt>
                <c:pt idx="68">
                  <c:v>39845</c:v>
                </c:pt>
                <c:pt idx="69">
                  <c:v>39873</c:v>
                </c:pt>
                <c:pt idx="70">
                  <c:v>39904</c:v>
                </c:pt>
                <c:pt idx="71">
                  <c:v>39934</c:v>
                </c:pt>
                <c:pt idx="72">
                  <c:v>39965</c:v>
                </c:pt>
                <c:pt idx="73">
                  <c:v>39995</c:v>
                </c:pt>
                <c:pt idx="74">
                  <c:v>40026</c:v>
                </c:pt>
                <c:pt idx="75">
                  <c:v>40057</c:v>
                </c:pt>
                <c:pt idx="76">
                  <c:v>40087</c:v>
                </c:pt>
                <c:pt idx="77">
                  <c:v>40118</c:v>
                </c:pt>
                <c:pt idx="78">
                  <c:v>40148</c:v>
                </c:pt>
                <c:pt idx="79">
                  <c:v>40179</c:v>
                </c:pt>
                <c:pt idx="80">
                  <c:v>40210</c:v>
                </c:pt>
                <c:pt idx="81">
                  <c:v>40238</c:v>
                </c:pt>
                <c:pt idx="82">
                  <c:v>40269</c:v>
                </c:pt>
                <c:pt idx="83">
                  <c:v>40299</c:v>
                </c:pt>
                <c:pt idx="84">
                  <c:v>40330</c:v>
                </c:pt>
                <c:pt idx="85">
                  <c:v>40360</c:v>
                </c:pt>
                <c:pt idx="86">
                  <c:v>40391</c:v>
                </c:pt>
                <c:pt idx="87">
                  <c:v>40422</c:v>
                </c:pt>
                <c:pt idx="88">
                  <c:v>40452</c:v>
                </c:pt>
                <c:pt idx="89">
                  <c:v>40483</c:v>
                </c:pt>
                <c:pt idx="90">
                  <c:v>40513</c:v>
                </c:pt>
                <c:pt idx="91">
                  <c:v>40544</c:v>
                </c:pt>
                <c:pt idx="92">
                  <c:v>40575</c:v>
                </c:pt>
                <c:pt idx="93">
                  <c:v>40603</c:v>
                </c:pt>
                <c:pt idx="94">
                  <c:v>40634</c:v>
                </c:pt>
                <c:pt idx="95">
                  <c:v>40664</c:v>
                </c:pt>
                <c:pt idx="96">
                  <c:v>40695</c:v>
                </c:pt>
                <c:pt idx="97">
                  <c:v>40725</c:v>
                </c:pt>
                <c:pt idx="98">
                  <c:v>40756</c:v>
                </c:pt>
                <c:pt idx="99">
                  <c:v>40787</c:v>
                </c:pt>
                <c:pt idx="100">
                  <c:v>40817</c:v>
                </c:pt>
                <c:pt idx="101">
                  <c:v>40848</c:v>
                </c:pt>
                <c:pt idx="102">
                  <c:v>40878</c:v>
                </c:pt>
                <c:pt idx="103">
                  <c:v>40909</c:v>
                </c:pt>
                <c:pt idx="104">
                  <c:v>40940</c:v>
                </c:pt>
                <c:pt idx="105">
                  <c:v>40969</c:v>
                </c:pt>
                <c:pt idx="106">
                  <c:v>41000</c:v>
                </c:pt>
                <c:pt idx="107">
                  <c:v>41030</c:v>
                </c:pt>
                <c:pt idx="108">
                  <c:v>41061</c:v>
                </c:pt>
                <c:pt idx="109">
                  <c:v>41091</c:v>
                </c:pt>
                <c:pt idx="110">
                  <c:v>41122</c:v>
                </c:pt>
                <c:pt idx="111">
                  <c:v>41153</c:v>
                </c:pt>
                <c:pt idx="112">
                  <c:v>41183</c:v>
                </c:pt>
                <c:pt idx="113">
                  <c:v>41214</c:v>
                </c:pt>
                <c:pt idx="114">
                  <c:v>41244</c:v>
                </c:pt>
                <c:pt idx="115">
                  <c:v>41275</c:v>
                </c:pt>
                <c:pt idx="116">
                  <c:v>41306</c:v>
                </c:pt>
                <c:pt idx="117">
                  <c:v>41334</c:v>
                </c:pt>
                <c:pt idx="118">
                  <c:v>41365</c:v>
                </c:pt>
                <c:pt idx="119">
                  <c:v>41395</c:v>
                </c:pt>
                <c:pt idx="120">
                  <c:v>41426</c:v>
                </c:pt>
                <c:pt idx="121">
                  <c:v>41456</c:v>
                </c:pt>
                <c:pt idx="122">
                  <c:v>41487</c:v>
                </c:pt>
                <c:pt idx="123">
                  <c:v>41518</c:v>
                </c:pt>
                <c:pt idx="124">
                  <c:v>41548</c:v>
                </c:pt>
                <c:pt idx="125">
                  <c:v>41579</c:v>
                </c:pt>
                <c:pt idx="126">
                  <c:v>41609</c:v>
                </c:pt>
                <c:pt idx="127">
                  <c:v>41640</c:v>
                </c:pt>
                <c:pt idx="128">
                  <c:v>41671</c:v>
                </c:pt>
                <c:pt idx="129">
                  <c:v>41699</c:v>
                </c:pt>
                <c:pt idx="130">
                  <c:v>41730</c:v>
                </c:pt>
                <c:pt idx="131">
                  <c:v>41760</c:v>
                </c:pt>
                <c:pt idx="132">
                  <c:v>41791</c:v>
                </c:pt>
                <c:pt idx="133">
                  <c:v>41821</c:v>
                </c:pt>
                <c:pt idx="134">
                  <c:v>41852</c:v>
                </c:pt>
                <c:pt idx="135">
                  <c:v>41883</c:v>
                </c:pt>
                <c:pt idx="136">
                  <c:v>41913</c:v>
                </c:pt>
                <c:pt idx="137">
                  <c:v>41944</c:v>
                </c:pt>
                <c:pt idx="138">
                  <c:v>41974</c:v>
                </c:pt>
                <c:pt idx="139">
                  <c:v>42005</c:v>
                </c:pt>
                <c:pt idx="140">
                  <c:v>42036</c:v>
                </c:pt>
                <c:pt idx="141">
                  <c:v>42064</c:v>
                </c:pt>
                <c:pt idx="142">
                  <c:v>42095</c:v>
                </c:pt>
                <c:pt idx="143">
                  <c:v>42125</c:v>
                </c:pt>
                <c:pt idx="144">
                  <c:v>42156</c:v>
                </c:pt>
                <c:pt idx="145">
                  <c:v>42186</c:v>
                </c:pt>
                <c:pt idx="146">
                  <c:v>42217</c:v>
                </c:pt>
                <c:pt idx="147">
                  <c:v>42248</c:v>
                </c:pt>
                <c:pt idx="148">
                  <c:v>42278</c:v>
                </c:pt>
                <c:pt idx="149">
                  <c:v>42309</c:v>
                </c:pt>
                <c:pt idx="150">
                  <c:v>42339</c:v>
                </c:pt>
                <c:pt idx="151">
                  <c:v>42370</c:v>
                </c:pt>
                <c:pt idx="152">
                  <c:v>42401</c:v>
                </c:pt>
                <c:pt idx="153">
                  <c:v>42430</c:v>
                </c:pt>
                <c:pt idx="154">
                  <c:v>42461</c:v>
                </c:pt>
                <c:pt idx="155">
                  <c:v>42491</c:v>
                </c:pt>
                <c:pt idx="156">
                  <c:v>42522</c:v>
                </c:pt>
                <c:pt idx="157">
                  <c:v>42552</c:v>
                </c:pt>
                <c:pt idx="158">
                  <c:v>42583</c:v>
                </c:pt>
                <c:pt idx="159">
                  <c:v>42614</c:v>
                </c:pt>
                <c:pt idx="160">
                  <c:v>42644</c:v>
                </c:pt>
                <c:pt idx="161">
                  <c:v>42675</c:v>
                </c:pt>
                <c:pt idx="162">
                  <c:v>42705</c:v>
                </c:pt>
                <c:pt idx="163">
                  <c:v>42736</c:v>
                </c:pt>
                <c:pt idx="164">
                  <c:v>42767</c:v>
                </c:pt>
                <c:pt idx="165">
                  <c:v>42795</c:v>
                </c:pt>
                <c:pt idx="166">
                  <c:v>42826</c:v>
                </c:pt>
                <c:pt idx="167">
                  <c:v>42856</c:v>
                </c:pt>
                <c:pt idx="168">
                  <c:v>42887</c:v>
                </c:pt>
                <c:pt idx="169">
                  <c:v>42917</c:v>
                </c:pt>
                <c:pt idx="170">
                  <c:v>42948</c:v>
                </c:pt>
                <c:pt idx="171">
                  <c:v>42979</c:v>
                </c:pt>
                <c:pt idx="172">
                  <c:v>43009</c:v>
                </c:pt>
                <c:pt idx="173">
                  <c:v>43040</c:v>
                </c:pt>
                <c:pt idx="174">
                  <c:v>43070</c:v>
                </c:pt>
                <c:pt idx="175">
                  <c:v>43101</c:v>
                </c:pt>
                <c:pt idx="176">
                  <c:v>43132</c:v>
                </c:pt>
                <c:pt idx="177">
                  <c:v>43160</c:v>
                </c:pt>
                <c:pt idx="178">
                  <c:v>43191</c:v>
                </c:pt>
                <c:pt idx="179">
                  <c:v>43221</c:v>
                </c:pt>
                <c:pt idx="180">
                  <c:v>43252</c:v>
                </c:pt>
                <c:pt idx="181">
                  <c:v>43282</c:v>
                </c:pt>
                <c:pt idx="182">
                  <c:v>43313</c:v>
                </c:pt>
                <c:pt idx="183">
                  <c:v>43344</c:v>
                </c:pt>
                <c:pt idx="184">
                  <c:v>43374</c:v>
                </c:pt>
                <c:pt idx="185">
                  <c:v>43405</c:v>
                </c:pt>
                <c:pt idx="186">
                  <c:v>43435</c:v>
                </c:pt>
                <c:pt idx="187">
                  <c:v>43466</c:v>
                </c:pt>
                <c:pt idx="188">
                  <c:v>43497</c:v>
                </c:pt>
                <c:pt idx="189">
                  <c:v>43525</c:v>
                </c:pt>
                <c:pt idx="190">
                  <c:v>43556</c:v>
                </c:pt>
                <c:pt idx="191">
                  <c:v>43586</c:v>
                </c:pt>
                <c:pt idx="192">
                  <c:v>43617</c:v>
                </c:pt>
                <c:pt idx="193">
                  <c:v>43647</c:v>
                </c:pt>
                <c:pt idx="194">
                  <c:v>43678</c:v>
                </c:pt>
                <c:pt idx="195">
                  <c:v>43709</c:v>
                </c:pt>
                <c:pt idx="196">
                  <c:v>43739</c:v>
                </c:pt>
                <c:pt idx="197">
                  <c:v>43770</c:v>
                </c:pt>
                <c:pt idx="198">
                  <c:v>43800</c:v>
                </c:pt>
                <c:pt idx="199">
                  <c:v>43831</c:v>
                </c:pt>
                <c:pt idx="200">
                  <c:v>43862</c:v>
                </c:pt>
                <c:pt idx="201">
                  <c:v>43891</c:v>
                </c:pt>
                <c:pt idx="202">
                  <c:v>43922</c:v>
                </c:pt>
                <c:pt idx="203">
                  <c:v>43952</c:v>
                </c:pt>
                <c:pt idx="204">
                  <c:v>43983</c:v>
                </c:pt>
                <c:pt idx="205">
                  <c:v>44013</c:v>
                </c:pt>
                <c:pt idx="206">
                  <c:v>44044</c:v>
                </c:pt>
                <c:pt idx="207">
                  <c:v>44075</c:v>
                </c:pt>
                <c:pt idx="208">
                  <c:v>44105</c:v>
                </c:pt>
                <c:pt idx="209">
                  <c:v>44136</c:v>
                </c:pt>
                <c:pt idx="210">
                  <c:v>44166</c:v>
                </c:pt>
                <c:pt idx="211">
                  <c:v>44197</c:v>
                </c:pt>
                <c:pt idx="212">
                  <c:v>44228</c:v>
                </c:pt>
                <c:pt idx="213">
                  <c:v>44256</c:v>
                </c:pt>
                <c:pt idx="214">
                  <c:v>44287</c:v>
                </c:pt>
                <c:pt idx="215">
                  <c:v>44317</c:v>
                </c:pt>
                <c:pt idx="216">
                  <c:v>44348</c:v>
                </c:pt>
                <c:pt idx="217">
                  <c:v>44378</c:v>
                </c:pt>
                <c:pt idx="218">
                  <c:v>44409</c:v>
                </c:pt>
                <c:pt idx="219">
                  <c:v>44440</c:v>
                </c:pt>
                <c:pt idx="220">
                  <c:v>44470</c:v>
                </c:pt>
                <c:pt idx="221">
                  <c:v>44501</c:v>
                </c:pt>
                <c:pt idx="222">
                  <c:v>44531</c:v>
                </c:pt>
                <c:pt idx="223">
                  <c:v>44562</c:v>
                </c:pt>
                <c:pt idx="224">
                  <c:v>44593</c:v>
                </c:pt>
                <c:pt idx="225">
                  <c:v>44621</c:v>
                </c:pt>
                <c:pt idx="226">
                  <c:v>44652</c:v>
                </c:pt>
                <c:pt idx="227">
                  <c:v>44682</c:v>
                </c:pt>
                <c:pt idx="228">
                  <c:v>44713</c:v>
                </c:pt>
                <c:pt idx="229">
                  <c:v>44743</c:v>
                </c:pt>
                <c:pt idx="230">
                  <c:v>44774</c:v>
                </c:pt>
                <c:pt idx="231">
                  <c:v>44805</c:v>
                </c:pt>
                <c:pt idx="232">
                  <c:v>44835</c:v>
                </c:pt>
                <c:pt idx="233">
                  <c:v>44866</c:v>
                </c:pt>
                <c:pt idx="234">
                  <c:v>44896</c:v>
                </c:pt>
                <c:pt idx="235">
                  <c:v>44927</c:v>
                </c:pt>
                <c:pt idx="236">
                  <c:v>44958</c:v>
                </c:pt>
                <c:pt idx="237">
                  <c:v>44986</c:v>
                </c:pt>
                <c:pt idx="238">
                  <c:v>45017</c:v>
                </c:pt>
                <c:pt idx="239">
                  <c:v>45047</c:v>
                </c:pt>
                <c:pt idx="240">
                  <c:v>45078</c:v>
                </c:pt>
              </c:numCache>
            </c:numRef>
          </c:cat>
          <c:val>
            <c:numRef>
              <c:f>'LTU and employment growth'!$B$2:$B$242</c:f>
              <c:numCache>
                <c:formatCode>0.0</c:formatCode>
                <c:ptCount val="241"/>
                <c:pt idx="0">
                  <c:v>131.78478279999999</c:v>
                </c:pt>
                <c:pt idx="1">
                  <c:v>125.3872204</c:v>
                </c:pt>
                <c:pt idx="2">
                  <c:v>127.45354829999999</c:v>
                </c:pt>
                <c:pt idx="3">
                  <c:v>122.5531343</c:v>
                </c:pt>
                <c:pt idx="4">
                  <c:v>120.01645310000001</c:v>
                </c:pt>
                <c:pt idx="5">
                  <c:v>121.7625743</c:v>
                </c:pt>
                <c:pt idx="6">
                  <c:v>116.51193069999999</c:v>
                </c:pt>
                <c:pt idx="7">
                  <c:v>114.65472339999999</c:v>
                </c:pt>
                <c:pt idx="8">
                  <c:v>114.06607080000001</c:v>
                </c:pt>
                <c:pt idx="9">
                  <c:v>116.4560036</c:v>
                </c:pt>
                <c:pt idx="10">
                  <c:v>113.58910899999999</c:v>
                </c:pt>
                <c:pt idx="11">
                  <c:v>110.1514225</c:v>
                </c:pt>
                <c:pt idx="12">
                  <c:v>114.1519943</c:v>
                </c:pt>
                <c:pt idx="13">
                  <c:v>117.6694956</c:v>
                </c:pt>
                <c:pt idx="14">
                  <c:v>113.07485800000001</c:v>
                </c:pt>
                <c:pt idx="15">
                  <c:v>118.5679343</c:v>
                </c:pt>
                <c:pt idx="16">
                  <c:v>110.7951365</c:v>
                </c:pt>
                <c:pt idx="17">
                  <c:v>100.1581661</c:v>
                </c:pt>
                <c:pt idx="18">
                  <c:v>96.7607304</c:v>
                </c:pt>
                <c:pt idx="19">
                  <c:v>103.0625728</c:v>
                </c:pt>
                <c:pt idx="20">
                  <c:v>101.64266430000001</c:v>
                </c:pt>
                <c:pt idx="21">
                  <c:v>91.250837099999998</c:v>
                </c:pt>
                <c:pt idx="22">
                  <c:v>93.829040699999993</c:v>
                </c:pt>
                <c:pt idx="23">
                  <c:v>96.897870999999995</c:v>
                </c:pt>
                <c:pt idx="24">
                  <c:v>94.932181099999994</c:v>
                </c:pt>
                <c:pt idx="25">
                  <c:v>89.963078600000003</c:v>
                </c:pt>
                <c:pt idx="26">
                  <c:v>90.179477800000001</c:v>
                </c:pt>
                <c:pt idx="27">
                  <c:v>92.2024799</c:v>
                </c:pt>
                <c:pt idx="28">
                  <c:v>98.621625600000002</c:v>
                </c:pt>
                <c:pt idx="29">
                  <c:v>92.831094199999995</c:v>
                </c:pt>
                <c:pt idx="30">
                  <c:v>92.890870899999996</c:v>
                </c:pt>
                <c:pt idx="31">
                  <c:v>103.28037</c:v>
                </c:pt>
                <c:pt idx="32">
                  <c:v>90.433566999999996</c:v>
                </c:pt>
                <c:pt idx="33">
                  <c:v>95.092860700000003</c:v>
                </c:pt>
                <c:pt idx="34">
                  <c:v>98.554069499999997</c:v>
                </c:pt>
                <c:pt idx="35">
                  <c:v>96.086896699999997</c:v>
                </c:pt>
                <c:pt idx="36">
                  <c:v>91.921104200000002</c:v>
                </c:pt>
                <c:pt idx="37">
                  <c:v>99.121937599999995</c:v>
                </c:pt>
                <c:pt idx="38">
                  <c:v>90.215108000000001</c:v>
                </c:pt>
                <c:pt idx="39">
                  <c:v>84.693518299999994</c:v>
                </c:pt>
                <c:pt idx="40">
                  <c:v>79.532294899999997</c:v>
                </c:pt>
                <c:pt idx="41">
                  <c:v>83.910513499999993</c:v>
                </c:pt>
                <c:pt idx="42">
                  <c:v>87.366641700000002</c:v>
                </c:pt>
                <c:pt idx="43">
                  <c:v>83.062473100000005</c:v>
                </c:pt>
                <c:pt idx="44">
                  <c:v>81.080857699999996</c:v>
                </c:pt>
                <c:pt idx="45">
                  <c:v>76.996787600000005</c:v>
                </c:pt>
                <c:pt idx="46">
                  <c:v>78.413398599999994</c:v>
                </c:pt>
                <c:pt idx="47">
                  <c:v>70.657197400000001</c:v>
                </c:pt>
                <c:pt idx="48">
                  <c:v>65.193315999999996</c:v>
                </c:pt>
                <c:pt idx="49">
                  <c:v>76.884620499999997</c:v>
                </c:pt>
                <c:pt idx="50">
                  <c:v>66.650926400000003</c:v>
                </c:pt>
                <c:pt idx="51">
                  <c:v>69.873121600000005</c:v>
                </c:pt>
                <c:pt idx="52">
                  <c:v>68.306277499999993</c:v>
                </c:pt>
                <c:pt idx="53">
                  <c:v>68.782785700000005</c:v>
                </c:pt>
                <c:pt idx="54">
                  <c:v>69.257755000000003</c:v>
                </c:pt>
                <c:pt idx="55">
                  <c:v>69.286452600000004</c:v>
                </c:pt>
                <c:pt idx="56">
                  <c:v>71.3844019</c:v>
                </c:pt>
                <c:pt idx="57">
                  <c:v>70.650196899999997</c:v>
                </c:pt>
                <c:pt idx="58">
                  <c:v>74.530904800000002</c:v>
                </c:pt>
                <c:pt idx="59">
                  <c:v>70.861825499999995</c:v>
                </c:pt>
                <c:pt idx="60">
                  <c:v>66.199047500000006</c:v>
                </c:pt>
                <c:pt idx="61">
                  <c:v>65.683662699999999</c:v>
                </c:pt>
                <c:pt idx="62">
                  <c:v>65.608027899999996</c:v>
                </c:pt>
                <c:pt idx="63">
                  <c:v>77.809216899999996</c:v>
                </c:pt>
                <c:pt idx="64">
                  <c:v>73.777797899999996</c:v>
                </c:pt>
                <c:pt idx="65">
                  <c:v>70.857773499999993</c:v>
                </c:pt>
                <c:pt idx="66">
                  <c:v>69.5027537</c:v>
                </c:pt>
                <c:pt idx="67">
                  <c:v>72.881180700000002</c:v>
                </c:pt>
                <c:pt idx="68">
                  <c:v>81.911547999999996</c:v>
                </c:pt>
                <c:pt idx="69">
                  <c:v>83.932030800000007</c:v>
                </c:pt>
                <c:pt idx="70">
                  <c:v>76.819252399999996</c:v>
                </c:pt>
                <c:pt idx="71">
                  <c:v>85.651150200000004</c:v>
                </c:pt>
                <c:pt idx="72">
                  <c:v>107.083855</c:v>
                </c:pt>
                <c:pt idx="73">
                  <c:v>99.586100700000003</c:v>
                </c:pt>
                <c:pt idx="74">
                  <c:v>97.289337099999997</c:v>
                </c:pt>
                <c:pt idx="75">
                  <c:v>98.472540100000003</c:v>
                </c:pt>
                <c:pt idx="76">
                  <c:v>100.9819425</c:v>
                </c:pt>
                <c:pt idx="77">
                  <c:v>107.80561109999999</c:v>
                </c:pt>
                <c:pt idx="78">
                  <c:v>114.14246919999999</c:v>
                </c:pt>
                <c:pt idx="79">
                  <c:v>108.1436157</c:v>
                </c:pt>
                <c:pt idx="80">
                  <c:v>108.7765064</c:v>
                </c:pt>
                <c:pt idx="81">
                  <c:v>105.64638549999999</c:v>
                </c:pt>
                <c:pt idx="82">
                  <c:v>111.720628</c:v>
                </c:pt>
                <c:pt idx="83">
                  <c:v>109.2940055</c:v>
                </c:pt>
                <c:pt idx="84">
                  <c:v>111.7351851</c:v>
                </c:pt>
                <c:pt idx="85">
                  <c:v>109.7304183</c:v>
                </c:pt>
                <c:pt idx="86">
                  <c:v>106.4812357</c:v>
                </c:pt>
                <c:pt idx="87">
                  <c:v>115.8058089</c:v>
                </c:pt>
                <c:pt idx="88">
                  <c:v>128.97980989999999</c:v>
                </c:pt>
                <c:pt idx="89">
                  <c:v>117.0545879</c:v>
                </c:pt>
                <c:pt idx="90">
                  <c:v>111.949731</c:v>
                </c:pt>
                <c:pt idx="91">
                  <c:v>108.0784036</c:v>
                </c:pt>
                <c:pt idx="92">
                  <c:v>110.88915660000001</c:v>
                </c:pt>
                <c:pt idx="93">
                  <c:v>115.31694950000001</c:v>
                </c:pt>
                <c:pt idx="94">
                  <c:v>109.94058680000001</c:v>
                </c:pt>
                <c:pt idx="95">
                  <c:v>118.2955527</c:v>
                </c:pt>
                <c:pt idx="96">
                  <c:v>111.5670056</c:v>
                </c:pt>
                <c:pt idx="97">
                  <c:v>110.8198814</c:v>
                </c:pt>
                <c:pt idx="98">
                  <c:v>125.6795379</c:v>
                </c:pt>
                <c:pt idx="99">
                  <c:v>108.8977661</c:v>
                </c:pt>
                <c:pt idx="100">
                  <c:v>116.80357619999999</c:v>
                </c:pt>
                <c:pt idx="101">
                  <c:v>110.91336750000001</c:v>
                </c:pt>
                <c:pt idx="102">
                  <c:v>110.07026430000001</c:v>
                </c:pt>
                <c:pt idx="103">
                  <c:v>126.9079102</c:v>
                </c:pt>
                <c:pt idx="104">
                  <c:v>112.0076715</c:v>
                </c:pt>
                <c:pt idx="105">
                  <c:v>114.2125242</c:v>
                </c:pt>
                <c:pt idx="106">
                  <c:v>117.50795119999999</c:v>
                </c:pt>
                <c:pt idx="107">
                  <c:v>112.4611577</c:v>
                </c:pt>
                <c:pt idx="108">
                  <c:v>111.6134601</c:v>
                </c:pt>
                <c:pt idx="109">
                  <c:v>111.3276796</c:v>
                </c:pt>
                <c:pt idx="110">
                  <c:v>120.1855401</c:v>
                </c:pt>
                <c:pt idx="111">
                  <c:v>119.7488851</c:v>
                </c:pt>
                <c:pt idx="112">
                  <c:v>120.66777260000001</c:v>
                </c:pt>
                <c:pt idx="113">
                  <c:v>132.17068169999999</c:v>
                </c:pt>
                <c:pt idx="114">
                  <c:v>120.34326299999999</c:v>
                </c:pt>
                <c:pt idx="115">
                  <c:v>119.6863803</c:v>
                </c:pt>
                <c:pt idx="116">
                  <c:v>114.5285394</c:v>
                </c:pt>
                <c:pt idx="117">
                  <c:v>119.03358160000001</c:v>
                </c:pt>
                <c:pt idx="118">
                  <c:v>114.70627399999999</c:v>
                </c:pt>
                <c:pt idx="119">
                  <c:v>128.3050824</c:v>
                </c:pt>
                <c:pt idx="120">
                  <c:v>130.7921393</c:v>
                </c:pt>
                <c:pt idx="121">
                  <c:v>136.608261</c:v>
                </c:pt>
                <c:pt idx="122">
                  <c:v>134.1256415</c:v>
                </c:pt>
                <c:pt idx="123">
                  <c:v>130.9376877</c:v>
                </c:pt>
                <c:pt idx="124">
                  <c:v>147.82053909999999</c:v>
                </c:pt>
                <c:pt idx="125">
                  <c:v>147.611481</c:v>
                </c:pt>
                <c:pt idx="126">
                  <c:v>153.91823890000001</c:v>
                </c:pt>
                <c:pt idx="127">
                  <c:v>147.76219040000001</c:v>
                </c:pt>
                <c:pt idx="128">
                  <c:v>154.56081370000001</c:v>
                </c:pt>
                <c:pt idx="129">
                  <c:v>161.89651169999999</c:v>
                </c:pt>
                <c:pt idx="130">
                  <c:v>156.2828925</c:v>
                </c:pt>
                <c:pt idx="131">
                  <c:v>170.5847057</c:v>
                </c:pt>
                <c:pt idx="132">
                  <c:v>168.6916229</c:v>
                </c:pt>
                <c:pt idx="133">
                  <c:v>178.1348065</c:v>
                </c:pt>
                <c:pt idx="134">
                  <c:v>163.49939639999999</c:v>
                </c:pt>
                <c:pt idx="135">
                  <c:v>158.41217510000001</c:v>
                </c:pt>
                <c:pt idx="136">
                  <c:v>169.0602131</c:v>
                </c:pt>
                <c:pt idx="137">
                  <c:v>167.173393</c:v>
                </c:pt>
                <c:pt idx="138">
                  <c:v>174.9416865</c:v>
                </c:pt>
                <c:pt idx="139">
                  <c:v>184.1125184</c:v>
                </c:pt>
                <c:pt idx="140">
                  <c:v>186.6789498</c:v>
                </c:pt>
                <c:pt idx="141">
                  <c:v>185.8059131</c:v>
                </c:pt>
                <c:pt idx="142">
                  <c:v>182.65872450000001</c:v>
                </c:pt>
                <c:pt idx="143">
                  <c:v>173.2325318</c:v>
                </c:pt>
                <c:pt idx="144">
                  <c:v>183.67719349999999</c:v>
                </c:pt>
                <c:pt idx="145">
                  <c:v>177.00281380000001</c:v>
                </c:pt>
                <c:pt idx="146">
                  <c:v>179.08700920000001</c:v>
                </c:pt>
                <c:pt idx="147">
                  <c:v>181.03297509999999</c:v>
                </c:pt>
                <c:pt idx="148">
                  <c:v>166.0367431</c:v>
                </c:pt>
                <c:pt idx="149">
                  <c:v>160.90541339999999</c:v>
                </c:pt>
                <c:pt idx="150">
                  <c:v>157.9488498</c:v>
                </c:pt>
                <c:pt idx="151">
                  <c:v>173.2041811</c:v>
                </c:pt>
                <c:pt idx="152">
                  <c:v>172.34423039999999</c:v>
                </c:pt>
                <c:pt idx="153">
                  <c:v>171.76943650000001</c:v>
                </c:pt>
                <c:pt idx="154">
                  <c:v>168.60830490000001</c:v>
                </c:pt>
                <c:pt idx="155">
                  <c:v>165.2953602</c:v>
                </c:pt>
                <c:pt idx="156">
                  <c:v>167.2932046</c:v>
                </c:pt>
                <c:pt idx="157">
                  <c:v>164.7475742</c:v>
                </c:pt>
                <c:pt idx="158">
                  <c:v>168.76194659999999</c:v>
                </c:pt>
                <c:pt idx="159">
                  <c:v>175.9239924</c:v>
                </c:pt>
                <c:pt idx="160">
                  <c:v>179.0357387</c:v>
                </c:pt>
                <c:pt idx="161">
                  <c:v>181.12312510000001</c:v>
                </c:pt>
                <c:pt idx="162">
                  <c:v>174.11413279999999</c:v>
                </c:pt>
                <c:pt idx="163">
                  <c:v>181.96214610000001</c:v>
                </c:pt>
                <c:pt idx="164">
                  <c:v>175.51443309999999</c:v>
                </c:pt>
                <c:pt idx="165">
                  <c:v>175.31584939999999</c:v>
                </c:pt>
                <c:pt idx="166">
                  <c:v>174.437961</c:v>
                </c:pt>
                <c:pt idx="167">
                  <c:v>165.8450819</c:v>
                </c:pt>
                <c:pt idx="168">
                  <c:v>155.06307319999999</c:v>
                </c:pt>
                <c:pt idx="169">
                  <c:v>165.93552589999999</c:v>
                </c:pt>
                <c:pt idx="170">
                  <c:v>171.33571739999999</c:v>
                </c:pt>
                <c:pt idx="171">
                  <c:v>166.70462649999999</c:v>
                </c:pt>
                <c:pt idx="172">
                  <c:v>164.62438320000001</c:v>
                </c:pt>
                <c:pt idx="173">
                  <c:v>164.70851149999999</c:v>
                </c:pt>
                <c:pt idx="174">
                  <c:v>176.1855893</c:v>
                </c:pt>
                <c:pt idx="175">
                  <c:v>170.85145120000001</c:v>
                </c:pt>
                <c:pt idx="176">
                  <c:v>172.6553189</c:v>
                </c:pt>
                <c:pt idx="177">
                  <c:v>173.57370789999999</c:v>
                </c:pt>
                <c:pt idx="178">
                  <c:v>187.62970870000001</c:v>
                </c:pt>
                <c:pt idx="179">
                  <c:v>182.1364729</c:v>
                </c:pt>
                <c:pt idx="180">
                  <c:v>174.04572709999999</c:v>
                </c:pt>
                <c:pt idx="181">
                  <c:v>175.36242179999999</c:v>
                </c:pt>
                <c:pt idx="182">
                  <c:v>176.06956339999999</c:v>
                </c:pt>
                <c:pt idx="183">
                  <c:v>174.2970598</c:v>
                </c:pt>
                <c:pt idx="184">
                  <c:v>165.9479844</c:v>
                </c:pt>
                <c:pt idx="185">
                  <c:v>161.9507006</c:v>
                </c:pt>
                <c:pt idx="186">
                  <c:v>150.62612469999999</c:v>
                </c:pt>
                <c:pt idx="187">
                  <c:v>161.0507265</c:v>
                </c:pt>
                <c:pt idx="188">
                  <c:v>160.6169731</c:v>
                </c:pt>
                <c:pt idx="189">
                  <c:v>147.58431849999999</c:v>
                </c:pt>
                <c:pt idx="190">
                  <c:v>169.57180220000001</c:v>
                </c:pt>
                <c:pt idx="191">
                  <c:v>173.3034571</c:v>
                </c:pt>
                <c:pt idx="192">
                  <c:v>173.99096449999999</c:v>
                </c:pt>
                <c:pt idx="193">
                  <c:v>166.79089640000001</c:v>
                </c:pt>
                <c:pt idx="194">
                  <c:v>173.9886746</c:v>
                </c:pt>
                <c:pt idx="195">
                  <c:v>171.39188669999999</c:v>
                </c:pt>
                <c:pt idx="196">
                  <c:v>176.1354139</c:v>
                </c:pt>
                <c:pt idx="197">
                  <c:v>174.0518592</c:v>
                </c:pt>
                <c:pt idx="198">
                  <c:v>176.87858309999999</c:v>
                </c:pt>
                <c:pt idx="199">
                  <c:v>185.50984700000001</c:v>
                </c:pt>
                <c:pt idx="200">
                  <c:v>172.92633499999999</c:v>
                </c:pt>
                <c:pt idx="201">
                  <c:v>171.75445310000001</c:v>
                </c:pt>
                <c:pt idx="202">
                  <c:v>132.51483260000001</c:v>
                </c:pt>
                <c:pt idx="203">
                  <c:v>143.43575509999999</c:v>
                </c:pt>
                <c:pt idx="204">
                  <c:v>153.37250510000001</c:v>
                </c:pt>
                <c:pt idx="205">
                  <c:v>190.4614918</c:v>
                </c:pt>
                <c:pt idx="206">
                  <c:v>188.99628630000001</c:v>
                </c:pt>
                <c:pt idx="207">
                  <c:v>193.73625559999999</c:v>
                </c:pt>
                <c:pt idx="208">
                  <c:v>196.5430226</c:v>
                </c:pt>
                <c:pt idx="209">
                  <c:v>200.7329556</c:v>
                </c:pt>
                <c:pt idx="210">
                  <c:v>199.2177471</c:v>
                </c:pt>
                <c:pt idx="211">
                  <c:v>215.81057770000001</c:v>
                </c:pt>
                <c:pt idx="212">
                  <c:v>203.12760259999999</c:v>
                </c:pt>
                <c:pt idx="213">
                  <c:v>236.7390647</c:v>
                </c:pt>
                <c:pt idx="214">
                  <c:v>248.6934392</c:v>
                </c:pt>
                <c:pt idx="215">
                  <c:v>223.1464991</c:v>
                </c:pt>
                <c:pt idx="216">
                  <c:v>214.2081326</c:v>
                </c:pt>
                <c:pt idx="217">
                  <c:v>202.95024739999999</c:v>
                </c:pt>
                <c:pt idx="218">
                  <c:v>186.22773029999999</c:v>
                </c:pt>
                <c:pt idx="219">
                  <c:v>188.99477709999999</c:v>
                </c:pt>
                <c:pt idx="220">
                  <c:v>186.57823970000001</c:v>
                </c:pt>
                <c:pt idx="221">
                  <c:v>180.3490372</c:v>
                </c:pt>
                <c:pt idx="222">
                  <c:v>148.6060439</c:v>
                </c:pt>
                <c:pt idx="223">
                  <c:v>150.3140247</c:v>
                </c:pt>
                <c:pt idx="224">
                  <c:v>146.9141195</c:v>
                </c:pt>
                <c:pt idx="225">
                  <c:v>135.62713350000001</c:v>
                </c:pt>
                <c:pt idx="226">
                  <c:v>137.25104899999999</c:v>
                </c:pt>
                <c:pt idx="227">
                  <c:v>133.02227569999999</c:v>
                </c:pt>
                <c:pt idx="228">
                  <c:v>129.90082219999999</c:v>
                </c:pt>
                <c:pt idx="229">
                  <c:v>121.90966210000001</c:v>
                </c:pt>
                <c:pt idx="230">
                  <c:v>119.0741249</c:v>
                </c:pt>
                <c:pt idx="231">
                  <c:v>126.8259304</c:v>
                </c:pt>
                <c:pt idx="232">
                  <c:v>114.7447397</c:v>
                </c:pt>
                <c:pt idx="233">
                  <c:v>105.9868616</c:v>
                </c:pt>
                <c:pt idx="234">
                  <c:v>111.9539944</c:v>
                </c:pt>
                <c:pt idx="235">
                  <c:v>112.7851646</c:v>
                </c:pt>
                <c:pt idx="236">
                  <c:v>102.56906909999999</c:v>
                </c:pt>
                <c:pt idx="237">
                  <c:v>99.860655300000005</c:v>
                </c:pt>
                <c:pt idx="238">
                  <c:v>85.899018999999996</c:v>
                </c:pt>
                <c:pt idx="239">
                  <c:v>91.946171300000003</c:v>
                </c:pt>
                <c:pt idx="240">
                  <c:v>100.4206514</c:v>
                </c:pt>
              </c:numCache>
            </c:numRef>
          </c:val>
          <c:smooth val="0"/>
          <c:extLst>
            <c:ext xmlns:c16="http://schemas.microsoft.com/office/drawing/2014/chart" uri="{C3380CC4-5D6E-409C-BE32-E72D297353CC}">
              <c16:uniqueId val="{00000001-9D4F-4C21-B51B-E81910416B67}"/>
            </c:ext>
          </c:extLst>
        </c:ser>
        <c:dLbls>
          <c:showLegendKey val="0"/>
          <c:showVal val="0"/>
          <c:showCatName val="0"/>
          <c:showSerName val="0"/>
          <c:showPercent val="0"/>
          <c:showBubbleSize val="0"/>
        </c:dLbls>
        <c:marker val="1"/>
        <c:smooth val="0"/>
        <c:axId val="1817995840"/>
        <c:axId val="1819956576"/>
      </c:lineChart>
      <c:dateAx>
        <c:axId val="1817995840"/>
        <c:scaling>
          <c:orientation val="minMax"/>
        </c:scaling>
        <c:delete val="0"/>
        <c:axPos val="b"/>
        <c:numFmt formatCode="mmm\-yy"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819956576"/>
        <c:crosses val="autoZero"/>
        <c:auto val="1"/>
        <c:lblOffset val="100"/>
        <c:baseTimeUnit val="months"/>
        <c:majorUnit val="24"/>
        <c:majorTimeUnit val="months"/>
      </c:dateAx>
      <c:valAx>
        <c:axId val="1819956576"/>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b="0" i="0"/>
                  <a:t>Long-term unemployment ('000)</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817995840"/>
        <c:crosses val="autoZero"/>
        <c:crossBetween val="between"/>
      </c:valAx>
      <c:valAx>
        <c:axId val="1198483184"/>
        <c:scaling>
          <c:orientation val="minMax"/>
          <c:min val="-6"/>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AU" b="0"/>
                  <a:t>Annual employment growth (%)</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8492752"/>
        <c:crosses val="max"/>
        <c:crossBetween val="between"/>
      </c:valAx>
      <c:dateAx>
        <c:axId val="1198492752"/>
        <c:scaling>
          <c:orientation val="minMax"/>
        </c:scaling>
        <c:delete val="1"/>
        <c:axPos val="b"/>
        <c:numFmt formatCode="mmm\-yy" sourceLinked="1"/>
        <c:majorTickMark val="out"/>
        <c:minorTickMark val="none"/>
        <c:tickLblPos val="nextTo"/>
        <c:crossAx val="1198483184"/>
        <c:crosses val="autoZero"/>
        <c:auto val="1"/>
        <c:lblOffset val="100"/>
        <c:baseTimeUnit val="months"/>
        <c:majorUnit val="1"/>
        <c:minorUnit val="1"/>
      </c:dateAx>
      <c:spPr>
        <a:noFill/>
        <a:ln>
          <a:noFill/>
        </a:ln>
        <a:effectLst/>
      </c:spPr>
    </c:plotArea>
    <c:legend>
      <c:legendPos val="r"/>
      <c:layout>
        <c:manualLayout>
          <c:xMode val="edge"/>
          <c:yMode val="edge"/>
          <c:x val="0.13545154188303077"/>
          <c:y val="2.5644033821717052E-2"/>
          <c:w val="0.44457115959256505"/>
          <c:h val="0.13097061867244497"/>
        </c:manualLayout>
      </c:layout>
      <c:overlay val="1"/>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b="1">
          <a:solidFill>
            <a:sysClr val="windowText" lastClr="000000"/>
          </a:solidFill>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'Recruitment by state '!$A$2</c:f>
              <c:strCache>
                <c:ptCount val="1"/>
                <c:pt idx="0">
                  <c:v>June quarter 2021</c:v>
                </c:pt>
              </c:strCache>
            </c:strRef>
          </c:tx>
          <c:spPr>
            <a:solidFill>
              <a:schemeClr val="accent1"/>
            </a:solidFill>
            <a:ln>
              <a:noFill/>
            </a:ln>
            <a:effectLst/>
          </c:spPr>
          <c:invertIfNegative val="0"/>
          <c:cat>
            <c:strRef>
              <c:f>'Recruitment by state '!$B$1:$G$1</c:f>
              <c:strCache>
                <c:ptCount val="6"/>
                <c:pt idx="0">
                  <c:v>New South Wales</c:v>
                </c:pt>
                <c:pt idx="1">
                  <c:v>Victoria</c:v>
                </c:pt>
                <c:pt idx="2">
                  <c:v>Queensland</c:v>
                </c:pt>
                <c:pt idx="3">
                  <c:v>South Australia</c:v>
                </c:pt>
                <c:pt idx="4">
                  <c:v>Western Australia</c:v>
                </c:pt>
                <c:pt idx="5">
                  <c:v>Tasmania</c:v>
                </c:pt>
              </c:strCache>
            </c:strRef>
          </c:cat>
          <c:val>
            <c:numRef>
              <c:f>'Recruitment by state '!$B$2:$G$2</c:f>
              <c:numCache>
                <c:formatCode>0%</c:formatCode>
                <c:ptCount val="6"/>
                <c:pt idx="0">
                  <c:v>0.49</c:v>
                </c:pt>
                <c:pt idx="1">
                  <c:v>0.38</c:v>
                </c:pt>
                <c:pt idx="2">
                  <c:v>0.54</c:v>
                </c:pt>
                <c:pt idx="3">
                  <c:v>0.45</c:v>
                </c:pt>
                <c:pt idx="4">
                  <c:v>0.54</c:v>
                </c:pt>
                <c:pt idx="5">
                  <c:v>0.54</c:v>
                </c:pt>
              </c:numCache>
            </c:numRef>
          </c:val>
          <c:extLst>
            <c:ext xmlns:c16="http://schemas.microsoft.com/office/drawing/2014/chart" uri="{C3380CC4-5D6E-409C-BE32-E72D297353CC}">
              <c16:uniqueId val="{00000000-AF40-4B58-A07D-5D8B28ABC810}"/>
            </c:ext>
          </c:extLst>
        </c:ser>
        <c:ser>
          <c:idx val="1"/>
          <c:order val="1"/>
          <c:tx>
            <c:strRef>
              <c:f>'Recruitment by state '!$A$3</c:f>
              <c:strCache>
                <c:ptCount val="1"/>
                <c:pt idx="0">
                  <c:v>June quarter 2022</c:v>
                </c:pt>
              </c:strCache>
            </c:strRef>
          </c:tx>
          <c:spPr>
            <a:solidFill>
              <a:schemeClr val="accent2"/>
            </a:solidFill>
            <a:ln>
              <a:noFill/>
            </a:ln>
            <a:effectLst/>
          </c:spPr>
          <c:invertIfNegative val="0"/>
          <c:cat>
            <c:strRef>
              <c:f>'Recruitment by state '!$B$1:$G$1</c:f>
              <c:strCache>
                <c:ptCount val="6"/>
                <c:pt idx="0">
                  <c:v>New South Wales</c:v>
                </c:pt>
                <c:pt idx="1">
                  <c:v>Victoria</c:v>
                </c:pt>
                <c:pt idx="2">
                  <c:v>Queensland</c:v>
                </c:pt>
                <c:pt idx="3">
                  <c:v>South Australia</c:v>
                </c:pt>
                <c:pt idx="4">
                  <c:v>Western Australia</c:v>
                </c:pt>
                <c:pt idx="5">
                  <c:v>Tasmania</c:v>
                </c:pt>
              </c:strCache>
            </c:strRef>
          </c:cat>
          <c:val>
            <c:numRef>
              <c:f>'Recruitment by state '!$B$3:$G$3</c:f>
              <c:numCache>
                <c:formatCode>0%</c:formatCode>
                <c:ptCount val="6"/>
                <c:pt idx="0">
                  <c:v>0.56999999999999995</c:v>
                </c:pt>
                <c:pt idx="1">
                  <c:v>0.57999999999999996</c:v>
                </c:pt>
                <c:pt idx="2">
                  <c:v>0.6</c:v>
                </c:pt>
                <c:pt idx="3">
                  <c:v>0.49</c:v>
                </c:pt>
                <c:pt idx="4">
                  <c:v>0.55000000000000004</c:v>
                </c:pt>
                <c:pt idx="5">
                  <c:v>0.57999999999999996</c:v>
                </c:pt>
              </c:numCache>
            </c:numRef>
          </c:val>
          <c:extLst>
            <c:ext xmlns:c16="http://schemas.microsoft.com/office/drawing/2014/chart" uri="{C3380CC4-5D6E-409C-BE32-E72D297353CC}">
              <c16:uniqueId val="{00000001-AF40-4B58-A07D-5D8B28ABC810}"/>
            </c:ext>
          </c:extLst>
        </c:ser>
        <c:ser>
          <c:idx val="2"/>
          <c:order val="2"/>
          <c:tx>
            <c:strRef>
              <c:f>'Recruitment by state '!$A$4</c:f>
              <c:strCache>
                <c:ptCount val="1"/>
                <c:pt idx="0">
                  <c:v>June quarter 2023</c:v>
                </c:pt>
              </c:strCache>
            </c:strRef>
          </c:tx>
          <c:spPr>
            <a:solidFill>
              <a:schemeClr val="accent3"/>
            </a:solidFill>
            <a:ln>
              <a:noFill/>
            </a:ln>
            <a:effectLst/>
          </c:spPr>
          <c:invertIfNegative val="0"/>
          <c:dLbls>
            <c:dLbl>
              <c:idx val="0"/>
              <c:layout>
                <c:manualLayout>
                  <c:x val="1.571621014818140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40-4B58-A07D-5D8B28ABC810}"/>
                </c:ext>
              </c:extLst>
            </c:dLbl>
            <c:dLbl>
              <c:idx val="1"/>
              <c:layout>
                <c:manualLayout>
                  <c:x val="1.3471037269869739E-2"/>
                  <c:y val="-2.396486476803763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F40-4B58-A07D-5D8B28ABC810}"/>
                </c:ext>
              </c:extLst>
            </c:dLbl>
            <c:dLbl>
              <c:idx val="2"/>
              <c:layout>
                <c:manualLayout>
                  <c:x val="8.9806915132465207E-3"/>
                  <c:y val="-1.198243238401881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F40-4B58-A07D-5D8B28ABC810}"/>
                </c:ext>
              </c:extLst>
            </c:dLbl>
            <c:dLbl>
              <c:idx val="3"/>
              <c:layout>
                <c:manualLayout>
                  <c:x val="1.122586439155815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F40-4B58-A07D-5D8B28ABC810}"/>
                </c:ext>
              </c:extLst>
            </c:dLbl>
            <c:dLbl>
              <c:idx val="4"/>
              <c:layout>
                <c:manualLayout>
                  <c:x val="8.9806915132465207E-3"/>
                  <c:y val="-2.396486476803763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F40-4B58-A07D-5D8B28ABC810}"/>
                </c:ext>
              </c:extLst>
            </c:dLbl>
            <c:dLbl>
              <c:idx val="5"/>
              <c:layout>
                <c:manualLayout>
                  <c:x val="2.020655590480450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F40-4B58-A07D-5D8B28ABC8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'Recruitment by state '!$B$1:$G$1</c:f>
              <c:strCache>
                <c:ptCount val="6"/>
                <c:pt idx="0">
                  <c:v>New South Wales</c:v>
                </c:pt>
                <c:pt idx="1">
                  <c:v>Victoria</c:v>
                </c:pt>
                <c:pt idx="2">
                  <c:v>Queensland</c:v>
                </c:pt>
                <c:pt idx="3">
                  <c:v>South Australia</c:v>
                </c:pt>
                <c:pt idx="4">
                  <c:v>Western Australia</c:v>
                </c:pt>
                <c:pt idx="5">
                  <c:v>Tasmania</c:v>
                </c:pt>
              </c:strCache>
            </c:strRef>
          </c:cat>
          <c:val>
            <c:numRef>
              <c:f>'Recruitment by state '!$B$4:$G$4</c:f>
              <c:numCache>
                <c:formatCode>0%</c:formatCode>
                <c:ptCount val="6"/>
                <c:pt idx="0">
                  <c:v>0.48</c:v>
                </c:pt>
                <c:pt idx="1">
                  <c:v>0.47</c:v>
                </c:pt>
                <c:pt idx="2">
                  <c:v>0.56000000000000005</c:v>
                </c:pt>
                <c:pt idx="3">
                  <c:v>0.44</c:v>
                </c:pt>
                <c:pt idx="4">
                  <c:v>0.5</c:v>
                </c:pt>
                <c:pt idx="5">
                  <c:v>0.43</c:v>
                </c:pt>
              </c:numCache>
            </c:numRef>
          </c:val>
          <c:extLst>
            <c:ext xmlns:c16="http://schemas.microsoft.com/office/drawing/2014/chart" uri="{C3380CC4-5D6E-409C-BE32-E72D297353CC}">
              <c16:uniqueId val="{00000008-AF40-4B58-A07D-5D8B28ABC810}"/>
            </c:ext>
          </c:extLst>
        </c:ser>
        <c:dLbls>
          <c:showLegendKey val="0"/>
          <c:showVal val="0"/>
          <c:showCatName val="0"/>
          <c:showSerName val="0"/>
          <c:showPercent val="0"/>
          <c:showBubbleSize val="0"/>
        </c:dLbls>
        <c:gapWidth val="219"/>
        <c:overlap val="-27"/>
        <c:axId val="1970531896"/>
        <c:axId val="1970534872"/>
      </c:barChart>
      <c:catAx>
        <c:axId val="1970531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0000"/>
                </a:solidFill>
                <a:latin typeface="+mn-lt"/>
                <a:ea typeface="+mn-ea"/>
                <a:cs typeface="+mn-cs"/>
              </a:defRPr>
            </a:pPr>
            <a:endParaRPr lang="en-US"/>
          </a:p>
        </c:txPr>
        <c:crossAx val="1970534872"/>
        <c:crosses val="autoZero"/>
        <c:auto val="1"/>
        <c:lblAlgn val="ctr"/>
        <c:lblOffset val="100"/>
        <c:noMultiLvlLbl val="0"/>
      </c:catAx>
      <c:valAx>
        <c:axId val="197053487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Proportion of employers</a:t>
                </a:r>
              </a:p>
            </c:rich>
          </c:tx>
          <c:layout>
            <c:manualLayout>
              <c:xMode val="edge"/>
              <c:yMode val="edge"/>
              <c:x val="1.0472228802562678E-2"/>
              <c:y val="9.640183212392568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mn-lt"/>
                <a:ea typeface="+mn-ea"/>
                <a:cs typeface="+mn-cs"/>
              </a:defRPr>
            </a:pPr>
            <a:endParaRPr lang="en-US"/>
          </a:p>
        </c:txPr>
        <c:crossAx val="1970531896"/>
        <c:crosses val="autoZero"/>
        <c:crossBetween val="between"/>
      </c:valAx>
      <c:spPr>
        <a:noFill/>
        <a:ln>
          <a:noFill/>
        </a:ln>
        <a:effectLst/>
      </c:spPr>
    </c:plotArea>
    <c:legend>
      <c:legendPos val="b"/>
      <c:overlay val="0"/>
      <c:spPr>
        <a:noFill/>
        <a:ln w="25400">
          <a:noFill/>
        </a:ln>
        <a:effectLst/>
      </c:spPr>
      <c:txPr>
        <a:bodyPr rot="0" spcFirstLastPara="1" vertOverflow="ellipsis" vert="horz" wrap="square" anchor="ctr" anchorCtr="1"/>
        <a:lstStyle/>
        <a:p>
          <a:pPr>
            <a:defRPr sz="900" b="0" i="0" u="none" strike="noStrike" kern="1200" baseline="0">
              <a:solidFill>
                <a:srgbClr val="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01808587040016"/>
          <c:y val="5.0925925925925923E-2"/>
          <c:w val="0.80812918913457055"/>
          <c:h val="0.73171223388743067"/>
        </c:manualLayout>
      </c:layout>
      <c:lineChart>
        <c:grouping val="standard"/>
        <c:varyColors val="0"/>
        <c:ser>
          <c:idx val="0"/>
          <c:order val="0"/>
          <c:tx>
            <c:strRef>
              <c:f>'[Chart template.xlsx]Recruitment '!$B$1</c:f>
              <c:strCache>
                <c:ptCount val="1"/>
                <c:pt idx="0">
                  <c:v>Capital Cities</c:v>
                </c:pt>
              </c:strCache>
            </c:strRef>
          </c:tx>
          <c:spPr>
            <a:ln w="28575" cap="rnd">
              <a:solidFill>
                <a:schemeClr val="accent1"/>
              </a:solidFill>
              <a:round/>
            </a:ln>
            <a:effectLst/>
          </c:spPr>
          <c:marker>
            <c:symbol val="none"/>
          </c:marker>
          <c:dPt>
            <c:idx val="8"/>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1-23A8-4543-AD7F-E213C5443674}"/>
              </c:ext>
            </c:extLst>
          </c:dPt>
          <c:dPt>
            <c:idx val="20"/>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3-23A8-4543-AD7F-E213C5443674}"/>
              </c:ext>
            </c:extLst>
          </c:dPt>
          <c:dPt>
            <c:idx val="32"/>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5-23A8-4543-AD7F-E213C5443674}"/>
              </c:ext>
            </c:extLst>
          </c:dPt>
          <c:cat>
            <c:numRef>
              <c:f>'[Chart template.xlsx]Recruitment '!$A$2:$A$38</c:f>
              <c:numCache>
                <c:formatCode>mmm\-yy</c:formatCode>
                <c:ptCount val="37"/>
                <c:pt idx="0">
                  <c:v>44012</c:v>
                </c:pt>
                <c:pt idx="1">
                  <c:v>44043</c:v>
                </c:pt>
                <c:pt idx="2">
                  <c:v>44074</c:v>
                </c:pt>
                <c:pt idx="3">
                  <c:v>44104</c:v>
                </c:pt>
                <c:pt idx="4">
                  <c:v>44135</c:v>
                </c:pt>
                <c:pt idx="5">
                  <c:v>44165</c:v>
                </c:pt>
                <c:pt idx="6">
                  <c:v>44196</c:v>
                </c:pt>
                <c:pt idx="7">
                  <c:v>44227</c:v>
                </c:pt>
                <c:pt idx="8">
                  <c:v>44255</c:v>
                </c:pt>
                <c:pt idx="9">
                  <c:v>44286</c:v>
                </c:pt>
                <c:pt idx="10">
                  <c:v>44316</c:v>
                </c:pt>
                <c:pt idx="11">
                  <c:v>44347</c:v>
                </c:pt>
                <c:pt idx="12">
                  <c:v>44377</c:v>
                </c:pt>
                <c:pt idx="13">
                  <c:v>44408</c:v>
                </c:pt>
                <c:pt idx="14">
                  <c:v>44439</c:v>
                </c:pt>
                <c:pt idx="15">
                  <c:v>44469</c:v>
                </c:pt>
                <c:pt idx="16">
                  <c:v>44500</c:v>
                </c:pt>
                <c:pt idx="17">
                  <c:v>44530</c:v>
                </c:pt>
                <c:pt idx="18">
                  <c:v>44561</c:v>
                </c:pt>
                <c:pt idx="19">
                  <c:v>44592</c:v>
                </c:pt>
                <c:pt idx="20">
                  <c:v>44620</c:v>
                </c:pt>
                <c:pt idx="21">
                  <c:v>44651</c:v>
                </c:pt>
                <c:pt idx="22">
                  <c:v>44681</c:v>
                </c:pt>
                <c:pt idx="23">
                  <c:v>44712</c:v>
                </c:pt>
                <c:pt idx="24">
                  <c:v>44742</c:v>
                </c:pt>
                <c:pt idx="25">
                  <c:v>44773</c:v>
                </c:pt>
                <c:pt idx="26">
                  <c:v>44804</c:v>
                </c:pt>
                <c:pt idx="27">
                  <c:v>44834</c:v>
                </c:pt>
                <c:pt idx="28">
                  <c:v>44865</c:v>
                </c:pt>
                <c:pt idx="29">
                  <c:v>44895</c:v>
                </c:pt>
                <c:pt idx="30">
                  <c:v>44926</c:v>
                </c:pt>
                <c:pt idx="31">
                  <c:v>44957</c:v>
                </c:pt>
                <c:pt idx="32">
                  <c:v>44985</c:v>
                </c:pt>
                <c:pt idx="33">
                  <c:v>45015</c:v>
                </c:pt>
                <c:pt idx="34">
                  <c:v>45046</c:v>
                </c:pt>
                <c:pt idx="35">
                  <c:v>45077</c:v>
                </c:pt>
                <c:pt idx="36">
                  <c:v>45107</c:v>
                </c:pt>
              </c:numCache>
            </c:numRef>
          </c:cat>
          <c:val>
            <c:numRef>
              <c:f>'[Chart template.xlsx]Recruitment '!$B$2:$B$38</c:f>
              <c:numCache>
                <c:formatCode>0%</c:formatCode>
                <c:ptCount val="37"/>
                <c:pt idx="0">
                  <c:v>0.23</c:v>
                </c:pt>
                <c:pt idx="1">
                  <c:v>0.26</c:v>
                </c:pt>
                <c:pt idx="2">
                  <c:v>0.3</c:v>
                </c:pt>
                <c:pt idx="3">
                  <c:v>0.32</c:v>
                </c:pt>
                <c:pt idx="4">
                  <c:v>0.38</c:v>
                </c:pt>
                <c:pt idx="5">
                  <c:v>0.41</c:v>
                </c:pt>
                <c:pt idx="6">
                  <c:v>0.4</c:v>
                </c:pt>
                <c:pt idx="7">
                  <c:v>#N/A</c:v>
                </c:pt>
                <c:pt idx="8">
                  <c:v>0.44</c:v>
                </c:pt>
                <c:pt idx="9">
                  <c:v>0.44</c:v>
                </c:pt>
                <c:pt idx="10">
                  <c:v>0.44</c:v>
                </c:pt>
                <c:pt idx="11">
                  <c:v>0.44</c:v>
                </c:pt>
                <c:pt idx="12">
                  <c:v>0.48</c:v>
                </c:pt>
                <c:pt idx="13">
                  <c:v>0.41</c:v>
                </c:pt>
                <c:pt idx="14">
                  <c:v>0.36</c:v>
                </c:pt>
                <c:pt idx="15">
                  <c:v>0.36</c:v>
                </c:pt>
                <c:pt idx="16">
                  <c:v>0.45</c:v>
                </c:pt>
                <c:pt idx="17">
                  <c:v>0.5</c:v>
                </c:pt>
                <c:pt idx="18">
                  <c:v>0.48</c:v>
                </c:pt>
                <c:pt idx="19">
                  <c:v>#N/A</c:v>
                </c:pt>
                <c:pt idx="20">
                  <c:v>0.55000000000000004</c:v>
                </c:pt>
                <c:pt idx="21">
                  <c:v>0.53</c:v>
                </c:pt>
                <c:pt idx="22">
                  <c:v>0.54</c:v>
                </c:pt>
                <c:pt idx="23">
                  <c:v>0.57999999999999996</c:v>
                </c:pt>
                <c:pt idx="24">
                  <c:v>0.56000000000000005</c:v>
                </c:pt>
                <c:pt idx="25">
                  <c:v>0.56999999999999995</c:v>
                </c:pt>
                <c:pt idx="26">
                  <c:v>0.54</c:v>
                </c:pt>
                <c:pt idx="27">
                  <c:v>0.57999999999999996</c:v>
                </c:pt>
                <c:pt idx="28">
                  <c:v>0.57999999999999996</c:v>
                </c:pt>
                <c:pt idx="29">
                  <c:v>0.56999999999999995</c:v>
                </c:pt>
                <c:pt idx="30">
                  <c:v>0.53</c:v>
                </c:pt>
                <c:pt idx="31">
                  <c:v>#N/A</c:v>
                </c:pt>
                <c:pt idx="32">
                  <c:v>0.54</c:v>
                </c:pt>
                <c:pt idx="33">
                  <c:v>0.55000000000000004</c:v>
                </c:pt>
                <c:pt idx="34">
                  <c:v>0.48</c:v>
                </c:pt>
                <c:pt idx="35">
                  <c:v>0.49</c:v>
                </c:pt>
                <c:pt idx="36">
                  <c:v>0.46</c:v>
                </c:pt>
              </c:numCache>
            </c:numRef>
          </c:val>
          <c:smooth val="0"/>
          <c:extLst>
            <c:ext xmlns:c16="http://schemas.microsoft.com/office/drawing/2014/chart" uri="{C3380CC4-5D6E-409C-BE32-E72D297353CC}">
              <c16:uniqueId val="{00000006-23A8-4543-AD7F-E213C5443674}"/>
            </c:ext>
          </c:extLst>
        </c:ser>
        <c:ser>
          <c:idx val="1"/>
          <c:order val="1"/>
          <c:tx>
            <c:strRef>
              <c:f>'[Chart template.xlsx]Recruitment '!$C$1</c:f>
              <c:strCache>
                <c:ptCount val="1"/>
                <c:pt idx="0">
                  <c:v>Rest of State areas</c:v>
                </c:pt>
              </c:strCache>
            </c:strRef>
          </c:tx>
          <c:spPr>
            <a:ln w="28575" cap="rnd">
              <a:solidFill>
                <a:schemeClr val="accent2"/>
              </a:solidFill>
              <a:round/>
            </a:ln>
            <a:effectLst/>
          </c:spPr>
          <c:marker>
            <c:symbol val="none"/>
          </c:marker>
          <c:dPt>
            <c:idx val="8"/>
            <c:marker>
              <c:symbol val="none"/>
            </c:marker>
            <c:bubble3D val="0"/>
            <c:spPr>
              <a:ln w="28575" cap="rnd">
                <a:solidFill>
                  <a:schemeClr val="accent2"/>
                </a:solidFill>
                <a:prstDash val="sysDot"/>
                <a:round/>
              </a:ln>
              <a:effectLst/>
            </c:spPr>
            <c:extLst>
              <c:ext xmlns:c16="http://schemas.microsoft.com/office/drawing/2014/chart" uri="{C3380CC4-5D6E-409C-BE32-E72D297353CC}">
                <c16:uniqueId val="{00000008-23A8-4543-AD7F-E213C5443674}"/>
              </c:ext>
            </c:extLst>
          </c:dPt>
          <c:dPt>
            <c:idx val="20"/>
            <c:marker>
              <c:symbol val="none"/>
            </c:marker>
            <c:bubble3D val="0"/>
            <c:spPr>
              <a:ln w="28575" cap="rnd">
                <a:solidFill>
                  <a:schemeClr val="accent2"/>
                </a:solidFill>
                <a:prstDash val="sysDot"/>
                <a:round/>
              </a:ln>
              <a:effectLst/>
            </c:spPr>
            <c:extLst>
              <c:ext xmlns:c16="http://schemas.microsoft.com/office/drawing/2014/chart" uri="{C3380CC4-5D6E-409C-BE32-E72D297353CC}">
                <c16:uniqueId val="{0000000A-23A8-4543-AD7F-E213C5443674}"/>
              </c:ext>
            </c:extLst>
          </c:dPt>
          <c:dPt>
            <c:idx val="32"/>
            <c:marker>
              <c:symbol val="none"/>
            </c:marker>
            <c:bubble3D val="0"/>
            <c:spPr>
              <a:ln w="28575" cap="rnd">
                <a:solidFill>
                  <a:schemeClr val="accent2"/>
                </a:solidFill>
                <a:prstDash val="sysDot"/>
                <a:round/>
              </a:ln>
              <a:effectLst/>
            </c:spPr>
            <c:extLst>
              <c:ext xmlns:c16="http://schemas.microsoft.com/office/drawing/2014/chart" uri="{C3380CC4-5D6E-409C-BE32-E72D297353CC}">
                <c16:uniqueId val="{0000000C-23A8-4543-AD7F-E213C5443674}"/>
              </c:ext>
            </c:extLst>
          </c:dPt>
          <c:cat>
            <c:numRef>
              <c:f>'[Chart template.xlsx]Recruitment '!$A$2:$A$38</c:f>
              <c:numCache>
                <c:formatCode>mmm\-yy</c:formatCode>
                <c:ptCount val="37"/>
                <c:pt idx="0">
                  <c:v>44012</c:v>
                </c:pt>
                <c:pt idx="1">
                  <c:v>44043</c:v>
                </c:pt>
                <c:pt idx="2">
                  <c:v>44074</c:v>
                </c:pt>
                <c:pt idx="3">
                  <c:v>44104</c:v>
                </c:pt>
                <c:pt idx="4">
                  <c:v>44135</c:v>
                </c:pt>
                <c:pt idx="5">
                  <c:v>44165</c:v>
                </c:pt>
                <c:pt idx="6">
                  <c:v>44196</c:v>
                </c:pt>
                <c:pt idx="7">
                  <c:v>44227</c:v>
                </c:pt>
                <c:pt idx="8">
                  <c:v>44255</c:v>
                </c:pt>
                <c:pt idx="9">
                  <c:v>44286</c:v>
                </c:pt>
                <c:pt idx="10">
                  <c:v>44316</c:v>
                </c:pt>
                <c:pt idx="11">
                  <c:v>44347</c:v>
                </c:pt>
                <c:pt idx="12">
                  <c:v>44377</c:v>
                </c:pt>
                <c:pt idx="13">
                  <c:v>44408</c:v>
                </c:pt>
                <c:pt idx="14">
                  <c:v>44439</c:v>
                </c:pt>
                <c:pt idx="15">
                  <c:v>44469</c:v>
                </c:pt>
                <c:pt idx="16">
                  <c:v>44500</c:v>
                </c:pt>
                <c:pt idx="17">
                  <c:v>44530</c:v>
                </c:pt>
                <c:pt idx="18">
                  <c:v>44561</c:v>
                </c:pt>
                <c:pt idx="19">
                  <c:v>44592</c:v>
                </c:pt>
                <c:pt idx="20">
                  <c:v>44620</c:v>
                </c:pt>
                <c:pt idx="21">
                  <c:v>44651</c:v>
                </c:pt>
                <c:pt idx="22">
                  <c:v>44681</c:v>
                </c:pt>
                <c:pt idx="23">
                  <c:v>44712</c:v>
                </c:pt>
                <c:pt idx="24">
                  <c:v>44742</c:v>
                </c:pt>
                <c:pt idx="25">
                  <c:v>44773</c:v>
                </c:pt>
                <c:pt idx="26">
                  <c:v>44804</c:v>
                </c:pt>
                <c:pt idx="27">
                  <c:v>44834</c:v>
                </c:pt>
                <c:pt idx="28">
                  <c:v>44865</c:v>
                </c:pt>
                <c:pt idx="29">
                  <c:v>44895</c:v>
                </c:pt>
                <c:pt idx="30">
                  <c:v>44926</c:v>
                </c:pt>
                <c:pt idx="31">
                  <c:v>44957</c:v>
                </c:pt>
                <c:pt idx="32">
                  <c:v>44985</c:v>
                </c:pt>
                <c:pt idx="33">
                  <c:v>45015</c:v>
                </c:pt>
                <c:pt idx="34">
                  <c:v>45046</c:v>
                </c:pt>
                <c:pt idx="35">
                  <c:v>45077</c:v>
                </c:pt>
                <c:pt idx="36">
                  <c:v>45107</c:v>
                </c:pt>
              </c:numCache>
            </c:numRef>
          </c:cat>
          <c:val>
            <c:numRef>
              <c:f>'[Chart template.xlsx]Recruitment '!$C$2:$C$38</c:f>
              <c:numCache>
                <c:formatCode>0%</c:formatCode>
                <c:ptCount val="37"/>
                <c:pt idx="0">
                  <c:v>0.27</c:v>
                </c:pt>
                <c:pt idx="1">
                  <c:v>0.35</c:v>
                </c:pt>
                <c:pt idx="2">
                  <c:v>0.38</c:v>
                </c:pt>
                <c:pt idx="3">
                  <c:v>0.38</c:v>
                </c:pt>
                <c:pt idx="4">
                  <c:v>0.46</c:v>
                </c:pt>
                <c:pt idx="5">
                  <c:v>0.55000000000000004</c:v>
                </c:pt>
                <c:pt idx="6">
                  <c:v>0.5</c:v>
                </c:pt>
                <c:pt idx="7">
                  <c:v>#N/A</c:v>
                </c:pt>
                <c:pt idx="8">
                  <c:v>0.5</c:v>
                </c:pt>
                <c:pt idx="9">
                  <c:v>0.49</c:v>
                </c:pt>
                <c:pt idx="10">
                  <c:v>0.51</c:v>
                </c:pt>
                <c:pt idx="11">
                  <c:v>0.57999999999999996</c:v>
                </c:pt>
                <c:pt idx="12">
                  <c:v>0.48</c:v>
                </c:pt>
                <c:pt idx="13">
                  <c:v>0.48</c:v>
                </c:pt>
                <c:pt idx="14">
                  <c:v>0.43</c:v>
                </c:pt>
                <c:pt idx="15">
                  <c:v>0.36</c:v>
                </c:pt>
                <c:pt idx="16">
                  <c:v>0.45</c:v>
                </c:pt>
                <c:pt idx="17">
                  <c:v>0.51</c:v>
                </c:pt>
                <c:pt idx="18">
                  <c:v>0.55000000000000004</c:v>
                </c:pt>
                <c:pt idx="19">
                  <c:v>#N/A</c:v>
                </c:pt>
                <c:pt idx="20">
                  <c:v>0.54</c:v>
                </c:pt>
                <c:pt idx="21">
                  <c:v>0.61</c:v>
                </c:pt>
                <c:pt idx="22">
                  <c:v>0.6</c:v>
                </c:pt>
                <c:pt idx="23">
                  <c:v>0.6</c:v>
                </c:pt>
                <c:pt idx="24">
                  <c:v>0.61</c:v>
                </c:pt>
                <c:pt idx="25">
                  <c:v>0.62</c:v>
                </c:pt>
                <c:pt idx="26">
                  <c:v>0.57999999999999996</c:v>
                </c:pt>
                <c:pt idx="27">
                  <c:v>0.56999999999999995</c:v>
                </c:pt>
                <c:pt idx="28">
                  <c:v>0.57999999999999996</c:v>
                </c:pt>
                <c:pt idx="29">
                  <c:v>0.61</c:v>
                </c:pt>
                <c:pt idx="30">
                  <c:v>0.5</c:v>
                </c:pt>
                <c:pt idx="31">
                  <c:v>#N/A</c:v>
                </c:pt>
                <c:pt idx="32">
                  <c:v>0.57999999999999996</c:v>
                </c:pt>
                <c:pt idx="33">
                  <c:v>0.56000000000000005</c:v>
                </c:pt>
                <c:pt idx="34">
                  <c:v>0.53</c:v>
                </c:pt>
                <c:pt idx="35">
                  <c:v>0.55000000000000004</c:v>
                </c:pt>
                <c:pt idx="36">
                  <c:v>0.54</c:v>
                </c:pt>
              </c:numCache>
            </c:numRef>
          </c:val>
          <c:smooth val="0"/>
          <c:extLst>
            <c:ext xmlns:c16="http://schemas.microsoft.com/office/drawing/2014/chart" uri="{C3380CC4-5D6E-409C-BE32-E72D297353CC}">
              <c16:uniqueId val="{0000000D-23A8-4543-AD7F-E213C5443674}"/>
            </c:ext>
          </c:extLst>
        </c:ser>
        <c:ser>
          <c:idx val="2"/>
          <c:order val="2"/>
          <c:tx>
            <c:strRef>
              <c:f>'[Chart template.xlsx]Recruitment '!$D$1</c:f>
              <c:strCache>
                <c:ptCount val="1"/>
                <c:pt idx="0">
                  <c:v>Australia</c:v>
                </c:pt>
              </c:strCache>
            </c:strRef>
          </c:tx>
          <c:spPr>
            <a:ln w="28575" cap="rnd">
              <a:solidFill>
                <a:schemeClr val="accent3"/>
              </a:solidFill>
              <a:round/>
            </a:ln>
            <a:effectLst/>
          </c:spPr>
          <c:marker>
            <c:symbol val="none"/>
          </c:marker>
          <c:cat>
            <c:numRef>
              <c:f>'[Chart template.xlsx]Recruitment '!$A$2:$A$38</c:f>
              <c:numCache>
                <c:formatCode>mmm\-yy</c:formatCode>
                <c:ptCount val="37"/>
                <c:pt idx="0">
                  <c:v>44012</c:v>
                </c:pt>
                <c:pt idx="1">
                  <c:v>44043</c:v>
                </c:pt>
                <c:pt idx="2">
                  <c:v>44074</c:v>
                </c:pt>
                <c:pt idx="3">
                  <c:v>44104</c:v>
                </c:pt>
                <c:pt idx="4">
                  <c:v>44135</c:v>
                </c:pt>
                <c:pt idx="5">
                  <c:v>44165</c:v>
                </c:pt>
                <c:pt idx="6">
                  <c:v>44196</c:v>
                </c:pt>
                <c:pt idx="7">
                  <c:v>44227</c:v>
                </c:pt>
                <c:pt idx="8">
                  <c:v>44255</c:v>
                </c:pt>
                <c:pt idx="9">
                  <c:v>44286</c:v>
                </c:pt>
                <c:pt idx="10">
                  <c:v>44316</c:v>
                </c:pt>
                <c:pt idx="11">
                  <c:v>44347</c:v>
                </c:pt>
                <c:pt idx="12">
                  <c:v>44377</c:v>
                </c:pt>
                <c:pt idx="13">
                  <c:v>44408</c:v>
                </c:pt>
                <c:pt idx="14">
                  <c:v>44439</c:v>
                </c:pt>
                <c:pt idx="15">
                  <c:v>44469</c:v>
                </c:pt>
                <c:pt idx="16">
                  <c:v>44500</c:v>
                </c:pt>
                <c:pt idx="17">
                  <c:v>44530</c:v>
                </c:pt>
                <c:pt idx="18">
                  <c:v>44561</c:v>
                </c:pt>
                <c:pt idx="19">
                  <c:v>44592</c:v>
                </c:pt>
                <c:pt idx="20">
                  <c:v>44620</c:v>
                </c:pt>
                <c:pt idx="21">
                  <c:v>44651</c:v>
                </c:pt>
                <c:pt idx="22">
                  <c:v>44681</c:v>
                </c:pt>
                <c:pt idx="23">
                  <c:v>44712</c:v>
                </c:pt>
                <c:pt idx="24">
                  <c:v>44742</c:v>
                </c:pt>
                <c:pt idx="25">
                  <c:v>44773</c:v>
                </c:pt>
                <c:pt idx="26">
                  <c:v>44804</c:v>
                </c:pt>
                <c:pt idx="27">
                  <c:v>44834</c:v>
                </c:pt>
                <c:pt idx="28">
                  <c:v>44865</c:v>
                </c:pt>
                <c:pt idx="29">
                  <c:v>44895</c:v>
                </c:pt>
                <c:pt idx="30">
                  <c:v>44926</c:v>
                </c:pt>
                <c:pt idx="31">
                  <c:v>44957</c:v>
                </c:pt>
                <c:pt idx="32">
                  <c:v>44985</c:v>
                </c:pt>
                <c:pt idx="33">
                  <c:v>45015</c:v>
                </c:pt>
                <c:pt idx="34">
                  <c:v>45046</c:v>
                </c:pt>
                <c:pt idx="35">
                  <c:v>45077</c:v>
                </c:pt>
                <c:pt idx="36">
                  <c:v>45107</c:v>
                </c:pt>
              </c:numCache>
            </c:numRef>
          </c:cat>
          <c:val>
            <c:numRef>
              <c:f>'[Chart template.xlsx]Recruitment '!$D$2:$D$38</c:f>
              <c:numCache>
                <c:formatCode>0%</c:formatCode>
                <c:ptCount val="37"/>
                <c:pt idx="0">
                  <c:v>0.24</c:v>
                </c:pt>
                <c:pt idx="1">
                  <c:v>0.28999999999999998</c:v>
                </c:pt>
                <c:pt idx="2">
                  <c:v>0.33</c:v>
                </c:pt>
                <c:pt idx="3">
                  <c:v>0.34</c:v>
                </c:pt>
                <c:pt idx="4">
                  <c:v>0.41</c:v>
                </c:pt>
                <c:pt idx="5">
                  <c:v>0.46</c:v>
                </c:pt>
                <c:pt idx="6">
                  <c:v>0.44</c:v>
                </c:pt>
                <c:pt idx="7">
                  <c:v>0.39</c:v>
                </c:pt>
                <c:pt idx="8">
                  <c:v>0.46</c:v>
                </c:pt>
                <c:pt idx="9">
                  <c:v>0.46</c:v>
                </c:pt>
                <c:pt idx="10">
                  <c:v>0.46</c:v>
                </c:pt>
                <c:pt idx="11">
                  <c:v>0.49</c:v>
                </c:pt>
                <c:pt idx="12">
                  <c:v>0.48</c:v>
                </c:pt>
                <c:pt idx="13">
                  <c:v>0.43</c:v>
                </c:pt>
                <c:pt idx="14">
                  <c:v>0.38</c:v>
                </c:pt>
                <c:pt idx="15">
                  <c:v>0.36</c:v>
                </c:pt>
                <c:pt idx="16">
                  <c:v>0.45</c:v>
                </c:pt>
                <c:pt idx="17">
                  <c:v>0.5</c:v>
                </c:pt>
                <c:pt idx="18">
                  <c:v>0.51</c:v>
                </c:pt>
                <c:pt idx="19">
                  <c:v>0.42</c:v>
                </c:pt>
                <c:pt idx="20">
                  <c:v>0.55000000000000004</c:v>
                </c:pt>
                <c:pt idx="21">
                  <c:v>0.56000000000000005</c:v>
                </c:pt>
                <c:pt idx="22">
                  <c:v>0.56000000000000005</c:v>
                </c:pt>
                <c:pt idx="23">
                  <c:v>0.59</c:v>
                </c:pt>
                <c:pt idx="24">
                  <c:v>0.57999999999999996</c:v>
                </c:pt>
                <c:pt idx="25">
                  <c:v>0.59</c:v>
                </c:pt>
                <c:pt idx="26">
                  <c:v>0.56000000000000005</c:v>
                </c:pt>
                <c:pt idx="27">
                  <c:v>0.57999999999999996</c:v>
                </c:pt>
                <c:pt idx="28">
                  <c:v>0.57999999999999996</c:v>
                </c:pt>
                <c:pt idx="29">
                  <c:v>0.57999999999999996</c:v>
                </c:pt>
                <c:pt idx="30">
                  <c:v>0.52</c:v>
                </c:pt>
                <c:pt idx="31">
                  <c:v>0.55000000000000004</c:v>
                </c:pt>
                <c:pt idx="32">
                  <c:v>0.55000000000000004</c:v>
                </c:pt>
                <c:pt idx="33">
                  <c:v>0.55000000000000004</c:v>
                </c:pt>
                <c:pt idx="34">
                  <c:v>0.5</c:v>
                </c:pt>
                <c:pt idx="35">
                  <c:v>0.51</c:v>
                </c:pt>
                <c:pt idx="36">
                  <c:v>0.49</c:v>
                </c:pt>
              </c:numCache>
            </c:numRef>
          </c:val>
          <c:smooth val="0"/>
          <c:extLst>
            <c:ext xmlns:c16="http://schemas.microsoft.com/office/drawing/2014/chart" uri="{C3380CC4-5D6E-409C-BE32-E72D297353CC}">
              <c16:uniqueId val="{0000000E-23A8-4543-AD7F-E213C5443674}"/>
            </c:ext>
          </c:extLst>
        </c:ser>
        <c:dLbls>
          <c:showLegendKey val="0"/>
          <c:showVal val="0"/>
          <c:showCatName val="0"/>
          <c:showSerName val="0"/>
          <c:showPercent val="0"/>
          <c:showBubbleSize val="0"/>
        </c:dLbls>
        <c:smooth val="0"/>
        <c:axId val="467167344"/>
        <c:axId val="892432080"/>
      </c:lineChart>
      <c:dateAx>
        <c:axId val="467167344"/>
        <c:scaling>
          <c:orientation val="minMax"/>
          <c:min val="43983"/>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92432080"/>
        <c:crosses val="autoZero"/>
        <c:auto val="1"/>
        <c:lblOffset val="100"/>
        <c:baseTimeUnit val="days"/>
        <c:majorUnit val="1"/>
        <c:majorTimeUnit val="months"/>
      </c:dateAx>
      <c:valAx>
        <c:axId val="89243208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Proportion of employers</a:t>
                </a:r>
              </a:p>
            </c:rich>
          </c:tx>
          <c:layout>
            <c:manualLayout>
              <c:xMode val="edge"/>
              <c:yMode val="edge"/>
              <c:x val="1.576119610555125E-2"/>
              <c:y val="0.16264965869022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67167344"/>
        <c:crosses val="autoZero"/>
        <c:crossBetween val="between"/>
      </c:valAx>
      <c:spPr>
        <a:noFill/>
        <a:ln>
          <a:noFill/>
        </a:ln>
        <a:effectLst/>
      </c:spPr>
    </c:plotArea>
    <c:legend>
      <c:legendPos val="r"/>
      <c:layout>
        <c:manualLayout>
          <c:xMode val="edge"/>
          <c:yMode val="edge"/>
          <c:x val="0.66321797243985414"/>
          <c:y val="0.55472714666168033"/>
          <c:w val="0.29538639724376808"/>
          <c:h val="0.2168499154085600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01430601807185"/>
          <c:y val="5.0925925925925923E-2"/>
          <c:w val="0.84031164088678645"/>
          <c:h val="0.75493000874890637"/>
        </c:manualLayout>
      </c:layout>
      <c:lineChart>
        <c:grouping val="standard"/>
        <c:varyColors val="0"/>
        <c:ser>
          <c:idx val="0"/>
          <c:order val="0"/>
          <c:tx>
            <c:strRef>
              <c:f>'[Chart template.xlsx]Difficulty by Region Type '!$B$1</c:f>
              <c:strCache>
                <c:ptCount val="1"/>
                <c:pt idx="0">
                  <c:v>Capital Cities</c:v>
                </c:pt>
              </c:strCache>
            </c:strRef>
          </c:tx>
          <c:spPr>
            <a:ln w="28575" cap="rnd">
              <a:solidFill>
                <a:schemeClr val="accent1"/>
              </a:solidFill>
              <a:round/>
            </a:ln>
            <a:effectLst/>
          </c:spPr>
          <c:marker>
            <c:symbol val="none"/>
          </c:marker>
          <c:dPt>
            <c:idx val="6"/>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1-A725-485C-A23F-84E87311B43E}"/>
              </c:ext>
            </c:extLst>
          </c:dPt>
          <c:dPt>
            <c:idx val="18"/>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3-A725-485C-A23F-84E87311B43E}"/>
              </c:ext>
            </c:extLst>
          </c:dPt>
          <c:dPt>
            <c:idx val="30"/>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5-A725-485C-A23F-84E87311B43E}"/>
              </c:ext>
            </c:extLst>
          </c:dPt>
          <c:cat>
            <c:numRef>
              <c:f>'[Chart template.xlsx]Difficulty by Region Type '!$A$2:$A$36</c:f>
              <c:numCache>
                <c:formatCode>mmm\-yy</c:formatCode>
                <c:ptCount val="35"/>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pt idx="29">
                  <c:v>44957</c:v>
                </c:pt>
                <c:pt idx="30">
                  <c:v>44985</c:v>
                </c:pt>
                <c:pt idx="31">
                  <c:v>45016</c:v>
                </c:pt>
                <c:pt idx="32">
                  <c:v>45046</c:v>
                </c:pt>
                <c:pt idx="33">
                  <c:v>45077</c:v>
                </c:pt>
                <c:pt idx="34">
                  <c:v>45107</c:v>
                </c:pt>
              </c:numCache>
            </c:numRef>
          </c:cat>
          <c:val>
            <c:numRef>
              <c:f>'[Chart template.xlsx]Difficulty by Region Type '!$B$2:$B$36</c:f>
              <c:numCache>
                <c:formatCode>0%</c:formatCode>
                <c:ptCount val="35"/>
                <c:pt idx="0">
                  <c:v>0.47</c:v>
                </c:pt>
                <c:pt idx="1">
                  <c:v>0.41</c:v>
                </c:pt>
                <c:pt idx="2">
                  <c:v>0.41</c:v>
                </c:pt>
                <c:pt idx="3">
                  <c:v>0.34</c:v>
                </c:pt>
                <c:pt idx="4">
                  <c:v>0.37</c:v>
                </c:pt>
                <c:pt idx="5">
                  <c:v>#N/A</c:v>
                </c:pt>
                <c:pt idx="6">
                  <c:v>0.35</c:v>
                </c:pt>
                <c:pt idx="7">
                  <c:v>0.41</c:v>
                </c:pt>
                <c:pt idx="8">
                  <c:v>0.49</c:v>
                </c:pt>
                <c:pt idx="9">
                  <c:v>0.46</c:v>
                </c:pt>
                <c:pt idx="10">
                  <c:v>0.49</c:v>
                </c:pt>
                <c:pt idx="11">
                  <c:v>0.48</c:v>
                </c:pt>
                <c:pt idx="12">
                  <c:v>0.51</c:v>
                </c:pt>
                <c:pt idx="13">
                  <c:v>0.54</c:v>
                </c:pt>
                <c:pt idx="14">
                  <c:v>0.5</c:v>
                </c:pt>
                <c:pt idx="15">
                  <c:v>0.6</c:v>
                </c:pt>
                <c:pt idx="16">
                  <c:v>0.55000000000000004</c:v>
                </c:pt>
                <c:pt idx="17">
                  <c:v>#N/A</c:v>
                </c:pt>
                <c:pt idx="18">
                  <c:v>0.62</c:v>
                </c:pt>
                <c:pt idx="19">
                  <c:v>0.64</c:v>
                </c:pt>
                <c:pt idx="20">
                  <c:v>0.65</c:v>
                </c:pt>
                <c:pt idx="21">
                  <c:v>0.67</c:v>
                </c:pt>
                <c:pt idx="22">
                  <c:v>0.66</c:v>
                </c:pt>
                <c:pt idx="23">
                  <c:v>0.74</c:v>
                </c:pt>
                <c:pt idx="24">
                  <c:v>0.75</c:v>
                </c:pt>
                <c:pt idx="25">
                  <c:v>0.66</c:v>
                </c:pt>
                <c:pt idx="26">
                  <c:v>0.67</c:v>
                </c:pt>
                <c:pt idx="27">
                  <c:v>0.69</c:v>
                </c:pt>
                <c:pt idx="28">
                  <c:v>0.63</c:v>
                </c:pt>
                <c:pt idx="29">
                  <c:v>#N/A</c:v>
                </c:pt>
                <c:pt idx="30">
                  <c:v>0.59</c:v>
                </c:pt>
                <c:pt idx="31">
                  <c:v>0.65</c:v>
                </c:pt>
                <c:pt idx="32">
                  <c:v>0.59</c:v>
                </c:pt>
                <c:pt idx="33">
                  <c:v>0.65</c:v>
                </c:pt>
                <c:pt idx="34">
                  <c:v>0.62</c:v>
                </c:pt>
              </c:numCache>
            </c:numRef>
          </c:val>
          <c:smooth val="0"/>
          <c:extLst>
            <c:ext xmlns:c16="http://schemas.microsoft.com/office/drawing/2014/chart" uri="{C3380CC4-5D6E-409C-BE32-E72D297353CC}">
              <c16:uniqueId val="{00000006-A725-485C-A23F-84E87311B43E}"/>
            </c:ext>
          </c:extLst>
        </c:ser>
        <c:ser>
          <c:idx val="1"/>
          <c:order val="1"/>
          <c:tx>
            <c:strRef>
              <c:f>'[Chart template.xlsx]Difficulty by Region Type '!$C$1</c:f>
              <c:strCache>
                <c:ptCount val="1"/>
                <c:pt idx="0">
                  <c:v>Rest of State areas</c:v>
                </c:pt>
              </c:strCache>
            </c:strRef>
          </c:tx>
          <c:spPr>
            <a:ln w="28575" cap="rnd">
              <a:solidFill>
                <a:schemeClr val="accent2"/>
              </a:solidFill>
              <a:round/>
            </a:ln>
            <a:effectLst/>
          </c:spPr>
          <c:marker>
            <c:symbol val="none"/>
          </c:marker>
          <c:dPt>
            <c:idx val="6"/>
            <c:marker>
              <c:symbol val="none"/>
            </c:marker>
            <c:bubble3D val="0"/>
            <c:spPr>
              <a:ln w="28575" cap="rnd">
                <a:solidFill>
                  <a:schemeClr val="accent2"/>
                </a:solidFill>
                <a:prstDash val="sysDot"/>
                <a:round/>
              </a:ln>
              <a:effectLst/>
            </c:spPr>
            <c:extLst>
              <c:ext xmlns:c16="http://schemas.microsoft.com/office/drawing/2014/chart" uri="{C3380CC4-5D6E-409C-BE32-E72D297353CC}">
                <c16:uniqueId val="{00000008-A725-485C-A23F-84E87311B43E}"/>
              </c:ext>
            </c:extLst>
          </c:dPt>
          <c:dPt>
            <c:idx val="18"/>
            <c:marker>
              <c:symbol val="none"/>
            </c:marker>
            <c:bubble3D val="0"/>
            <c:spPr>
              <a:ln w="28575" cap="rnd">
                <a:solidFill>
                  <a:schemeClr val="accent2"/>
                </a:solidFill>
                <a:prstDash val="sysDot"/>
                <a:round/>
              </a:ln>
              <a:effectLst/>
            </c:spPr>
            <c:extLst>
              <c:ext xmlns:c16="http://schemas.microsoft.com/office/drawing/2014/chart" uri="{C3380CC4-5D6E-409C-BE32-E72D297353CC}">
                <c16:uniqueId val="{0000000A-A725-485C-A23F-84E87311B43E}"/>
              </c:ext>
            </c:extLst>
          </c:dPt>
          <c:dPt>
            <c:idx val="30"/>
            <c:marker>
              <c:symbol val="none"/>
            </c:marker>
            <c:bubble3D val="0"/>
            <c:spPr>
              <a:ln w="28575" cap="rnd">
                <a:solidFill>
                  <a:schemeClr val="accent2"/>
                </a:solidFill>
                <a:prstDash val="sysDot"/>
                <a:round/>
              </a:ln>
              <a:effectLst/>
            </c:spPr>
            <c:extLst>
              <c:ext xmlns:c16="http://schemas.microsoft.com/office/drawing/2014/chart" uri="{C3380CC4-5D6E-409C-BE32-E72D297353CC}">
                <c16:uniqueId val="{0000000C-A725-485C-A23F-84E87311B43E}"/>
              </c:ext>
            </c:extLst>
          </c:dPt>
          <c:cat>
            <c:numRef>
              <c:f>'[Chart template.xlsx]Difficulty by Region Type '!$A$2:$A$36</c:f>
              <c:numCache>
                <c:formatCode>mmm\-yy</c:formatCode>
                <c:ptCount val="35"/>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pt idx="29">
                  <c:v>44957</c:v>
                </c:pt>
                <c:pt idx="30">
                  <c:v>44985</c:v>
                </c:pt>
                <c:pt idx="31">
                  <c:v>45016</c:v>
                </c:pt>
                <c:pt idx="32">
                  <c:v>45046</c:v>
                </c:pt>
                <c:pt idx="33">
                  <c:v>45077</c:v>
                </c:pt>
                <c:pt idx="34">
                  <c:v>45107</c:v>
                </c:pt>
              </c:numCache>
            </c:numRef>
          </c:cat>
          <c:val>
            <c:numRef>
              <c:f>'[Chart template.xlsx]Difficulty by Region Type '!$C$2:$C$36</c:f>
              <c:numCache>
                <c:formatCode>0%</c:formatCode>
                <c:ptCount val="35"/>
                <c:pt idx="0">
                  <c:v>0.52</c:v>
                </c:pt>
                <c:pt idx="1">
                  <c:v>0.44</c:v>
                </c:pt>
                <c:pt idx="2">
                  <c:v>0.5</c:v>
                </c:pt>
                <c:pt idx="3">
                  <c:v>0.48</c:v>
                </c:pt>
                <c:pt idx="4">
                  <c:v>0.46</c:v>
                </c:pt>
                <c:pt idx="5">
                  <c:v>#N/A</c:v>
                </c:pt>
                <c:pt idx="6">
                  <c:v>0.39</c:v>
                </c:pt>
                <c:pt idx="7">
                  <c:v>0.53</c:v>
                </c:pt>
                <c:pt idx="8">
                  <c:v>0.64</c:v>
                </c:pt>
                <c:pt idx="9">
                  <c:v>0.56999999999999995</c:v>
                </c:pt>
                <c:pt idx="10">
                  <c:v>0.56999999999999995</c:v>
                </c:pt>
                <c:pt idx="11">
                  <c:v>0.61</c:v>
                </c:pt>
                <c:pt idx="12">
                  <c:v>0.55000000000000004</c:v>
                </c:pt>
                <c:pt idx="13">
                  <c:v>0.5</c:v>
                </c:pt>
                <c:pt idx="14">
                  <c:v>0.62</c:v>
                </c:pt>
                <c:pt idx="15">
                  <c:v>0.67</c:v>
                </c:pt>
                <c:pt idx="16">
                  <c:v>0.6</c:v>
                </c:pt>
                <c:pt idx="17">
                  <c:v>#N/A</c:v>
                </c:pt>
                <c:pt idx="18">
                  <c:v>0.66</c:v>
                </c:pt>
                <c:pt idx="19">
                  <c:v>0.63</c:v>
                </c:pt>
                <c:pt idx="20">
                  <c:v>0.62</c:v>
                </c:pt>
                <c:pt idx="21">
                  <c:v>0.71</c:v>
                </c:pt>
                <c:pt idx="22">
                  <c:v>0.67</c:v>
                </c:pt>
                <c:pt idx="23">
                  <c:v>0.77</c:v>
                </c:pt>
                <c:pt idx="24">
                  <c:v>0.71</c:v>
                </c:pt>
                <c:pt idx="25">
                  <c:v>0.68</c:v>
                </c:pt>
                <c:pt idx="26">
                  <c:v>0.75</c:v>
                </c:pt>
                <c:pt idx="27">
                  <c:v>0.7</c:v>
                </c:pt>
                <c:pt idx="28">
                  <c:v>0.68</c:v>
                </c:pt>
                <c:pt idx="29">
                  <c:v>#N/A</c:v>
                </c:pt>
                <c:pt idx="30">
                  <c:v>0.64</c:v>
                </c:pt>
                <c:pt idx="31">
                  <c:v>0.64</c:v>
                </c:pt>
                <c:pt idx="32">
                  <c:v>0.66</c:v>
                </c:pt>
                <c:pt idx="33">
                  <c:v>0.69</c:v>
                </c:pt>
                <c:pt idx="34">
                  <c:v>0.64</c:v>
                </c:pt>
              </c:numCache>
            </c:numRef>
          </c:val>
          <c:smooth val="0"/>
          <c:extLst>
            <c:ext xmlns:c16="http://schemas.microsoft.com/office/drawing/2014/chart" uri="{C3380CC4-5D6E-409C-BE32-E72D297353CC}">
              <c16:uniqueId val="{0000000D-A725-485C-A23F-84E87311B43E}"/>
            </c:ext>
          </c:extLst>
        </c:ser>
        <c:ser>
          <c:idx val="2"/>
          <c:order val="2"/>
          <c:tx>
            <c:strRef>
              <c:f>'[Chart template.xlsx]Difficulty by Region Type '!$D$1</c:f>
              <c:strCache>
                <c:ptCount val="1"/>
                <c:pt idx="0">
                  <c:v>All recruiting employers</c:v>
                </c:pt>
              </c:strCache>
            </c:strRef>
          </c:tx>
          <c:spPr>
            <a:ln w="28575" cap="rnd">
              <a:solidFill>
                <a:schemeClr val="accent3"/>
              </a:solidFill>
              <a:round/>
            </a:ln>
            <a:effectLst/>
          </c:spPr>
          <c:marker>
            <c:symbol val="none"/>
          </c:marker>
          <c:cat>
            <c:numRef>
              <c:f>'[Chart template.xlsx]Difficulty by Region Type '!$A$2:$A$36</c:f>
              <c:numCache>
                <c:formatCode>mmm\-yy</c:formatCode>
                <c:ptCount val="35"/>
                <c:pt idx="0">
                  <c:v>44074</c:v>
                </c:pt>
                <c:pt idx="1">
                  <c:v>44104</c:v>
                </c:pt>
                <c:pt idx="2">
                  <c:v>44135</c:v>
                </c:pt>
                <c:pt idx="3">
                  <c:v>44165</c:v>
                </c:pt>
                <c:pt idx="4">
                  <c:v>44196</c:v>
                </c:pt>
                <c:pt idx="5">
                  <c:v>44227</c:v>
                </c:pt>
                <c:pt idx="6">
                  <c:v>44255</c:v>
                </c:pt>
                <c:pt idx="7">
                  <c:v>44286</c:v>
                </c:pt>
                <c:pt idx="8">
                  <c:v>44316</c:v>
                </c:pt>
                <c:pt idx="9">
                  <c:v>44347</c:v>
                </c:pt>
                <c:pt idx="10">
                  <c:v>44377</c:v>
                </c:pt>
                <c:pt idx="11">
                  <c:v>44408</c:v>
                </c:pt>
                <c:pt idx="12">
                  <c:v>44439</c:v>
                </c:pt>
                <c:pt idx="13">
                  <c:v>44469</c:v>
                </c:pt>
                <c:pt idx="14">
                  <c:v>44500</c:v>
                </c:pt>
                <c:pt idx="15">
                  <c:v>44530</c:v>
                </c:pt>
                <c:pt idx="16">
                  <c:v>44561</c:v>
                </c:pt>
                <c:pt idx="17">
                  <c:v>44592</c:v>
                </c:pt>
                <c:pt idx="18">
                  <c:v>44620</c:v>
                </c:pt>
                <c:pt idx="19">
                  <c:v>44651</c:v>
                </c:pt>
                <c:pt idx="20">
                  <c:v>44681</c:v>
                </c:pt>
                <c:pt idx="21">
                  <c:v>44712</c:v>
                </c:pt>
                <c:pt idx="22">
                  <c:v>44742</c:v>
                </c:pt>
                <c:pt idx="23">
                  <c:v>44773</c:v>
                </c:pt>
                <c:pt idx="24">
                  <c:v>44804</c:v>
                </c:pt>
                <c:pt idx="25">
                  <c:v>44834</c:v>
                </c:pt>
                <c:pt idx="26">
                  <c:v>44865</c:v>
                </c:pt>
                <c:pt idx="27">
                  <c:v>44895</c:v>
                </c:pt>
                <c:pt idx="28">
                  <c:v>44926</c:v>
                </c:pt>
                <c:pt idx="29">
                  <c:v>44957</c:v>
                </c:pt>
                <c:pt idx="30">
                  <c:v>44985</c:v>
                </c:pt>
                <c:pt idx="31">
                  <c:v>45016</c:v>
                </c:pt>
                <c:pt idx="32">
                  <c:v>45046</c:v>
                </c:pt>
                <c:pt idx="33">
                  <c:v>45077</c:v>
                </c:pt>
                <c:pt idx="34">
                  <c:v>45107</c:v>
                </c:pt>
              </c:numCache>
            </c:numRef>
          </c:cat>
          <c:val>
            <c:numRef>
              <c:f>'[Chart template.xlsx]Difficulty by Region Type '!$D$2:$D$36</c:f>
              <c:numCache>
                <c:formatCode>0%</c:formatCode>
                <c:ptCount val="35"/>
                <c:pt idx="0">
                  <c:v>0.49</c:v>
                </c:pt>
                <c:pt idx="1">
                  <c:v>0.42</c:v>
                </c:pt>
                <c:pt idx="2">
                  <c:v>0.44</c:v>
                </c:pt>
                <c:pt idx="3">
                  <c:v>0.4</c:v>
                </c:pt>
                <c:pt idx="4">
                  <c:v>0.41</c:v>
                </c:pt>
                <c:pt idx="5">
                  <c:v>0.39</c:v>
                </c:pt>
                <c:pt idx="6">
                  <c:v>0.37</c:v>
                </c:pt>
                <c:pt idx="7">
                  <c:v>0.46</c:v>
                </c:pt>
                <c:pt idx="8">
                  <c:v>0.54</c:v>
                </c:pt>
                <c:pt idx="9">
                  <c:v>0.51</c:v>
                </c:pt>
                <c:pt idx="10">
                  <c:v>0.52</c:v>
                </c:pt>
                <c:pt idx="11">
                  <c:v>0.53</c:v>
                </c:pt>
                <c:pt idx="12">
                  <c:v>0.52</c:v>
                </c:pt>
                <c:pt idx="13">
                  <c:v>0.52</c:v>
                </c:pt>
                <c:pt idx="14">
                  <c:v>0.54</c:v>
                </c:pt>
                <c:pt idx="15">
                  <c:v>0.63</c:v>
                </c:pt>
                <c:pt idx="16">
                  <c:v>0.56999999999999995</c:v>
                </c:pt>
                <c:pt idx="17">
                  <c:v>0.68</c:v>
                </c:pt>
                <c:pt idx="18">
                  <c:v>0.64</c:v>
                </c:pt>
                <c:pt idx="19">
                  <c:v>0.64</c:v>
                </c:pt>
                <c:pt idx="20">
                  <c:v>0.64</c:v>
                </c:pt>
                <c:pt idx="21">
                  <c:v>0.68</c:v>
                </c:pt>
                <c:pt idx="22">
                  <c:v>0.67</c:v>
                </c:pt>
                <c:pt idx="23">
                  <c:v>0.75</c:v>
                </c:pt>
                <c:pt idx="24">
                  <c:v>0.74</c:v>
                </c:pt>
                <c:pt idx="25">
                  <c:v>0.67</c:v>
                </c:pt>
                <c:pt idx="26">
                  <c:v>0.7</c:v>
                </c:pt>
                <c:pt idx="27">
                  <c:v>0.69</c:v>
                </c:pt>
                <c:pt idx="28">
                  <c:v>0.65</c:v>
                </c:pt>
                <c:pt idx="29">
                  <c:v>0.56000000000000005</c:v>
                </c:pt>
                <c:pt idx="30">
                  <c:v>0.61</c:v>
                </c:pt>
                <c:pt idx="31">
                  <c:v>0.64</c:v>
                </c:pt>
                <c:pt idx="32">
                  <c:v>0.62</c:v>
                </c:pt>
                <c:pt idx="33">
                  <c:v>0.67</c:v>
                </c:pt>
                <c:pt idx="34">
                  <c:v>0.63</c:v>
                </c:pt>
              </c:numCache>
            </c:numRef>
          </c:val>
          <c:smooth val="0"/>
          <c:extLst>
            <c:ext xmlns:c16="http://schemas.microsoft.com/office/drawing/2014/chart" uri="{C3380CC4-5D6E-409C-BE32-E72D297353CC}">
              <c16:uniqueId val="{0000000E-A725-485C-A23F-84E87311B43E}"/>
            </c:ext>
          </c:extLst>
        </c:ser>
        <c:dLbls>
          <c:showLegendKey val="0"/>
          <c:showVal val="0"/>
          <c:showCatName val="0"/>
          <c:showSerName val="0"/>
          <c:showPercent val="0"/>
          <c:showBubbleSize val="0"/>
        </c:dLbls>
        <c:smooth val="0"/>
        <c:axId val="358743792"/>
        <c:axId val="463963952"/>
      </c:lineChart>
      <c:dateAx>
        <c:axId val="35874379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63963952"/>
        <c:crosses val="autoZero"/>
        <c:auto val="1"/>
        <c:lblOffset val="100"/>
        <c:baseTimeUnit val="days"/>
        <c:majorUnit val="1"/>
        <c:majorTimeUnit val="months"/>
      </c:dateAx>
      <c:valAx>
        <c:axId val="46396395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Proportion of recruiting</a:t>
                </a:r>
                <a:r>
                  <a:rPr lang="en-AU" baseline="0"/>
                  <a:t> employers</a:t>
                </a:r>
                <a:endParaRPr lang="en-AU"/>
              </a:p>
            </c:rich>
          </c:tx>
          <c:layout>
            <c:manualLayout>
              <c:xMode val="edge"/>
              <c:yMode val="edge"/>
              <c:x val="1.1755269721719565E-2"/>
              <c:y val="5.995370370370370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58743792"/>
        <c:crosses val="autoZero"/>
        <c:crossBetween val="between"/>
      </c:valAx>
      <c:spPr>
        <a:noFill/>
        <a:ln>
          <a:noFill/>
        </a:ln>
        <a:effectLst/>
      </c:spPr>
    </c:plotArea>
    <c:legend>
      <c:legendPos val="r"/>
      <c:layout>
        <c:manualLayout>
          <c:xMode val="edge"/>
          <c:yMode val="edge"/>
          <c:x val="0.64444444444444449"/>
          <c:y val="0.56053550597841939"/>
          <c:w val="0.32549541979189361"/>
          <c:h val="0.2215212160979877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template.xlsx]DifficultyRegion Type 2016-2023'!$B$1</c:f>
              <c:strCache>
                <c:ptCount val="1"/>
                <c:pt idx="0">
                  <c:v>Rest of state areas</c:v>
                </c:pt>
              </c:strCache>
            </c:strRef>
          </c:tx>
          <c:spPr>
            <a:ln w="28575" cap="rnd">
              <a:solidFill>
                <a:srgbClr val="005D5D"/>
              </a:solidFill>
              <a:round/>
            </a:ln>
            <a:effectLst/>
          </c:spPr>
          <c:marker>
            <c:symbol val="none"/>
          </c:marker>
          <c:dLbls>
            <c:dLbl>
              <c:idx val="7"/>
              <c:layout>
                <c:manualLayout>
                  <c:x val="1.5263779527559158E-2"/>
                  <c:y val="-5.6354257801108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C7B-4FD8-9D57-D549F20465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template.xlsx]DifficultyRegion Type 2016-2023'!$A$2:$A$10</c:f>
              <c:strCache>
                <c:ptCount val="8"/>
                <c:pt idx="0">
                  <c:v>2016</c:v>
                </c:pt>
                <c:pt idx="1">
                  <c:v>2017</c:v>
                </c:pt>
                <c:pt idx="2">
                  <c:v>2018</c:v>
                </c:pt>
                <c:pt idx="3">
                  <c:v>2019</c:v>
                </c:pt>
                <c:pt idx="4">
                  <c:v>2020*</c:v>
                </c:pt>
                <c:pt idx="5">
                  <c:v>2021</c:v>
                </c:pt>
                <c:pt idx="6">
                  <c:v>2022</c:v>
                </c:pt>
                <c:pt idx="7">
                  <c:v>2023 to date^</c:v>
                </c:pt>
              </c:strCache>
            </c:strRef>
          </c:cat>
          <c:val>
            <c:numRef>
              <c:f>'[Chart template.xlsx]DifficultyRegion Type 2016-2023'!$B$2:$B$10</c:f>
              <c:numCache>
                <c:formatCode>0%</c:formatCode>
                <c:ptCount val="9"/>
                <c:pt idx="0">
                  <c:v>0.28999999999999998</c:v>
                </c:pt>
                <c:pt idx="1">
                  <c:v>0.34</c:v>
                </c:pt>
                <c:pt idx="2">
                  <c:v>0.41</c:v>
                </c:pt>
                <c:pt idx="3">
                  <c:v>0.37</c:v>
                </c:pt>
                <c:pt idx="4">
                  <c:v>0.48</c:v>
                </c:pt>
                <c:pt idx="5">
                  <c:v>0.56000000000000005</c:v>
                </c:pt>
                <c:pt idx="6">
                  <c:v>0.69</c:v>
                </c:pt>
                <c:pt idx="7">
                  <c:v>0.65</c:v>
                </c:pt>
              </c:numCache>
            </c:numRef>
          </c:val>
          <c:smooth val="0"/>
          <c:extLst>
            <c:ext xmlns:c16="http://schemas.microsoft.com/office/drawing/2014/chart" uri="{C3380CC4-5D6E-409C-BE32-E72D297353CC}">
              <c16:uniqueId val="{00000001-2C7B-4FD8-9D57-D549F204650B}"/>
            </c:ext>
          </c:extLst>
        </c:ser>
        <c:ser>
          <c:idx val="1"/>
          <c:order val="1"/>
          <c:tx>
            <c:strRef>
              <c:f>'[Chart template.xlsx]DifficultyRegion Type 2016-2023'!$C$1</c:f>
              <c:strCache>
                <c:ptCount val="1"/>
                <c:pt idx="0">
                  <c:v>Capital Cities</c:v>
                </c:pt>
              </c:strCache>
            </c:strRef>
          </c:tx>
          <c:spPr>
            <a:ln w="28575" cap="rnd">
              <a:solidFill>
                <a:schemeClr val="accent1"/>
              </a:solidFill>
              <a:round/>
            </a:ln>
            <a:effectLst/>
          </c:spPr>
          <c:marker>
            <c:symbol val="none"/>
          </c:marker>
          <c:dLbls>
            <c:dLbl>
              <c:idx val="7"/>
              <c:layout>
                <c:manualLayout>
                  <c:x val="1.5263779527559158E-2"/>
                  <c:y val="4.54975940507436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C7B-4FD8-9D57-D549F20465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template.xlsx]DifficultyRegion Type 2016-2023'!$A$2:$A$10</c:f>
              <c:strCache>
                <c:ptCount val="8"/>
                <c:pt idx="0">
                  <c:v>2016</c:v>
                </c:pt>
                <c:pt idx="1">
                  <c:v>2017</c:v>
                </c:pt>
                <c:pt idx="2">
                  <c:v>2018</c:v>
                </c:pt>
                <c:pt idx="3">
                  <c:v>2019</c:v>
                </c:pt>
                <c:pt idx="4">
                  <c:v>2020*</c:v>
                </c:pt>
                <c:pt idx="5">
                  <c:v>2021</c:v>
                </c:pt>
                <c:pt idx="6">
                  <c:v>2022</c:v>
                </c:pt>
                <c:pt idx="7">
                  <c:v>2023 to date^</c:v>
                </c:pt>
              </c:strCache>
            </c:strRef>
          </c:cat>
          <c:val>
            <c:numRef>
              <c:f>'[Chart template.xlsx]DifficultyRegion Type 2016-2023'!$C$2:$C$10</c:f>
              <c:numCache>
                <c:formatCode>0%</c:formatCode>
                <c:ptCount val="9"/>
                <c:pt idx="0">
                  <c:v>0.41</c:v>
                </c:pt>
                <c:pt idx="1">
                  <c:v>0.4</c:v>
                </c:pt>
                <c:pt idx="2">
                  <c:v>0.47</c:v>
                </c:pt>
                <c:pt idx="3">
                  <c:v>0.45</c:v>
                </c:pt>
                <c:pt idx="4">
                  <c:v>0.39</c:v>
                </c:pt>
                <c:pt idx="5">
                  <c:v>0.49</c:v>
                </c:pt>
                <c:pt idx="6">
                  <c:v>0.68</c:v>
                </c:pt>
                <c:pt idx="7">
                  <c:v>0.62</c:v>
                </c:pt>
              </c:numCache>
            </c:numRef>
          </c:val>
          <c:smooth val="0"/>
          <c:extLst>
            <c:ext xmlns:c16="http://schemas.microsoft.com/office/drawing/2014/chart" uri="{C3380CC4-5D6E-409C-BE32-E72D297353CC}">
              <c16:uniqueId val="{00000003-2C7B-4FD8-9D57-D549F204650B}"/>
            </c:ext>
          </c:extLst>
        </c:ser>
        <c:dLbls>
          <c:showLegendKey val="0"/>
          <c:showVal val="0"/>
          <c:showCatName val="0"/>
          <c:showSerName val="0"/>
          <c:showPercent val="0"/>
          <c:showBubbleSize val="0"/>
        </c:dLbls>
        <c:smooth val="0"/>
        <c:axId val="463756656"/>
        <c:axId val="463757136"/>
      </c:lineChart>
      <c:catAx>
        <c:axId val="46375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63757136"/>
        <c:crosses val="autoZero"/>
        <c:auto val="1"/>
        <c:lblAlgn val="ctr"/>
        <c:lblOffset val="100"/>
        <c:noMultiLvlLbl val="0"/>
      </c:catAx>
      <c:valAx>
        <c:axId val="46375713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Proportion of recruiting employers</a:t>
                </a:r>
              </a:p>
            </c:rich>
          </c:tx>
          <c:layout>
            <c:manualLayout>
              <c:xMode val="edge"/>
              <c:yMode val="edge"/>
              <c:x val="1.1554015020219527E-2"/>
              <c:y val="3.240740740740740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6375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'[Chart template.xlsx]Scatter Plot DiffxRec'!$G$3</c:f>
              <c:strCache>
                <c:ptCount val="1"/>
                <c:pt idx="0">
                  <c:v>Capital Cities</c:v>
                </c:pt>
              </c:strCache>
            </c:strRef>
          </c:tx>
          <c:spPr>
            <a:ln w="19050" cap="rnd">
              <a:noFill/>
              <a:round/>
            </a:ln>
            <a:effectLst/>
          </c:spPr>
          <c:marker>
            <c:symbol val="circle"/>
            <c:size val="5"/>
            <c:spPr>
              <a:solidFill>
                <a:schemeClr val="accent1"/>
              </a:solidFill>
              <a:ln w="9525">
                <a:solidFill>
                  <a:schemeClr val="accent1"/>
                </a:solidFill>
              </a:ln>
              <a:effectLst/>
            </c:spPr>
          </c:marker>
          <c:dLbls>
            <c:dLbl>
              <c:idx val="0"/>
              <c:layout>
                <c:manualLayout>
                  <c:x val="-4.8618110236220521E-2"/>
                  <c:y val="4.0867964421114025E-2"/>
                </c:manualLayout>
              </c:layout>
              <c:tx>
                <c:rich>
                  <a:bodyPr/>
                  <a:lstStyle/>
                  <a:p>
                    <a:r>
                      <a:rPr lang="en-US"/>
                      <a:t>ACT</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A38-4054-8815-A80BDEDB9F64}"/>
                </c:ext>
              </c:extLst>
            </c:dLbl>
            <c:dLbl>
              <c:idx val="1"/>
              <c:tx>
                <c:rich>
                  <a:bodyPr/>
                  <a:lstStyle/>
                  <a:p>
                    <a:r>
                      <a:rPr lang="en-US"/>
                      <a:t>Adelaide</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A38-4054-8815-A80BDEDB9F64}"/>
                </c:ext>
              </c:extLst>
            </c:dLbl>
            <c:dLbl>
              <c:idx val="2"/>
              <c:layout>
                <c:manualLayout>
                  <c:x val="-7.2222222222222219E-4"/>
                  <c:y val="5.0127223680373201E-2"/>
                </c:manualLayout>
              </c:layout>
              <c:tx>
                <c:rich>
                  <a:bodyPr/>
                  <a:lstStyle/>
                  <a:p>
                    <a:r>
                      <a:rPr lang="en-US"/>
                      <a:t>Brisbane</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A38-4054-8815-A80BDEDB9F64}"/>
                </c:ext>
              </c:extLst>
            </c:dLbl>
            <c:dLbl>
              <c:idx val="3"/>
              <c:layout>
                <c:manualLayout>
                  <c:x val="-4.3069553805774277E-2"/>
                  <c:y val="-5.6354257801108192E-2"/>
                </c:manualLayout>
              </c:layout>
              <c:tx>
                <c:rich>
                  <a:bodyPr/>
                  <a:lstStyle/>
                  <a:p>
                    <a:r>
                      <a:rPr lang="en-US"/>
                      <a:t>Darwin</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A38-4054-8815-A80BDEDB9F64}"/>
                </c:ext>
              </c:extLst>
            </c:dLbl>
            <c:dLbl>
              <c:idx val="4"/>
              <c:layout>
                <c:manualLayout>
                  <c:x val="-0.10557668243276822"/>
                  <c:y val="-2.3538201069576284E-2"/>
                </c:manualLayout>
              </c:layout>
              <c:tx>
                <c:rich>
                  <a:bodyPr/>
                  <a:lstStyle/>
                  <a:p>
                    <a:r>
                      <a:rPr lang="en-US"/>
                      <a:t>Hobart</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A38-4054-8815-A80BDEDB9F64}"/>
                </c:ext>
              </c:extLst>
            </c:dLbl>
            <c:dLbl>
              <c:idx val="5"/>
              <c:layout>
                <c:manualLayout>
                  <c:x val="-0.21600000000000003"/>
                  <c:y val="-0.19987277631962672"/>
                </c:manualLayout>
              </c:layout>
              <c:tx>
                <c:rich>
                  <a:bodyPr/>
                  <a:lstStyle/>
                  <a:p>
                    <a:r>
                      <a:rPr lang="en-US"/>
                      <a:t>Melbourne</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A38-4054-8815-A80BDEDB9F64}"/>
                </c:ext>
              </c:extLst>
            </c:dLbl>
            <c:dLbl>
              <c:idx val="6"/>
              <c:layout>
                <c:manualLayout>
                  <c:x val="-0.15626399825021872"/>
                  <c:y val="-8.8761665208515556E-2"/>
                </c:manualLayout>
              </c:layout>
              <c:tx>
                <c:rich>
                  <a:bodyPr/>
                  <a:lstStyle/>
                  <a:p>
                    <a:r>
                      <a:rPr lang="en-US"/>
                      <a:t>Perth</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A38-4054-8815-A80BDEDB9F64}"/>
                </c:ext>
              </c:extLst>
            </c:dLbl>
            <c:dLbl>
              <c:idx val="7"/>
              <c:layout>
                <c:manualLayout>
                  <c:x val="-0.16530555555555554"/>
                  <c:y val="-7.024314668999708E-2"/>
                </c:manualLayout>
              </c:layout>
              <c:tx>
                <c:rich>
                  <a:bodyPr/>
                  <a:lstStyle/>
                  <a:p>
                    <a:r>
                      <a:rPr lang="en-US"/>
                      <a:t>Sydney</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EA38-4054-8815-A80BDEDB9F64}"/>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'[Chart template.xlsx]Scatter Plot DiffxRec'!$F$4:$F$18</c:f>
              <c:numCache>
                <c:formatCode>0%</c:formatCode>
                <c:ptCount val="15"/>
                <c:pt idx="0">
                  <c:v>0.55877964038255745</c:v>
                </c:pt>
                <c:pt idx="1">
                  <c:v>0.48323214463658304</c:v>
                </c:pt>
                <c:pt idx="2">
                  <c:v>0.56460266069368559</c:v>
                </c:pt>
                <c:pt idx="3">
                  <c:v>0.68628601640960751</c:v>
                </c:pt>
                <c:pt idx="4">
                  <c:v>0.48580389207327573</c:v>
                </c:pt>
                <c:pt idx="5">
                  <c:v>0.53484079962653663</c:v>
                </c:pt>
                <c:pt idx="6">
                  <c:v>0.52220713268692076</c:v>
                </c:pt>
                <c:pt idx="7">
                  <c:v>0.52701134052516385</c:v>
                </c:pt>
                <c:pt idx="8">
                  <c:v>0.55830895808024927</c:v>
                </c:pt>
                <c:pt idx="9">
                  <c:v>0.6734984476432575</c:v>
                </c:pt>
                <c:pt idx="10">
                  <c:v>0.59139104216239646</c:v>
                </c:pt>
                <c:pt idx="11">
                  <c:v>0.54233622455632569</c:v>
                </c:pt>
                <c:pt idx="12">
                  <c:v>0.51770419728323469</c:v>
                </c:pt>
                <c:pt idx="13">
                  <c:v>0.53297119057711606</c:v>
                </c:pt>
                <c:pt idx="14">
                  <c:v>0.60673155438066395</c:v>
                </c:pt>
              </c:numCache>
            </c:numRef>
          </c:xVal>
          <c:yVal>
            <c:numRef>
              <c:f>'[Chart template.xlsx]Scatter Plot DiffxRec'!$G$4:$G$18</c:f>
              <c:numCache>
                <c:formatCode>0%</c:formatCode>
                <c:ptCount val="15"/>
                <c:pt idx="0">
                  <c:v>0.596776157343613</c:v>
                </c:pt>
                <c:pt idx="1">
                  <c:v>0.62342975070918061</c:v>
                </c:pt>
                <c:pt idx="2">
                  <c:v>0.6304684635790645</c:v>
                </c:pt>
                <c:pt idx="3">
                  <c:v>0.68513613507059035</c:v>
                </c:pt>
                <c:pt idx="4">
                  <c:v>0.58682727975799298</c:v>
                </c:pt>
                <c:pt idx="5">
                  <c:v>0.68168888325962718</c:v>
                </c:pt>
                <c:pt idx="6">
                  <c:v>0.68581442042085194</c:v>
                </c:pt>
                <c:pt idx="7">
                  <c:v>0.66014189010375779</c:v>
                </c:pt>
              </c:numCache>
            </c:numRef>
          </c:yVal>
          <c:smooth val="0"/>
          <c:extLst>
            <c:ext xmlns:c16="http://schemas.microsoft.com/office/drawing/2014/chart" uri="{C3380CC4-5D6E-409C-BE32-E72D297353CC}">
              <c16:uniqueId val="{00000008-EA38-4054-8815-A80BDEDB9F64}"/>
            </c:ext>
          </c:extLst>
        </c:ser>
        <c:ser>
          <c:idx val="1"/>
          <c:order val="1"/>
          <c:tx>
            <c:strRef>
              <c:f>'[Chart template.xlsx]Scatter Plot DiffxRec'!$H$3</c:f>
              <c:strCache>
                <c:ptCount val="1"/>
                <c:pt idx="0">
                  <c:v>Rest of State areas</c:v>
                </c:pt>
              </c:strCache>
            </c:strRef>
          </c:tx>
          <c:spPr>
            <a:ln w="19050" cap="rnd">
              <a:noFill/>
              <a:round/>
            </a:ln>
            <a:effectLst/>
          </c:spPr>
          <c:marker>
            <c:symbol val="circle"/>
            <c:size val="5"/>
            <c:spPr>
              <a:solidFill>
                <a:schemeClr val="accent2"/>
              </a:solidFill>
              <a:ln w="9525">
                <a:solidFill>
                  <a:schemeClr val="accent2"/>
                </a:solidFill>
              </a:ln>
              <a:effectLst/>
            </c:spPr>
          </c:marker>
          <c:dLbls>
            <c:dLbl>
              <c:idx val="8"/>
              <c:tx>
                <c:rich>
                  <a:bodyPr/>
                  <a:lstStyle/>
                  <a:p>
                    <a:r>
                      <a:rPr lang="en-US"/>
                      <a:t>NSW</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EA38-4054-8815-A80BDEDB9F64}"/>
                </c:ext>
              </c:extLst>
            </c:dLbl>
            <c:dLbl>
              <c:idx val="9"/>
              <c:tx>
                <c:rich>
                  <a:bodyPr/>
                  <a:lstStyle/>
                  <a:p>
                    <a:r>
                      <a:rPr lang="en-US"/>
                      <a:t>NT</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EA38-4054-8815-A80BDEDB9F64}"/>
                </c:ext>
              </c:extLst>
            </c:dLbl>
            <c:dLbl>
              <c:idx val="10"/>
              <c:tx>
                <c:rich>
                  <a:bodyPr/>
                  <a:lstStyle/>
                  <a:p>
                    <a:r>
                      <a:rPr lang="en-US"/>
                      <a:t>QLD</a:t>
                    </a:r>
                  </a:p>
                </c:rich>
              </c:tx>
              <c:dLblPos val="t"/>
              <c:showLegendKey val="0"/>
              <c:showVal val="1"/>
              <c:showCatName val="0"/>
              <c:showSerName val="0"/>
              <c:showPercent val="0"/>
              <c:showBubbleSize val="0"/>
              <c:extLst>
                <c:ext xmlns:c15="http://schemas.microsoft.com/office/drawing/2012/chart" uri="{CE6537A1-D6FC-4f65-9D91-7224C49458BB}">
                  <c15:layout>
                    <c:manualLayout>
                      <c:w val="0.10280555555555555"/>
                      <c:h val="7.5671478565179348E-2"/>
                    </c:manualLayout>
                  </c15:layout>
                  <c15:showDataLabelsRange val="0"/>
                </c:ext>
                <c:ext xmlns:c16="http://schemas.microsoft.com/office/drawing/2014/chart" uri="{C3380CC4-5D6E-409C-BE32-E72D297353CC}">
                  <c16:uniqueId val="{0000000B-EA38-4054-8815-A80BDEDB9F64}"/>
                </c:ext>
              </c:extLst>
            </c:dLbl>
            <c:dLbl>
              <c:idx val="11"/>
              <c:layout>
                <c:manualLayout>
                  <c:x val="-5.4180664916885439E-2"/>
                  <c:y val="5.0127223680373201E-2"/>
                </c:manualLayout>
              </c:layout>
              <c:tx>
                <c:rich>
                  <a:bodyPr/>
                  <a:lstStyle/>
                  <a:p>
                    <a:r>
                      <a:rPr lang="en-US"/>
                      <a:t>SA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EA38-4054-8815-A80BDEDB9F64}"/>
                </c:ext>
              </c:extLst>
            </c:dLbl>
            <c:dLbl>
              <c:idx val="12"/>
              <c:layout>
                <c:manualLayout>
                  <c:x val="-5.0708442694663167E-2"/>
                  <c:y val="5.0127223680373284E-2"/>
                </c:manualLayout>
              </c:layout>
              <c:tx>
                <c:rich>
                  <a:bodyPr/>
                  <a:lstStyle/>
                  <a:p>
                    <a:r>
                      <a:rPr lang="en-US"/>
                      <a:t>TAS</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EA38-4054-8815-A80BDEDB9F64}"/>
                </c:ext>
              </c:extLst>
            </c:dLbl>
            <c:dLbl>
              <c:idx val="13"/>
              <c:tx>
                <c:rich>
                  <a:bodyPr/>
                  <a:lstStyle/>
                  <a:p>
                    <a:r>
                      <a:rPr lang="en-US"/>
                      <a:t>VIC</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EA38-4054-8815-A80BDEDB9F64}"/>
                </c:ext>
              </c:extLst>
            </c:dLbl>
            <c:dLbl>
              <c:idx val="14"/>
              <c:tx>
                <c:rich>
                  <a:bodyPr/>
                  <a:lstStyle/>
                  <a:p>
                    <a:r>
                      <a:rPr lang="en-US"/>
                      <a:t>WA</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EA38-4054-8815-A80BDEDB9F64}"/>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'[Chart template.xlsx]Scatter Plot DiffxRec'!$F$4:$F$18</c:f>
              <c:numCache>
                <c:formatCode>0%</c:formatCode>
                <c:ptCount val="15"/>
                <c:pt idx="0">
                  <c:v>0.55877964038255745</c:v>
                </c:pt>
                <c:pt idx="1">
                  <c:v>0.48323214463658304</c:v>
                </c:pt>
                <c:pt idx="2">
                  <c:v>0.56460266069368559</c:v>
                </c:pt>
                <c:pt idx="3">
                  <c:v>0.68628601640960751</c:v>
                </c:pt>
                <c:pt idx="4">
                  <c:v>0.48580389207327573</c:v>
                </c:pt>
                <c:pt idx="5">
                  <c:v>0.53484079962653663</c:v>
                </c:pt>
                <c:pt idx="6">
                  <c:v>0.52220713268692076</c:v>
                </c:pt>
                <c:pt idx="7">
                  <c:v>0.52701134052516385</c:v>
                </c:pt>
                <c:pt idx="8">
                  <c:v>0.55830895808024927</c:v>
                </c:pt>
                <c:pt idx="9">
                  <c:v>0.6734984476432575</c:v>
                </c:pt>
                <c:pt idx="10">
                  <c:v>0.59139104216239646</c:v>
                </c:pt>
                <c:pt idx="11">
                  <c:v>0.54233622455632569</c:v>
                </c:pt>
                <c:pt idx="12">
                  <c:v>0.51770419728323469</c:v>
                </c:pt>
                <c:pt idx="13">
                  <c:v>0.53297119057711606</c:v>
                </c:pt>
                <c:pt idx="14">
                  <c:v>0.60673155438066395</c:v>
                </c:pt>
              </c:numCache>
            </c:numRef>
          </c:xVal>
          <c:yVal>
            <c:numRef>
              <c:f>'[Chart template.xlsx]Scatter Plot DiffxRec'!$H$4:$H$18</c:f>
              <c:numCache>
                <c:formatCode>General</c:formatCode>
                <c:ptCount val="15"/>
                <c:pt idx="8" formatCode="0%">
                  <c:v>0.6879279832451406</c:v>
                </c:pt>
                <c:pt idx="9" formatCode="0%">
                  <c:v>0.81083299388864827</c:v>
                </c:pt>
                <c:pt idx="10" formatCode="0%">
                  <c:v>0.64596478122994194</c:v>
                </c:pt>
                <c:pt idx="11" formatCode="0%">
                  <c:v>0.6650254131186859</c:v>
                </c:pt>
                <c:pt idx="12" formatCode="0%">
                  <c:v>0.6460365427700917</c:v>
                </c:pt>
                <c:pt idx="13" formatCode="0%">
                  <c:v>0.73753891779406133</c:v>
                </c:pt>
                <c:pt idx="14" formatCode="0%">
                  <c:v>0.737771626300324</c:v>
                </c:pt>
              </c:numCache>
            </c:numRef>
          </c:yVal>
          <c:smooth val="0"/>
          <c:extLst>
            <c:ext xmlns:c16="http://schemas.microsoft.com/office/drawing/2014/chart" uri="{C3380CC4-5D6E-409C-BE32-E72D297353CC}">
              <c16:uniqueId val="{00000010-EA38-4054-8815-A80BDEDB9F64}"/>
            </c:ext>
          </c:extLst>
        </c:ser>
        <c:dLbls>
          <c:dLblPos val="t"/>
          <c:showLegendKey val="0"/>
          <c:showVal val="1"/>
          <c:showCatName val="0"/>
          <c:showSerName val="0"/>
          <c:showPercent val="0"/>
          <c:showBubbleSize val="0"/>
        </c:dLbls>
        <c:axId val="1285149631"/>
        <c:axId val="1285148671"/>
      </c:scatterChart>
      <c:valAx>
        <c:axId val="1285149631"/>
        <c:scaling>
          <c:orientation val="minMax"/>
          <c:min val="0.45"/>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Recruitment rate</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85148671"/>
        <c:crosses val="autoZero"/>
        <c:crossBetween val="midCat"/>
      </c:valAx>
      <c:valAx>
        <c:axId val="1285148671"/>
        <c:scaling>
          <c:orientation val="minMax"/>
          <c:max val="0.85000000000000009"/>
          <c:min val="0.55000000000000004"/>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Recruitment difficulty rate</a:t>
                </a:r>
              </a:p>
            </c:rich>
          </c:tx>
          <c:layout>
            <c:manualLayout>
              <c:xMode val="edge"/>
              <c:yMode val="edge"/>
              <c:x val="2.5000000000000001E-2"/>
              <c:y val="0.1012973899095946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8514963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25859675044666"/>
          <c:y val="0.23212632772048536"/>
          <c:w val="0.85344889294856474"/>
          <c:h val="0.60460224625645109"/>
        </c:manualLayout>
      </c:layout>
      <c:areaChart>
        <c:grouping val="standard"/>
        <c:varyColors val="0"/>
        <c:ser>
          <c:idx val="7"/>
          <c:order val="7"/>
          <c:tx>
            <c:strRef>
              <c:f>'Time series chart'!$A$33</c:f>
              <c:strCache>
                <c:ptCount val="1"/>
                <c:pt idx="0">
                  <c:v>Covid Period</c:v>
                </c:pt>
              </c:strCache>
            </c:strRef>
          </c:tx>
          <c:spPr>
            <a:solidFill>
              <a:srgbClr val="D2DE5A">
                <a:lumMod val="40000"/>
                <a:lumOff val="60000"/>
              </a:srgbClr>
            </a:solidFill>
            <a:ln>
              <a:noFill/>
            </a:ln>
            <a:effectLst/>
          </c:spPr>
          <c:cat>
            <c:numRef>
              <c:f>'Time series chart'!$B$25:$AP$25</c:f>
              <c:numCache>
                <c:formatCode>mmm\-yyyy</c:formatCode>
                <c:ptCount val="41"/>
                <c:pt idx="0">
                  <c:v>41395</c:v>
                </c:pt>
                <c:pt idx="1">
                  <c:v>41487</c:v>
                </c:pt>
                <c:pt idx="2">
                  <c:v>41579</c:v>
                </c:pt>
                <c:pt idx="3">
                  <c:v>41671</c:v>
                </c:pt>
                <c:pt idx="4">
                  <c:v>41760</c:v>
                </c:pt>
                <c:pt idx="5">
                  <c:v>41852</c:v>
                </c:pt>
                <c:pt idx="6">
                  <c:v>41944</c:v>
                </c:pt>
                <c:pt idx="7">
                  <c:v>42036</c:v>
                </c:pt>
                <c:pt idx="8">
                  <c:v>42125</c:v>
                </c:pt>
                <c:pt idx="9">
                  <c:v>42217</c:v>
                </c:pt>
                <c:pt idx="10">
                  <c:v>42309</c:v>
                </c:pt>
                <c:pt idx="11">
                  <c:v>42401</c:v>
                </c:pt>
                <c:pt idx="12">
                  <c:v>42491</c:v>
                </c:pt>
                <c:pt idx="13">
                  <c:v>42583</c:v>
                </c:pt>
                <c:pt idx="14">
                  <c:v>42675</c:v>
                </c:pt>
                <c:pt idx="15">
                  <c:v>42767</c:v>
                </c:pt>
                <c:pt idx="16">
                  <c:v>42856</c:v>
                </c:pt>
                <c:pt idx="17">
                  <c:v>42948</c:v>
                </c:pt>
                <c:pt idx="18">
                  <c:v>43040</c:v>
                </c:pt>
                <c:pt idx="19">
                  <c:v>43132</c:v>
                </c:pt>
                <c:pt idx="20">
                  <c:v>43221</c:v>
                </c:pt>
                <c:pt idx="21">
                  <c:v>43313</c:v>
                </c:pt>
                <c:pt idx="22">
                  <c:v>43405</c:v>
                </c:pt>
                <c:pt idx="23">
                  <c:v>43497</c:v>
                </c:pt>
                <c:pt idx="24">
                  <c:v>43586</c:v>
                </c:pt>
                <c:pt idx="25">
                  <c:v>43678</c:v>
                </c:pt>
                <c:pt idx="26">
                  <c:v>43770</c:v>
                </c:pt>
                <c:pt idx="27">
                  <c:v>43862</c:v>
                </c:pt>
                <c:pt idx="28">
                  <c:v>43952</c:v>
                </c:pt>
                <c:pt idx="29">
                  <c:v>44044</c:v>
                </c:pt>
                <c:pt idx="30">
                  <c:v>44136</c:v>
                </c:pt>
                <c:pt idx="31">
                  <c:v>44228</c:v>
                </c:pt>
                <c:pt idx="32">
                  <c:v>44317</c:v>
                </c:pt>
                <c:pt idx="33">
                  <c:v>44409</c:v>
                </c:pt>
                <c:pt idx="34">
                  <c:v>44501</c:v>
                </c:pt>
                <c:pt idx="35">
                  <c:v>44593</c:v>
                </c:pt>
                <c:pt idx="36">
                  <c:v>44682</c:v>
                </c:pt>
                <c:pt idx="37">
                  <c:v>44774</c:v>
                </c:pt>
                <c:pt idx="38">
                  <c:v>44866</c:v>
                </c:pt>
                <c:pt idx="39">
                  <c:v>44958</c:v>
                </c:pt>
                <c:pt idx="40">
                  <c:v>45047</c:v>
                </c:pt>
              </c:numCache>
            </c:numRef>
          </c:cat>
          <c:val>
            <c:numRef>
              <c:f>'Time series chart'!$B$33:$AP$33</c:f>
              <c:numCache>
                <c:formatCode>General</c:formatCode>
                <c:ptCount val="41"/>
                <c:pt idx="28" formatCode="0.0">
                  <c:v>1786.6091822999999</c:v>
                </c:pt>
                <c:pt idx="29" formatCode="0.0">
                  <c:v>1779.7223147</c:v>
                </c:pt>
                <c:pt idx="30" formatCode="0.0">
                  <c:v>1782.721074</c:v>
                </c:pt>
                <c:pt idx="31" formatCode="0.0">
                  <c:v>1802.8985548000001</c:v>
                </c:pt>
                <c:pt idx="32" formatCode="0.0">
                  <c:v>1837.2264693</c:v>
                </c:pt>
                <c:pt idx="33" formatCode="0.0">
                  <c:v>1872.2063496000001</c:v>
                </c:pt>
                <c:pt idx="34" formatCode="0.0">
                  <c:v>1895.8191219</c:v>
                </c:pt>
                <c:pt idx="35" formatCode="0.0">
                  <c:v>2021.2713569</c:v>
                </c:pt>
              </c:numCache>
            </c:numRef>
          </c:val>
          <c:extLst>
            <c:ext xmlns:c16="http://schemas.microsoft.com/office/drawing/2014/chart" uri="{C3380CC4-5D6E-409C-BE32-E72D297353CC}">
              <c16:uniqueId val="{00000000-0C24-40BF-BAED-A5C90FBBC96A}"/>
            </c:ext>
          </c:extLst>
        </c:ser>
        <c:dLbls>
          <c:showLegendKey val="0"/>
          <c:showVal val="0"/>
          <c:showCatName val="0"/>
          <c:showSerName val="0"/>
          <c:showPercent val="0"/>
          <c:showBubbleSize val="0"/>
        </c:dLbls>
        <c:axId val="1017426592"/>
        <c:axId val="1017399712"/>
      </c:areaChart>
      <c:lineChart>
        <c:grouping val="standard"/>
        <c:varyColors val="0"/>
        <c:ser>
          <c:idx val="0"/>
          <c:order val="0"/>
          <c:tx>
            <c:strRef>
              <c:f>'Time series chart'!$A$26</c:f>
              <c:strCache>
                <c:ptCount val="1"/>
                <c:pt idx="0">
                  <c:v>Health Care and Social Assistance</c:v>
                </c:pt>
              </c:strCache>
            </c:strRef>
          </c:tx>
          <c:spPr>
            <a:ln w="28575" cap="rnd">
              <a:solidFill>
                <a:srgbClr val="000000"/>
              </a:solidFill>
              <a:round/>
            </a:ln>
            <a:effectLst/>
          </c:spPr>
          <c:marker>
            <c:symbol val="none"/>
          </c:marker>
          <c:cat>
            <c:numRef>
              <c:f>'Time series chart'!$B$25:$AP$25</c:f>
              <c:numCache>
                <c:formatCode>mmm\-yyyy</c:formatCode>
                <c:ptCount val="41"/>
                <c:pt idx="0">
                  <c:v>41395</c:v>
                </c:pt>
                <c:pt idx="1">
                  <c:v>41487</c:v>
                </c:pt>
                <c:pt idx="2">
                  <c:v>41579</c:v>
                </c:pt>
                <c:pt idx="3">
                  <c:v>41671</c:v>
                </c:pt>
                <c:pt idx="4">
                  <c:v>41760</c:v>
                </c:pt>
                <c:pt idx="5">
                  <c:v>41852</c:v>
                </c:pt>
                <c:pt idx="6">
                  <c:v>41944</c:v>
                </c:pt>
                <c:pt idx="7">
                  <c:v>42036</c:v>
                </c:pt>
                <c:pt idx="8">
                  <c:v>42125</c:v>
                </c:pt>
                <c:pt idx="9">
                  <c:v>42217</c:v>
                </c:pt>
                <c:pt idx="10">
                  <c:v>42309</c:v>
                </c:pt>
                <c:pt idx="11">
                  <c:v>42401</c:v>
                </c:pt>
                <c:pt idx="12">
                  <c:v>42491</c:v>
                </c:pt>
                <c:pt idx="13">
                  <c:v>42583</c:v>
                </c:pt>
                <c:pt idx="14">
                  <c:v>42675</c:v>
                </c:pt>
                <c:pt idx="15">
                  <c:v>42767</c:v>
                </c:pt>
                <c:pt idx="16">
                  <c:v>42856</c:v>
                </c:pt>
                <c:pt idx="17">
                  <c:v>42948</c:v>
                </c:pt>
                <c:pt idx="18">
                  <c:v>43040</c:v>
                </c:pt>
                <c:pt idx="19">
                  <c:v>43132</c:v>
                </c:pt>
                <c:pt idx="20">
                  <c:v>43221</c:v>
                </c:pt>
                <c:pt idx="21">
                  <c:v>43313</c:v>
                </c:pt>
                <c:pt idx="22">
                  <c:v>43405</c:v>
                </c:pt>
                <c:pt idx="23">
                  <c:v>43497</c:v>
                </c:pt>
                <c:pt idx="24">
                  <c:v>43586</c:v>
                </c:pt>
                <c:pt idx="25">
                  <c:v>43678</c:v>
                </c:pt>
                <c:pt idx="26">
                  <c:v>43770</c:v>
                </c:pt>
                <c:pt idx="27">
                  <c:v>43862</c:v>
                </c:pt>
                <c:pt idx="28">
                  <c:v>43952</c:v>
                </c:pt>
                <c:pt idx="29">
                  <c:v>44044</c:v>
                </c:pt>
                <c:pt idx="30">
                  <c:v>44136</c:v>
                </c:pt>
                <c:pt idx="31">
                  <c:v>44228</c:v>
                </c:pt>
                <c:pt idx="32">
                  <c:v>44317</c:v>
                </c:pt>
                <c:pt idx="33">
                  <c:v>44409</c:v>
                </c:pt>
                <c:pt idx="34">
                  <c:v>44501</c:v>
                </c:pt>
                <c:pt idx="35">
                  <c:v>44593</c:v>
                </c:pt>
                <c:pt idx="36">
                  <c:v>44682</c:v>
                </c:pt>
                <c:pt idx="37">
                  <c:v>44774</c:v>
                </c:pt>
                <c:pt idx="38">
                  <c:v>44866</c:v>
                </c:pt>
                <c:pt idx="39">
                  <c:v>44958</c:v>
                </c:pt>
                <c:pt idx="40">
                  <c:v>45047</c:v>
                </c:pt>
              </c:numCache>
            </c:numRef>
          </c:cat>
          <c:val>
            <c:numRef>
              <c:f>'Time series chart'!$B$26:$AP$26</c:f>
              <c:numCache>
                <c:formatCode>0.0</c:formatCode>
                <c:ptCount val="41"/>
                <c:pt idx="0">
                  <c:v>1371.9096012</c:v>
                </c:pt>
                <c:pt idx="1">
                  <c:v>1379.5458458999999</c:v>
                </c:pt>
                <c:pt idx="2">
                  <c:v>1387.9604624999999</c:v>
                </c:pt>
                <c:pt idx="3">
                  <c:v>1391.6343284</c:v>
                </c:pt>
                <c:pt idx="4">
                  <c:v>1384.8803614000001</c:v>
                </c:pt>
                <c:pt idx="5">
                  <c:v>1383.7608345000001</c:v>
                </c:pt>
                <c:pt idx="6">
                  <c:v>1403.5130498000001</c:v>
                </c:pt>
                <c:pt idx="7">
                  <c:v>1439.9163048</c:v>
                </c:pt>
                <c:pt idx="8">
                  <c:v>1482.0887424</c:v>
                </c:pt>
                <c:pt idx="9">
                  <c:v>1511.266318</c:v>
                </c:pt>
                <c:pt idx="10">
                  <c:v>1525.7817901000001</c:v>
                </c:pt>
                <c:pt idx="11">
                  <c:v>1531.1136785000001</c:v>
                </c:pt>
                <c:pt idx="12">
                  <c:v>1531.6707905000001</c:v>
                </c:pt>
                <c:pt idx="13">
                  <c:v>1534.8090148000001</c:v>
                </c:pt>
                <c:pt idx="14">
                  <c:v>1548.7650733999999</c:v>
                </c:pt>
                <c:pt idx="15">
                  <c:v>1580.9300332</c:v>
                </c:pt>
                <c:pt idx="16">
                  <c:v>1622.1842005000001</c:v>
                </c:pt>
                <c:pt idx="17">
                  <c:v>1653.4800232</c:v>
                </c:pt>
                <c:pt idx="18">
                  <c:v>1668.7492265999999</c:v>
                </c:pt>
                <c:pt idx="19">
                  <c:v>1670.8933121</c:v>
                </c:pt>
                <c:pt idx="20">
                  <c:v>1671.6263134999999</c:v>
                </c:pt>
                <c:pt idx="21">
                  <c:v>1674.2499915000001</c:v>
                </c:pt>
                <c:pt idx="22">
                  <c:v>1677.6524836999999</c:v>
                </c:pt>
                <c:pt idx="23">
                  <c:v>1687.5817096999999</c:v>
                </c:pt>
                <c:pt idx="24">
                  <c:v>1707.2176116999999</c:v>
                </c:pt>
                <c:pt idx="25">
                  <c:v>1738.438384</c:v>
                </c:pt>
                <c:pt idx="26">
                  <c:v>1770.6703904999999</c:v>
                </c:pt>
                <c:pt idx="27">
                  <c:v>1788.0369479999999</c:v>
                </c:pt>
                <c:pt idx="28">
                  <c:v>1786.6091822999999</c:v>
                </c:pt>
                <c:pt idx="29">
                  <c:v>1779.7223147</c:v>
                </c:pt>
                <c:pt idx="30">
                  <c:v>1782.721074</c:v>
                </c:pt>
                <c:pt idx="31">
                  <c:v>1802.8985548000001</c:v>
                </c:pt>
                <c:pt idx="32">
                  <c:v>1837.2264693</c:v>
                </c:pt>
                <c:pt idx="33">
                  <c:v>1872.2063496000001</c:v>
                </c:pt>
                <c:pt idx="34">
                  <c:v>1895.8191219</c:v>
                </c:pt>
                <c:pt idx="35">
                  <c:v>2021.2713569</c:v>
                </c:pt>
                <c:pt idx="36">
                  <c:v>2029.7423662000001</c:v>
                </c:pt>
                <c:pt idx="37">
                  <c:v>2047.6973786000001</c:v>
                </c:pt>
                <c:pt idx="38">
                  <c:v>2080.6098969</c:v>
                </c:pt>
                <c:pt idx="39">
                  <c:v>2118.6102357999998</c:v>
                </c:pt>
                <c:pt idx="40">
                  <c:v>2148.8353980000002</c:v>
                </c:pt>
              </c:numCache>
            </c:numRef>
          </c:val>
          <c:smooth val="0"/>
          <c:extLst>
            <c:ext xmlns:c16="http://schemas.microsoft.com/office/drawing/2014/chart" uri="{C3380CC4-5D6E-409C-BE32-E72D297353CC}">
              <c16:uniqueId val="{00000001-0C24-40BF-BAED-A5C90FBBC96A}"/>
            </c:ext>
          </c:extLst>
        </c:ser>
        <c:ser>
          <c:idx val="1"/>
          <c:order val="1"/>
          <c:tx>
            <c:strRef>
              <c:f>'Time series chart'!$A$27</c:f>
              <c:strCache>
                <c:ptCount val="1"/>
                <c:pt idx="0">
                  <c:v>Construction</c:v>
                </c:pt>
              </c:strCache>
            </c:strRef>
          </c:tx>
          <c:spPr>
            <a:ln w="28575" cap="rnd">
              <a:solidFill>
                <a:srgbClr val="441170"/>
              </a:solidFill>
              <a:round/>
            </a:ln>
            <a:effectLst/>
          </c:spPr>
          <c:marker>
            <c:symbol val="none"/>
          </c:marker>
          <c:cat>
            <c:numRef>
              <c:f>'Time series chart'!$B$25:$AP$25</c:f>
              <c:numCache>
                <c:formatCode>mmm\-yyyy</c:formatCode>
                <c:ptCount val="41"/>
                <c:pt idx="0">
                  <c:v>41395</c:v>
                </c:pt>
                <c:pt idx="1">
                  <c:v>41487</c:v>
                </c:pt>
                <c:pt idx="2">
                  <c:v>41579</c:v>
                </c:pt>
                <c:pt idx="3">
                  <c:v>41671</c:v>
                </c:pt>
                <c:pt idx="4">
                  <c:v>41760</c:v>
                </c:pt>
                <c:pt idx="5">
                  <c:v>41852</c:v>
                </c:pt>
                <c:pt idx="6">
                  <c:v>41944</c:v>
                </c:pt>
                <c:pt idx="7">
                  <c:v>42036</c:v>
                </c:pt>
                <c:pt idx="8">
                  <c:v>42125</c:v>
                </c:pt>
                <c:pt idx="9">
                  <c:v>42217</c:v>
                </c:pt>
                <c:pt idx="10">
                  <c:v>42309</c:v>
                </c:pt>
                <c:pt idx="11">
                  <c:v>42401</c:v>
                </c:pt>
                <c:pt idx="12">
                  <c:v>42491</c:v>
                </c:pt>
                <c:pt idx="13">
                  <c:v>42583</c:v>
                </c:pt>
                <c:pt idx="14">
                  <c:v>42675</c:v>
                </c:pt>
                <c:pt idx="15">
                  <c:v>42767</c:v>
                </c:pt>
                <c:pt idx="16">
                  <c:v>42856</c:v>
                </c:pt>
                <c:pt idx="17">
                  <c:v>42948</c:v>
                </c:pt>
                <c:pt idx="18">
                  <c:v>43040</c:v>
                </c:pt>
                <c:pt idx="19">
                  <c:v>43132</c:v>
                </c:pt>
                <c:pt idx="20">
                  <c:v>43221</c:v>
                </c:pt>
                <c:pt idx="21">
                  <c:v>43313</c:v>
                </c:pt>
                <c:pt idx="22">
                  <c:v>43405</c:v>
                </c:pt>
                <c:pt idx="23">
                  <c:v>43497</c:v>
                </c:pt>
                <c:pt idx="24">
                  <c:v>43586</c:v>
                </c:pt>
                <c:pt idx="25">
                  <c:v>43678</c:v>
                </c:pt>
                <c:pt idx="26">
                  <c:v>43770</c:v>
                </c:pt>
                <c:pt idx="27">
                  <c:v>43862</c:v>
                </c:pt>
                <c:pt idx="28">
                  <c:v>43952</c:v>
                </c:pt>
                <c:pt idx="29">
                  <c:v>44044</c:v>
                </c:pt>
                <c:pt idx="30">
                  <c:v>44136</c:v>
                </c:pt>
                <c:pt idx="31">
                  <c:v>44228</c:v>
                </c:pt>
                <c:pt idx="32">
                  <c:v>44317</c:v>
                </c:pt>
                <c:pt idx="33">
                  <c:v>44409</c:v>
                </c:pt>
                <c:pt idx="34">
                  <c:v>44501</c:v>
                </c:pt>
                <c:pt idx="35">
                  <c:v>44593</c:v>
                </c:pt>
                <c:pt idx="36">
                  <c:v>44682</c:v>
                </c:pt>
                <c:pt idx="37">
                  <c:v>44774</c:v>
                </c:pt>
                <c:pt idx="38">
                  <c:v>44866</c:v>
                </c:pt>
                <c:pt idx="39">
                  <c:v>44958</c:v>
                </c:pt>
                <c:pt idx="40">
                  <c:v>45047</c:v>
                </c:pt>
              </c:numCache>
            </c:numRef>
          </c:cat>
          <c:val>
            <c:numRef>
              <c:f>'Time series chart'!$B$27:$AP$27</c:f>
              <c:numCache>
                <c:formatCode>0.0</c:formatCode>
                <c:ptCount val="41"/>
                <c:pt idx="0">
                  <c:v>1003.4450809</c:v>
                </c:pt>
                <c:pt idx="1">
                  <c:v>998.69959119999999</c:v>
                </c:pt>
                <c:pt idx="2">
                  <c:v>995.62466159999997</c:v>
                </c:pt>
                <c:pt idx="3">
                  <c:v>1002.6921847</c:v>
                </c:pt>
                <c:pt idx="4">
                  <c:v>1020.3394625</c:v>
                </c:pt>
                <c:pt idx="5">
                  <c:v>1034.6466304999999</c:v>
                </c:pt>
                <c:pt idx="6">
                  <c:v>1036.3330552</c:v>
                </c:pt>
                <c:pt idx="7">
                  <c:v>1029.6650122000001</c:v>
                </c:pt>
                <c:pt idx="8">
                  <c:v>1026.469818</c:v>
                </c:pt>
                <c:pt idx="9">
                  <c:v>1032.8727531</c:v>
                </c:pt>
                <c:pt idx="10">
                  <c:v>1044.5300944999999</c:v>
                </c:pt>
                <c:pt idx="11">
                  <c:v>1052.2423937000001</c:v>
                </c:pt>
                <c:pt idx="12">
                  <c:v>1055.0043955000001</c:v>
                </c:pt>
                <c:pt idx="13">
                  <c:v>1059.4545154</c:v>
                </c:pt>
                <c:pt idx="14">
                  <c:v>1073.8284948999999</c:v>
                </c:pt>
                <c:pt idx="15">
                  <c:v>1099.7030832</c:v>
                </c:pt>
                <c:pt idx="16">
                  <c:v>1129.0900932</c:v>
                </c:pt>
                <c:pt idx="17">
                  <c:v>1155.8009677</c:v>
                </c:pt>
                <c:pt idx="18">
                  <c:v>1174.4406320999999</c:v>
                </c:pt>
                <c:pt idx="19">
                  <c:v>1185.8215839</c:v>
                </c:pt>
                <c:pt idx="20">
                  <c:v>1186.7178718</c:v>
                </c:pt>
                <c:pt idx="21">
                  <c:v>1177.0539796999999</c:v>
                </c:pt>
                <c:pt idx="22">
                  <c:v>1165.3242504</c:v>
                </c:pt>
                <c:pt idx="23">
                  <c:v>1162.8194595</c:v>
                </c:pt>
                <c:pt idx="24">
                  <c:v>1170.56486</c:v>
                </c:pt>
                <c:pt idx="25">
                  <c:v>1184.6888833</c:v>
                </c:pt>
                <c:pt idx="26">
                  <c:v>1190.213152</c:v>
                </c:pt>
                <c:pt idx="27">
                  <c:v>1185.1156536999999</c:v>
                </c:pt>
                <c:pt idx="28">
                  <c:v>1178.1371122</c:v>
                </c:pt>
                <c:pt idx="29">
                  <c:v>1171.2393225999999</c:v>
                </c:pt>
                <c:pt idx="30">
                  <c:v>1167.3931531999999</c:v>
                </c:pt>
                <c:pt idx="31">
                  <c:v>1161.2891517999999</c:v>
                </c:pt>
                <c:pt idx="32">
                  <c:v>1152.0674354</c:v>
                </c:pt>
                <c:pt idx="33">
                  <c:v>1146.5177924</c:v>
                </c:pt>
                <c:pt idx="34">
                  <c:v>1153.1749694</c:v>
                </c:pt>
                <c:pt idx="35">
                  <c:v>1176.9052294999999</c:v>
                </c:pt>
                <c:pt idx="36">
                  <c:v>1215.6388076000001</c:v>
                </c:pt>
                <c:pt idx="37">
                  <c:v>1259.1107503999999</c:v>
                </c:pt>
                <c:pt idx="38">
                  <c:v>1295.6901235</c:v>
                </c:pt>
                <c:pt idx="39">
                  <c:v>1318.2288916</c:v>
                </c:pt>
                <c:pt idx="40">
                  <c:v>1329.1258562</c:v>
                </c:pt>
              </c:numCache>
            </c:numRef>
          </c:val>
          <c:smooth val="0"/>
          <c:extLst>
            <c:ext xmlns:c16="http://schemas.microsoft.com/office/drawing/2014/chart" uri="{C3380CC4-5D6E-409C-BE32-E72D297353CC}">
              <c16:uniqueId val="{00000002-0C24-40BF-BAED-A5C90FBBC96A}"/>
            </c:ext>
          </c:extLst>
        </c:ser>
        <c:ser>
          <c:idx val="2"/>
          <c:order val="2"/>
          <c:tx>
            <c:strRef>
              <c:f>'Time series chart'!$A$28</c:f>
              <c:strCache>
                <c:ptCount val="1"/>
                <c:pt idx="0">
                  <c:v>Professional, Scientific and Technical Services</c:v>
                </c:pt>
              </c:strCache>
            </c:strRef>
          </c:tx>
          <c:spPr>
            <a:ln w="28575" cap="rnd">
              <a:solidFill>
                <a:srgbClr val="1192E8"/>
              </a:solidFill>
              <a:round/>
            </a:ln>
            <a:effectLst/>
          </c:spPr>
          <c:marker>
            <c:symbol val="none"/>
          </c:marker>
          <c:cat>
            <c:numRef>
              <c:f>'Time series chart'!$B$25:$AP$25</c:f>
              <c:numCache>
                <c:formatCode>mmm\-yyyy</c:formatCode>
                <c:ptCount val="41"/>
                <c:pt idx="0">
                  <c:v>41395</c:v>
                </c:pt>
                <c:pt idx="1">
                  <c:v>41487</c:v>
                </c:pt>
                <c:pt idx="2">
                  <c:v>41579</c:v>
                </c:pt>
                <c:pt idx="3">
                  <c:v>41671</c:v>
                </c:pt>
                <c:pt idx="4">
                  <c:v>41760</c:v>
                </c:pt>
                <c:pt idx="5">
                  <c:v>41852</c:v>
                </c:pt>
                <c:pt idx="6">
                  <c:v>41944</c:v>
                </c:pt>
                <c:pt idx="7">
                  <c:v>42036</c:v>
                </c:pt>
                <c:pt idx="8">
                  <c:v>42125</c:v>
                </c:pt>
                <c:pt idx="9">
                  <c:v>42217</c:v>
                </c:pt>
                <c:pt idx="10">
                  <c:v>42309</c:v>
                </c:pt>
                <c:pt idx="11">
                  <c:v>42401</c:v>
                </c:pt>
                <c:pt idx="12">
                  <c:v>42491</c:v>
                </c:pt>
                <c:pt idx="13">
                  <c:v>42583</c:v>
                </c:pt>
                <c:pt idx="14">
                  <c:v>42675</c:v>
                </c:pt>
                <c:pt idx="15">
                  <c:v>42767</c:v>
                </c:pt>
                <c:pt idx="16">
                  <c:v>42856</c:v>
                </c:pt>
                <c:pt idx="17">
                  <c:v>42948</c:v>
                </c:pt>
                <c:pt idx="18">
                  <c:v>43040</c:v>
                </c:pt>
                <c:pt idx="19">
                  <c:v>43132</c:v>
                </c:pt>
                <c:pt idx="20">
                  <c:v>43221</c:v>
                </c:pt>
                <c:pt idx="21">
                  <c:v>43313</c:v>
                </c:pt>
                <c:pt idx="22">
                  <c:v>43405</c:v>
                </c:pt>
                <c:pt idx="23">
                  <c:v>43497</c:v>
                </c:pt>
                <c:pt idx="24">
                  <c:v>43586</c:v>
                </c:pt>
                <c:pt idx="25">
                  <c:v>43678</c:v>
                </c:pt>
                <c:pt idx="26">
                  <c:v>43770</c:v>
                </c:pt>
                <c:pt idx="27">
                  <c:v>43862</c:v>
                </c:pt>
                <c:pt idx="28">
                  <c:v>43952</c:v>
                </c:pt>
                <c:pt idx="29">
                  <c:v>44044</c:v>
                </c:pt>
                <c:pt idx="30">
                  <c:v>44136</c:v>
                </c:pt>
                <c:pt idx="31">
                  <c:v>44228</c:v>
                </c:pt>
                <c:pt idx="32">
                  <c:v>44317</c:v>
                </c:pt>
                <c:pt idx="33">
                  <c:v>44409</c:v>
                </c:pt>
                <c:pt idx="34">
                  <c:v>44501</c:v>
                </c:pt>
                <c:pt idx="35">
                  <c:v>44593</c:v>
                </c:pt>
                <c:pt idx="36">
                  <c:v>44682</c:v>
                </c:pt>
                <c:pt idx="37">
                  <c:v>44774</c:v>
                </c:pt>
                <c:pt idx="38">
                  <c:v>44866</c:v>
                </c:pt>
                <c:pt idx="39">
                  <c:v>44958</c:v>
                </c:pt>
                <c:pt idx="40">
                  <c:v>45047</c:v>
                </c:pt>
              </c:numCache>
            </c:numRef>
          </c:cat>
          <c:val>
            <c:numRef>
              <c:f>'Time series chart'!$B$28:$AP$28</c:f>
              <c:numCache>
                <c:formatCode>0.0</c:formatCode>
                <c:ptCount val="41"/>
                <c:pt idx="0">
                  <c:v>909.16520949999995</c:v>
                </c:pt>
                <c:pt idx="1">
                  <c:v>904.06864519999999</c:v>
                </c:pt>
                <c:pt idx="2">
                  <c:v>905.99105039999995</c:v>
                </c:pt>
                <c:pt idx="3">
                  <c:v>914.64889819999996</c:v>
                </c:pt>
                <c:pt idx="4">
                  <c:v>926.08427349999999</c:v>
                </c:pt>
                <c:pt idx="5">
                  <c:v>938.24761920000003</c:v>
                </c:pt>
                <c:pt idx="6">
                  <c:v>956.27830740000002</c:v>
                </c:pt>
                <c:pt idx="7">
                  <c:v>980.72892620000005</c:v>
                </c:pt>
                <c:pt idx="8">
                  <c:v>1003.1540886</c:v>
                </c:pt>
                <c:pt idx="9">
                  <c:v>1015.626438</c:v>
                </c:pt>
                <c:pt idx="10">
                  <c:v>1018.8036787999999</c:v>
                </c:pt>
                <c:pt idx="11">
                  <c:v>1022.075298</c:v>
                </c:pt>
                <c:pt idx="12">
                  <c:v>1027.0364457999999</c:v>
                </c:pt>
                <c:pt idx="13">
                  <c:v>1027.4802313</c:v>
                </c:pt>
                <c:pt idx="14">
                  <c:v>1021.0261411</c:v>
                </c:pt>
                <c:pt idx="15">
                  <c:v>1008.6151092</c:v>
                </c:pt>
                <c:pt idx="16">
                  <c:v>1003.508737</c:v>
                </c:pt>
                <c:pt idx="17">
                  <c:v>1007.9251001</c:v>
                </c:pt>
                <c:pt idx="18">
                  <c:v>1016.59951</c:v>
                </c:pt>
                <c:pt idx="19">
                  <c:v>1030.0482185000001</c:v>
                </c:pt>
                <c:pt idx="20">
                  <c:v>1045.105354</c:v>
                </c:pt>
                <c:pt idx="21">
                  <c:v>1063.3401392999999</c:v>
                </c:pt>
                <c:pt idx="22">
                  <c:v>1084.1023081999999</c:v>
                </c:pt>
                <c:pt idx="23">
                  <c:v>1108.5420925000001</c:v>
                </c:pt>
                <c:pt idx="24">
                  <c:v>1135.2137981000001</c:v>
                </c:pt>
                <c:pt idx="25">
                  <c:v>1153.4947531</c:v>
                </c:pt>
                <c:pt idx="26">
                  <c:v>1151.7051018</c:v>
                </c:pt>
                <c:pt idx="27">
                  <c:v>1132.3713548000001</c:v>
                </c:pt>
                <c:pt idx="28">
                  <c:v>1117.3697919000001</c:v>
                </c:pt>
                <c:pt idx="29">
                  <c:v>1126.6486041999999</c:v>
                </c:pt>
                <c:pt idx="30">
                  <c:v>1158.3462520999999</c:v>
                </c:pt>
                <c:pt idx="31">
                  <c:v>1188.1902222000001</c:v>
                </c:pt>
                <c:pt idx="32">
                  <c:v>1197.5787456999999</c:v>
                </c:pt>
                <c:pt idx="33">
                  <c:v>1200.9130657000001</c:v>
                </c:pt>
                <c:pt idx="34">
                  <c:v>1214.1559302000001</c:v>
                </c:pt>
                <c:pt idx="35">
                  <c:v>1238.6931271999999</c:v>
                </c:pt>
                <c:pt idx="36">
                  <c:v>1261.2411509000001</c:v>
                </c:pt>
                <c:pt idx="37">
                  <c:v>1267.9328152000001</c:v>
                </c:pt>
                <c:pt idx="38">
                  <c:v>1272.0198918999999</c:v>
                </c:pt>
                <c:pt idx="39">
                  <c:v>1289.7123793000001</c:v>
                </c:pt>
                <c:pt idx="40">
                  <c:v>1323.0061404999999</c:v>
                </c:pt>
              </c:numCache>
            </c:numRef>
          </c:val>
          <c:smooth val="0"/>
          <c:extLst>
            <c:ext xmlns:c16="http://schemas.microsoft.com/office/drawing/2014/chart" uri="{C3380CC4-5D6E-409C-BE32-E72D297353CC}">
              <c16:uniqueId val="{00000003-0C24-40BF-BAED-A5C90FBBC96A}"/>
            </c:ext>
          </c:extLst>
        </c:ser>
        <c:ser>
          <c:idx val="3"/>
          <c:order val="3"/>
          <c:tx>
            <c:strRef>
              <c:f>'Time series chart'!$A$29</c:f>
              <c:strCache>
                <c:ptCount val="1"/>
                <c:pt idx="0">
                  <c:v>Education and Training</c:v>
                </c:pt>
              </c:strCache>
            </c:strRef>
          </c:tx>
          <c:spPr>
            <a:ln w="28575" cap="rnd">
              <a:solidFill>
                <a:srgbClr val="D2DE5A"/>
              </a:solidFill>
              <a:round/>
            </a:ln>
            <a:effectLst/>
          </c:spPr>
          <c:marker>
            <c:symbol val="none"/>
          </c:marker>
          <c:cat>
            <c:numRef>
              <c:f>'Time series chart'!$B$25:$AP$25</c:f>
              <c:numCache>
                <c:formatCode>mmm\-yyyy</c:formatCode>
                <c:ptCount val="41"/>
                <c:pt idx="0">
                  <c:v>41395</c:v>
                </c:pt>
                <c:pt idx="1">
                  <c:v>41487</c:v>
                </c:pt>
                <c:pt idx="2">
                  <c:v>41579</c:v>
                </c:pt>
                <c:pt idx="3">
                  <c:v>41671</c:v>
                </c:pt>
                <c:pt idx="4">
                  <c:v>41760</c:v>
                </c:pt>
                <c:pt idx="5">
                  <c:v>41852</c:v>
                </c:pt>
                <c:pt idx="6">
                  <c:v>41944</c:v>
                </c:pt>
                <c:pt idx="7">
                  <c:v>42036</c:v>
                </c:pt>
                <c:pt idx="8">
                  <c:v>42125</c:v>
                </c:pt>
                <c:pt idx="9">
                  <c:v>42217</c:v>
                </c:pt>
                <c:pt idx="10">
                  <c:v>42309</c:v>
                </c:pt>
                <c:pt idx="11">
                  <c:v>42401</c:v>
                </c:pt>
                <c:pt idx="12">
                  <c:v>42491</c:v>
                </c:pt>
                <c:pt idx="13">
                  <c:v>42583</c:v>
                </c:pt>
                <c:pt idx="14">
                  <c:v>42675</c:v>
                </c:pt>
                <c:pt idx="15">
                  <c:v>42767</c:v>
                </c:pt>
                <c:pt idx="16">
                  <c:v>42856</c:v>
                </c:pt>
                <c:pt idx="17">
                  <c:v>42948</c:v>
                </c:pt>
                <c:pt idx="18">
                  <c:v>43040</c:v>
                </c:pt>
                <c:pt idx="19">
                  <c:v>43132</c:v>
                </c:pt>
                <c:pt idx="20">
                  <c:v>43221</c:v>
                </c:pt>
                <c:pt idx="21">
                  <c:v>43313</c:v>
                </c:pt>
                <c:pt idx="22">
                  <c:v>43405</c:v>
                </c:pt>
                <c:pt idx="23">
                  <c:v>43497</c:v>
                </c:pt>
                <c:pt idx="24">
                  <c:v>43586</c:v>
                </c:pt>
                <c:pt idx="25">
                  <c:v>43678</c:v>
                </c:pt>
                <c:pt idx="26">
                  <c:v>43770</c:v>
                </c:pt>
                <c:pt idx="27">
                  <c:v>43862</c:v>
                </c:pt>
                <c:pt idx="28">
                  <c:v>43952</c:v>
                </c:pt>
                <c:pt idx="29">
                  <c:v>44044</c:v>
                </c:pt>
                <c:pt idx="30">
                  <c:v>44136</c:v>
                </c:pt>
                <c:pt idx="31">
                  <c:v>44228</c:v>
                </c:pt>
                <c:pt idx="32">
                  <c:v>44317</c:v>
                </c:pt>
                <c:pt idx="33">
                  <c:v>44409</c:v>
                </c:pt>
                <c:pt idx="34">
                  <c:v>44501</c:v>
                </c:pt>
                <c:pt idx="35">
                  <c:v>44593</c:v>
                </c:pt>
                <c:pt idx="36">
                  <c:v>44682</c:v>
                </c:pt>
                <c:pt idx="37">
                  <c:v>44774</c:v>
                </c:pt>
                <c:pt idx="38">
                  <c:v>44866</c:v>
                </c:pt>
                <c:pt idx="39">
                  <c:v>44958</c:v>
                </c:pt>
                <c:pt idx="40">
                  <c:v>45047</c:v>
                </c:pt>
              </c:numCache>
            </c:numRef>
          </c:cat>
          <c:val>
            <c:numRef>
              <c:f>'Time series chart'!$B$29:$AP$29</c:f>
              <c:numCache>
                <c:formatCode>0.0</c:formatCode>
                <c:ptCount val="41"/>
                <c:pt idx="0">
                  <c:v>899.66323279999995</c:v>
                </c:pt>
                <c:pt idx="1">
                  <c:v>894.44996939999999</c:v>
                </c:pt>
                <c:pt idx="2">
                  <c:v>893.91889049999997</c:v>
                </c:pt>
                <c:pt idx="3">
                  <c:v>900.44543920000001</c:v>
                </c:pt>
                <c:pt idx="4">
                  <c:v>904.82509579999999</c:v>
                </c:pt>
                <c:pt idx="5">
                  <c:v>908.15139610000006</c:v>
                </c:pt>
                <c:pt idx="6">
                  <c:v>913.08540589999996</c:v>
                </c:pt>
                <c:pt idx="7">
                  <c:v>922.28012850000005</c:v>
                </c:pt>
                <c:pt idx="8">
                  <c:v>932.01854079999998</c:v>
                </c:pt>
                <c:pt idx="9">
                  <c:v>935.34976329999995</c:v>
                </c:pt>
                <c:pt idx="10">
                  <c:v>933.42460900000003</c:v>
                </c:pt>
                <c:pt idx="11">
                  <c:v>933.27171109999995</c:v>
                </c:pt>
                <c:pt idx="12">
                  <c:v>941.85089879999998</c:v>
                </c:pt>
                <c:pt idx="13">
                  <c:v>957.44711329999996</c:v>
                </c:pt>
                <c:pt idx="14">
                  <c:v>971.57112729999994</c:v>
                </c:pt>
                <c:pt idx="15">
                  <c:v>984.00094920000004</c:v>
                </c:pt>
                <c:pt idx="16">
                  <c:v>997.00156300000003</c:v>
                </c:pt>
                <c:pt idx="17">
                  <c:v>1012.7102876</c:v>
                </c:pt>
                <c:pt idx="18">
                  <c:v>1022.8952263</c:v>
                </c:pt>
                <c:pt idx="19">
                  <c:v>1018.7603178000001</c:v>
                </c:pt>
                <c:pt idx="20">
                  <c:v>1011.3911844</c:v>
                </c:pt>
                <c:pt idx="21">
                  <c:v>1009.6489323</c:v>
                </c:pt>
                <c:pt idx="22">
                  <c:v>1019.4887733</c:v>
                </c:pt>
                <c:pt idx="23">
                  <c:v>1041.7095939000001</c:v>
                </c:pt>
                <c:pt idx="24">
                  <c:v>1062.4078804000001</c:v>
                </c:pt>
                <c:pt idx="25">
                  <c:v>1074.7403698000001</c:v>
                </c:pt>
                <c:pt idx="26">
                  <c:v>1078.8746897999999</c:v>
                </c:pt>
                <c:pt idx="27">
                  <c:v>1079.3173815</c:v>
                </c:pt>
                <c:pt idx="28">
                  <c:v>1084.5625553</c:v>
                </c:pt>
                <c:pt idx="29">
                  <c:v>1090.2481087000001</c:v>
                </c:pt>
                <c:pt idx="30">
                  <c:v>1090.90328</c:v>
                </c:pt>
                <c:pt idx="31">
                  <c:v>1091.1963424999999</c:v>
                </c:pt>
                <c:pt idx="32">
                  <c:v>1094.1208262</c:v>
                </c:pt>
                <c:pt idx="33">
                  <c:v>1102.0035660999999</c:v>
                </c:pt>
                <c:pt idx="34">
                  <c:v>1112.9419817</c:v>
                </c:pt>
                <c:pt idx="35">
                  <c:v>1119.1543832</c:v>
                </c:pt>
                <c:pt idx="36">
                  <c:v>1122.5842666000001</c:v>
                </c:pt>
                <c:pt idx="37">
                  <c:v>1130.5732014</c:v>
                </c:pt>
                <c:pt idx="38">
                  <c:v>1146.1857726000001</c:v>
                </c:pt>
                <c:pt idx="39">
                  <c:v>1165.1646077</c:v>
                </c:pt>
                <c:pt idx="40">
                  <c:v>1177.9200063999999</c:v>
                </c:pt>
              </c:numCache>
            </c:numRef>
          </c:val>
          <c:smooth val="0"/>
          <c:extLst>
            <c:ext xmlns:c16="http://schemas.microsoft.com/office/drawing/2014/chart" uri="{C3380CC4-5D6E-409C-BE32-E72D297353CC}">
              <c16:uniqueId val="{00000004-0C24-40BF-BAED-A5C90FBBC96A}"/>
            </c:ext>
          </c:extLst>
        </c:ser>
        <c:ser>
          <c:idx val="4"/>
          <c:order val="4"/>
          <c:tx>
            <c:strRef>
              <c:f>'Time series chart'!$A$30</c:f>
              <c:strCache>
                <c:ptCount val="1"/>
                <c:pt idx="0">
                  <c:v>Accommodation and Food Services</c:v>
                </c:pt>
              </c:strCache>
            </c:strRef>
          </c:tx>
          <c:spPr>
            <a:ln w="28575" cap="rnd">
              <a:solidFill>
                <a:srgbClr val="9F1853"/>
              </a:solidFill>
              <a:round/>
            </a:ln>
            <a:effectLst/>
          </c:spPr>
          <c:marker>
            <c:symbol val="none"/>
          </c:marker>
          <c:cat>
            <c:numRef>
              <c:f>'Time series chart'!$B$25:$AP$25</c:f>
              <c:numCache>
                <c:formatCode>mmm\-yyyy</c:formatCode>
                <c:ptCount val="41"/>
                <c:pt idx="0">
                  <c:v>41395</c:v>
                </c:pt>
                <c:pt idx="1">
                  <c:v>41487</c:v>
                </c:pt>
                <c:pt idx="2">
                  <c:v>41579</c:v>
                </c:pt>
                <c:pt idx="3">
                  <c:v>41671</c:v>
                </c:pt>
                <c:pt idx="4">
                  <c:v>41760</c:v>
                </c:pt>
                <c:pt idx="5">
                  <c:v>41852</c:v>
                </c:pt>
                <c:pt idx="6">
                  <c:v>41944</c:v>
                </c:pt>
                <c:pt idx="7">
                  <c:v>42036</c:v>
                </c:pt>
                <c:pt idx="8">
                  <c:v>42125</c:v>
                </c:pt>
                <c:pt idx="9">
                  <c:v>42217</c:v>
                </c:pt>
                <c:pt idx="10">
                  <c:v>42309</c:v>
                </c:pt>
                <c:pt idx="11">
                  <c:v>42401</c:v>
                </c:pt>
                <c:pt idx="12">
                  <c:v>42491</c:v>
                </c:pt>
                <c:pt idx="13">
                  <c:v>42583</c:v>
                </c:pt>
                <c:pt idx="14">
                  <c:v>42675</c:v>
                </c:pt>
                <c:pt idx="15">
                  <c:v>42767</c:v>
                </c:pt>
                <c:pt idx="16">
                  <c:v>42856</c:v>
                </c:pt>
                <c:pt idx="17">
                  <c:v>42948</c:v>
                </c:pt>
                <c:pt idx="18">
                  <c:v>43040</c:v>
                </c:pt>
                <c:pt idx="19">
                  <c:v>43132</c:v>
                </c:pt>
                <c:pt idx="20">
                  <c:v>43221</c:v>
                </c:pt>
                <c:pt idx="21">
                  <c:v>43313</c:v>
                </c:pt>
                <c:pt idx="22">
                  <c:v>43405</c:v>
                </c:pt>
                <c:pt idx="23">
                  <c:v>43497</c:v>
                </c:pt>
                <c:pt idx="24">
                  <c:v>43586</c:v>
                </c:pt>
                <c:pt idx="25">
                  <c:v>43678</c:v>
                </c:pt>
                <c:pt idx="26">
                  <c:v>43770</c:v>
                </c:pt>
                <c:pt idx="27">
                  <c:v>43862</c:v>
                </c:pt>
                <c:pt idx="28">
                  <c:v>43952</c:v>
                </c:pt>
                <c:pt idx="29">
                  <c:v>44044</c:v>
                </c:pt>
                <c:pt idx="30">
                  <c:v>44136</c:v>
                </c:pt>
                <c:pt idx="31">
                  <c:v>44228</c:v>
                </c:pt>
                <c:pt idx="32">
                  <c:v>44317</c:v>
                </c:pt>
                <c:pt idx="33">
                  <c:v>44409</c:v>
                </c:pt>
                <c:pt idx="34">
                  <c:v>44501</c:v>
                </c:pt>
                <c:pt idx="35">
                  <c:v>44593</c:v>
                </c:pt>
                <c:pt idx="36">
                  <c:v>44682</c:v>
                </c:pt>
                <c:pt idx="37">
                  <c:v>44774</c:v>
                </c:pt>
                <c:pt idx="38">
                  <c:v>44866</c:v>
                </c:pt>
                <c:pt idx="39">
                  <c:v>44958</c:v>
                </c:pt>
                <c:pt idx="40">
                  <c:v>45047</c:v>
                </c:pt>
              </c:numCache>
            </c:numRef>
          </c:cat>
          <c:val>
            <c:numRef>
              <c:f>'Time series chart'!$B$30:$AP$30</c:f>
              <c:numCache>
                <c:formatCode>0.0</c:formatCode>
                <c:ptCount val="41"/>
                <c:pt idx="0">
                  <c:v>791.07754569999997</c:v>
                </c:pt>
                <c:pt idx="1">
                  <c:v>782.00204729999996</c:v>
                </c:pt>
                <c:pt idx="2">
                  <c:v>773.10303269999997</c:v>
                </c:pt>
                <c:pt idx="3">
                  <c:v>770.95301070000005</c:v>
                </c:pt>
                <c:pt idx="4">
                  <c:v>779.18194659999995</c:v>
                </c:pt>
                <c:pt idx="5">
                  <c:v>796.52568410000003</c:v>
                </c:pt>
                <c:pt idx="6">
                  <c:v>816.68630080000003</c:v>
                </c:pt>
                <c:pt idx="7">
                  <c:v>829.07224310000004</c:v>
                </c:pt>
                <c:pt idx="8">
                  <c:v>829.48143979999998</c:v>
                </c:pt>
                <c:pt idx="9">
                  <c:v>826.47412929999996</c:v>
                </c:pt>
                <c:pt idx="10">
                  <c:v>827.85560469999996</c:v>
                </c:pt>
                <c:pt idx="11">
                  <c:v>836.11871470000006</c:v>
                </c:pt>
                <c:pt idx="12">
                  <c:v>845.40333539999995</c:v>
                </c:pt>
                <c:pt idx="13">
                  <c:v>851.09494480000001</c:v>
                </c:pt>
                <c:pt idx="14">
                  <c:v>856.52698529999998</c:v>
                </c:pt>
                <c:pt idx="15">
                  <c:v>867.68876550000004</c:v>
                </c:pt>
                <c:pt idx="16">
                  <c:v>882.74942090000002</c:v>
                </c:pt>
                <c:pt idx="17">
                  <c:v>892.02589439999997</c:v>
                </c:pt>
                <c:pt idx="18">
                  <c:v>890.55900799999995</c:v>
                </c:pt>
                <c:pt idx="19">
                  <c:v>884.76208970000005</c:v>
                </c:pt>
                <c:pt idx="20">
                  <c:v>884.26273170000002</c:v>
                </c:pt>
                <c:pt idx="21">
                  <c:v>889.05360859999996</c:v>
                </c:pt>
                <c:pt idx="22">
                  <c:v>895.93759360000001</c:v>
                </c:pt>
                <c:pt idx="23">
                  <c:v>904.17969110000001</c:v>
                </c:pt>
                <c:pt idx="24">
                  <c:v>911.84791849999999</c:v>
                </c:pt>
                <c:pt idx="25">
                  <c:v>916.70246229999998</c:v>
                </c:pt>
                <c:pt idx="26">
                  <c:v>920.3537106</c:v>
                </c:pt>
                <c:pt idx="27">
                  <c:v>923.03284350000001</c:v>
                </c:pt>
                <c:pt idx="28">
                  <c:v>930.70043050000004</c:v>
                </c:pt>
                <c:pt idx="29">
                  <c:v>802.06903339999997</c:v>
                </c:pt>
                <c:pt idx="30">
                  <c:v>818.73938120000003</c:v>
                </c:pt>
                <c:pt idx="31">
                  <c:v>832.16853560000004</c:v>
                </c:pt>
                <c:pt idx="32">
                  <c:v>839.79715810000005</c:v>
                </c:pt>
                <c:pt idx="33">
                  <c:v>848.88129049999998</c:v>
                </c:pt>
                <c:pt idx="34">
                  <c:v>866.42549980000001</c:v>
                </c:pt>
                <c:pt idx="35">
                  <c:v>890.66424040000004</c:v>
                </c:pt>
                <c:pt idx="36">
                  <c:v>915.7554877</c:v>
                </c:pt>
                <c:pt idx="37">
                  <c:v>934.8980517</c:v>
                </c:pt>
                <c:pt idx="38">
                  <c:v>944.15524989999994</c:v>
                </c:pt>
                <c:pt idx="39">
                  <c:v>947.14357640000003</c:v>
                </c:pt>
                <c:pt idx="40">
                  <c:v>948.62405550000005</c:v>
                </c:pt>
              </c:numCache>
            </c:numRef>
          </c:val>
          <c:smooth val="0"/>
          <c:extLst>
            <c:ext xmlns:c16="http://schemas.microsoft.com/office/drawing/2014/chart" uri="{C3380CC4-5D6E-409C-BE32-E72D297353CC}">
              <c16:uniqueId val="{00000005-0C24-40BF-BAED-A5C90FBBC96A}"/>
            </c:ext>
          </c:extLst>
        </c:ser>
        <c:ser>
          <c:idx val="5"/>
          <c:order val="5"/>
          <c:tx>
            <c:strRef>
              <c:f>'Time series chart'!$A$31</c:f>
              <c:strCache>
                <c:ptCount val="1"/>
                <c:pt idx="0">
                  <c:v>Transport, Postal and Warehousing</c:v>
                </c:pt>
              </c:strCache>
            </c:strRef>
          </c:tx>
          <c:spPr>
            <a:ln w="28575" cap="rnd">
              <a:solidFill>
                <a:srgbClr val="6929C4"/>
              </a:solidFill>
              <a:round/>
            </a:ln>
            <a:effectLst/>
          </c:spPr>
          <c:marker>
            <c:symbol val="none"/>
          </c:marker>
          <c:cat>
            <c:numRef>
              <c:f>'Time series chart'!$B$25:$AP$25</c:f>
              <c:numCache>
                <c:formatCode>mmm\-yyyy</c:formatCode>
                <c:ptCount val="41"/>
                <c:pt idx="0">
                  <c:v>41395</c:v>
                </c:pt>
                <c:pt idx="1">
                  <c:v>41487</c:v>
                </c:pt>
                <c:pt idx="2">
                  <c:v>41579</c:v>
                </c:pt>
                <c:pt idx="3">
                  <c:v>41671</c:v>
                </c:pt>
                <c:pt idx="4">
                  <c:v>41760</c:v>
                </c:pt>
                <c:pt idx="5">
                  <c:v>41852</c:v>
                </c:pt>
                <c:pt idx="6">
                  <c:v>41944</c:v>
                </c:pt>
                <c:pt idx="7">
                  <c:v>42036</c:v>
                </c:pt>
                <c:pt idx="8">
                  <c:v>42125</c:v>
                </c:pt>
                <c:pt idx="9">
                  <c:v>42217</c:v>
                </c:pt>
                <c:pt idx="10">
                  <c:v>42309</c:v>
                </c:pt>
                <c:pt idx="11">
                  <c:v>42401</c:v>
                </c:pt>
                <c:pt idx="12">
                  <c:v>42491</c:v>
                </c:pt>
                <c:pt idx="13">
                  <c:v>42583</c:v>
                </c:pt>
                <c:pt idx="14">
                  <c:v>42675</c:v>
                </c:pt>
                <c:pt idx="15">
                  <c:v>42767</c:v>
                </c:pt>
                <c:pt idx="16">
                  <c:v>42856</c:v>
                </c:pt>
                <c:pt idx="17">
                  <c:v>42948</c:v>
                </c:pt>
                <c:pt idx="18">
                  <c:v>43040</c:v>
                </c:pt>
                <c:pt idx="19">
                  <c:v>43132</c:v>
                </c:pt>
                <c:pt idx="20">
                  <c:v>43221</c:v>
                </c:pt>
                <c:pt idx="21">
                  <c:v>43313</c:v>
                </c:pt>
                <c:pt idx="22">
                  <c:v>43405</c:v>
                </c:pt>
                <c:pt idx="23">
                  <c:v>43497</c:v>
                </c:pt>
                <c:pt idx="24">
                  <c:v>43586</c:v>
                </c:pt>
                <c:pt idx="25">
                  <c:v>43678</c:v>
                </c:pt>
                <c:pt idx="26">
                  <c:v>43770</c:v>
                </c:pt>
                <c:pt idx="27">
                  <c:v>43862</c:v>
                </c:pt>
                <c:pt idx="28">
                  <c:v>43952</c:v>
                </c:pt>
                <c:pt idx="29">
                  <c:v>44044</c:v>
                </c:pt>
                <c:pt idx="30">
                  <c:v>44136</c:v>
                </c:pt>
                <c:pt idx="31">
                  <c:v>44228</c:v>
                </c:pt>
                <c:pt idx="32">
                  <c:v>44317</c:v>
                </c:pt>
                <c:pt idx="33">
                  <c:v>44409</c:v>
                </c:pt>
                <c:pt idx="34">
                  <c:v>44501</c:v>
                </c:pt>
                <c:pt idx="35">
                  <c:v>44593</c:v>
                </c:pt>
                <c:pt idx="36">
                  <c:v>44682</c:v>
                </c:pt>
                <c:pt idx="37">
                  <c:v>44774</c:v>
                </c:pt>
                <c:pt idx="38">
                  <c:v>44866</c:v>
                </c:pt>
                <c:pt idx="39">
                  <c:v>44958</c:v>
                </c:pt>
                <c:pt idx="40">
                  <c:v>45047</c:v>
                </c:pt>
              </c:numCache>
            </c:numRef>
          </c:cat>
          <c:val>
            <c:numRef>
              <c:f>'Time series chart'!$B$31:$AP$31</c:f>
              <c:numCache>
                <c:formatCode>0.0</c:formatCode>
                <c:ptCount val="41"/>
                <c:pt idx="0">
                  <c:v>594.04002809999997</c:v>
                </c:pt>
                <c:pt idx="1">
                  <c:v>588.21857220000004</c:v>
                </c:pt>
                <c:pt idx="2">
                  <c:v>584.8298886</c:v>
                </c:pt>
                <c:pt idx="3">
                  <c:v>584.84902980000004</c:v>
                </c:pt>
                <c:pt idx="4">
                  <c:v>588.30988839999998</c:v>
                </c:pt>
                <c:pt idx="5">
                  <c:v>592.23275409999997</c:v>
                </c:pt>
                <c:pt idx="6">
                  <c:v>595.63306369999998</c:v>
                </c:pt>
                <c:pt idx="7">
                  <c:v>600.66027710000003</c:v>
                </c:pt>
                <c:pt idx="8">
                  <c:v>606.17786000000001</c:v>
                </c:pt>
                <c:pt idx="9">
                  <c:v>613.50103220000005</c:v>
                </c:pt>
                <c:pt idx="10">
                  <c:v>621.00329290000002</c:v>
                </c:pt>
                <c:pt idx="11">
                  <c:v>623.87614470000005</c:v>
                </c:pt>
                <c:pt idx="12">
                  <c:v>622.36888320000003</c:v>
                </c:pt>
                <c:pt idx="13">
                  <c:v>616.45450029999995</c:v>
                </c:pt>
                <c:pt idx="14">
                  <c:v>614.81716359999996</c:v>
                </c:pt>
                <c:pt idx="15">
                  <c:v>622.5779344</c:v>
                </c:pt>
                <c:pt idx="16">
                  <c:v>633.52849690000005</c:v>
                </c:pt>
                <c:pt idx="17">
                  <c:v>642.52189850000002</c:v>
                </c:pt>
                <c:pt idx="18">
                  <c:v>643.82417029999999</c:v>
                </c:pt>
                <c:pt idx="19">
                  <c:v>638.83175859999994</c:v>
                </c:pt>
                <c:pt idx="20">
                  <c:v>636.24431930000003</c:v>
                </c:pt>
                <c:pt idx="21">
                  <c:v>641.90821119999998</c:v>
                </c:pt>
                <c:pt idx="22">
                  <c:v>652.25349649999998</c:v>
                </c:pt>
                <c:pt idx="23">
                  <c:v>661.07934739999996</c:v>
                </c:pt>
                <c:pt idx="24">
                  <c:v>663.65644029999999</c:v>
                </c:pt>
                <c:pt idx="25">
                  <c:v>661.82891300000006</c:v>
                </c:pt>
                <c:pt idx="26">
                  <c:v>658.49534749999998</c:v>
                </c:pt>
                <c:pt idx="27">
                  <c:v>656.52948700000002</c:v>
                </c:pt>
                <c:pt idx="28">
                  <c:v>656.23497940000004</c:v>
                </c:pt>
                <c:pt idx="29">
                  <c:v>655.62815039999998</c:v>
                </c:pt>
                <c:pt idx="30">
                  <c:v>651.30984420000004</c:v>
                </c:pt>
                <c:pt idx="31">
                  <c:v>645.20121589999997</c:v>
                </c:pt>
                <c:pt idx="32">
                  <c:v>641.20076489999997</c:v>
                </c:pt>
                <c:pt idx="33">
                  <c:v>643.97954660000005</c:v>
                </c:pt>
                <c:pt idx="34">
                  <c:v>656.676377</c:v>
                </c:pt>
                <c:pt idx="35">
                  <c:v>675.10126509999998</c:v>
                </c:pt>
                <c:pt idx="36">
                  <c:v>691.78112739999995</c:v>
                </c:pt>
                <c:pt idx="37">
                  <c:v>701.72973260000003</c:v>
                </c:pt>
                <c:pt idx="38">
                  <c:v>707.12558620000004</c:v>
                </c:pt>
                <c:pt idx="39">
                  <c:v>711.88822159999995</c:v>
                </c:pt>
                <c:pt idx="40">
                  <c:v>718.08937349999997</c:v>
                </c:pt>
              </c:numCache>
            </c:numRef>
          </c:val>
          <c:smooth val="0"/>
          <c:extLst>
            <c:ext xmlns:c16="http://schemas.microsoft.com/office/drawing/2014/chart" uri="{C3380CC4-5D6E-409C-BE32-E72D297353CC}">
              <c16:uniqueId val="{00000006-0C24-40BF-BAED-A5C90FBBC96A}"/>
            </c:ext>
          </c:extLst>
        </c:ser>
        <c:ser>
          <c:idx val="6"/>
          <c:order val="6"/>
          <c:tx>
            <c:strRef>
              <c:f>'Time series chart'!$A$32</c:f>
              <c:strCache>
                <c:ptCount val="1"/>
                <c:pt idx="0">
                  <c:v>Mining</c:v>
                </c:pt>
              </c:strCache>
            </c:strRef>
          </c:tx>
          <c:spPr>
            <a:ln w="28575" cap="rnd">
              <a:solidFill>
                <a:srgbClr val="FA4D56"/>
              </a:solidFill>
              <a:round/>
            </a:ln>
            <a:effectLst/>
          </c:spPr>
          <c:marker>
            <c:symbol val="none"/>
          </c:marker>
          <c:cat>
            <c:numRef>
              <c:f>'Time series chart'!$B$25:$AP$25</c:f>
              <c:numCache>
                <c:formatCode>mmm\-yyyy</c:formatCode>
                <c:ptCount val="41"/>
                <c:pt idx="0">
                  <c:v>41395</c:v>
                </c:pt>
                <c:pt idx="1">
                  <c:v>41487</c:v>
                </c:pt>
                <c:pt idx="2">
                  <c:v>41579</c:v>
                </c:pt>
                <c:pt idx="3">
                  <c:v>41671</c:v>
                </c:pt>
                <c:pt idx="4">
                  <c:v>41760</c:v>
                </c:pt>
                <c:pt idx="5">
                  <c:v>41852</c:v>
                </c:pt>
                <c:pt idx="6">
                  <c:v>41944</c:v>
                </c:pt>
                <c:pt idx="7">
                  <c:v>42036</c:v>
                </c:pt>
                <c:pt idx="8">
                  <c:v>42125</c:v>
                </c:pt>
                <c:pt idx="9">
                  <c:v>42217</c:v>
                </c:pt>
                <c:pt idx="10">
                  <c:v>42309</c:v>
                </c:pt>
                <c:pt idx="11">
                  <c:v>42401</c:v>
                </c:pt>
                <c:pt idx="12">
                  <c:v>42491</c:v>
                </c:pt>
                <c:pt idx="13">
                  <c:v>42583</c:v>
                </c:pt>
                <c:pt idx="14">
                  <c:v>42675</c:v>
                </c:pt>
                <c:pt idx="15">
                  <c:v>42767</c:v>
                </c:pt>
                <c:pt idx="16">
                  <c:v>42856</c:v>
                </c:pt>
                <c:pt idx="17">
                  <c:v>42948</c:v>
                </c:pt>
                <c:pt idx="18">
                  <c:v>43040</c:v>
                </c:pt>
                <c:pt idx="19">
                  <c:v>43132</c:v>
                </c:pt>
                <c:pt idx="20">
                  <c:v>43221</c:v>
                </c:pt>
                <c:pt idx="21">
                  <c:v>43313</c:v>
                </c:pt>
                <c:pt idx="22">
                  <c:v>43405</c:v>
                </c:pt>
                <c:pt idx="23">
                  <c:v>43497</c:v>
                </c:pt>
                <c:pt idx="24">
                  <c:v>43586</c:v>
                </c:pt>
                <c:pt idx="25">
                  <c:v>43678</c:v>
                </c:pt>
                <c:pt idx="26">
                  <c:v>43770</c:v>
                </c:pt>
                <c:pt idx="27">
                  <c:v>43862</c:v>
                </c:pt>
                <c:pt idx="28">
                  <c:v>43952</c:v>
                </c:pt>
                <c:pt idx="29">
                  <c:v>44044</c:v>
                </c:pt>
                <c:pt idx="30">
                  <c:v>44136</c:v>
                </c:pt>
                <c:pt idx="31">
                  <c:v>44228</c:v>
                </c:pt>
                <c:pt idx="32">
                  <c:v>44317</c:v>
                </c:pt>
                <c:pt idx="33">
                  <c:v>44409</c:v>
                </c:pt>
                <c:pt idx="34">
                  <c:v>44501</c:v>
                </c:pt>
                <c:pt idx="35">
                  <c:v>44593</c:v>
                </c:pt>
                <c:pt idx="36">
                  <c:v>44682</c:v>
                </c:pt>
                <c:pt idx="37">
                  <c:v>44774</c:v>
                </c:pt>
                <c:pt idx="38">
                  <c:v>44866</c:v>
                </c:pt>
                <c:pt idx="39">
                  <c:v>44958</c:v>
                </c:pt>
                <c:pt idx="40">
                  <c:v>45047</c:v>
                </c:pt>
              </c:numCache>
            </c:numRef>
          </c:cat>
          <c:val>
            <c:numRef>
              <c:f>'Time series chart'!$B$32:$AP$32</c:f>
              <c:numCache>
                <c:formatCode>0.0</c:formatCode>
                <c:ptCount val="41"/>
                <c:pt idx="0">
                  <c:v>263.70542970000002</c:v>
                </c:pt>
                <c:pt idx="1">
                  <c:v>265.520017</c:v>
                </c:pt>
                <c:pt idx="2">
                  <c:v>267.50032340000001</c:v>
                </c:pt>
                <c:pt idx="3">
                  <c:v>265.82823639999998</c:v>
                </c:pt>
                <c:pt idx="4">
                  <c:v>256.13099369999998</c:v>
                </c:pt>
                <c:pt idx="5">
                  <c:v>241.04060190000001</c:v>
                </c:pt>
                <c:pt idx="6">
                  <c:v>227.233023</c:v>
                </c:pt>
                <c:pt idx="7">
                  <c:v>220.83989969999999</c:v>
                </c:pt>
                <c:pt idx="8">
                  <c:v>222.3092317</c:v>
                </c:pt>
                <c:pt idx="9">
                  <c:v>224.66804450000001</c:v>
                </c:pt>
                <c:pt idx="10">
                  <c:v>223.95395500000001</c:v>
                </c:pt>
                <c:pt idx="11">
                  <c:v>220.76620890000001</c:v>
                </c:pt>
                <c:pt idx="12">
                  <c:v>218.91557090000001</c:v>
                </c:pt>
                <c:pt idx="13">
                  <c:v>221.25592169999999</c:v>
                </c:pt>
                <c:pt idx="14">
                  <c:v>224.88473310000001</c:v>
                </c:pt>
                <c:pt idx="15">
                  <c:v>225.56354160000001</c:v>
                </c:pt>
                <c:pt idx="16">
                  <c:v>222.5143266</c:v>
                </c:pt>
                <c:pt idx="17">
                  <c:v>220.3028228</c:v>
                </c:pt>
                <c:pt idx="18">
                  <c:v>223.38266530000001</c:v>
                </c:pt>
                <c:pt idx="19">
                  <c:v>232.05398450000001</c:v>
                </c:pt>
                <c:pt idx="20">
                  <c:v>243.7747225</c:v>
                </c:pt>
                <c:pt idx="21">
                  <c:v>254.12798710000001</c:v>
                </c:pt>
                <c:pt idx="22">
                  <c:v>258.08893949999998</c:v>
                </c:pt>
                <c:pt idx="23">
                  <c:v>255.0345331</c:v>
                </c:pt>
                <c:pt idx="24">
                  <c:v>249.53105679999999</c:v>
                </c:pt>
                <c:pt idx="25">
                  <c:v>247.6192987</c:v>
                </c:pt>
                <c:pt idx="26">
                  <c:v>248.24685389999999</c:v>
                </c:pt>
                <c:pt idx="27">
                  <c:v>248.83125000000001</c:v>
                </c:pt>
                <c:pt idx="28">
                  <c:v>249.69813339999999</c:v>
                </c:pt>
                <c:pt idx="29">
                  <c:v>251.89537139999999</c:v>
                </c:pt>
                <c:pt idx="30">
                  <c:v>257.82337109999997</c:v>
                </c:pt>
                <c:pt idx="31">
                  <c:v>266.3206859</c:v>
                </c:pt>
                <c:pt idx="32">
                  <c:v>274.72418199999998</c:v>
                </c:pt>
                <c:pt idx="33">
                  <c:v>281.84044779999999</c:v>
                </c:pt>
                <c:pt idx="34">
                  <c:v>287.9969471</c:v>
                </c:pt>
                <c:pt idx="35">
                  <c:v>291.97794809999999</c:v>
                </c:pt>
                <c:pt idx="36">
                  <c:v>291.93869369999999</c:v>
                </c:pt>
                <c:pt idx="37">
                  <c:v>288.44432319999999</c:v>
                </c:pt>
                <c:pt idx="38">
                  <c:v>287.72370610000002</c:v>
                </c:pt>
                <c:pt idx="39">
                  <c:v>294.9735627</c:v>
                </c:pt>
                <c:pt idx="40">
                  <c:v>307.23096140000001</c:v>
                </c:pt>
              </c:numCache>
            </c:numRef>
          </c:val>
          <c:smooth val="0"/>
          <c:extLst>
            <c:ext xmlns:c16="http://schemas.microsoft.com/office/drawing/2014/chart" uri="{C3380CC4-5D6E-409C-BE32-E72D297353CC}">
              <c16:uniqueId val="{00000007-0C24-40BF-BAED-A5C90FBBC96A}"/>
            </c:ext>
          </c:extLst>
        </c:ser>
        <c:dLbls>
          <c:showLegendKey val="0"/>
          <c:showVal val="0"/>
          <c:showCatName val="0"/>
          <c:showSerName val="0"/>
          <c:showPercent val="0"/>
          <c:showBubbleSize val="0"/>
        </c:dLbls>
        <c:marker val="1"/>
        <c:smooth val="0"/>
        <c:axId val="1017426592"/>
        <c:axId val="1017399712"/>
      </c:lineChart>
      <c:dateAx>
        <c:axId val="1017426592"/>
        <c:scaling>
          <c:orientation val="minMax"/>
        </c:scaling>
        <c:delete val="0"/>
        <c:axPos val="b"/>
        <c:numFmt formatCode="mmm\-yy" sourceLinked="0"/>
        <c:majorTickMark val="out"/>
        <c:minorTickMark val="none"/>
        <c:tickLblPos val="nextTo"/>
        <c:spPr>
          <a:noFill/>
          <a:ln w="9525" cap="flat" cmpd="sng" algn="ctr">
            <a:solidFill>
              <a:schemeClr val="tx1">
                <a:lumMod val="15000"/>
                <a:lumOff val="85000"/>
                <a:alpha val="96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17399712"/>
        <c:crosses val="autoZero"/>
        <c:auto val="1"/>
        <c:lblOffset val="100"/>
        <c:baseTimeUnit val="months"/>
        <c:majorUnit val="12"/>
        <c:majorTimeUnit val="months"/>
      </c:dateAx>
      <c:valAx>
        <c:axId val="101739971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Employed ('000)</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17426592"/>
        <c:crosses val="autoZero"/>
        <c:crossBetween val="between"/>
        <c:majorUnit val="200"/>
      </c:valAx>
      <c:spPr>
        <a:noFill/>
        <a:ln>
          <a:noFill/>
        </a:ln>
        <a:effectLst/>
      </c:spPr>
    </c:plotArea>
    <c:legend>
      <c:legendPos val="t"/>
      <c:layout>
        <c:manualLayout>
          <c:xMode val="edge"/>
          <c:yMode val="edge"/>
          <c:x val="8.4173409393189014E-2"/>
          <c:y val="2.5417574437182282E-2"/>
          <c:w val="0.85748087419450403"/>
          <c:h val="0.260356974128181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0"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0.1195</cdr:x>
      <cdr:y>0.02273</cdr:y>
    </cdr:from>
    <cdr:to>
      <cdr:x>0.24214</cdr:x>
      <cdr:y>0.05594</cdr:y>
    </cdr:to>
    <cdr:sp macro="" textlink="">
      <cdr:nvSpPr>
        <cdr:cNvPr id="2" name="TextBox 1">
          <a:extLst xmlns:a="http://schemas.openxmlformats.org/drawingml/2006/main">
            <a:ext uri="{FF2B5EF4-FFF2-40B4-BE49-F238E27FC236}">
              <a16:creationId xmlns:a16="http://schemas.microsoft.com/office/drawing/2014/main" id="{23979C93-615E-4417-8957-3C3F8D2EDE52}"/>
            </a:ext>
          </a:extLst>
        </cdr:cNvPr>
        <cdr:cNvSpPr txBox="1"/>
      </cdr:nvSpPr>
      <cdr:spPr>
        <a:xfrm xmlns:a="http://schemas.openxmlformats.org/drawingml/2006/main">
          <a:off x="868680" y="99060"/>
          <a:ext cx="891540" cy="1447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AU" sz="1100"/>
        </a:p>
      </cdr:txBody>
    </cdr:sp>
  </cdr:relSizeAnchor>
  <cdr:relSizeAnchor xmlns:cdr="http://schemas.openxmlformats.org/drawingml/2006/chartDrawing">
    <cdr:from>
      <cdr:x>0.27212</cdr:x>
      <cdr:y>0.69525</cdr:y>
    </cdr:from>
    <cdr:to>
      <cdr:x>0.35861</cdr:x>
      <cdr:y>0.74893</cdr:y>
    </cdr:to>
    <cdr:sp macro="" textlink="">
      <cdr:nvSpPr>
        <cdr:cNvPr id="5" name="TextBox 1">
          <a:extLst xmlns:a="http://schemas.openxmlformats.org/drawingml/2006/main">
            <a:ext uri="{FF2B5EF4-FFF2-40B4-BE49-F238E27FC236}">
              <a16:creationId xmlns:a16="http://schemas.microsoft.com/office/drawing/2014/main" id="{31B665BF-3030-4988-88EC-DE1F6267EB3C}"/>
            </a:ext>
          </a:extLst>
        </cdr:cNvPr>
        <cdr:cNvSpPr txBox="1"/>
      </cdr:nvSpPr>
      <cdr:spPr>
        <a:xfrm xmlns:a="http://schemas.openxmlformats.org/drawingml/2006/main">
          <a:off x="1539241" y="2164595"/>
          <a:ext cx="489266" cy="1671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900"/>
            <a:t>GFC</a:t>
          </a:r>
        </a:p>
      </cdr:txBody>
    </cdr:sp>
  </cdr:relSizeAnchor>
  <cdr:relSizeAnchor xmlns:cdr="http://schemas.openxmlformats.org/drawingml/2006/chartDrawing">
    <cdr:from>
      <cdr:x>0.39891</cdr:x>
      <cdr:y>0.28147</cdr:y>
    </cdr:from>
    <cdr:to>
      <cdr:x>0.58305</cdr:x>
      <cdr:y>0.37642</cdr:y>
    </cdr:to>
    <cdr:sp macro="" textlink="">
      <cdr:nvSpPr>
        <cdr:cNvPr id="6" name="TextBox 1">
          <a:extLst xmlns:a="http://schemas.openxmlformats.org/drawingml/2006/main">
            <a:ext uri="{FF2B5EF4-FFF2-40B4-BE49-F238E27FC236}">
              <a16:creationId xmlns:a16="http://schemas.microsoft.com/office/drawing/2014/main" id="{31B665BF-3030-4988-88EC-DE1F6267EB3C}"/>
            </a:ext>
          </a:extLst>
        </cdr:cNvPr>
        <cdr:cNvSpPr txBox="1"/>
      </cdr:nvSpPr>
      <cdr:spPr>
        <a:xfrm xmlns:a="http://schemas.openxmlformats.org/drawingml/2006/main">
          <a:off x="2286354" y="887959"/>
          <a:ext cx="1055400" cy="29953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900"/>
            <a:t>Unwinding of the Mining boom</a:t>
          </a:r>
        </a:p>
      </cdr:txBody>
    </cdr:sp>
  </cdr:relSizeAnchor>
  <cdr:relSizeAnchor xmlns:cdr="http://schemas.openxmlformats.org/drawingml/2006/chartDrawing">
    <cdr:from>
      <cdr:x>0.66308</cdr:x>
      <cdr:y>0.24155</cdr:y>
    </cdr:from>
    <cdr:to>
      <cdr:x>0.80368</cdr:x>
      <cdr:y>0.32271</cdr:y>
    </cdr:to>
    <cdr:sp macro="" textlink="">
      <cdr:nvSpPr>
        <cdr:cNvPr id="7" name="TextBox 1">
          <a:extLst xmlns:a="http://schemas.openxmlformats.org/drawingml/2006/main">
            <a:ext uri="{FF2B5EF4-FFF2-40B4-BE49-F238E27FC236}">
              <a16:creationId xmlns:a16="http://schemas.microsoft.com/office/drawing/2014/main" id="{31B665BF-3030-4988-88EC-DE1F6267EB3C}"/>
            </a:ext>
          </a:extLst>
        </cdr:cNvPr>
        <cdr:cNvSpPr txBox="1"/>
      </cdr:nvSpPr>
      <cdr:spPr>
        <a:xfrm xmlns:a="http://schemas.openxmlformats.org/drawingml/2006/main">
          <a:off x="3800475" y="762000"/>
          <a:ext cx="805837" cy="2560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900"/>
            <a:t>COVID-19</a:t>
          </a:r>
        </a:p>
      </cdr:txBody>
    </cdr:sp>
  </cdr:relSizeAnchor>
</c:userShapes>
</file>

<file path=word/theme/theme1.xml><?xml version="1.0" encoding="utf-8"?>
<a:theme xmlns:a="http://schemas.openxmlformats.org/drawingml/2006/main" name="Office Theme">
  <a:themeElements>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9A1FC-A49C-46BA-AEF4-F01DC2891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7910</Words>
  <Characters>42562</Characters>
  <Application>Microsoft Office Word</Application>
  <DocSecurity>0</DocSecurity>
  <Lines>1372</Lines>
  <Paragraphs>901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2023-09-12T06:09:00Z</dcterms:created>
  <dcterms:modified xsi:type="dcterms:W3CDTF">2023-09-12T06:10:00Z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2023-09-12T06:09:46Z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3cf88f78-6580-43d3-8a00-4b924e3696bb</vt:lpwstr>
  </property>
  <property fmtid="{D5CDD505-2E9C-101B-9397-08002B2CF9AE}" pid="8" name="MSIP_Label_79d889eb-932f-4752-8739-64d25806ef64_ContentBits">
    <vt:lpwstr>0</vt:lpwstr>
  </property>
</Properties>
</file>